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b w:val="0"/>
          <w:bCs/>
          <w:lang w:val="en-US" w:eastAsia="zh-CN"/>
        </w:rPr>
      </w:pPr>
      <w:r>
        <w:rPr>
          <w:rFonts w:hint="eastAsia"/>
          <w:b w:val="0"/>
          <w:bCs/>
          <w:lang w:val="en-US" w:eastAsia="zh-CN"/>
        </w:rPr>
        <w:t>一、</w:t>
      </w:r>
      <w:r>
        <w:rPr>
          <w:rFonts w:hint="eastAsia"/>
          <w:b w:val="0"/>
          <w:bCs/>
          <w:lang w:val="en-US" w:eastAsia="zh-CN"/>
        </w:rPr>
        <w:t>规划范围</w:t>
      </w:r>
    </w:p>
    <w:p>
      <w:pPr>
        <w:pStyle w:val="12"/>
        <w:keepNext w:val="0"/>
        <w:keepLines w:val="0"/>
        <w:pageBreakBefore w:val="0"/>
        <w:widowControl w:val="0"/>
        <w:numPr>
          <w:numId w:val="0"/>
        </w:numPr>
        <w:kinsoku/>
        <w:wordWrap/>
        <w:overflowPunct/>
        <w:topLinePunct w:val="0"/>
        <w:autoSpaceDE/>
        <w:autoSpaceDN/>
        <w:bidi w:val="0"/>
        <w:adjustRightInd/>
        <w:snapToGrid/>
        <w:spacing w:line="560" w:lineRule="exact"/>
        <w:ind w:left="0" w:leftChars="0" w:firstLine="560" w:firstLineChars="200"/>
        <w:textAlignment w:val="auto"/>
        <w:rPr>
          <w:rFonts w:ascii="宋体" w:hAnsi="宋体" w:eastAsia="宋体"/>
          <w:b/>
          <w:color w:val="000000" w:themeColor="text1"/>
          <w:sz w:val="28"/>
          <w:szCs w:val="24"/>
          <w14:textFill>
            <w14:solidFill>
              <w14:schemeClr w14:val="tx1"/>
            </w14:solidFill>
          </w14:textFill>
        </w:rPr>
      </w:pPr>
      <w:r>
        <w:rPr>
          <w:rFonts w:hint="eastAsia" w:ascii="宋体" w:hAnsi="宋体" w:eastAsia="宋体"/>
          <w:bCs/>
          <w:color w:val="000000" w:themeColor="text1"/>
          <w:sz w:val="28"/>
          <w:szCs w:val="24"/>
          <w14:textFill>
            <w14:solidFill>
              <w14:schemeClr w14:val="tx1"/>
            </w14:solidFill>
          </w14:textFill>
        </w:rPr>
        <w:t>本规划范围涉及两个层次，为园区规划范围和城镇开发边界。园区城镇开发边界是园区规划期内城镇建设的规模边界，原则上不得突破边界建设。园区规划范围是以园区开发边界为基础，从园区远景发展考虑，兼顾园区实际管理边界和园区空间布局的完整性等因素，将周边更大范围的适宜建设区域统一划入园区管理而划定的建议范围。城镇开发边界：是园区近远期进行用地布局的范围界线，总用地规模为 12.14 平方公里。园区规划范围：是园区远景发展设想范围，北至北环路，南至纬四路，西至现状企业，东至东环路，总用地规模约 37.81 平方公里。</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b w:val="0"/>
          <w:bCs/>
          <w:lang w:val="en-US" w:eastAsia="zh-CN"/>
        </w:rPr>
      </w:pPr>
      <w:r>
        <w:rPr>
          <w:rFonts w:hint="eastAsia"/>
          <w:b w:val="0"/>
          <w:bCs/>
          <w:lang w:val="en-US" w:eastAsia="zh-CN"/>
        </w:rPr>
        <w:t>二、规划期限</w:t>
      </w:r>
    </w:p>
    <w:p>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ascii="宋体" w:hAnsi="宋体" w:eastAsia="宋体"/>
          <w:bCs/>
          <w:color w:val="000000" w:themeColor="text1"/>
          <w:sz w:val="28"/>
          <w:szCs w:val="24"/>
          <w14:textFill>
            <w14:solidFill>
              <w14:schemeClr w14:val="tx1"/>
            </w14:solidFill>
          </w14:textFill>
        </w:rPr>
      </w:pPr>
      <w:r>
        <w:rPr>
          <w:rFonts w:hint="eastAsia" w:ascii="宋体" w:hAnsi="宋体" w:eastAsia="宋体"/>
          <w:bCs/>
          <w:color w:val="000000" w:themeColor="text1"/>
          <w:sz w:val="28"/>
          <w:szCs w:val="24"/>
          <w14:textFill>
            <w14:solidFill>
              <w14:schemeClr w14:val="tx1"/>
            </w14:solidFill>
          </w14:textFill>
        </w:rPr>
        <w:t>本规划期限为</w:t>
      </w:r>
      <w:r>
        <w:rPr>
          <w:rFonts w:ascii="宋体" w:hAnsi="宋体" w:eastAsia="宋体"/>
          <w:bCs/>
          <w:color w:val="000000" w:themeColor="text1"/>
          <w:sz w:val="28"/>
          <w:szCs w:val="24"/>
          <w14:textFill>
            <w14:solidFill>
              <w14:schemeClr w14:val="tx1"/>
            </w14:solidFill>
          </w14:textFill>
        </w:rPr>
        <w:t xml:space="preserve"> 202</w:t>
      </w:r>
      <w:r>
        <w:rPr>
          <w:rFonts w:hint="eastAsia" w:ascii="宋体" w:hAnsi="宋体" w:eastAsia="宋体"/>
          <w:bCs/>
          <w:color w:val="000000" w:themeColor="text1"/>
          <w:sz w:val="28"/>
          <w:szCs w:val="24"/>
          <w:lang w:val="en-US" w:eastAsia="zh-CN"/>
          <w14:textFill>
            <w14:solidFill>
              <w14:schemeClr w14:val="tx1"/>
            </w14:solidFill>
          </w14:textFill>
        </w:rPr>
        <w:t>2</w:t>
      </w:r>
      <w:r>
        <w:rPr>
          <w:rFonts w:ascii="宋体" w:hAnsi="宋体" w:eastAsia="宋体"/>
          <w:bCs/>
          <w:color w:val="000000" w:themeColor="text1"/>
          <w:sz w:val="28"/>
          <w:szCs w:val="24"/>
          <w14:textFill>
            <w14:solidFill>
              <w14:schemeClr w14:val="tx1"/>
            </w14:solidFill>
          </w14:textFill>
        </w:rPr>
        <w:t>-2035 年，其中：</w:t>
      </w:r>
    </w:p>
    <w:p>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ascii="宋体" w:hAnsi="宋体" w:eastAsia="宋体"/>
          <w:bCs/>
          <w:color w:val="000000" w:themeColor="text1"/>
          <w:sz w:val="28"/>
          <w:szCs w:val="24"/>
          <w14:textFill>
            <w14:solidFill>
              <w14:schemeClr w14:val="tx1"/>
            </w14:solidFill>
          </w14:textFill>
        </w:rPr>
      </w:pPr>
      <w:r>
        <w:rPr>
          <w:rFonts w:ascii="宋体" w:hAnsi="宋体" w:eastAsia="宋体"/>
          <w:bCs/>
          <w:color w:val="000000" w:themeColor="text1"/>
          <w:sz w:val="28"/>
          <w:szCs w:val="24"/>
          <w14:textFill>
            <w14:solidFill>
              <w14:schemeClr w14:val="tx1"/>
            </w14:solidFill>
          </w14:textFill>
        </w:rPr>
        <w:t>近期：202</w:t>
      </w:r>
      <w:r>
        <w:rPr>
          <w:rFonts w:hint="eastAsia" w:ascii="宋体" w:hAnsi="宋体" w:eastAsia="宋体"/>
          <w:bCs/>
          <w:color w:val="000000" w:themeColor="text1"/>
          <w:sz w:val="28"/>
          <w:szCs w:val="24"/>
          <w:lang w:val="en-US" w:eastAsia="zh-CN"/>
          <w14:textFill>
            <w14:solidFill>
              <w14:schemeClr w14:val="tx1"/>
            </w14:solidFill>
          </w14:textFill>
        </w:rPr>
        <w:t>2</w:t>
      </w:r>
      <w:r>
        <w:rPr>
          <w:rFonts w:ascii="宋体" w:hAnsi="宋体" w:eastAsia="宋体"/>
          <w:bCs/>
          <w:color w:val="000000" w:themeColor="text1"/>
          <w:sz w:val="28"/>
          <w:szCs w:val="24"/>
          <w14:textFill>
            <w14:solidFill>
              <w14:schemeClr w14:val="tx1"/>
            </w14:solidFill>
          </w14:textFill>
        </w:rPr>
        <w:t>--2025 年</w:t>
      </w:r>
      <w:r>
        <w:rPr>
          <w:rFonts w:hint="eastAsia" w:ascii="宋体" w:hAnsi="宋体" w:eastAsia="宋体"/>
          <w:bCs/>
          <w:color w:val="000000" w:themeColor="text1"/>
          <w:sz w:val="28"/>
          <w:szCs w:val="24"/>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ascii="宋体" w:hAnsi="宋体" w:eastAsia="宋体"/>
          <w:bCs/>
          <w:color w:val="000000" w:themeColor="text1"/>
          <w:sz w:val="28"/>
          <w:szCs w:val="24"/>
          <w14:textFill>
            <w14:solidFill>
              <w14:schemeClr w14:val="tx1"/>
            </w14:solidFill>
          </w14:textFill>
        </w:rPr>
      </w:pPr>
      <w:r>
        <w:rPr>
          <w:rFonts w:ascii="宋体" w:hAnsi="宋体" w:eastAsia="宋体"/>
          <w:bCs/>
          <w:color w:val="000000" w:themeColor="text1"/>
          <w:sz w:val="28"/>
          <w:szCs w:val="24"/>
          <w14:textFill>
            <w14:solidFill>
              <w14:schemeClr w14:val="tx1"/>
            </w14:solidFill>
          </w14:textFill>
        </w:rPr>
        <w:t>远期：2026—2035 年</w:t>
      </w:r>
      <w:r>
        <w:rPr>
          <w:rFonts w:hint="eastAsia" w:ascii="宋体" w:hAnsi="宋体" w:eastAsia="宋体"/>
          <w:bCs/>
          <w:color w:val="000000" w:themeColor="text1"/>
          <w:sz w:val="28"/>
          <w:szCs w:val="24"/>
          <w14:textFill>
            <w14:solidFill>
              <w14:schemeClr w14:val="tx1"/>
            </w14:solidFill>
          </w14:textFill>
        </w:rPr>
        <w:t>。</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b w:val="0"/>
          <w:bCs/>
          <w:lang w:val="en-US" w:eastAsia="zh-CN"/>
        </w:rPr>
      </w:pPr>
      <w:r>
        <w:rPr>
          <w:rFonts w:hint="eastAsia"/>
          <w:b w:val="0"/>
          <w:bCs/>
          <w:lang w:val="en-US" w:eastAsia="zh-CN"/>
        </w:rPr>
        <w:t>三、规划定位</w:t>
      </w:r>
    </w:p>
    <w:p>
      <w:pPr>
        <w:pStyle w:val="12"/>
        <w:keepNext w:val="0"/>
        <w:keepLines w:val="0"/>
        <w:pageBreakBefore w:val="0"/>
        <w:widowControl w:val="0"/>
        <w:numPr>
          <w:numId w:val="0"/>
        </w:numPr>
        <w:kinsoku/>
        <w:wordWrap/>
        <w:overflowPunct/>
        <w:topLinePunct w:val="0"/>
        <w:autoSpaceDE/>
        <w:autoSpaceDN/>
        <w:bidi w:val="0"/>
        <w:adjustRightInd/>
        <w:snapToGrid/>
        <w:spacing w:line="560" w:lineRule="exact"/>
        <w:ind w:left="0" w:leftChars="0" w:firstLine="560" w:firstLineChars="200"/>
        <w:textAlignment w:val="auto"/>
        <w:rPr>
          <w:rFonts w:hint="default" w:ascii="宋体" w:hAnsi="宋体" w:eastAsia="宋体"/>
          <w:b/>
          <w:color w:val="000000" w:themeColor="text1"/>
          <w:sz w:val="28"/>
          <w:szCs w:val="24"/>
          <w:lang w:val="en-US" w:eastAsia="zh-CN"/>
          <w14:textFill>
            <w14:solidFill>
              <w14:schemeClr w14:val="tx1"/>
            </w14:solidFill>
          </w14:textFill>
        </w:rPr>
      </w:pPr>
      <w:r>
        <w:rPr>
          <w:rFonts w:hint="eastAsia" w:ascii="宋体" w:hAnsi="宋体" w:eastAsia="宋体"/>
          <w:bCs/>
          <w:color w:val="000000" w:themeColor="text1"/>
          <w:sz w:val="28"/>
          <w:szCs w:val="24"/>
          <w14:textFill>
            <w14:solidFill>
              <w14:schemeClr w14:val="tx1"/>
            </w14:solidFill>
          </w14:textFill>
        </w:rPr>
        <w:t>充分挖掘口岸和新能源资源两大核心优势，以清洁能源利用为特色、境外资源精深加工为重点，打造中蒙国际产业合作示范园区和国家级新能源新材料“绿色低碳”示范基地，将园区建设成为经济繁荣、产业聚集、绿色生态、特色鲜明的以国际产业合作为特色的绿色低碳产业园。突出口岸优势，纵深推进“一带一路”多边合作，围绕境外资源和境外市场，大力发展外向型产业经济，完善公铁联运及国际物流服务体系，提升国际产业合作能力，积极推动乌拉特中旗申请沿边重点开发开放试验区，打造联通外循环的重要门户；利用好园区产业基础和区域资源要素优势，加强国内跨区域产业合作，在煤炭、金属矿产等大宗物资进口供应的基础上增强基础工业品供应保障能力，打造保障内循环的重要支点，构筑链接内外两个市场、两种资源、两项循环的资源交汇、产业交流、信息交互的重要平台枢纽。坚持生态优先、绿色发展，紧紧围绕“碳达峰碳中和”、黄河流域生态保护和高质量发展等国家战略要求，大力推动乌拉特中旗北部边境地带大规模新能源资源开发利用和千万千瓦级风光新能源基地建设，加快推动风光电、氢能等清洁能源与园区产业深度结合应用，探索构建“新能源+”产业发展新模式，重点打造新能源+氢气、煤化工、金属冶炼、光伏材料、电极材料等五大产业集群，着力降低能耗和碳排放；积极发展循环经济，加强矿产洗选、煤焦化工、有色金属等产业链式循环，推进园区前端基础产业清洁、绿</w:t>
      </w:r>
      <w:r>
        <w:rPr>
          <w:rFonts w:hint="eastAsia" w:ascii="宋体" w:hAnsi="宋体" w:eastAsia="宋体"/>
          <w:bCs/>
          <w:color w:val="000000" w:themeColor="text1"/>
          <w:sz w:val="28"/>
          <w:szCs w:val="24"/>
          <w:lang w:val="en-US" w:eastAsia="zh-CN"/>
          <w14:textFill>
            <w14:solidFill>
              <w14:schemeClr w14:val="tx1"/>
            </w14:solidFill>
          </w14:textFill>
        </w:rPr>
        <w:t>色高效发展。</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b w:val="0"/>
          <w:bCs/>
          <w:lang w:val="en-US" w:eastAsia="zh-CN"/>
        </w:rPr>
      </w:pPr>
      <w:r>
        <w:rPr>
          <w:rFonts w:hint="eastAsia"/>
          <w:b w:val="0"/>
          <w:bCs/>
          <w:lang w:val="en-US" w:eastAsia="zh-CN"/>
        </w:rPr>
        <w:t>四、发展目标</w:t>
      </w:r>
    </w:p>
    <w:p>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ascii="宋体" w:hAnsi="宋体" w:eastAsia="宋体"/>
          <w:bCs/>
          <w:color w:val="000000" w:themeColor="text1"/>
          <w:sz w:val="28"/>
          <w:szCs w:val="24"/>
          <w14:textFill>
            <w14:solidFill>
              <w14:schemeClr w14:val="tx1"/>
            </w14:solidFill>
          </w14:textFill>
        </w:rPr>
      </w:pPr>
      <w:r>
        <w:rPr>
          <w:rFonts w:hint="eastAsia" w:ascii="宋体" w:hAnsi="宋体" w:eastAsia="宋体"/>
          <w:bCs/>
          <w:color w:val="000000" w:themeColor="text1"/>
          <w:sz w:val="28"/>
          <w:szCs w:val="24"/>
          <w14:textFill>
            <w14:solidFill>
              <w14:schemeClr w14:val="tx1"/>
            </w14:solidFill>
          </w14:textFill>
        </w:rPr>
        <w:t>至 2035 年，园区空间格局不断优化，形成以化工、冶金和新材料产业为主导的产业集群，园区经济实力大幅提升，达到自治区一类工业园区认定标准。园区空间效率不断提高，园区闲置土地全部得到较好利用，土地开发利用率达到 90%以上，单位土地工业增加值、固定资产投资强度、税收总额等均大幅提升，单位工业增加值能耗、水耗均达到巴彦淖尔市要求水平。</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b w:val="0"/>
          <w:bCs/>
          <w:lang w:val="en-US" w:eastAsia="zh-CN"/>
        </w:rPr>
      </w:pPr>
      <w:r>
        <w:rPr>
          <w:rFonts w:hint="eastAsia"/>
          <w:b w:val="0"/>
          <w:bCs/>
          <w:lang w:val="en-US" w:eastAsia="zh-CN"/>
        </w:rPr>
        <w:t>五、用地规模</w:t>
      </w:r>
    </w:p>
    <w:p>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ascii="宋体" w:hAnsi="宋体" w:eastAsia="宋体"/>
          <w:bCs/>
          <w:color w:val="000000" w:themeColor="text1"/>
          <w:sz w:val="28"/>
          <w:szCs w:val="24"/>
          <w14:textFill>
            <w14:solidFill>
              <w14:schemeClr w14:val="tx1"/>
            </w14:solidFill>
          </w14:textFill>
        </w:rPr>
      </w:pPr>
      <w:r>
        <w:rPr>
          <w:rFonts w:hint="eastAsia" w:ascii="宋体" w:hAnsi="宋体" w:eastAsia="宋体"/>
          <w:bCs/>
          <w:color w:val="000000" w:themeColor="text1"/>
          <w:sz w:val="28"/>
          <w:szCs w:val="24"/>
          <w14:textFill>
            <w14:solidFill>
              <w14:schemeClr w14:val="tx1"/>
            </w14:solidFill>
          </w14:textFill>
        </w:rPr>
        <w:t>近期（202</w:t>
      </w:r>
      <w:r>
        <w:rPr>
          <w:rFonts w:ascii="宋体" w:hAnsi="宋体" w:eastAsia="宋体"/>
          <w:bCs/>
          <w:color w:val="000000" w:themeColor="text1"/>
          <w:sz w:val="28"/>
          <w:szCs w:val="24"/>
          <w14:textFill>
            <w14:solidFill>
              <w14:schemeClr w14:val="tx1"/>
            </w14:solidFill>
          </w14:textFill>
        </w:rPr>
        <w:t>5</w:t>
      </w:r>
      <w:r>
        <w:rPr>
          <w:rFonts w:hint="eastAsia" w:ascii="宋体" w:hAnsi="宋体" w:eastAsia="宋体"/>
          <w:bCs/>
          <w:color w:val="000000" w:themeColor="text1"/>
          <w:sz w:val="28"/>
          <w:szCs w:val="24"/>
          <w14:textFill>
            <w14:solidFill>
              <w14:schemeClr w14:val="tx1"/>
            </w14:solidFill>
          </w14:textFill>
        </w:rPr>
        <w:t>年）园区集中建设区用地</w:t>
      </w:r>
      <w:r>
        <w:rPr>
          <w:rFonts w:hint="eastAsia" w:ascii="宋体" w:hAnsi="宋体" w:eastAsia="宋体"/>
          <w:bCs/>
          <w:color w:val="000000" w:themeColor="text1"/>
          <w:sz w:val="28"/>
          <w:szCs w:val="24"/>
          <w:lang w:val="en-US" w:eastAsia="zh-CN"/>
          <w14:textFill>
            <w14:solidFill>
              <w14:schemeClr w14:val="tx1"/>
            </w14:solidFill>
          </w14:textFill>
        </w:rPr>
        <w:t>1144.21</w:t>
      </w:r>
      <w:r>
        <w:rPr>
          <w:rFonts w:ascii="宋体" w:hAnsi="宋体" w:eastAsia="宋体"/>
          <w:bCs/>
          <w:color w:val="000000" w:themeColor="text1"/>
          <w:sz w:val="28"/>
          <w:szCs w:val="24"/>
          <w14:textFill>
            <w14:solidFill>
              <w14:schemeClr w14:val="tx1"/>
            </w14:solidFill>
          </w14:textFill>
        </w:rPr>
        <w:t>公顷。</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b w:val="0"/>
          <w:bCs/>
          <w:lang w:val="en-US" w:eastAsia="zh-CN"/>
        </w:rPr>
      </w:pPr>
      <w:r>
        <w:rPr>
          <w:rFonts w:hint="eastAsia"/>
          <w:b w:val="0"/>
          <w:bCs/>
          <w:lang w:val="en-US" w:eastAsia="zh-CN"/>
        </w:rPr>
        <w:t>六、产业体系</w:t>
      </w:r>
    </w:p>
    <w:p>
      <w:pPr>
        <w:pStyle w:val="12"/>
        <w:keepNext w:val="0"/>
        <w:keepLines w:val="0"/>
        <w:pageBreakBefore w:val="0"/>
        <w:widowControl w:val="0"/>
        <w:numPr>
          <w:numId w:val="0"/>
        </w:numPr>
        <w:kinsoku/>
        <w:wordWrap/>
        <w:overflowPunct/>
        <w:topLinePunct w:val="0"/>
        <w:autoSpaceDE/>
        <w:autoSpaceDN/>
        <w:bidi w:val="0"/>
        <w:adjustRightInd/>
        <w:snapToGrid/>
        <w:spacing w:line="560" w:lineRule="exact"/>
        <w:ind w:left="0" w:leftChars="0" w:firstLine="560" w:firstLineChars="200"/>
        <w:textAlignment w:val="auto"/>
        <w:rPr>
          <w:rFonts w:hint="eastAsia" w:ascii="宋体" w:hAnsi="宋体" w:eastAsia="宋体"/>
          <w:bCs/>
          <w:color w:val="000000" w:themeColor="text1"/>
          <w:sz w:val="28"/>
          <w:szCs w:val="24"/>
          <w14:textFill>
            <w14:solidFill>
              <w14:schemeClr w14:val="tx1"/>
            </w14:solidFill>
          </w14:textFill>
        </w:rPr>
      </w:pPr>
      <w:r>
        <w:rPr>
          <w:rFonts w:hint="eastAsia" w:ascii="宋体" w:hAnsi="宋体" w:eastAsia="宋体"/>
          <w:bCs/>
          <w:color w:val="000000" w:themeColor="text1"/>
          <w:sz w:val="28"/>
          <w:szCs w:val="24"/>
          <w14:textFill>
            <w14:solidFill>
              <w14:schemeClr w14:val="tx1"/>
            </w14:solidFill>
          </w14:textFill>
        </w:rPr>
        <w:t>规划构建“3+3+1”产业体系。重点发展化工、冶金和新材料 3 大主导产业，积极发展新能源、装备制造、节能环保 3 个战略性新兴产业，配套发展 1 个以现代物流为核心的服务产业</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b w:val="0"/>
          <w:bCs/>
          <w:lang w:val="en-US" w:eastAsia="zh-CN"/>
        </w:rPr>
      </w:pPr>
      <w:r>
        <w:rPr>
          <w:rFonts w:hint="eastAsia"/>
          <w:b w:val="0"/>
          <w:bCs/>
          <w:lang w:val="en-US" w:eastAsia="zh-CN"/>
        </w:rPr>
        <w:t>七、空间布局</w:t>
      </w:r>
    </w:p>
    <w:p>
      <w:pPr>
        <w:pStyle w:val="12"/>
        <w:keepNext w:val="0"/>
        <w:keepLines w:val="0"/>
        <w:pageBreakBefore w:val="0"/>
        <w:widowControl w:val="0"/>
        <w:numPr>
          <w:numId w:val="0"/>
        </w:numPr>
        <w:kinsoku/>
        <w:wordWrap/>
        <w:overflowPunct/>
        <w:topLinePunct w:val="0"/>
        <w:autoSpaceDE/>
        <w:autoSpaceDN/>
        <w:bidi w:val="0"/>
        <w:adjustRightInd/>
        <w:snapToGrid/>
        <w:spacing w:line="560" w:lineRule="exact"/>
        <w:ind w:left="0" w:leftChars="0" w:firstLine="560" w:firstLineChars="200"/>
        <w:textAlignment w:val="auto"/>
        <w:rPr>
          <w:rFonts w:hint="eastAsia" w:ascii="宋体" w:hAnsi="宋体" w:eastAsia="宋体"/>
          <w:bCs/>
          <w:color w:val="000000" w:themeColor="text1"/>
          <w:sz w:val="28"/>
          <w:szCs w:val="24"/>
          <w14:textFill>
            <w14:solidFill>
              <w14:schemeClr w14:val="tx1"/>
            </w14:solidFill>
          </w14:textFill>
        </w:rPr>
      </w:pPr>
      <w:r>
        <w:rPr>
          <w:rFonts w:hint="eastAsia" w:ascii="宋体" w:hAnsi="宋体" w:eastAsia="宋体"/>
          <w:bCs/>
          <w:color w:val="000000" w:themeColor="text1"/>
          <w:sz w:val="28"/>
          <w:szCs w:val="24"/>
          <w14:textFill>
            <w14:solidFill>
              <w14:schemeClr w14:val="tx1"/>
            </w14:solidFill>
          </w14:textFill>
        </w:rPr>
        <w:t>空间结构：“一核、一园、五板块”</w:t>
      </w:r>
    </w:p>
    <w:p>
      <w:pPr>
        <w:pStyle w:val="12"/>
        <w:keepNext w:val="0"/>
        <w:keepLines w:val="0"/>
        <w:pageBreakBefore w:val="0"/>
        <w:widowControl w:val="0"/>
        <w:numPr>
          <w:numId w:val="0"/>
        </w:numPr>
        <w:kinsoku/>
        <w:wordWrap/>
        <w:overflowPunct/>
        <w:topLinePunct w:val="0"/>
        <w:autoSpaceDE/>
        <w:autoSpaceDN/>
        <w:bidi w:val="0"/>
        <w:adjustRightInd/>
        <w:snapToGrid/>
        <w:spacing w:line="560" w:lineRule="exact"/>
        <w:ind w:left="0" w:leftChars="0" w:firstLine="560" w:firstLineChars="200"/>
        <w:textAlignment w:val="auto"/>
        <w:rPr>
          <w:rFonts w:hint="eastAsia" w:ascii="宋体" w:hAnsi="宋体" w:eastAsia="宋体"/>
          <w:bCs/>
          <w:color w:val="000000" w:themeColor="text1"/>
          <w:sz w:val="28"/>
          <w:szCs w:val="24"/>
          <w14:textFill>
            <w14:solidFill>
              <w14:schemeClr w14:val="tx1"/>
            </w14:solidFill>
          </w14:textFill>
        </w:rPr>
      </w:pPr>
      <w:r>
        <w:rPr>
          <w:rFonts w:hint="eastAsia" w:ascii="宋体" w:hAnsi="宋体" w:eastAsia="宋体"/>
          <w:bCs/>
          <w:color w:val="000000" w:themeColor="text1"/>
          <w:sz w:val="28"/>
          <w:szCs w:val="24"/>
          <w14:textFill>
            <w14:solidFill>
              <w14:schemeClr w14:val="tx1"/>
            </w14:solidFill>
          </w14:textFill>
        </w:rPr>
        <w:t>（1）“一核”：中蒙科技创新核心。</w:t>
      </w:r>
    </w:p>
    <w:p>
      <w:pPr>
        <w:pStyle w:val="12"/>
        <w:keepNext w:val="0"/>
        <w:keepLines w:val="0"/>
        <w:pageBreakBefore w:val="0"/>
        <w:widowControl w:val="0"/>
        <w:numPr>
          <w:numId w:val="0"/>
        </w:numPr>
        <w:kinsoku/>
        <w:wordWrap/>
        <w:overflowPunct/>
        <w:topLinePunct w:val="0"/>
        <w:autoSpaceDE/>
        <w:autoSpaceDN/>
        <w:bidi w:val="0"/>
        <w:adjustRightInd/>
        <w:snapToGrid/>
        <w:spacing w:line="560" w:lineRule="exact"/>
        <w:ind w:left="0" w:leftChars="0" w:firstLine="560" w:firstLineChars="200"/>
        <w:textAlignment w:val="auto"/>
        <w:rPr>
          <w:rFonts w:hint="eastAsia" w:ascii="宋体" w:hAnsi="宋体" w:eastAsia="宋体"/>
          <w:bCs/>
          <w:color w:val="000000" w:themeColor="text1"/>
          <w:sz w:val="28"/>
          <w:szCs w:val="24"/>
          <w14:textFill>
            <w14:solidFill>
              <w14:schemeClr w14:val="tx1"/>
            </w14:solidFill>
          </w14:textFill>
        </w:rPr>
      </w:pPr>
      <w:r>
        <w:rPr>
          <w:rFonts w:hint="eastAsia" w:ascii="宋体" w:hAnsi="宋体" w:eastAsia="宋体"/>
          <w:bCs/>
          <w:color w:val="000000" w:themeColor="text1"/>
          <w:sz w:val="28"/>
          <w:szCs w:val="24"/>
          <w14:textFill>
            <w14:solidFill>
              <w14:schemeClr w14:val="tx1"/>
            </w14:solidFill>
          </w14:textFill>
        </w:rPr>
        <w:t>（2）“一园”：多式联运物流园。</w:t>
      </w:r>
    </w:p>
    <w:p>
      <w:pPr>
        <w:pStyle w:val="12"/>
        <w:keepNext w:val="0"/>
        <w:keepLines w:val="0"/>
        <w:pageBreakBefore w:val="0"/>
        <w:widowControl w:val="0"/>
        <w:numPr>
          <w:numId w:val="0"/>
        </w:numPr>
        <w:kinsoku/>
        <w:wordWrap/>
        <w:overflowPunct/>
        <w:topLinePunct w:val="0"/>
        <w:autoSpaceDE/>
        <w:autoSpaceDN/>
        <w:bidi w:val="0"/>
        <w:adjustRightInd/>
        <w:snapToGrid/>
        <w:spacing w:line="560" w:lineRule="exact"/>
        <w:ind w:left="0" w:leftChars="0" w:firstLine="560" w:firstLineChars="200"/>
        <w:textAlignment w:val="auto"/>
        <w:rPr>
          <w:rFonts w:hint="eastAsia" w:ascii="宋体" w:hAnsi="宋体" w:eastAsia="宋体"/>
          <w:bCs/>
          <w:color w:val="000000" w:themeColor="text1"/>
          <w:sz w:val="28"/>
          <w:szCs w:val="24"/>
          <w14:textFill>
            <w14:solidFill>
              <w14:schemeClr w14:val="tx1"/>
            </w14:solidFill>
          </w14:textFill>
        </w:rPr>
      </w:pPr>
      <w:r>
        <w:rPr>
          <w:rFonts w:hint="eastAsia" w:ascii="宋体" w:hAnsi="宋体" w:eastAsia="宋体"/>
          <w:bCs/>
          <w:color w:val="000000" w:themeColor="text1"/>
          <w:sz w:val="28"/>
          <w:szCs w:val="24"/>
          <w14:textFill>
            <w14:solidFill>
              <w14:schemeClr w14:val="tx1"/>
            </w14:solidFill>
          </w14:textFill>
        </w:rPr>
        <w:t>（3）“五板块”：新型化工产业板块、高端金属材料产业板块、新能源新材料产业板块、节能环保产业板块和装备制造产业板块。</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b w:val="0"/>
          <w:bCs/>
          <w:lang w:val="en-US" w:eastAsia="zh-CN"/>
        </w:rPr>
      </w:pPr>
      <w:r>
        <w:rPr>
          <w:rFonts w:hint="eastAsia"/>
          <w:b w:val="0"/>
          <w:bCs/>
          <w:lang w:val="en-US" w:eastAsia="zh-CN"/>
        </w:rPr>
        <w:t>八、化工集中区</w:t>
      </w:r>
    </w:p>
    <w:p>
      <w:pPr>
        <w:pStyle w:val="12"/>
        <w:keepNext w:val="0"/>
        <w:keepLines w:val="0"/>
        <w:pageBreakBefore w:val="0"/>
        <w:widowControl w:val="0"/>
        <w:numPr>
          <w:numId w:val="0"/>
        </w:numPr>
        <w:kinsoku/>
        <w:wordWrap/>
        <w:overflowPunct/>
        <w:topLinePunct w:val="0"/>
        <w:autoSpaceDE/>
        <w:autoSpaceDN/>
        <w:bidi w:val="0"/>
        <w:adjustRightInd/>
        <w:snapToGrid/>
        <w:spacing w:line="560" w:lineRule="exact"/>
        <w:ind w:left="0" w:leftChars="0" w:firstLine="560" w:firstLineChars="200"/>
        <w:textAlignment w:val="auto"/>
        <w:rPr>
          <w:rFonts w:hint="eastAsia" w:ascii="宋体" w:hAnsi="宋体" w:eastAsia="宋体"/>
          <w:bCs/>
          <w:color w:val="000000" w:themeColor="text1"/>
          <w:sz w:val="28"/>
          <w:szCs w:val="24"/>
          <w14:textFill>
            <w14:solidFill>
              <w14:schemeClr w14:val="tx1"/>
            </w14:solidFill>
          </w14:textFill>
        </w:rPr>
      </w:pPr>
      <w:r>
        <w:rPr>
          <w:rFonts w:hint="eastAsia" w:ascii="宋体" w:hAnsi="宋体" w:eastAsia="宋体"/>
          <w:bCs/>
          <w:color w:val="000000" w:themeColor="text1"/>
          <w:sz w:val="28"/>
          <w:szCs w:val="24"/>
          <w14:textFill>
            <w14:solidFill>
              <w14:schemeClr w14:val="tx1"/>
            </w14:solidFill>
          </w14:textFill>
        </w:rPr>
        <w:t>化工集中区四至范围：东至园区经八路，南至 S215 线，西至经二路，北至运煤专线和神华甘泉铁路，规划用地规模约为 6.13 平方公里。</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b w:val="0"/>
          <w:bCs/>
          <w:lang w:val="en-US" w:eastAsia="zh-CN"/>
        </w:rPr>
      </w:pPr>
      <w:r>
        <w:rPr>
          <w:rFonts w:hint="eastAsia"/>
          <w:b w:val="0"/>
          <w:bCs/>
          <w:lang w:val="en-US" w:eastAsia="zh-CN"/>
        </w:rPr>
        <w:t>九、路网结构</w:t>
      </w:r>
    </w:p>
    <w:p>
      <w:pPr>
        <w:pStyle w:val="12"/>
        <w:keepNext w:val="0"/>
        <w:keepLines w:val="0"/>
        <w:pageBreakBefore w:val="0"/>
        <w:widowControl w:val="0"/>
        <w:numPr>
          <w:numId w:val="0"/>
        </w:numPr>
        <w:kinsoku/>
        <w:wordWrap/>
        <w:overflowPunct/>
        <w:topLinePunct w:val="0"/>
        <w:autoSpaceDE/>
        <w:autoSpaceDN/>
        <w:bidi w:val="0"/>
        <w:adjustRightInd/>
        <w:snapToGrid/>
        <w:spacing w:line="560" w:lineRule="exact"/>
        <w:ind w:left="0" w:leftChars="0" w:firstLine="560" w:firstLineChars="200"/>
        <w:textAlignment w:val="auto"/>
        <w:rPr>
          <w:rFonts w:hint="eastAsia" w:ascii="宋体" w:hAnsi="宋体" w:eastAsia="宋体"/>
          <w:bCs/>
          <w:color w:val="000000" w:themeColor="text1"/>
          <w:sz w:val="28"/>
          <w:szCs w:val="24"/>
          <w14:textFill>
            <w14:solidFill>
              <w14:schemeClr w14:val="tx1"/>
            </w14:solidFill>
          </w14:textFill>
        </w:rPr>
      </w:pPr>
      <w:r>
        <w:rPr>
          <w:rFonts w:hint="eastAsia" w:ascii="宋体" w:hAnsi="宋体" w:eastAsia="宋体"/>
          <w:bCs/>
          <w:color w:val="000000" w:themeColor="text1"/>
          <w:sz w:val="28"/>
          <w:szCs w:val="24"/>
          <w14:textFill>
            <w14:solidFill>
              <w14:schemeClr w14:val="tx1"/>
            </w14:solidFill>
          </w14:textFill>
        </w:rPr>
        <w:t>主干路网骨架呈“五横八纵”，北环路、港纬三路、中轴路、创新一路和纬四路；八纵主要指：合作一路、合作三路、合作五路、经增路、经四路、经八路、港经一路和港经五路。主干路道路红线为 38-60 米。</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firstLine="640" w:firstLineChars="200"/>
        <w:textAlignment w:val="auto"/>
        <w:rPr>
          <w:rFonts w:hint="eastAsia"/>
          <w:b w:val="0"/>
          <w:bCs/>
          <w:lang w:val="en-US" w:eastAsia="zh-CN"/>
        </w:rPr>
      </w:pPr>
      <w:r>
        <w:rPr>
          <w:rFonts w:hint="eastAsia"/>
          <w:b w:val="0"/>
          <w:bCs/>
          <w:lang w:val="en-US" w:eastAsia="zh-CN"/>
        </w:rPr>
        <w:t>十、近期建设</w:t>
      </w:r>
    </w:p>
    <w:p>
      <w:pPr>
        <w:ind w:firstLine="560" w:firstLineChars="200"/>
        <w:jc w:val="left"/>
        <w:rPr>
          <w:rFonts w:hint="eastAsia" w:ascii="宋体" w:hAnsi="宋体" w:eastAsia="宋体"/>
          <w:bCs/>
          <w:color w:val="000000" w:themeColor="text1"/>
          <w:sz w:val="28"/>
          <w:szCs w:val="24"/>
          <w:lang w:eastAsia="zh-CN"/>
          <w14:textFill>
            <w14:solidFill>
              <w14:schemeClr w14:val="tx1"/>
            </w14:solidFill>
          </w14:textFill>
        </w:rPr>
      </w:pPr>
      <w:r>
        <w:rPr>
          <w:rFonts w:hint="eastAsia" w:ascii="宋体" w:hAnsi="宋体" w:eastAsia="宋体"/>
          <w:bCs/>
          <w:color w:val="000000" w:themeColor="text1"/>
          <w:sz w:val="28"/>
          <w:szCs w:val="24"/>
          <w14:textFill>
            <w14:solidFill>
              <w14:schemeClr w14:val="tx1"/>
            </w14:solidFill>
          </w14:textFill>
        </w:rPr>
        <w:t>规划近期（</w:t>
      </w:r>
      <w:r>
        <w:rPr>
          <w:rFonts w:ascii="宋体" w:hAnsi="宋体" w:eastAsia="宋体"/>
          <w:bCs/>
          <w:color w:val="000000" w:themeColor="text1"/>
          <w:sz w:val="28"/>
          <w:szCs w:val="24"/>
          <w14:textFill>
            <w14:solidFill>
              <w14:schemeClr w14:val="tx1"/>
            </w14:solidFill>
          </w14:textFill>
        </w:rPr>
        <w:t>2025 年）</w:t>
      </w:r>
      <w:r>
        <w:rPr>
          <w:rFonts w:hint="eastAsia" w:ascii="宋体" w:hAnsi="宋体" w:eastAsia="宋体"/>
          <w:bCs/>
          <w:color w:val="000000" w:themeColor="text1"/>
          <w:sz w:val="28"/>
          <w:szCs w:val="24"/>
          <w:lang w:val="en-US" w:eastAsia="zh-CN"/>
          <w14:textFill>
            <w14:solidFill>
              <w14:schemeClr w14:val="tx1"/>
            </w14:solidFill>
          </w14:textFill>
        </w:rPr>
        <w:t>甘其毛都口岸加工园区</w:t>
      </w:r>
      <w:r>
        <w:rPr>
          <w:rFonts w:ascii="宋体" w:hAnsi="宋体" w:eastAsia="宋体"/>
          <w:bCs/>
          <w:color w:val="000000" w:themeColor="text1"/>
          <w:sz w:val="28"/>
          <w:szCs w:val="24"/>
          <w14:textFill>
            <w14:solidFill>
              <w14:schemeClr w14:val="tx1"/>
            </w14:solidFill>
          </w14:textFill>
        </w:rPr>
        <w:t xml:space="preserve">人口总规模为 </w:t>
      </w:r>
      <w:r>
        <w:rPr>
          <w:rFonts w:hint="eastAsia" w:ascii="宋体" w:hAnsi="宋体" w:eastAsia="宋体"/>
          <w:bCs/>
          <w:color w:val="000000" w:themeColor="text1"/>
          <w:sz w:val="28"/>
          <w:szCs w:val="24"/>
          <w:lang w:val="en-US" w:eastAsia="zh-CN"/>
          <w14:textFill>
            <w14:solidFill>
              <w14:schemeClr w14:val="tx1"/>
            </w14:solidFill>
          </w14:textFill>
        </w:rPr>
        <w:t>1</w:t>
      </w:r>
      <w:r>
        <w:rPr>
          <w:rFonts w:ascii="宋体" w:hAnsi="宋体" w:eastAsia="宋体"/>
          <w:bCs/>
          <w:color w:val="000000" w:themeColor="text1"/>
          <w:sz w:val="28"/>
          <w:szCs w:val="24"/>
          <w14:textFill>
            <w14:solidFill>
              <w14:schemeClr w14:val="tx1"/>
            </w14:solidFill>
          </w14:textFill>
        </w:rPr>
        <w:t>万人。</w:t>
      </w:r>
      <w:r>
        <w:rPr>
          <w:rFonts w:hint="eastAsia" w:ascii="宋体" w:hAnsi="宋体" w:eastAsia="宋体"/>
          <w:bCs/>
          <w:color w:val="000000" w:themeColor="text1"/>
          <w:sz w:val="28"/>
          <w:szCs w:val="24"/>
          <w14:textFill>
            <w14:solidFill>
              <w14:schemeClr w14:val="tx1"/>
            </w14:solidFill>
          </w14:textFill>
        </w:rPr>
        <w:t>近期规划面积</w:t>
      </w:r>
      <w:r>
        <w:rPr>
          <w:rFonts w:ascii="宋体" w:hAnsi="宋体" w:eastAsia="宋体"/>
          <w:bCs/>
          <w:color w:val="000000" w:themeColor="text1"/>
          <w:sz w:val="28"/>
          <w:szCs w:val="24"/>
          <w14:textFill>
            <w14:solidFill>
              <w14:schemeClr w14:val="tx1"/>
            </w14:solidFill>
          </w14:textFill>
        </w:rPr>
        <w:t xml:space="preserve"> </w:t>
      </w:r>
      <w:r>
        <w:rPr>
          <w:rFonts w:hint="eastAsia" w:ascii="宋体" w:hAnsi="宋体" w:eastAsia="宋体"/>
          <w:bCs/>
          <w:color w:val="000000" w:themeColor="text1"/>
          <w:sz w:val="28"/>
          <w:szCs w:val="24"/>
          <w:lang w:val="en-US" w:eastAsia="zh-CN"/>
          <w14:textFill>
            <w14:solidFill>
              <w14:schemeClr w14:val="tx1"/>
            </w14:solidFill>
          </w14:textFill>
        </w:rPr>
        <w:t>1144.21</w:t>
      </w:r>
      <w:r>
        <w:rPr>
          <w:rFonts w:ascii="宋体" w:hAnsi="宋体" w:eastAsia="宋体"/>
          <w:bCs/>
          <w:color w:val="000000" w:themeColor="text1"/>
          <w:sz w:val="28"/>
          <w:szCs w:val="24"/>
          <w14:textFill>
            <w14:solidFill>
              <w14:schemeClr w14:val="tx1"/>
            </w14:solidFill>
          </w14:textFill>
        </w:rPr>
        <w:t xml:space="preserve"> 公顷，全部为</w:t>
      </w:r>
      <w:r>
        <w:rPr>
          <w:rFonts w:hint="eastAsia" w:ascii="宋体" w:hAnsi="宋体" w:eastAsia="宋体"/>
          <w:bCs/>
          <w:color w:val="000000" w:themeColor="text1"/>
          <w:sz w:val="28"/>
          <w:szCs w:val="24"/>
          <w14:textFill>
            <w14:solidFill>
              <w14:schemeClr w14:val="tx1"/>
            </w14:solidFill>
          </w14:textFill>
        </w:rPr>
        <w:t>建设用地</w:t>
      </w:r>
      <w:bookmarkStart w:id="0" w:name="_GoBack"/>
      <w:bookmarkEnd w:id="0"/>
      <w:r>
        <w:rPr>
          <w:rFonts w:hint="eastAsia" w:ascii="宋体" w:hAnsi="宋体" w:eastAsia="宋体"/>
          <w:bCs/>
          <w:color w:val="000000" w:themeColor="text1"/>
          <w:sz w:val="28"/>
          <w:szCs w:val="24"/>
          <w14:textFill>
            <w14:solidFill>
              <w14:schemeClr w14:val="tx1"/>
            </w14:solidFill>
          </w14:textFill>
        </w:rPr>
        <w:t>。</w:t>
      </w:r>
      <w:r>
        <w:rPr>
          <w:rFonts w:hint="eastAsia" w:ascii="宋体" w:hAnsi="宋体" w:eastAsia="宋体"/>
          <w:bCs/>
          <w:color w:val="000000" w:themeColor="text1"/>
          <w:sz w:val="28"/>
          <w:szCs w:val="24"/>
          <w:lang w:eastAsia="zh-CN"/>
          <w14:textFill>
            <w14:solidFill>
              <w14:schemeClr w14:val="tx1"/>
            </w14:solidFill>
          </w14:textFill>
        </w:rPr>
        <w:drawing>
          <wp:inline distT="0" distB="0" distL="114300" distR="114300">
            <wp:extent cx="5265420" cy="3724275"/>
            <wp:effectExtent l="0" t="0" r="11430" b="9525"/>
            <wp:docPr id="2" name="图片 2" descr="222222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22222722"/>
                    <pic:cNvPicPr>
                      <a:picLocks noChangeAspect="1"/>
                    </pic:cNvPicPr>
                  </pic:nvPicPr>
                  <pic:blipFill>
                    <a:blip r:embed="rId4"/>
                    <a:stretch>
                      <a:fillRect/>
                    </a:stretch>
                  </pic:blipFill>
                  <pic:spPr>
                    <a:xfrm>
                      <a:off x="0" y="0"/>
                      <a:ext cx="5265420" cy="3724275"/>
                    </a:xfrm>
                    <a:prstGeom prst="rect">
                      <a:avLst/>
                    </a:prstGeom>
                  </pic:spPr>
                </pic:pic>
              </a:graphicData>
            </a:graphic>
          </wp:inline>
        </w:drawing>
      </w:r>
    </w:p>
    <w:p>
      <w:pPr>
        <w:pStyle w:val="7"/>
        <w:spacing w:line="360" w:lineRule="auto"/>
        <w:jc w:val="left"/>
        <w:rPr>
          <w:rFonts w:ascii="宋体" w:hAnsi="宋体"/>
          <w:color w:val="000000" w:themeColor="text1"/>
          <w:sz w:val="24"/>
          <w14:textFill>
            <w14:solidFill>
              <w14:schemeClr w14:val="tx1"/>
            </w14:solidFill>
          </w14:textFill>
        </w:rPr>
      </w:pPr>
    </w:p>
    <w:p>
      <w:pPr>
        <w:pStyle w:val="7"/>
        <w:spacing w:line="360" w:lineRule="auto"/>
        <w:jc w:val="left"/>
        <w:rPr>
          <w:rFonts w:hint="eastAsia" w:ascii="宋体" w:hAnsi="宋体" w:eastAsia="宋体"/>
          <w:color w:val="000000" w:themeColor="text1"/>
          <w:sz w:val="24"/>
          <w:lang w:eastAsia="zh-CN"/>
          <w14:textFill>
            <w14:solidFill>
              <w14:schemeClr w14:val="tx1"/>
            </w14:solidFill>
          </w14:textFill>
        </w:rPr>
      </w:pPr>
      <w:r>
        <w:rPr>
          <w:rFonts w:hint="eastAsia" w:ascii="宋体" w:hAnsi="宋体" w:eastAsia="宋体"/>
          <w:color w:val="000000" w:themeColor="text1"/>
          <w:sz w:val="24"/>
          <w:lang w:eastAsia="zh-CN"/>
          <w14:textFill>
            <w14:solidFill>
              <w14:schemeClr w14:val="tx1"/>
            </w14:solidFill>
          </w14:textFill>
        </w:rPr>
        <w:drawing>
          <wp:inline distT="0" distB="0" distL="114300" distR="114300">
            <wp:extent cx="5265420" cy="3724275"/>
            <wp:effectExtent l="0" t="0" r="11430" b="9525"/>
            <wp:docPr id="4" name="图片 4" descr="3333333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33333333333"/>
                    <pic:cNvPicPr>
                      <a:picLocks noChangeAspect="1"/>
                    </pic:cNvPicPr>
                  </pic:nvPicPr>
                  <pic:blipFill>
                    <a:blip r:embed="rId5"/>
                    <a:stretch>
                      <a:fillRect/>
                    </a:stretch>
                  </pic:blipFill>
                  <pic:spPr>
                    <a:xfrm>
                      <a:off x="0" y="0"/>
                      <a:ext cx="5265420" cy="3724275"/>
                    </a:xfrm>
                    <a:prstGeom prst="rect">
                      <a:avLst/>
                    </a:prstGeom>
                  </pic:spPr>
                </pic:pic>
              </a:graphicData>
            </a:graphic>
          </wp:inline>
        </w:drawing>
      </w:r>
    </w:p>
    <w:p>
      <w:pPr>
        <w:pStyle w:val="7"/>
        <w:spacing w:line="360" w:lineRule="auto"/>
        <w:jc w:val="left"/>
        <w:rPr>
          <w:rFonts w:hint="eastAsia" w:ascii="宋体" w:hAnsi="宋体" w:eastAsia="宋体"/>
          <w:color w:val="000000" w:themeColor="text1"/>
          <w:sz w:val="24"/>
          <w:lang w:eastAsia="zh-CN"/>
          <w14:textFill>
            <w14:solidFill>
              <w14:schemeClr w14:val="tx1"/>
            </w14:solidFill>
          </w14:textFill>
        </w:rPr>
      </w:pPr>
      <w:r>
        <w:rPr>
          <w:rFonts w:hint="eastAsia" w:ascii="宋体" w:hAnsi="宋体" w:eastAsia="宋体"/>
          <w:color w:val="000000" w:themeColor="text1"/>
          <w:sz w:val="24"/>
          <w:lang w:eastAsia="zh-CN"/>
          <w14:textFill>
            <w14:solidFill>
              <w14:schemeClr w14:val="tx1"/>
            </w14:solidFill>
          </w14:textFill>
        </w:rPr>
        <w:drawing>
          <wp:inline distT="0" distB="0" distL="114300" distR="114300">
            <wp:extent cx="5217795" cy="3691255"/>
            <wp:effectExtent l="0" t="0" r="1905" b="4445"/>
            <wp:docPr id="3" name="图片 3" descr="4444444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44444444444"/>
                    <pic:cNvPicPr>
                      <a:picLocks noChangeAspect="1"/>
                    </pic:cNvPicPr>
                  </pic:nvPicPr>
                  <pic:blipFill>
                    <a:blip r:embed="rId6"/>
                    <a:stretch>
                      <a:fillRect/>
                    </a:stretch>
                  </pic:blipFill>
                  <pic:spPr>
                    <a:xfrm>
                      <a:off x="0" y="0"/>
                      <a:ext cx="5217795" cy="3691255"/>
                    </a:xfrm>
                    <a:prstGeom prst="rect">
                      <a:avLst/>
                    </a:prstGeom>
                  </pic:spPr>
                </pic:pic>
              </a:graphicData>
            </a:graphic>
          </wp:inline>
        </w:drawing>
      </w:r>
    </w:p>
    <w:p>
      <w:pPr>
        <w:rPr>
          <w:rFonts w:hint="eastAsia" w:eastAsiaTheme="minorEastAsia"/>
          <w:lang w:eastAsia="zh-CN"/>
        </w:rPr>
      </w:pPr>
      <w:r>
        <w:rPr>
          <w:rFonts w:hint="eastAsia" w:eastAsiaTheme="minorEastAsia"/>
          <w:lang w:eastAsia="zh-CN"/>
        </w:rPr>
        <w:drawing>
          <wp:inline distT="0" distB="0" distL="114300" distR="114300">
            <wp:extent cx="5217160" cy="3689985"/>
            <wp:effectExtent l="0" t="0" r="2540" b="5715"/>
            <wp:docPr id="5" name="图片 5" descr="666666666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666666666666"/>
                    <pic:cNvPicPr>
                      <a:picLocks noChangeAspect="1"/>
                    </pic:cNvPicPr>
                  </pic:nvPicPr>
                  <pic:blipFill>
                    <a:blip r:embed="rId7"/>
                    <a:stretch>
                      <a:fillRect/>
                    </a:stretch>
                  </pic:blipFill>
                  <pic:spPr>
                    <a:xfrm>
                      <a:off x="0" y="0"/>
                      <a:ext cx="5217160" cy="3689985"/>
                    </a:xfrm>
                    <a:prstGeom prst="rect">
                      <a:avLst/>
                    </a:prstGeom>
                  </pic:spPr>
                </pic:pic>
              </a:graphicData>
            </a:graphic>
          </wp:inline>
        </w:drawing>
      </w:r>
    </w:p>
    <w:p/>
    <w:p/>
    <w:p/>
    <w:p/>
    <w:p/>
    <w:p>
      <w:pPr>
        <w:rPr>
          <w:rFonts w:hint="eastAsia" w:eastAsiaTheme="minorEastAsia"/>
          <w:lang w:eastAsia="zh-CN"/>
        </w:rPr>
      </w:pPr>
      <w:r>
        <w:rPr>
          <w:rFonts w:hint="eastAsia" w:eastAsiaTheme="minorEastAsia"/>
          <w:lang w:eastAsia="zh-CN"/>
        </w:rPr>
        <w:drawing>
          <wp:inline distT="0" distB="0" distL="114300" distR="114300">
            <wp:extent cx="5217160" cy="3689985"/>
            <wp:effectExtent l="0" t="0" r="2540" b="5715"/>
            <wp:docPr id="6" name="图片 6" descr="777777777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7777777777777"/>
                    <pic:cNvPicPr>
                      <a:picLocks noChangeAspect="1"/>
                    </pic:cNvPicPr>
                  </pic:nvPicPr>
                  <pic:blipFill>
                    <a:blip r:embed="rId8"/>
                    <a:stretch>
                      <a:fillRect/>
                    </a:stretch>
                  </pic:blipFill>
                  <pic:spPr>
                    <a:xfrm>
                      <a:off x="0" y="0"/>
                      <a:ext cx="5217160" cy="3689985"/>
                    </a:xfrm>
                    <a:prstGeom prst="rect">
                      <a:avLst/>
                    </a:prstGeom>
                  </pic:spPr>
                </pic:pic>
              </a:graphicData>
            </a:graphic>
          </wp:inline>
        </w:drawing>
      </w:r>
    </w:p>
    <w:p/>
    <w:p/>
    <w:p>
      <w:pPr>
        <w:rPr>
          <w:rFonts w:hint="eastAsia" w:eastAsiaTheme="minorEastAsia"/>
          <w:lang w:eastAsia="zh-CN"/>
        </w:rPr>
      </w:pPr>
      <w:r>
        <w:rPr>
          <w:rFonts w:hint="eastAsia" w:eastAsiaTheme="minorEastAsia"/>
          <w:lang w:eastAsia="zh-CN"/>
        </w:rPr>
        <w:drawing>
          <wp:inline distT="0" distB="0" distL="114300" distR="114300">
            <wp:extent cx="5265420" cy="3724275"/>
            <wp:effectExtent l="0" t="0" r="11430" b="9525"/>
            <wp:docPr id="7" name="图片 7" descr="8888888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88888888888"/>
                    <pic:cNvPicPr>
                      <a:picLocks noChangeAspect="1"/>
                    </pic:cNvPicPr>
                  </pic:nvPicPr>
                  <pic:blipFill>
                    <a:blip r:embed="rId9"/>
                    <a:stretch>
                      <a:fillRect/>
                    </a:stretch>
                  </pic:blipFill>
                  <pic:spPr>
                    <a:xfrm>
                      <a:off x="0" y="0"/>
                      <a:ext cx="5265420" cy="3724275"/>
                    </a:xfrm>
                    <a:prstGeom prst="rect">
                      <a:avLst/>
                    </a:prstGeom>
                  </pic:spPr>
                </pic:pic>
              </a:graphicData>
            </a:graphic>
          </wp:inline>
        </w:drawing>
      </w:r>
      <w:r>
        <w:rPr>
          <w:rFonts w:hint="eastAsia" w:eastAsiaTheme="minorEastAsia"/>
          <w:lang w:eastAsia="zh-CN"/>
        </w:rPr>
        <w:drawing>
          <wp:inline distT="0" distB="0" distL="114300" distR="114300">
            <wp:extent cx="5265420" cy="3724275"/>
            <wp:effectExtent l="0" t="0" r="11430" b="9525"/>
            <wp:docPr id="8" name="图片 8" descr="9999999999999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9999999999999999"/>
                    <pic:cNvPicPr>
                      <a:picLocks noChangeAspect="1"/>
                    </pic:cNvPicPr>
                  </pic:nvPicPr>
                  <pic:blipFill>
                    <a:blip r:embed="rId10"/>
                    <a:stretch>
                      <a:fillRect/>
                    </a:stretch>
                  </pic:blipFill>
                  <pic:spPr>
                    <a:xfrm>
                      <a:off x="0" y="0"/>
                      <a:ext cx="5265420" cy="3724275"/>
                    </a:xfrm>
                    <a:prstGeom prst="rect">
                      <a:avLst/>
                    </a:prstGeom>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等线 Light">
    <w:panose1 w:val="02010600030101010101"/>
    <w:charset w:val="86"/>
    <w:family w:val="auto"/>
    <w:pitch w:val="default"/>
    <w:sig w:usb0="A00002BF" w:usb1="38CF7CFA" w:usb2="00000016" w:usb3="00000000" w:csb0="0004000F" w:csb1="00000000"/>
  </w:font>
  <w:font w:name="仿宋_GB2312">
    <w:panose1 w:val="02010609030101010101"/>
    <w:charset w:val="86"/>
    <w:family w:val="auto"/>
    <w:pitch w:val="default"/>
    <w:sig w:usb0="00000001" w:usb1="080E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2E0N2UzOGRiY2RkZmQyMGUyNjU0ZmI1NWE4ODEwZjQifQ=="/>
  </w:docVars>
  <w:rsids>
    <w:rsidRoot w:val="001E12CC"/>
    <w:rsid w:val="00075767"/>
    <w:rsid w:val="00104525"/>
    <w:rsid w:val="001B5C31"/>
    <w:rsid w:val="001E12CC"/>
    <w:rsid w:val="00293A16"/>
    <w:rsid w:val="002F2FFE"/>
    <w:rsid w:val="00352305"/>
    <w:rsid w:val="00454EAA"/>
    <w:rsid w:val="00473F4C"/>
    <w:rsid w:val="00553EA4"/>
    <w:rsid w:val="005A286C"/>
    <w:rsid w:val="005F5067"/>
    <w:rsid w:val="005F6603"/>
    <w:rsid w:val="00685BAE"/>
    <w:rsid w:val="007B1474"/>
    <w:rsid w:val="007B4468"/>
    <w:rsid w:val="007D618F"/>
    <w:rsid w:val="00802714"/>
    <w:rsid w:val="00811CCD"/>
    <w:rsid w:val="008A2B31"/>
    <w:rsid w:val="008B6F7B"/>
    <w:rsid w:val="0093386C"/>
    <w:rsid w:val="009968CF"/>
    <w:rsid w:val="009C7FF6"/>
    <w:rsid w:val="00A022DE"/>
    <w:rsid w:val="00A45DBB"/>
    <w:rsid w:val="00A651D0"/>
    <w:rsid w:val="00A93314"/>
    <w:rsid w:val="00AB2A02"/>
    <w:rsid w:val="00B20E5B"/>
    <w:rsid w:val="00B471C1"/>
    <w:rsid w:val="00BA016C"/>
    <w:rsid w:val="00C42524"/>
    <w:rsid w:val="00C712C7"/>
    <w:rsid w:val="00C839AC"/>
    <w:rsid w:val="00D5287C"/>
    <w:rsid w:val="00DA6531"/>
    <w:rsid w:val="00DD0D3F"/>
    <w:rsid w:val="00E43F00"/>
    <w:rsid w:val="00E61527"/>
    <w:rsid w:val="00F21B5C"/>
    <w:rsid w:val="00F53364"/>
    <w:rsid w:val="00F53469"/>
    <w:rsid w:val="00F661AF"/>
    <w:rsid w:val="00F748E6"/>
    <w:rsid w:val="00FC13CE"/>
    <w:rsid w:val="00FE1B81"/>
    <w:rsid w:val="19D16FE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9"/>
    <w:qFormat/>
    <w:uiPriority w:val="9"/>
    <w:pPr>
      <w:spacing w:line="360" w:lineRule="auto"/>
      <w:ind w:firstLine="482" w:firstLineChars="200"/>
      <w:outlineLvl w:val="0"/>
    </w:pPr>
    <w:rPr>
      <w:rFonts w:ascii="黑体" w:hAnsi="黑体" w:eastAsia="黑体" w:cs="Times New Roman"/>
      <w:b/>
      <w:sz w:val="32"/>
      <w:szCs w:val="24"/>
    </w:rPr>
  </w:style>
  <w:style w:type="character" w:default="1" w:styleId="6">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3">
    <w:name w:val="footer"/>
    <w:basedOn w:val="1"/>
    <w:link w:val="11"/>
    <w:unhideWhenUsed/>
    <w:qFormat/>
    <w:uiPriority w:val="99"/>
    <w:pPr>
      <w:tabs>
        <w:tab w:val="center" w:pos="4153"/>
        <w:tab w:val="right" w:pos="8306"/>
      </w:tabs>
      <w:snapToGrid w:val="0"/>
      <w:jc w:val="left"/>
    </w:pPr>
    <w:rPr>
      <w:sz w:val="18"/>
      <w:szCs w:val="18"/>
    </w:rPr>
  </w:style>
  <w:style w:type="paragraph" w:styleId="4">
    <w:name w:val="header"/>
    <w:basedOn w:val="1"/>
    <w:link w:val="10"/>
    <w:unhideWhenUsed/>
    <w:qFormat/>
    <w:uiPriority w:val="99"/>
    <w:pPr>
      <w:pBdr>
        <w:bottom w:val="single" w:color="auto" w:sz="6" w:space="1"/>
      </w:pBdr>
      <w:tabs>
        <w:tab w:val="center" w:pos="4153"/>
        <w:tab w:val="right" w:pos="8306"/>
      </w:tabs>
      <w:snapToGrid w:val="0"/>
      <w:jc w:val="center"/>
    </w:pPr>
    <w:rPr>
      <w:sz w:val="18"/>
      <w:szCs w:val="18"/>
    </w:rPr>
  </w:style>
  <w:style w:type="paragraph" w:customStyle="1" w:styleId="7">
    <w:name w:val="nilo_正文"/>
    <w:basedOn w:val="1"/>
    <w:link w:val="8"/>
    <w:qFormat/>
    <w:uiPriority w:val="0"/>
    <w:pPr>
      <w:spacing w:line="300" w:lineRule="auto"/>
    </w:pPr>
    <w:rPr>
      <w:rFonts w:ascii="Times New Roman" w:hAnsi="Times New Roman" w:eastAsia="宋体" w:cs="Times New Roman"/>
      <w:szCs w:val="21"/>
    </w:rPr>
  </w:style>
  <w:style w:type="character" w:customStyle="1" w:styleId="8">
    <w:name w:val="nilo_正文 Char"/>
    <w:link w:val="7"/>
    <w:qFormat/>
    <w:uiPriority w:val="0"/>
    <w:rPr>
      <w:rFonts w:ascii="Times New Roman" w:hAnsi="Times New Roman" w:eastAsia="宋体" w:cs="Times New Roman"/>
      <w:szCs w:val="21"/>
    </w:rPr>
  </w:style>
  <w:style w:type="character" w:customStyle="1" w:styleId="9">
    <w:name w:val="标题 1 字符"/>
    <w:basedOn w:val="6"/>
    <w:link w:val="2"/>
    <w:qFormat/>
    <w:uiPriority w:val="99"/>
    <w:rPr>
      <w:rFonts w:ascii="黑体" w:hAnsi="黑体" w:eastAsia="黑体" w:cs="Times New Roman"/>
      <w:b/>
      <w:sz w:val="32"/>
      <w:szCs w:val="24"/>
    </w:rPr>
  </w:style>
  <w:style w:type="character" w:customStyle="1" w:styleId="10">
    <w:name w:val="页眉 字符"/>
    <w:basedOn w:val="6"/>
    <w:link w:val="4"/>
    <w:qFormat/>
    <w:uiPriority w:val="99"/>
    <w:rPr>
      <w:sz w:val="18"/>
      <w:szCs w:val="18"/>
    </w:rPr>
  </w:style>
  <w:style w:type="character" w:customStyle="1" w:styleId="11">
    <w:name w:val="页脚 字符"/>
    <w:basedOn w:val="6"/>
    <w:link w:val="3"/>
    <w:qFormat/>
    <w:uiPriority w:val="99"/>
    <w:rPr>
      <w:sz w:val="18"/>
      <w:szCs w:val="18"/>
    </w:rPr>
  </w:style>
  <w:style w:type="paragraph" w:styleId="12">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7</Pages>
  <Words>768</Words>
  <Characters>852</Characters>
  <Lines>6</Lines>
  <Paragraphs>1</Paragraphs>
  <TotalTime>12</TotalTime>
  <ScaleCrop>false</ScaleCrop>
  <LinksUpToDate>false</LinksUpToDate>
  <CharactersWithSpaces>889</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2018-08-27T09:50:00Z</dcterms:created>
  <dc:creator>郑尚敏</dc:creator>
  <cp:lastModifiedBy>。。。</cp:lastModifiedBy>
  <dcterms:modified xsi:type="dcterms:W3CDTF">2024-06-03T08:46:58Z</dcterms:modified>
  <cp:revision>32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70470010277F47F1A76CA51F6259A814_13</vt:lpwstr>
  </property>
</Properties>
</file>