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乌拉特中旗社会消费品零售总额限上入统、限下监测单位激励扶持机制(试行)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2" w:leftChars="304" w:hanging="964" w:hangingChars="30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（征求意见稿）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为推进我旗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商贸</w:t>
      </w:r>
      <w:r>
        <w:rPr>
          <w:rFonts w:hint="eastAsia" w:eastAsia="仿宋_GB2312" w:cs="Times New Roman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业健康发展，鼓励符合条件的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商户主动申报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社会消费品零售总额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限额入统及纳入扩限库，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充实限额以上批发零售和住宿餐饮企业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（大个体）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统计项目库，全面反映居民消费需求状况和消费走势，特制定本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激励机制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第二条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深入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贯彻落实中央、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委市政府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旗委政府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促进经济稳定增长重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大决策部署，不断增加我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（大个体）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入统数量，切实反映我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县域经济综合实力，为实现县域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经济总量持续稳定增长、促进社会经济持续向好发展提供重要支撑。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循序渐进、分批分步推进、“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统”的原则，全面推进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全旗批发、零售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、餐饮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、住宿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商贸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个体工商户个转企、小升规、规入统工作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第四条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执行上级、政府扶持奖励等优惠政策，优先考虑限额入统、纳入扩限库及限下监测商户。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第二章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奖励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对象及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第五条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凡在我旗境内注册登记，从事商贸服务业批发、零售、餐饮、住宿的企业、个体工商户，达到且符合规定入统标准，申报后经批准入库的，均在奖励范围之内。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第六条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年度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入统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限额标准：批发业年营业额达到人民币2000万元以上，零售业年营业额达到人民币500万元以上，餐饮住宿业年营业额达到人民币200万元以上。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第七条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营业额度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以旗统计局入统系统复核反馈为准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第八条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奖励标准分类如下：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新开业并于年内限上入统企业或大个体，奖励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人民币</w:t>
      </w:r>
      <w:r>
        <w:rPr>
          <w:rFonts w:hint="eastAsia" w:eastAsia="仿宋_GB2312" w:cs="Times New Roman"/>
          <w:i w:val="0"/>
          <w:iC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万元；零售额每增长200万元给予奖励资金2万元。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工贸分离并于年内限上入统企业，奖励</w:t>
      </w:r>
      <w:r>
        <w:rPr>
          <w:rFonts w:hint="eastAsia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万元；对之后连续三年达到限额以上且增速高于全区平均水平的</w:t>
      </w:r>
      <w:r>
        <w:rPr>
          <w:rFonts w:hint="eastAsia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满三年后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再给予</w:t>
      </w:r>
      <w:r>
        <w:rPr>
          <w:rFonts w:hint="eastAsia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万元一次性奖励。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成长型企业或大个体于年内限上入统，奖励人民币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1万元；年度营业额同比增加100万元，给予运营主体1万元奖励。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年内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营业额接近限额标准，并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纳入扩限库企业或个体，奖励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人民币1万元。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已入统并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业绩稳定，且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按时上报报表，积极配合旗商务、统计局开展工作的限上企业或大个体</w:t>
      </w:r>
      <w:r>
        <w:rPr>
          <w:rFonts w:hint="eastAsia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每年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补贴</w:t>
      </w:r>
      <w:r>
        <w:rPr>
          <w:rFonts w:hint="eastAsia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000元/年</w:t>
      </w:r>
      <w:r>
        <w:rPr>
          <w:rFonts w:hint="eastAsia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纳入限下监测样本并积极开展数据报送工作的企业补贴人民币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5000元/年，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个体户补贴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人民币2000元/年。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第三章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统计范围及标准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第九条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社会消费品零售总额分限上与限下两部分，统计范围为：批发、零售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单位（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法人单位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产业活动单位、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个体户）中实现的零售额与住宿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餐饮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单位（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法人单位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产业活动单位、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个体户）实现的餐费收入和商品销售额。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第十条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限上社会消费品零售额数据为全面调查汇总得出，限下社会消费品零售额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统一为上级统计机构下算一级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核算反馈。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第十一条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新注册企业月度申报上限入库标准。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每月</w:t>
      </w:r>
      <w:r>
        <w:rPr>
          <w:rFonts w:hint="eastAsia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3日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为申报截止时间。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申报标准为上年第四季度以后新注册成立的批零住餐法人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单位、产业活动单位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（不包括个体户），申报入库时主营业务收入已达到批发业2000万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、零售业500万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、住宿餐饮业200万元限额标准。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申报所需材料齐全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、规范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，现场核查表须签字盖章无涂改。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第十二条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成长型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法人单位、产业活动单位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及大个体年度申报上限入库标准。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第一批年度入库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时间为当年11月19日前，第二批年度入库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时间为次年1月3日前。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具体以文件通知为准。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年度申报上限入库为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新开业和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成长型批零住餐法人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单位、产业活动单位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与个体户，申报入库时主营业务收入已达到限额标准。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申报所需材料齐全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、规范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，现场核查表须企业签字盖章无涂改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大个体材料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由旗县区统计局审核后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直报市统计局，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逐级审核上报，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不走基本单位名录库申报流程。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第十三条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扩限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法人单位、产业活动单位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及个体户月度申报入库。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每月25</w:t>
      </w:r>
      <w:r>
        <w:rPr>
          <w:rFonts w:hint="eastAsia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前申报扩限入库，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退库时间为每年2月份（仅此一次）。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扩限库为省级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联网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直报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平台，只填写申报表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，逐级审核上报至自治区统计局审核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申报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为新注册或旧的成长型批零住餐法人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单位、产业活动单位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与个体户，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申报标准为年主营业务收入在1500-2000万元的批发业单位、300-500万元的零售业单位、150-200万元的住宿和餐饮业单位。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第十四条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限下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抽样调查单位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轮换。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限下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抽样调查单位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我旗为16户，其中：企业5户，个体户11户。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季度月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5日前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申报轮换样本，原则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每季度轮换户数不超过总户数的5%，超过后轮换必须上报详细说明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及佐证材料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轮换原则同行业、同规模、同地区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进行轮换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，无法满足轮换条件的上报说明。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限下样本库为国家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联网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直报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平台，样本轮换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按要求逐级审核上报，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最终由国家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审定。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第四章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资金保障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52535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第十五条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</w:rPr>
        <w:t>本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激励机制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</w:rPr>
        <w:t>奖励资金纳入财政预算，实行年度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审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</w:rPr>
        <w:t>核，动态管理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第五章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激励机制</w:t>
      </w:r>
      <w:r>
        <w:rPr>
          <w:rFonts w:hint="default" w:ascii="Times New Roman" w:hAnsi="Times New Roman" w:eastAsia="黑体" w:cs="Times New Roman"/>
          <w:sz w:val="32"/>
          <w:szCs w:val="32"/>
        </w:rPr>
        <w:t>的中止和取消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新增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限上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入统企业、个体户必须在库满三年及以上，不得随意退库。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如有退库则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取消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后续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政策扶持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第十七条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限上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入统企业、个体户要按要求及时做好联网直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highlight w:val="none"/>
        </w:rPr>
        <w:t>报统计报表，出现瞒报、迟报、少报、拒报情形之一者，取消</w:t>
      </w:r>
      <w:r>
        <w:rPr>
          <w:rFonts w:hint="eastAsia" w:eastAsia="仿宋_GB2312" w:cs="Times New Roman"/>
          <w:color w:val="000000"/>
          <w:spacing w:val="-11"/>
          <w:sz w:val="32"/>
          <w:szCs w:val="32"/>
          <w:highlight w:val="none"/>
          <w:lang w:eastAsia="zh-CN"/>
        </w:rPr>
        <w:t>当年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highlight w:val="none"/>
        </w:rPr>
        <w:t>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第十八条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入统企业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及个体户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在库期间，如有发生违法行为，受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到刑事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处罚的，取消扶持奖励。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第六章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法律责任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第十九条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统计上报信息坚持诚信原则，严禁弄虚作假，虚报、谎报、瞒报，否则由填报主体单位承担相关责任。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第二十条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本激励机制奖励资金由旗财政解决，旗统计局负责对申报单位填报数据的真实性进行把关，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入库认定由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旗商务局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与旗统计局共同商定，以正式文件确认。旗商务局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负责奖励资金的管理和兑付，严禁挪作他用。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 xml:space="preserve">第二十一条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商务、统计部门每季度对报送信息单位运行情况进行监测调度，全年复核认定奖励。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第七章  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第二十二条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本激励机制由旗商务局、统计局负责解释。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第二十三条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激励机制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8"/>
          <w:sz w:val="32"/>
          <w:szCs w:val="32"/>
          <w:u w:val="none"/>
        </w:rPr>
        <w:t>自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pacing w:val="8"/>
          <w:sz w:val="32"/>
          <w:szCs w:val="32"/>
          <w:u w:val="none"/>
          <w:lang w:val="en-US" w:eastAsia="zh-CN"/>
        </w:rPr>
        <w:t>通过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8"/>
          <w:sz w:val="32"/>
          <w:szCs w:val="32"/>
          <w:u w:val="none"/>
        </w:rPr>
        <w:t>之日起</w:t>
      </w:r>
      <w:r>
        <w:rPr>
          <w:rStyle w:val="4"/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8"/>
          <w:sz w:val="32"/>
          <w:szCs w:val="32"/>
          <w:u w:val="none"/>
        </w:rPr>
        <w:t>施行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 xml:space="preserve">第二十四条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本激励机制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试行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期三年，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期满后另行制定扶持激励机制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YjY0OGM1YThmNjU4ZGU4MDMyNjFiZWI4Zjk3NGUifQ=="/>
  </w:docVars>
  <w:rsids>
    <w:rsidRoot w:val="3CB66073"/>
    <w:rsid w:val="26C947CB"/>
    <w:rsid w:val="3CB66073"/>
    <w:rsid w:val="527A519B"/>
    <w:rsid w:val="722515F4"/>
    <w:rsid w:val="7CA0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2238</Words>
  <Characters>2292</Characters>
  <Lines>0</Lines>
  <Paragraphs>0</Paragraphs>
  <TotalTime>14</TotalTime>
  <ScaleCrop>false</ScaleCrop>
  <LinksUpToDate>false</LinksUpToDate>
  <CharactersWithSpaces>2336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2024-05-29T08:13:00Z</dcterms:created>
  <dc:creator>　BiuBiu.东</dc:creator>
  <cp:lastModifiedBy>　BiuBiu.东</cp:lastModifiedBy>
  <dcterms:modified xsi:type="dcterms:W3CDTF">2024-06-04T03:53:54Z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EC4FDBF0E1AA40DF8FD8F54A87C78EE0_11</vt:lpwstr>
  </property>
</Properties>
</file>