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06D1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黑体" w:hAnsi="黑体" w:eastAsia="黑体"/>
          <w:snapToGrid w:val="0"/>
          <w:color w:val="000000" w:themeColor="text1"/>
          <w:sz w:val="30"/>
          <w:szCs w:val="30"/>
          <w:highlight w:val="none"/>
          <w:lang w:eastAsia="zh-CN"/>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黑体" w:hAnsi="黑体" w:eastAsia="黑体"/>
          <w:snapToGrid w:val="0"/>
          <w:color w:val="000000" w:themeColor="text1"/>
          <w:sz w:val="30"/>
          <w:szCs w:val="30"/>
          <w:highlight w:val="none"/>
          <w:lang w:eastAsia="zh-CN"/>
          <w14:textFill>
            <w14:solidFill>
              <w14:schemeClr w14:val="tx1"/>
            </w14:solidFill>
          </w14:textFill>
        </w:rPr>
        <w:drawing>
          <wp:inline distT="0" distB="0" distL="114300" distR="114300">
            <wp:extent cx="6225540" cy="7904480"/>
            <wp:effectExtent l="0" t="0" r="3810" b="1270"/>
            <wp:docPr id="17" name="图片 17" descr="0efb8cc6c41daa7602abe33d3813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efb8cc6c41daa7602abe33d38134ae"/>
                    <pic:cNvPicPr>
                      <a:picLocks noChangeAspect="1"/>
                    </pic:cNvPicPr>
                  </pic:nvPicPr>
                  <pic:blipFill>
                    <a:blip r:embed="rId14"/>
                    <a:srcRect b="8939"/>
                    <a:stretch>
                      <a:fillRect/>
                    </a:stretch>
                  </pic:blipFill>
                  <pic:spPr>
                    <a:xfrm>
                      <a:off x="0" y="0"/>
                      <a:ext cx="6225540" cy="7904480"/>
                    </a:xfrm>
                    <a:prstGeom prst="rect">
                      <a:avLst/>
                    </a:prstGeom>
                  </pic:spPr>
                </pic:pic>
              </a:graphicData>
            </a:graphic>
          </wp:inline>
        </w:drawing>
      </w:r>
    </w:p>
    <w:p w14:paraId="2A14DDA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28"/>
        <w:tblW w:w="88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2"/>
        <w:gridCol w:w="2257"/>
        <w:gridCol w:w="2008"/>
        <w:gridCol w:w="2842"/>
      </w:tblGrid>
      <w:tr w14:paraId="20CA7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55CEB3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建设项目名称</w:t>
            </w:r>
          </w:p>
        </w:tc>
        <w:tc>
          <w:tcPr>
            <w:tcW w:w="7107" w:type="dxa"/>
            <w:gridSpan w:val="3"/>
            <w:noWrap/>
            <w:vAlign w:val="center"/>
          </w:tcPr>
          <w:p w14:paraId="031452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神华巴彦淖尔能源有限责任公司焦化厂新建乙类危化品库房环保项目</w:t>
            </w:r>
          </w:p>
        </w:tc>
      </w:tr>
      <w:tr w14:paraId="0135E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235A2EC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项目代码</w:t>
            </w:r>
          </w:p>
        </w:tc>
        <w:tc>
          <w:tcPr>
            <w:tcW w:w="7107" w:type="dxa"/>
            <w:gridSpan w:val="3"/>
            <w:noWrap/>
            <w:vAlign w:val="center"/>
          </w:tcPr>
          <w:p w14:paraId="411760A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left="0" w:right="0" w:firstLine="420" w:firstLineChars="0"/>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14:textFill>
                  <w14:solidFill>
                    <w14:schemeClr w14:val="tx1"/>
                  </w14:solidFill>
                </w14:textFill>
              </w:rPr>
              <w:t>240</w:t>
            </w:r>
            <w:r>
              <w:rPr>
                <w:rFonts w:hint="eastAsia"/>
                <w:color w:val="000000" w:themeColor="text1"/>
                <w:kern w:val="0"/>
                <w:highlight w:val="none"/>
                <w:lang w:val="en-US" w:eastAsia="zh-CN"/>
                <w14:textFill>
                  <w14:solidFill>
                    <w14:schemeClr w14:val="tx1"/>
                  </w14:solidFill>
                </w14:textFill>
              </w:rPr>
              <w:t>6</w:t>
            </w:r>
            <w:r>
              <w:rPr>
                <w:rFonts w:hint="eastAsia"/>
                <w:color w:val="000000" w:themeColor="text1"/>
                <w:kern w:val="0"/>
                <w:highlight w:val="none"/>
                <w14:textFill>
                  <w14:solidFill>
                    <w14:schemeClr w14:val="tx1"/>
                  </w14:solidFill>
                </w14:textFill>
              </w:rPr>
              <w:t>-150</w:t>
            </w:r>
            <w:r>
              <w:rPr>
                <w:rFonts w:hint="eastAsia"/>
                <w:color w:val="000000" w:themeColor="text1"/>
                <w:kern w:val="0"/>
                <w:highlight w:val="none"/>
                <w:lang w:val="en-US" w:eastAsia="zh-CN"/>
                <w14:textFill>
                  <w14:solidFill>
                    <w14:schemeClr w14:val="tx1"/>
                  </w14:solidFill>
                </w14:textFill>
              </w:rPr>
              <w:t>824</w:t>
            </w:r>
            <w:r>
              <w:rPr>
                <w:rFonts w:hint="eastAsia"/>
                <w:color w:val="000000" w:themeColor="text1"/>
                <w:kern w:val="0"/>
                <w:highlight w:val="none"/>
                <w14:textFill>
                  <w14:solidFill>
                    <w14:schemeClr w14:val="tx1"/>
                  </w14:solidFill>
                </w14:textFill>
              </w:rPr>
              <w:t>-04-01-</w:t>
            </w:r>
            <w:r>
              <w:rPr>
                <w:rFonts w:hint="eastAsia"/>
                <w:color w:val="000000" w:themeColor="text1"/>
                <w:kern w:val="0"/>
                <w:highlight w:val="none"/>
                <w:lang w:val="en-US" w:eastAsia="zh-CN"/>
                <w14:textFill>
                  <w14:solidFill>
                    <w14:schemeClr w14:val="tx1"/>
                  </w14:solidFill>
                </w14:textFill>
              </w:rPr>
              <w:t>602164</w:t>
            </w:r>
          </w:p>
        </w:tc>
      </w:tr>
      <w:tr w14:paraId="68EAC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2952929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建设单位联系人</w:t>
            </w:r>
          </w:p>
        </w:tc>
        <w:tc>
          <w:tcPr>
            <w:tcW w:w="2257" w:type="dxa"/>
            <w:noWrap/>
            <w:vAlign w:val="center"/>
          </w:tcPr>
          <w:p w14:paraId="3EEAE62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谭智华</w:t>
            </w:r>
          </w:p>
        </w:tc>
        <w:tc>
          <w:tcPr>
            <w:tcW w:w="2008" w:type="dxa"/>
            <w:noWrap/>
            <w:vAlign w:val="center"/>
          </w:tcPr>
          <w:p w14:paraId="7CDEC4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联系方式</w:t>
            </w:r>
          </w:p>
        </w:tc>
        <w:tc>
          <w:tcPr>
            <w:tcW w:w="2842" w:type="dxa"/>
            <w:noWrap/>
            <w:vAlign w:val="center"/>
          </w:tcPr>
          <w:p w14:paraId="4749FC6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18004788850</w:t>
            </w:r>
          </w:p>
        </w:tc>
      </w:tr>
      <w:tr w14:paraId="29AD2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06F4494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建设地点</w:t>
            </w:r>
          </w:p>
        </w:tc>
        <w:tc>
          <w:tcPr>
            <w:tcW w:w="7107" w:type="dxa"/>
            <w:gridSpan w:val="3"/>
            <w:noWrap/>
            <w:vAlign w:val="center"/>
          </w:tcPr>
          <w:p w14:paraId="103C8AE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内蒙古</w:t>
            </w:r>
            <w:r>
              <w:rPr>
                <w:rFonts w:hint="eastAsia" w:ascii="宋体" w:hAnsi="宋体" w:cs="宋体"/>
                <w:color w:val="000000" w:themeColor="text1"/>
                <w:highlight w:val="none"/>
                <w14:textFill>
                  <w14:solidFill>
                    <w14:schemeClr w14:val="tx1"/>
                  </w14:solidFill>
                </w14:textFill>
              </w:rPr>
              <w:t>（自治区）</w:t>
            </w:r>
            <w:r>
              <w:rPr>
                <w:rFonts w:hint="eastAsia" w:ascii="宋体" w:hAnsi="宋体" w:cs="宋体"/>
                <w:color w:val="000000" w:themeColor="text1"/>
                <w:highlight w:val="none"/>
                <w:u w:val="single"/>
                <w14:textFill>
                  <w14:solidFill>
                    <w14:schemeClr w14:val="tx1"/>
                  </w14:solidFill>
                </w14:textFill>
              </w:rPr>
              <w:t>巴彦淖尔</w:t>
            </w:r>
            <w:r>
              <w:rPr>
                <w:rFonts w:hint="eastAsia" w:ascii="宋体" w:hAnsi="宋体" w:cs="宋体"/>
                <w:color w:val="000000" w:themeColor="text1"/>
                <w:highlight w:val="none"/>
                <w14:textFill>
                  <w14:solidFill>
                    <w14:schemeClr w14:val="tx1"/>
                  </w14:solidFill>
                </w14:textFill>
              </w:rPr>
              <w:t>市</w:t>
            </w:r>
            <w:r>
              <w:rPr>
                <w:rFonts w:hint="eastAsia" w:ascii="宋体" w:hAnsi="宋体" w:cs="宋体"/>
                <w:color w:val="000000" w:themeColor="text1"/>
                <w:highlight w:val="none"/>
                <w:u w:val="single"/>
                <w:lang w:val="en-US" w:eastAsia="zh-CN"/>
                <w14:textFill>
                  <w14:solidFill>
                    <w14:schemeClr w14:val="tx1"/>
                  </w14:solidFill>
                </w14:textFill>
              </w:rPr>
              <w:t>乌拉特中旗</w:t>
            </w:r>
            <w:r>
              <w:rPr>
                <w:rFonts w:hint="eastAsia" w:ascii="宋体" w:hAnsi="宋体" w:cs="宋体"/>
                <w:color w:val="000000" w:themeColor="text1"/>
                <w:highlight w:val="none"/>
                <w14:textFill>
                  <w14:solidFill>
                    <w14:schemeClr w14:val="tx1"/>
                  </w14:solidFill>
                </w14:textFill>
              </w:rPr>
              <w:t>县（区）</w:t>
            </w:r>
            <w:r>
              <w:rPr>
                <w:rFonts w:hint="eastAsia" w:ascii="宋体" w:hAnsi="宋体" w:cs="宋体"/>
                <w:color w:val="000000" w:themeColor="text1"/>
                <w:highlight w:val="none"/>
                <w:u w:val="single"/>
                <w:lang w:val="en-US" w:eastAsia="zh-CN"/>
                <w14:textFill>
                  <w14:solidFill>
                    <w14:schemeClr w14:val="tx1"/>
                  </w14:solidFill>
                </w14:textFill>
              </w:rPr>
              <w:t>甘其毛都口岸加工园区神华</w:t>
            </w:r>
            <w:r>
              <w:rPr>
                <w:rFonts w:hint="eastAsia"/>
                <w:color w:val="000000" w:themeColor="text1"/>
                <w:highlight w:val="none"/>
                <w:u w:val="single"/>
                <w:lang w:val="en-US" w:eastAsia="zh-CN"/>
                <w14:textFill>
                  <w14:solidFill>
                    <w14:schemeClr w14:val="tx1"/>
                  </w14:solidFill>
                </w14:textFill>
              </w:rPr>
              <w:t>巴彦淖尔能源有限责任公司焦化厂厂区</w:t>
            </w:r>
          </w:p>
        </w:tc>
      </w:tr>
      <w:tr w14:paraId="4A3B5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36FFFDE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地理坐标</w:t>
            </w:r>
          </w:p>
        </w:tc>
        <w:tc>
          <w:tcPr>
            <w:tcW w:w="7107" w:type="dxa"/>
            <w:gridSpan w:val="3"/>
            <w:noWrap/>
            <w:vAlign w:val="center"/>
          </w:tcPr>
          <w:p w14:paraId="52BB9659">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北纬41°18'44.405"，东经108°34'08.079"</w:t>
            </w:r>
          </w:p>
        </w:tc>
      </w:tr>
      <w:tr w14:paraId="32179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62" w:type="dxa"/>
            <w:noWrap/>
            <w:tcMar>
              <w:top w:w="16" w:type="dxa"/>
              <w:left w:w="16" w:type="dxa"/>
              <w:right w:w="16" w:type="dxa"/>
            </w:tcMar>
            <w:vAlign w:val="center"/>
          </w:tcPr>
          <w:p w14:paraId="3FF007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国民经济</w:t>
            </w:r>
          </w:p>
          <w:p w14:paraId="10A01A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行业类别</w:t>
            </w:r>
          </w:p>
        </w:tc>
        <w:tc>
          <w:tcPr>
            <w:tcW w:w="2257" w:type="dxa"/>
            <w:noWrap/>
            <w:vAlign w:val="center"/>
          </w:tcPr>
          <w:p w14:paraId="72E6A6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G5942 危险化学品仓储</w:t>
            </w:r>
          </w:p>
        </w:tc>
        <w:tc>
          <w:tcPr>
            <w:tcW w:w="2008" w:type="dxa"/>
            <w:noWrap/>
            <w:vAlign w:val="center"/>
          </w:tcPr>
          <w:p w14:paraId="0C0E6D5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bookmarkStart w:id="0" w:name="_Hlk49843745"/>
            <w:r>
              <w:rPr>
                <w:rFonts w:hint="default" w:hAnsi="宋体"/>
                <w:color w:val="000000" w:themeColor="text1"/>
                <w:highlight w:val="none"/>
                <w14:textFill>
                  <w14:solidFill>
                    <w14:schemeClr w14:val="tx1"/>
                  </w14:solidFill>
                </w14:textFill>
              </w:rPr>
              <w:t>建设项目</w:t>
            </w:r>
          </w:p>
          <w:p w14:paraId="25F763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行业类别</w:t>
            </w:r>
            <w:bookmarkEnd w:id="0"/>
          </w:p>
        </w:tc>
        <w:tc>
          <w:tcPr>
            <w:tcW w:w="2842" w:type="dxa"/>
            <w:noWrap/>
            <w:vAlign w:val="center"/>
          </w:tcPr>
          <w:p w14:paraId="2AF267CB">
            <w:pPr>
              <w:keepNext w:val="0"/>
              <w:keepLines w:val="0"/>
              <w:suppressLineNumbers w:val="0"/>
              <w:adjustRightInd w:val="0"/>
              <w:snapToGrid w:val="0"/>
              <w:spacing w:before="0" w:beforeAutospacing="0" w:after="0" w:afterAutospacing="0" w:line="240" w:lineRule="auto"/>
              <w:ind w:left="0" w:right="0" w:firstLine="0" w:firstLineChars="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五十三、装卸搬运和仓储业 59，149、危险品仓储 594（不含加油站的油库，不含加气站的气库）</w:t>
            </w:r>
          </w:p>
        </w:tc>
      </w:tr>
      <w:tr w14:paraId="0FBEB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2" w:type="dxa"/>
            <w:noWrap/>
            <w:tcMar>
              <w:top w:w="16" w:type="dxa"/>
              <w:left w:w="16" w:type="dxa"/>
              <w:right w:w="16" w:type="dxa"/>
            </w:tcMar>
            <w:vAlign w:val="center"/>
          </w:tcPr>
          <w:p w14:paraId="48BC290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建设性质</w:t>
            </w:r>
          </w:p>
        </w:tc>
        <w:tc>
          <w:tcPr>
            <w:tcW w:w="2257" w:type="dxa"/>
            <w:noWrap/>
            <w:vAlign w:val="center"/>
          </w:tcPr>
          <w:p w14:paraId="4057B266">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新建（迁建）</w:t>
            </w:r>
          </w:p>
          <w:p w14:paraId="235292D6">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改建</w:t>
            </w:r>
          </w:p>
          <w:p w14:paraId="09B1EC55">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hAnsi="宋体"/>
                <w:color w:val="000000" w:themeColor="text1"/>
                <w:highlight w:val="none"/>
                <w14:textFill>
                  <w14:solidFill>
                    <w14:schemeClr w14:val="tx1"/>
                  </w14:solidFill>
                </w14:textFill>
              </w:rPr>
              <w:t>扩建</w:t>
            </w:r>
          </w:p>
          <w:p w14:paraId="74C6EFF7">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技术改造</w:t>
            </w:r>
          </w:p>
        </w:tc>
        <w:tc>
          <w:tcPr>
            <w:tcW w:w="2008" w:type="dxa"/>
            <w:noWrap/>
            <w:vAlign w:val="center"/>
          </w:tcPr>
          <w:p w14:paraId="2CC7DE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建设项目</w:t>
            </w:r>
          </w:p>
          <w:p w14:paraId="5C2906A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申报情形</w:t>
            </w:r>
          </w:p>
        </w:tc>
        <w:tc>
          <w:tcPr>
            <w:tcW w:w="2842" w:type="dxa"/>
            <w:noWrap/>
            <w:vAlign w:val="center"/>
          </w:tcPr>
          <w:p w14:paraId="447106EB">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首次申报项目</w:t>
            </w:r>
          </w:p>
          <w:p w14:paraId="6D680AB0">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不予批准后再次申报项目</w:t>
            </w:r>
          </w:p>
          <w:p w14:paraId="22013E2B">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sym w:font="Wingdings 2" w:char="00A3"/>
            </w:r>
            <w:r>
              <w:rPr>
                <w:rFonts w:hint="default" w:hAnsi="宋体"/>
                <w:color w:val="000000" w:themeColor="text1"/>
                <w:highlight w:val="none"/>
                <w14:textFill>
                  <w14:solidFill>
                    <w14:schemeClr w14:val="tx1"/>
                  </w14:solidFill>
                </w14:textFill>
              </w:rPr>
              <w:t>超五年重新审核项目</w:t>
            </w:r>
          </w:p>
          <w:p w14:paraId="42B1AFB0">
            <w:pPr>
              <w:keepNext w:val="0"/>
              <w:keepLines w:val="0"/>
              <w:suppressLineNumbers w:val="0"/>
              <w:spacing w:before="0" w:beforeAutospacing="0" w:after="0" w:afterAutospacing="0" w:line="240" w:lineRule="auto"/>
              <w:ind w:left="0" w:right="0" w:firstLine="0" w:firstLineChars="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重大变动重新报批项目</w:t>
            </w:r>
          </w:p>
        </w:tc>
      </w:tr>
      <w:tr w14:paraId="11A48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2" w:type="dxa"/>
            <w:noWrap/>
            <w:tcMar>
              <w:top w:w="16" w:type="dxa"/>
              <w:left w:w="16" w:type="dxa"/>
              <w:right w:w="16" w:type="dxa"/>
            </w:tcMar>
            <w:vAlign w:val="center"/>
          </w:tcPr>
          <w:p w14:paraId="38466E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项目审批（核准</w:t>
            </w:r>
            <w:r>
              <w:rPr>
                <w:rFonts w:hint="default"/>
                <w:color w:val="000000" w:themeColor="text1"/>
                <w:highlight w:val="none"/>
                <w14:textFill>
                  <w14:solidFill>
                    <w14:schemeClr w14:val="tx1"/>
                  </w14:solidFill>
                </w14:textFill>
              </w:rPr>
              <w:t>/</w:t>
            </w:r>
          </w:p>
          <w:p w14:paraId="06FD284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备案）部门（选填）</w:t>
            </w:r>
          </w:p>
        </w:tc>
        <w:tc>
          <w:tcPr>
            <w:tcW w:w="2257" w:type="dxa"/>
            <w:noWrap/>
            <w:vAlign w:val="center"/>
          </w:tcPr>
          <w:p w14:paraId="745F18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乌拉特中旗</w:t>
            </w:r>
            <w:r>
              <w:rPr>
                <w:rFonts w:hint="eastAsia"/>
                <w:color w:val="000000" w:themeColor="text1"/>
                <w:highlight w:val="none"/>
                <w14:textFill>
                  <w14:solidFill>
                    <w14:schemeClr w14:val="tx1"/>
                  </w14:solidFill>
                </w14:textFill>
              </w:rPr>
              <w:t>发展和改革委员会</w:t>
            </w:r>
          </w:p>
        </w:tc>
        <w:tc>
          <w:tcPr>
            <w:tcW w:w="2008" w:type="dxa"/>
            <w:noWrap/>
            <w:vAlign w:val="center"/>
          </w:tcPr>
          <w:p w14:paraId="7D26E20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项目审批（核准</w:t>
            </w:r>
            <w:r>
              <w:rPr>
                <w:rFonts w:hint="default"/>
                <w:color w:val="000000" w:themeColor="text1"/>
                <w:highlight w:val="none"/>
                <w14:textFill>
                  <w14:solidFill>
                    <w14:schemeClr w14:val="tx1"/>
                  </w14:solidFill>
                </w14:textFill>
              </w:rPr>
              <w:t>/</w:t>
            </w:r>
          </w:p>
          <w:p w14:paraId="4505CC4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备案）文号（选填）</w:t>
            </w:r>
          </w:p>
        </w:tc>
        <w:tc>
          <w:tcPr>
            <w:tcW w:w="2842" w:type="dxa"/>
            <w:noWrap/>
            <w:vAlign w:val="center"/>
          </w:tcPr>
          <w:p w14:paraId="1000DE15">
            <w:pPr>
              <w:pStyle w:val="9"/>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240</w:t>
            </w:r>
            <w:r>
              <w:rPr>
                <w:rFonts w:hint="eastAsia"/>
                <w:color w:val="000000" w:themeColor="text1"/>
                <w:kern w:val="0"/>
                <w:highlight w:val="none"/>
                <w:lang w:val="en-US" w:eastAsia="zh-CN"/>
                <w14:textFill>
                  <w14:solidFill>
                    <w14:schemeClr w14:val="tx1"/>
                  </w14:solidFill>
                </w14:textFill>
              </w:rPr>
              <w:t>6</w:t>
            </w:r>
            <w:r>
              <w:rPr>
                <w:rFonts w:hint="eastAsia"/>
                <w:color w:val="000000" w:themeColor="text1"/>
                <w:kern w:val="0"/>
                <w:highlight w:val="none"/>
                <w14:textFill>
                  <w14:solidFill>
                    <w14:schemeClr w14:val="tx1"/>
                  </w14:solidFill>
                </w14:textFill>
              </w:rPr>
              <w:t>-150</w:t>
            </w:r>
            <w:r>
              <w:rPr>
                <w:rFonts w:hint="eastAsia"/>
                <w:color w:val="000000" w:themeColor="text1"/>
                <w:kern w:val="0"/>
                <w:highlight w:val="none"/>
                <w:lang w:val="en-US" w:eastAsia="zh-CN"/>
                <w14:textFill>
                  <w14:solidFill>
                    <w14:schemeClr w14:val="tx1"/>
                  </w14:solidFill>
                </w14:textFill>
              </w:rPr>
              <w:t>824</w:t>
            </w:r>
            <w:bookmarkStart w:id="7" w:name="_GoBack"/>
            <w:bookmarkEnd w:id="7"/>
            <w:r>
              <w:rPr>
                <w:rFonts w:hint="eastAsia"/>
                <w:color w:val="000000" w:themeColor="text1"/>
                <w:kern w:val="0"/>
                <w:highlight w:val="none"/>
                <w14:textFill>
                  <w14:solidFill>
                    <w14:schemeClr w14:val="tx1"/>
                  </w14:solidFill>
                </w14:textFill>
              </w:rPr>
              <w:t>-04-01-</w:t>
            </w:r>
            <w:r>
              <w:rPr>
                <w:rFonts w:hint="eastAsia"/>
                <w:color w:val="000000" w:themeColor="text1"/>
                <w:kern w:val="0"/>
                <w:highlight w:val="none"/>
                <w:lang w:val="en-US" w:eastAsia="zh-CN"/>
                <w14:textFill>
                  <w14:solidFill>
                    <w14:schemeClr w14:val="tx1"/>
                  </w14:solidFill>
                </w14:textFill>
              </w:rPr>
              <w:t>602164</w:t>
            </w:r>
          </w:p>
        </w:tc>
      </w:tr>
      <w:tr w14:paraId="1F62C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5AD30F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总投资（万元）</w:t>
            </w:r>
          </w:p>
        </w:tc>
        <w:tc>
          <w:tcPr>
            <w:tcW w:w="2257" w:type="dxa"/>
            <w:noWrap/>
            <w:vAlign w:val="center"/>
          </w:tcPr>
          <w:p w14:paraId="5EBFF0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p>
        </w:tc>
        <w:tc>
          <w:tcPr>
            <w:tcW w:w="2008" w:type="dxa"/>
            <w:noWrap/>
            <w:tcMar>
              <w:top w:w="16" w:type="dxa"/>
              <w:left w:w="16" w:type="dxa"/>
              <w:right w:w="16" w:type="dxa"/>
            </w:tcMar>
            <w:vAlign w:val="center"/>
          </w:tcPr>
          <w:p w14:paraId="080F9AE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环保投资（万元）</w:t>
            </w:r>
          </w:p>
        </w:tc>
        <w:tc>
          <w:tcPr>
            <w:tcW w:w="2842" w:type="dxa"/>
            <w:noWrap/>
            <w:vAlign w:val="center"/>
          </w:tcPr>
          <w:p w14:paraId="0386338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18.6</w:t>
            </w:r>
          </w:p>
        </w:tc>
      </w:tr>
      <w:tr w14:paraId="2DF97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7B28FFD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环保投资占比（</w:t>
            </w:r>
            <w:r>
              <w:rPr>
                <w:rFonts w:hint="default"/>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w:t>
            </w:r>
          </w:p>
        </w:tc>
        <w:tc>
          <w:tcPr>
            <w:tcW w:w="2257" w:type="dxa"/>
            <w:noWrap/>
            <w:vAlign w:val="center"/>
          </w:tcPr>
          <w:p w14:paraId="60BF9DF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9.3</w:t>
            </w:r>
            <w:r>
              <w:rPr>
                <w:rFonts w:hint="eastAsia"/>
                <w:color w:val="000000" w:themeColor="text1"/>
                <w:highlight w:val="none"/>
                <w14:textFill>
                  <w14:solidFill>
                    <w14:schemeClr w14:val="tx1"/>
                  </w14:solidFill>
                </w14:textFill>
              </w:rPr>
              <w:t>%</w:t>
            </w:r>
          </w:p>
        </w:tc>
        <w:tc>
          <w:tcPr>
            <w:tcW w:w="2008" w:type="dxa"/>
            <w:noWrap/>
            <w:tcMar>
              <w:top w:w="16" w:type="dxa"/>
              <w:left w:w="16" w:type="dxa"/>
              <w:right w:w="16" w:type="dxa"/>
            </w:tcMar>
            <w:vAlign w:val="center"/>
          </w:tcPr>
          <w:p w14:paraId="5C5F0AF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施工工期</w:t>
            </w:r>
          </w:p>
        </w:tc>
        <w:tc>
          <w:tcPr>
            <w:tcW w:w="2842" w:type="dxa"/>
            <w:noWrap/>
            <w:vAlign w:val="center"/>
          </w:tcPr>
          <w:p w14:paraId="24850F2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2024年</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月</w:t>
            </w:r>
          </w:p>
        </w:tc>
      </w:tr>
      <w:tr w14:paraId="738FF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2" w:type="dxa"/>
            <w:noWrap/>
            <w:tcMar>
              <w:top w:w="16" w:type="dxa"/>
              <w:left w:w="16" w:type="dxa"/>
              <w:right w:w="16" w:type="dxa"/>
            </w:tcMar>
            <w:vAlign w:val="center"/>
          </w:tcPr>
          <w:p w14:paraId="20EAC4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是否开工建设</w:t>
            </w:r>
          </w:p>
        </w:tc>
        <w:tc>
          <w:tcPr>
            <w:tcW w:w="2257" w:type="dxa"/>
            <w:noWrap/>
            <w:vAlign w:val="center"/>
          </w:tcPr>
          <w:p w14:paraId="3B40DD70">
            <w:pPr>
              <w:keepNext w:val="0"/>
              <w:keepLines w:val="0"/>
              <w:suppressLineNumbers w:val="0"/>
              <w:adjustRightInd w:val="0"/>
              <w:snapToGrid w:val="0"/>
              <w:spacing w:before="0" w:beforeAutospacing="0" w:after="0" w:afterAutospacing="0" w:line="240" w:lineRule="auto"/>
              <w:ind w:left="0" w:right="0" w:firstLine="0" w:firstLineChars="0"/>
              <w:rPr>
                <w:rFonts w:hint="default"/>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w:t>√</w:t>
            </w:r>
            <w:r>
              <w:rPr>
                <w:rFonts w:hint="default" w:hAnsi="宋体"/>
                <w:color w:val="000000" w:themeColor="text1"/>
                <w:highlight w:val="none"/>
                <w14:textFill>
                  <w14:solidFill>
                    <w14:schemeClr w14:val="tx1"/>
                  </w14:solidFill>
                </w14:textFill>
              </w:rPr>
              <w:t>否</w:t>
            </w:r>
          </w:p>
          <w:p w14:paraId="15624F66">
            <w:pPr>
              <w:keepNext w:val="0"/>
              <w:keepLines w:val="0"/>
              <w:suppressLineNumbers w:val="0"/>
              <w:adjustRightInd w:val="0"/>
              <w:snapToGrid w:val="0"/>
              <w:spacing w:before="0" w:beforeAutospacing="0" w:after="0" w:afterAutospacing="0" w:line="240" w:lineRule="auto"/>
              <w:ind w:left="0" w:right="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sym w:font="Wingdings 2" w:char="00A3"/>
            </w:r>
            <w:r>
              <w:rPr>
                <w:rFonts w:hint="default" w:hAnsi="宋体"/>
                <w:color w:val="000000" w:themeColor="text1"/>
                <w:highlight w:val="none"/>
                <w14:textFill>
                  <w14:solidFill>
                    <w14:schemeClr w14:val="tx1"/>
                  </w14:solidFill>
                </w14:textFill>
              </w:rPr>
              <w:t>是：</w:t>
            </w:r>
          </w:p>
        </w:tc>
        <w:tc>
          <w:tcPr>
            <w:tcW w:w="2008" w:type="dxa"/>
            <w:noWrap/>
            <w:tcMar>
              <w:top w:w="16" w:type="dxa"/>
              <w:left w:w="16" w:type="dxa"/>
              <w:right w:w="16" w:type="dxa"/>
            </w:tcMar>
            <w:vAlign w:val="center"/>
          </w:tcPr>
          <w:p w14:paraId="099A258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pacing w:val="-6"/>
                <w:highlight w:val="none"/>
                <w14:textFill>
                  <w14:solidFill>
                    <w14:schemeClr w14:val="tx1"/>
                  </w14:solidFill>
                </w14:textFill>
              </w:rPr>
            </w:pPr>
            <w:r>
              <w:rPr>
                <w:rFonts w:hint="default" w:hAnsi="宋体"/>
                <w:color w:val="000000" w:themeColor="text1"/>
                <w:spacing w:val="-6"/>
                <w:highlight w:val="none"/>
                <w14:textFill>
                  <w14:solidFill>
                    <w14:schemeClr w14:val="tx1"/>
                  </w14:solidFill>
                </w14:textFill>
              </w:rPr>
              <w:t>用地（用海）</w:t>
            </w:r>
          </w:p>
          <w:p w14:paraId="4E68AA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spacing w:val="-6"/>
                <w:highlight w:val="none"/>
                <w14:textFill>
                  <w14:solidFill>
                    <w14:schemeClr w14:val="tx1"/>
                  </w14:solidFill>
                </w14:textFill>
              </w:rPr>
              <w:t>面积（</w:t>
            </w:r>
            <w:r>
              <w:rPr>
                <w:rFonts w:hint="default"/>
                <w:color w:val="000000" w:themeColor="text1"/>
                <w:spacing w:val="-6"/>
                <w:highlight w:val="none"/>
                <w14:textFill>
                  <w14:solidFill>
                    <w14:schemeClr w14:val="tx1"/>
                  </w14:solidFill>
                </w14:textFill>
              </w:rPr>
              <w:t>m</w:t>
            </w:r>
            <w:r>
              <w:rPr>
                <w:rFonts w:hint="default"/>
                <w:color w:val="000000" w:themeColor="text1"/>
                <w:spacing w:val="-6"/>
                <w:highlight w:val="none"/>
                <w:vertAlign w:val="superscript"/>
                <w14:textFill>
                  <w14:solidFill>
                    <w14:schemeClr w14:val="tx1"/>
                  </w14:solidFill>
                </w14:textFill>
              </w:rPr>
              <w:t>2</w:t>
            </w:r>
            <w:r>
              <w:rPr>
                <w:rFonts w:hint="default" w:hAnsi="宋体"/>
                <w:color w:val="000000" w:themeColor="text1"/>
                <w:spacing w:val="-6"/>
                <w:highlight w:val="none"/>
                <w14:textFill>
                  <w14:solidFill>
                    <w14:schemeClr w14:val="tx1"/>
                  </w14:solidFill>
                </w14:textFill>
              </w:rPr>
              <w:t>）</w:t>
            </w:r>
          </w:p>
        </w:tc>
        <w:tc>
          <w:tcPr>
            <w:tcW w:w="2842" w:type="dxa"/>
            <w:noWrap/>
            <w:vAlign w:val="center"/>
          </w:tcPr>
          <w:p w14:paraId="0C175FB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p>
        </w:tc>
      </w:tr>
      <w:tr w14:paraId="2AF5C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2" w:type="dxa"/>
            <w:noWrap/>
            <w:vAlign w:val="center"/>
          </w:tcPr>
          <w:p w14:paraId="090868A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default" w:hAnsi="宋体"/>
                <w:color w:val="000000" w:themeColor="text1"/>
                <w:kern w:val="0"/>
                <w:highlight w:val="none"/>
                <w14:textFill>
                  <w14:solidFill>
                    <w14:schemeClr w14:val="tx1"/>
                  </w14:solidFill>
                </w14:textFill>
              </w:rPr>
              <w:t>专项评价设置情况</w:t>
            </w:r>
          </w:p>
        </w:tc>
        <w:tc>
          <w:tcPr>
            <w:tcW w:w="7107" w:type="dxa"/>
            <w:gridSpan w:val="3"/>
            <w:noWrap/>
            <w:vAlign w:val="center"/>
          </w:tcPr>
          <w:p w14:paraId="53AA31C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根据《建设项目环境风险评价技术导则》（HJ169-2018）中附录B关于突发环境事件风险物质及临界量表，硫的临界量为10t，本项目硫存储量大于临界量，因此设置环境风险专项评价。</w:t>
            </w:r>
          </w:p>
        </w:tc>
      </w:tr>
      <w:tr w14:paraId="7544D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2" w:type="dxa"/>
            <w:noWrap/>
            <w:vAlign w:val="center"/>
          </w:tcPr>
          <w:p w14:paraId="1D7238D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规划情况</w:t>
            </w:r>
          </w:p>
        </w:tc>
        <w:tc>
          <w:tcPr>
            <w:tcW w:w="7107" w:type="dxa"/>
            <w:gridSpan w:val="3"/>
            <w:noWrap/>
            <w:vAlign w:val="center"/>
          </w:tcPr>
          <w:p w14:paraId="6C72F735">
            <w:pPr>
              <w:pStyle w:val="36"/>
              <w:keepNext w:val="0"/>
              <w:keepLines w:val="0"/>
              <w:suppressLineNumbers w:val="0"/>
              <w:spacing w:before="0" w:beforeAutospacing="0" w:after="0" w:afterAutospacing="0"/>
              <w:ind w:left="0" w:right="0" w:firstLine="0" w:firstLineChars="0"/>
              <w:rPr>
                <w:rFonts w:hint="default"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规划名称：《甘其毛都口岸加工园区总体规划（2012-2020年）》；</w:t>
            </w:r>
          </w:p>
          <w:p w14:paraId="37F0794C">
            <w:pPr>
              <w:pStyle w:val="36"/>
              <w:keepNext w:val="0"/>
              <w:keepLines w:val="0"/>
              <w:suppressLineNumbers w:val="0"/>
              <w:spacing w:before="0" w:beforeAutospacing="0" w:after="0" w:afterAutospacing="0"/>
              <w:ind w:left="0" w:right="0" w:firstLine="0" w:firstLineChars="0"/>
              <w:rPr>
                <w:rFonts w:hint="default"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审查机关：内蒙古自治区住房和城乡建设厅</w:t>
            </w:r>
          </w:p>
          <w:p w14:paraId="337E4BB0">
            <w:pPr>
              <w:pStyle w:val="36"/>
              <w:keepNext w:val="0"/>
              <w:keepLines w:val="0"/>
              <w:suppressLineNumbers w:val="0"/>
              <w:spacing w:before="0" w:beforeAutospacing="0" w:after="0" w:afterAutospacing="0"/>
              <w:ind w:left="0" w:right="0" w:firstLine="0" w:firstLineChars="0"/>
              <w:rPr>
                <w:rFonts w:hint="default"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审查文件名称：甘其毛都口岸加工园区总体规划；</w:t>
            </w:r>
          </w:p>
          <w:p w14:paraId="6C66CF36">
            <w:pPr>
              <w:pStyle w:val="36"/>
              <w:keepNext w:val="0"/>
              <w:keepLines w:val="0"/>
              <w:suppressLineNumbers w:val="0"/>
              <w:spacing w:before="0" w:beforeAutospacing="0" w:after="0" w:afterAutospacing="0"/>
              <w:ind w:left="0" w:right="0" w:firstLine="0" w:firstLineChars="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文号：内建规[2013]6号</w:t>
            </w:r>
          </w:p>
          <w:p w14:paraId="11E2850F">
            <w:pPr>
              <w:pStyle w:val="36"/>
              <w:keepNext w:val="0"/>
              <w:keepLines w:val="0"/>
              <w:suppressLineNumbers w:val="0"/>
              <w:spacing w:before="0" w:beforeAutospacing="0" w:after="0" w:afterAutospacing="0"/>
              <w:ind w:left="0" w:right="0" w:firstLine="0" w:firstLineChars="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该规划已经超出规划期限，目前《内蒙古巴彦淖尔进口资源加工开发区（甘其毛都口岸园）总体规划（2022-2035 年）》已编制完成，还未审批。</w:t>
            </w:r>
          </w:p>
        </w:tc>
      </w:tr>
      <w:tr w14:paraId="4CB5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62" w:type="dxa"/>
            <w:noWrap/>
            <w:vAlign w:val="center"/>
          </w:tcPr>
          <w:p w14:paraId="7B1A210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规划环境影响</w:t>
            </w:r>
          </w:p>
          <w:p w14:paraId="2FB8794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评价情况</w:t>
            </w:r>
          </w:p>
        </w:tc>
        <w:tc>
          <w:tcPr>
            <w:tcW w:w="7107" w:type="dxa"/>
            <w:gridSpan w:val="3"/>
            <w:noWrap/>
            <w:vAlign w:val="center"/>
          </w:tcPr>
          <w:p w14:paraId="252828E7">
            <w:pPr>
              <w:pStyle w:val="36"/>
              <w:keepNext w:val="0"/>
              <w:keepLines w:val="0"/>
              <w:suppressLineNumbers w:val="0"/>
              <w:spacing w:before="0" w:beforeAutospacing="0" w:after="0" w:afterAutospacing="0"/>
              <w:ind w:left="0" w:right="0" w:firstLine="0" w:firstLineChars="0"/>
              <w:rPr>
                <w:rFonts w:hint="default"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2011年11月，巴彦淖尔市甘其毛都口岸加工园区（基地）管委会委托内蒙古自治区环境科学研究院编制了《甘其毛都口岸加工园区总体规划环境影响报告书》，并于2012年5月31日，取得了原内蒙古自治区环境保护厅《关于甘其毛都口岸加工园区总体规划环境影响报告书审查的意见》</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内环字[2012]86号）</w:t>
            </w:r>
            <w:r>
              <w:rPr>
                <w:rFonts w:hint="eastAsia" w:ascii="Times New Roman" w:hAnsi="Times New Roman"/>
                <w:color w:val="000000" w:themeColor="text1"/>
                <w:highlight w:val="none"/>
                <w14:textFill>
                  <w14:solidFill>
                    <w14:schemeClr w14:val="tx1"/>
                  </w14:solidFill>
                </w14:textFill>
              </w:rPr>
              <w:t>。目前</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巴彦淖尔甘其毛都口岸加工园区国土空间总体规划（2022-2035年）</w:t>
            </w:r>
            <w:r>
              <w:rPr>
                <w:rFonts w:hint="eastAsia" w:ascii="Times New Roman" w:hAnsi="Times New Roman"/>
                <w:color w:val="000000" w:themeColor="text1"/>
                <w:highlight w:val="none"/>
                <w:lang w:val="en-US" w:eastAsia="zh-CN"/>
                <w14:textFill>
                  <w14:solidFill>
                    <w14:schemeClr w14:val="tx1"/>
                  </w14:solidFill>
                </w14:textFill>
              </w:rPr>
              <w:t>环境影响报告书</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正在履行相关报批手续</w:t>
            </w:r>
            <w:r>
              <w:rPr>
                <w:rFonts w:hint="eastAsia" w:ascii="Times New Roman" w:hAnsi="Times New Roman"/>
                <w:color w:val="000000" w:themeColor="text1"/>
                <w:highlight w:val="none"/>
                <w14:textFill>
                  <w14:solidFill>
                    <w14:schemeClr w14:val="tx1"/>
                  </w14:solidFill>
                </w14:textFill>
              </w:rPr>
              <w:t>。</w:t>
            </w:r>
          </w:p>
        </w:tc>
      </w:tr>
      <w:tr w14:paraId="37639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2" w:type="dxa"/>
            <w:noWrap/>
            <w:vAlign w:val="center"/>
          </w:tcPr>
          <w:p w14:paraId="1933179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default" w:hAnsi="宋体"/>
                <w:color w:val="000000" w:themeColor="text1"/>
                <w:kern w:val="0"/>
                <w:highlight w:val="none"/>
                <w14:textFill>
                  <w14:solidFill>
                    <w14:schemeClr w14:val="tx1"/>
                  </w14:solidFill>
                </w14:textFill>
              </w:rPr>
              <w:t>规划及规划环境影响评价符合性分析</w:t>
            </w:r>
          </w:p>
        </w:tc>
        <w:tc>
          <w:tcPr>
            <w:tcW w:w="7107" w:type="dxa"/>
            <w:gridSpan w:val="3"/>
            <w:noWrap/>
            <w:vAlign w:val="center"/>
          </w:tcPr>
          <w:p w14:paraId="5023C97A">
            <w:pPr>
              <w:keepNext w:val="0"/>
              <w:keepLines w:val="0"/>
              <w:numPr>
                <w:ilvl w:val="0"/>
                <w:numId w:val="2"/>
              </w:numPr>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建设项目与园区规划符合性分析</w:t>
            </w:r>
          </w:p>
          <w:p w14:paraId="1D334DA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2013年1月</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《甘其毛都口岸加工园区总体规划（2012-2020年）》经内蒙古自治区住房和城乡建设厅</w:t>
            </w:r>
            <w:r>
              <w:rPr>
                <w:rFonts w:hint="eastAsia"/>
                <w:color w:val="000000" w:themeColor="text1"/>
                <w:highlight w:val="none"/>
                <w:lang w:val="en-US" w:eastAsia="zh-CN"/>
                <w14:textFill>
                  <w14:solidFill>
                    <w14:schemeClr w14:val="tx1"/>
                  </w14:solidFill>
                </w14:textFill>
              </w:rPr>
              <w:t>出具了审查意见</w:t>
            </w:r>
            <w:r>
              <w:rPr>
                <w:rFonts w:hint="eastAsia"/>
                <w:color w:val="000000" w:themeColor="text1"/>
                <w:highlight w:val="none"/>
                <w14:textFill>
                  <w14:solidFill>
                    <w14:schemeClr w14:val="tx1"/>
                  </w14:solidFill>
                </w14:textFill>
              </w:rPr>
              <w:t>，本项目与</w:t>
            </w:r>
            <w:r>
              <w:rPr>
                <w:rFonts w:hint="default"/>
                <w:color w:val="000000" w:themeColor="text1"/>
                <w:highlight w:val="none"/>
                <w14:textFill>
                  <w14:solidFill>
                    <w14:schemeClr w14:val="tx1"/>
                  </w14:solidFill>
                </w14:textFill>
              </w:rPr>
              <w:t>《甘其毛都口岸加工园区总体规划》</w:t>
            </w:r>
            <w:r>
              <w:rPr>
                <w:rFonts w:hint="eastAsia"/>
                <w:color w:val="000000" w:themeColor="text1"/>
                <w:highlight w:val="none"/>
                <w14:textFill>
                  <w14:solidFill>
                    <w14:schemeClr w14:val="tx1"/>
                  </w14:solidFill>
                </w14:textFill>
              </w:rPr>
              <w:t>符合性分析如下。</w:t>
            </w:r>
          </w:p>
          <w:p w14:paraId="04BF1912">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表1-1 项目与园区规划</w:t>
            </w:r>
            <w:r>
              <w:rPr>
                <w:rFonts w:hint="eastAsia"/>
                <w:b/>
                <w:bCs/>
                <w:color w:val="000000" w:themeColor="text1"/>
                <w:sz w:val="21"/>
                <w:szCs w:val="21"/>
                <w:highlight w:val="none"/>
                <w14:textFill>
                  <w14:solidFill>
                    <w14:schemeClr w14:val="tx1"/>
                  </w14:solidFill>
                </w14:textFill>
              </w:rPr>
              <w:t>符合性分析</w:t>
            </w:r>
          </w:p>
          <w:tbl>
            <w:tblPr>
              <w:tblStyle w:val="29"/>
              <w:tblW w:w="69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3530"/>
              <w:gridCol w:w="2283"/>
              <w:gridCol w:w="571"/>
            </w:tblGrid>
            <w:tr w14:paraId="457EE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4" w:type="dxa"/>
                  <w:tcBorders>
                    <w:tl2br w:val="nil"/>
                    <w:tr2bl w:val="nil"/>
                  </w:tcBorders>
                </w:tcPr>
                <w:p w14:paraId="76891053">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序号</w:t>
                  </w:r>
                </w:p>
              </w:tc>
              <w:tc>
                <w:tcPr>
                  <w:tcW w:w="3530" w:type="dxa"/>
                  <w:tcBorders>
                    <w:tl2br w:val="nil"/>
                    <w:tr2bl w:val="nil"/>
                  </w:tcBorders>
                  <w:vAlign w:val="center"/>
                </w:tcPr>
                <w:p w14:paraId="70435A2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园区规划</w:t>
                  </w:r>
                </w:p>
              </w:tc>
              <w:tc>
                <w:tcPr>
                  <w:tcW w:w="2283" w:type="dxa"/>
                  <w:tcBorders>
                    <w:tl2br w:val="nil"/>
                    <w:tr2bl w:val="nil"/>
                  </w:tcBorders>
                  <w:vAlign w:val="center"/>
                </w:tcPr>
                <w:p w14:paraId="2BA6640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本项目情况</w:t>
                  </w:r>
                </w:p>
              </w:tc>
              <w:tc>
                <w:tcPr>
                  <w:tcW w:w="571" w:type="dxa"/>
                  <w:tcBorders>
                    <w:tl2br w:val="nil"/>
                    <w:tr2bl w:val="nil"/>
                  </w:tcBorders>
                </w:tcPr>
                <w:p w14:paraId="01AAE61A">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符合性</w:t>
                  </w:r>
                </w:p>
              </w:tc>
            </w:tr>
            <w:tr w14:paraId="47C2F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2" w:hRule="atLeast"/>
              </w:trPr>
              <w:tc>
                <w:tcPr>
                  <w:tcW w:w="554" w:type="dxa"/>
                  <w:tcBorders>
                    <w:tl2br w:val="nil"/>
                    <w:tr2bl w:val="nil"/>
                  </w:tcBorders>
                  <w:vAlign w:val="center"/>
                </w:tcPr>
                <w:p w14:paraId="749E115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3530" w:type="dxa"/>
                  <w:tcBorders>
                    <w:tl2br w:val="nil"/>
                    <w:tr2bl w:val="nil"/>
                  </w:tcBorders>
                  <w:vAlign w:val="center"/>
                </w:tcPr>
                <w:p w14:paraId="35F34280">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依托甘其毛都口岸进口资源，重点发展煤化工和金属冶炼为主导产业的国家级进口战略资源加工园区。并积极打造三大基地：国家级承接蒙古国矿产资源加工基地；黄河中游地区重要的能源化工、有色金属基地；内蒙古自治区以呼包鄂为核心沿黄河沿交通干线经济带循环经济示范基地。</w:t>
                  </w:r>
                </w:p>
              </w:tc>
              <w:tc>
                <w:tcPr>
                  <w:tcW w:w="2283" w:type="dxa"/>
                  <w:tcBorders>
                    <w:tl2br w:val="nil"/>
                    <w:tr2bl w:val="nil"/>
                  </w:tcBorders>
                  <w:vAlign w:val="center"/>
                </w:tcPr>
                <w:p w14:paraId="1817CF78">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本项目位于神华巴彦淖尔能源有限责任公司焦化厂</w:t>
                  </w:r>
                  <w:r>
                    <w:rPr>
                      <w:rFonts w:hint="eastAsia"/>
                      <w:color w:val="000000" w:themeColor="text1"/>
                      <w:sz w:val="21"/>
                      <w:szCs w:val="21"/>
                      <w:highlight w:val="none"/>
                      <w:lang w:val="en-US" w:eastAsia="zh-CN"/>
                      <w14:textFill>
                        <w14:solidFill>
                          <w14:schemeClr w14:val="tx1"/>
                        </w14:solidFill>
                      </w14:textFill>
                    </w:rPr>
                    <w:t>现有厂区内，新建乙类库用于焦化厂煤气脱硫净化过程产生的硫磺临时贮存使用。该公司以煤焦化为核心，突出发展副产焦炉煤气、煤焦油、粗苯的深加工及综合利用。符合园区关于重点发展煤化工的产业发展规划。本项目作为厂区配套工程，也符合园区整体发展方向。</w:t>
                  </w:r>
                </w:p>
              </w:tc>
              <w:tc>
                <w:tcPr>
                  <w:tcW w:w="571" w:type="dxa"/>
                  <w:tcBorders>
                    <w:tl2br w:val="nil"/>
                    <w:tr2bl w:val="nil"/>
                  </w:tcBorders>
                  <w:vAlign w:val="center"/>
                </w:tcPr>
                <w:p w14:paraId="74AA7892">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14:paraId="75694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554" w:type="dxa"/>
                  <w:tcBorders>
                    <w:tl2br w:val="nil"/>
                    <w:tr2bl w:val="nil"/>
                  </w:tcBorders>
                  <w:vAlign w:val="center"/>
                </w:tcPr>
                <w:p w14:paraId="4EEFAA17">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3530" w:type="dxa"/>
                  <w:tcBorders>
                    <w:tl2br w:val="nil"/>
                    <w:tr2bl w:val="nil"/>
                  </w:tcBorders>
                  <w:vAlign w:val="center"/>
                </w:tcPr>
                <w:p w14:paraId="33209F88">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园区规划结构为“一轴、二带、五个产业集群”，其中“一轴”指加工园区以主干道中轴路为重要的发展轴，也是各个主要的联系功能轴；“二带”指根据园区化工产业的特殊要求，结合地形，利用河槽及其周边绿地作为原生态隔离保护带；“五个产业集群”指加工园区内的重点发展的五个产业区集群，分别是煤化工产业（洗选及焦化）集群、金属冶炼及深加工产业集群、非金属深加工产业集群、能源电力集群、装备制造产业集群。</w:t>
                  </w:r>
                </w:p>
              </w:tc>
              <w:tc>
                <w:tcPr>
                  <w:tcW w:w="2283" w:type="dxa"/>
                  <w:tcBorders>
                    <w:tl2br w:val="nil"/>
                    <w:tr2bl w:val="nil"/>
                  </w:tcBorders>
                  <w:vAlign w:val="center"/>
                </w:tcPr>
                <w:p w14:paraId="53F4E2CA">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w:t>
                  </w:r>
                  <w:r>
                    <w:rPr>
                      <w:rFonts w:hint="eastAsia"/>
                      <w:color w:val="000000" w:themeColor="text1"/>
                      <w:sz w:val="21"/>
                      <w:szCs w:val="21"/>
                      <w:highlight w:val="none"/>
                      <w:lang w:val="en-US" w:eastAsia="zh-CN"/>
                      <w14:textFill>
                        <w14:solidFill>
                          <w14:schemeClr w14:val="tx1"/>
                        </w14:solidFill>
                      </w14:textFill>
                    </w:rPr>
                    <w:t>现有规划煤化工产业（洗选及焦化）集群内，该产业集群重点发展煤炭洗选、煤焦化及其下游项目。本项目为厂区配套工程，也符合园区该集群的发展方向。</w:t>
                  </w:r>
                </w:p>
              </w:tc>
              <w:tc>
                <w:tcPr>
                  <w:tcW w:w="571" w:type="dxa"/>
                  <w:tcBorders>
                    <w:tl2br w:val="nil"/>
                    <w:tr2bl w:val="nil"/>
                  </w:tcBorders>
                  <w:vAlign w:val="center"/>
                </w:tcPr>
                <w:p w14:paraId="1C42BF7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14:paraId="15EDC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dxa"/>
                  <w:tcBorders>
                    <w:tl2br w:val="nil"/>
                    <w:tr2bl w:val="nil"/>
                  </w:tcBorders>
                  <w:vAlign w:val="center"/>
                </w:tcPr>
                <w:p w14:paraId="2154EF3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3530" w:type="dxa"/>
                  <w:tcBorders>
                    <w:tl2br w:val="nil"/>
                    <w:tr2bl w:val="nil"/>
                  </w:tcBorders>
                  <w:vAlign w:val="center"/>
                </w:tcPr>
                <w:p w14:paraId="2720B16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园区功能分区分为生产区、综合配套服务区。其中生产区是园区的主体功能区。根据规划结构对应每个产业集聚形成五个产业集聚组团，包括煤化工产业（洗选、焦化及其下游）、金属冶炼及深加工产业组团、非金属深加工产业组团、能源电力组团和装备制造产业组团。</w:t>
                  </w:r>
                </w:p>
              </w:tc>
              <w:tc>
                <w:tcPr>
                  <w:tcW w:w="2283" w:type="dxa"/>
                  <w:tcBorders>
                    <w:tl2br w:val="nil"/>
                    <w:tr2bl w:val="nil"/>
                  </w:tcBorders>
                  <w:vAlign w:val="center"/>
                </w:tcPr>
                <w:p w14:paraId="4C2A407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w:t>
                  </w:r>
                  <w:r>
                    <w:rPr>
                      <w:rFonts w:hint="eastAsia"/>
                      <w:color w:val="000000" w:themeColor="text1"/>
                      <w:sz w:val="21"/>
                      <w:szCs w:val="21"/>
                      <w:highlight w:val="none"/>
                      <w:lang w:val="en-US" w:eastAsia="zh-CN"/>
                      <w14:textFill>
                        <w14:solidFill>
                          <w14:schemeClr w14:val="tx1"/>
                        </w14:solidFill>
                      </w14:textFill>
                    </w:rPr>
                    <w:t>煤化工产业（洗选及焦化）集聚组团内，该组团重点发展煤炭洗选、煤焦化及其下游项目。本项目作为厂区配套工程，也符合园区该组团的发展方向。</w:t>
                  </w:r>
                </w:p>
              </w:tc>
              <w:tc>
                <w:tcPr>
                  <w:tcW w:w="571" w:type="dxa"/>
                  <w:tcBorders>
                    <w:tl2br w:val="nil"/>
                    <w:tr2bl w:val="nil"/>
                  </w:tcBorders>
                  <w:vAlign w:val="center"/>
                </w:tcPr>
                <w:p w14:paraId="3DE9889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bl>
          <w:p w14:paraId="0C9D360C">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综上所述，本项目的建设符合</w:t>
            </w:r>
            <w:r>
              <w:rPr>
                <w:rFonts w:hint="eastAsia"/>
                <w:color w:val="000000" w:themeColor="text1"/>
                <w:highlight w:val="none"/>
                <w:lang w:val="en-US" w:eastAsia="zh-CN"/>
                <w14:textFill>
                  <w14:solidFill>
                    <w14:schemeClr w14:val="tx1"/>
                  </w14:solidFill>
                </w14:textFill>
              </w:rPr>
              <w:t>园区</w:t>
            </w:r>
            <w:r>
              <w:rPr>
                <w:rFonts w:hint="default"/>
                <w:color w:val="000000" w:themeColor="text1"/>
                <w:highlight w:val="none"/>
                <w14:textFill>
                  <w14:solidFill>
                    <w14:schemeClr w14:val="tx1"/>
                  </w14:solidFill>
                </w14:textFill>
              </w:rPr>
              <w:t>规划要求。</w:t>
            </w:r>
          </w:p>
          <w:p w14:paraId="4C9852E0">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根据《内蒙古巴彦淖尔进口资源加工开发区（甘其毛都口岸园）总体规划（2022-2035 年）》，本项目主体位于新型化工产业板块，项目占地类型为工业用地，本项目为厂区配套工程，因此也符合规划要求。</w:t>
            </w:r>
          </w:p>
          <w:p w14:paraId="22C07008">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符合园区规划要求。</w:t>
            </w:r>
          </w:p>
          <w:p w14:paraId="2D94E948">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2、与园区规划环评</w:t>
            </w:r>
            <w:r>
              <w:rPr>
                <w:rFonts w:hint="eastAsia"/>
                <w:b/>
                <w:bCs/>
                <w:color w:val="000000" w:themeColor="text1"/>
                <w:highlight w:val="none"/>
                <w14:textFill>
                  <w14:solidFill>
                    <w14:schemeClr w14:val="tx1"/>
                  </w14:solidFill>
                </w14:textFill>
              </w:rPr>
              <w:t>及</w:t>
            </w:r>
            <w:r>
              <w:rPr>
                <w:rFonts w:hint="default"/>
                <w:b/>
                <w:bCs/>
                <w:color w:val="000000" w:themeColor="text1"/>
                <w:highlight w:val="none"/>
                <w14:textFill>
                  <w14:solidFill>
                    <w14:schemeClr w14:val="tx1"/>
                  </w14:solidFill>
                </w14:textFill>
              </w:rPr>
              <w:t>审查意见符合性分析</w:t>
            </w:r>
          </w:p>
          <w:p w14:paraId="22DBDD3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2011年11月，巴彦淖尔市甘其毛都口岸加工园区（基地）管委会委托内蒙古自治区环境科学研究院编制了《甘其毛都口岸加工园区总体规划环境影响报告书》，并于2012年5月31日，取得了原内蒙古自治区环境保护厅《关于甘其毛都口岸加工园区总体规划环境影响报告书审查的意见》。目前，《</w:t>
            </w:r>
            <w:r>
              <w:rPr>
                <w:rFonts w:hint="eastAsia" w:ascii="Times New Roman" w:hAnsi="Times New Roman"/>
                <w:color w:val="000000" w:themeColor="text1"/>
                <w:highlight w:val="none"/>
                <w14:textFill>
                  <w14:solidFill>
                    <w14:schemeClr w14:val="tx1"/>
                  </w14:solidFill>
                </w14:textFill>
              </w:rPr>
              <w:t>巴彦淖尔甘其毛都口岸加工园区国土空间总体规划（2022-2035年）</w:t>
            </w:r>
            <w:r>
              <w:rPr>
                <w:rFonts w:hint="eastAsia"/>
                <w:color w:val="000000" w:themeColor="text1"/>
                <w:highlight w:val="none"/>
                <w14:textFill>
                  <w14:solidFill>
                    <w14:schemeClr w14:val="tx1"/>
                  </w14:solidFill>
                </w14:textFill>
              </w:rPr>
              <w:t>环境影响报告书》正在编制中</w:t>
            </w:r>
            <w:r>
              <w:rPr>
                <w:rFonts w:hint="default"/>
                <w:color w:val="000000" w:themeColor="text1"/>
                <w:highlight w:val="none"/>
                <w14:textFill>
                  <w14:solidFill>
                    <w14:schemeClr w14:val="tx1"/>
                  </w14:solidFill>
                </w14:textFill>
              </w:rPr>
              <w:t>，符合性分析见下表。</w:t>
            </w:r>
          </w:p>
          <w:p w14:paraId="0B2F70B2">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项目与园区规划环评审查意见</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与项目有关条款）</w:t>
            </w:r>
            <w:r>
              <w:rPr>
                <w:rFonts w:hint="default" w:ascii="Times New Roman" w:hAnsi="Times New Roman" w:cs="Times New Roman"/>
                <w:b/>
                <w:bCs/>
                <w:color w:val="000000" w:themeColor="text1"/>
                <w:sz w:val="21"/>
                <w:szCs w:val="21"/>
                <w:highlight w:val="none"/>
                <w14:textFill>
                  <w14:solidFill>
                    <w14:schemeClr w14:val="tx1"/>
                  </w14:solidFill>
                </w14:textFill>
              </w:rPr>
              <w:t>对比表</w:t>
            </w:r>
          </w:p>
          <w:tbl>
            <w:tblPr>
              <w:tblStyle w:val="88"/>
              <w:tblW w:w="67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78"/>
              <w:gridCol w:w="3397"/>
              <w:gridCol w:w="2597"/>
              <w:gridCol w:w="407"/>
            </w:tblGrid>
            <w:tr w14:paraId="44884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3775" w:type="dxa"/>
                  <w:gridSpan w:val="2"/>
                  <w:tcBorders>
                    <w:tl2br w:val="nil"/>
                    <w:tr2bl w:val="nil"/>
                  </w:tcBorders>
                  <w:noWrap/>
                  <w:vAlign w:val="center"/>
                </w:tcPr>
                <w:p w14:paraId="2C92EF67">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规划环评及审查意见</w:t>
                  </w:r>
                </w:p>
              </w:tc>
              <w:tc>
                <w:tcPr>
                  <w:tcW w:w="2597" w:type="dxa"/>
                  <w:tcBorders>
                    <w:tl2br w:val="nil"/>
                    <w:tr2bl w:val="nil"/>
                  </w:tcBorders>
                  <w:noWrap/>
                  <w:vAlign w:val="center"/>
                </w:tcPr>
                <w:p w14:paraId="1D876F96">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本项目情况</w:t>
                  </w:r>
                </w:p>
              </w:tc>
              <w:tc>
                <w:tcPr>
                  <w:tcW w:w="407" w:type="dxa"/>
                  <w:tcBorders>
                    <w:tl2br w:val="nil"/>
                    <w:tr2bl w:val="nil"/>
                  </w:tcBorders>
                  <w:noWrap/>
                  <w:vAlign w:val="center"/>
                </w:tcPr>
                <w:p w14:paraId="21537D62">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符合性</w:t>
                  </w:r>
                </w:p>
              </w:tc>
            </w:tr>
            <w:tr w14:paraId="6E11F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7" w:hRule="atLeast"/>
                <w:jc w:val="center"/>
              </w:trPr>
              <w:tc>
                <w:tcPr>
                  <w:tcW w:w="378" w:type="dxa"/>
                  <w:tcBorders>
                    <w:tl2br w:val="nil"/>
                    <w:tr2bl w:val="nil"/>
                  </w:tcBorders>
                  <w:noWrap/>
                  <w:vAlign w:val="center"/>
                </w:tcPr>
                <w:p w14:paraId="4A2909DA">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产业定位</w:t>
                  </w:r>
                </w:p>
              </w:tc>
              <w:tc>
                <w:tcPr>
                  <w:tcW w:w="3397" w:type="dxa"/>
                  <w:tcBorders>
                    <w:tl2br w:val="nil"/>
                    <w:tr2bl w:val="nil"/>
                  </w:tcBorders>
                  <w:noWrap/>
                  <w:vAlign w:val="center"/>
                </w:tcPr>
                <w:p w14:paraId="1D9C0EB4">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园区规划产业依托甘其毛都口岸进口蒙古国煤炭和铜矿资源，建设煤化工和金属冶炼为主导产业的进口战略资源加工园区，构建煤炭洗选及焦化、金属冶炼及深加工、非金属深加工、能源电力、装备制造五大产业，适度发展与园区产业配套的新能源产业。</w:t>
                  </w:r>
                </w:p>
              </w:tc>
              <w:tc>
                <w:tcPr>
                  <w:tcW w:w="2597" w:type="dxa"/>
                  <w:tcBorders>
                    <w:tl2br w:val="nil"/>
                    <w:tr2bl w:val="nil"/>
                  </w:tcBorders>
                  <w:noWrap/>
                  <w:vAlign w:val="center"/>
                </w:tcPr>
                <w:p w14:paraId="14ADD178">
                  <w:pPr>
                    <w:spacing w:line="240" w:lineRule="auto"/>
                    <w:ind w:firstLine="0" w:firstLineChars="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建设单位主导为煤焦化产业，属于园区的主导发展产业之一，本项目作为厂区配套工程，也符合园区的发展方向。</w:t>
                  </w:r>
                </w:p>
              </w:tc>
              <w:tc>
                <w:tcPr>
                  <w:tcW w:w="407" w:type="dxa"/>
                  <w:tcBorders>
                    <w:tl2br w:val="nil"/>
                    <w:tr2bl w:val="nil"/>
                  </w:tcBorders>
                  <w:noWrap/>
                  <w:vAlign w:val="center"/>
                </w:tcPr>
                <w:p w14:paraId="577B1570">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B315E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378" w:type="dxa"/>
                  <w:tcBorders>
                    <w:tl2br w:val="nil"/>
                    <w:tr2bl w:val="nil"/>
                  </w:tcBorders>
                  <w:noWrap/>
                  <w:vAlign w:val="center"/>
                </w:tcPr>
                <w:p w14:paraId="789AA6BC">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产业规模</w:t>
                  </w:r>
                </w:p>
              </w:tc>
              <w:tc>
                <w:tcPr>
                  <w:tcW w:w="3397" w:type="dxa"/>
                  <w:tcBorders>
                    <w:tl2br w:val="nil"/>
                    <w:tr2bl w:val="nil"/>
                  </w:tcBorders>
                  <w:noWrap/>
                  <w:vAlign w:val="center"/>
                </w:tcPr>
                <w:p w14:paraId="65718105">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根据环境资源条件和环境容量，合理确定园区产业发展规模。园区主导产业规模近期（2025年）规划建设洗煤3000万吨/年、焦化800万吨/年、铜冶炼20万吨/年、煤矸石电厂2×660MW/年；园区（2020年）洗煤5000万吨/年、焦化1200万吨/年、铜冶炼40万吨/年、煤矸石电力4×660MW/年，并配套发展焦化副产品焦炉气、煤焦油、粗苯和冶炼副产品硫酸等产业链。</w:t>
                  </w:r>
                </w:p>
              </w:tc>
              <w:tc>
                <w:tcPr>
                  <w:tcW w:w="2597" w:type="dxa"/>
                  <w:tcBorders>
                    <w:tl2br w:val="nil"/>
                    <w:tr2bl w:val="nil"/>
                  </w:tcBorders>
                  <w:noWrap/>
                  <w:vAlign w:val="center"/>
                </w:tcPr>
                <w:p w14:paraId="698EA594">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神华巴能公司建成投用的焦化联产甲醇装置于2010年9月10日取得环评批复</w:t>
                  </w:r>
                </w:p>
                <w:p w14:paraId="0B33D6DC">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（内环审[2010]196号），2011年8月25日开工建设，2013 年底建成，2014年正式生产。生产的产品主要有焦炭、甲醇、焦油、粗苯、硫铵等。其规模为年产120万吨规模捣固焦及综合利用项目，其中备煤及焦处理系统规模240万吨/年。本项目为厂区配套工程，符合相关要求。</w:t>
                  </w:r>
                </w:p>
              </w:tc>
              <w:tc>
                <w:tcPr>
                  <w:tcW w:w="407" w:type="dxa"/>
                  <w:tcBorders>
                    <w:tl2br w:val="nil"/>
                    <w:tr2bl w:val="nil"/>
                  </w:tcBorders>
                  <w:noWrap/>
                  <w:vAlign w:val="center"/>
                </w:tcPr>
                <w:p w14:paraId="34CE0293">
                  <w:pPr>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4BD932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5" w:hRule="atLeast"/>
                <w:jc w:val="center"/>
              </w:trPr>
              <w:tc>
                <w:tcPr>
                  <w:tcW w:w="378" w:type="dxa"/>
                  <w:tcBorders>
                    <w:tl2br w:val="nil"/>
                    <w:tr2bl w:val="nil"/>
                  </w:tcBorders>
                  <w:noWrap/>
                  <w:vAlign w:val="center"/>
                </w:tcPr>
                <w:p w14:paraId="437CC38E">
                  <w:pPr>
                    <w:spacing w:line="240" w:lineRule="auto"/>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空间布局</w:t>
                  </w:r>
                </w:p>
              </w:tc>
              <w:tc>
                <w:tcPr>
                  <w:tcW w:w="3397" w:type="dxa"/>
                  <w:tcBorders>
                    <w:tl2br w:val="nil"/>
                    <w:tr2bl w:val="nil"/>
                  </w:tcBorders>
                  <w:noWrap/>
                  <w:vAlign w:val="center"/>
                </w:tcPr>
                <w:p w14:paraId="5026CC66">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园区空间结构为“一轴、二带、五个产业集群”，包括煤化工产业（洗选及焦化）、金属冶炼及深加工、非金属深加工、能源电力、装备制造五大集群。</w:t>
                  </w:r>
                </w:p>
              </w:tc>
              <w:tc>
                <w:tcPr>
                  <w:tcW w:w="2597" w:type="dxa"/>
                  <w:tcBorders>
                    <w:tl2br w:val="nil"/>
                    <w:tr2bl w:val="nil"/>
                  </w:tcBorders>
                  <w:noWrap/>
                  <w:vAlign w:val="center"/>
                </w:tcPr>
                <w:p w14:paraId="20796B06">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w:t>
                  </w:r>
                  <w:r>
                    <w:rPr>
                      <w:rFonts w:hint="eastAsia"/>
                      <w:color w:val="000000" w:themeColor="text1"/>
                      <w:sz w:val="21"/>
                      <w:szCs w:val="21"/>
                      <w:highlight w:val="none"/>
                      <w:lang w:val="en-US" w:eastAsia="zh-CN"/>
                      <w14:textFill>
                        <w14:solidFill>
                          <w14:schemeClr w14:val="tx1"/>
                        </w14:solidFill>
                      </w14:textFill>
                    </w:rPr>
                    <w:t>煤化工产业（洗选及焦化）集群内，该产业集群重点发展煤炭洗选、煤焦化及其下游项目。本项目建设主导方向符合该集群发展方向，本项目作为厂区配套工程，也符合园区该集群的发展方向。</w:t>
                  </w:r>
                </w:p>
              </w:tc>
              <w:tc>
                <w:tcPr>
                  <w:tcW w:w="407" w:type="dxa"/>
                  <w:tcBorders>
                    <w:tl2br w:val="nil"/>
                    <w:tr2bl w:val="nil"/>
                  </w:tcBorders>
                  <w:noWrap/>
                  <w:vAlign w:val="center"/>
                </w:tcPr>
                <w:p w14:paraId="581EA47B">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18B6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5" w:hRule="atLeast"/>
                <w:jc w:val="center"/>
              </w:trPr>
              <w:tc>
                <w:tcPr>
                  <w:tcW w:w="378" w:type="dxa"/>
                  <w:tcBorders>
                    <w:tl2br w:val="nil"/>
                    <w:tr2bl w:val="nil"/>
                  </w:tcBorders>
                  <w:noWrap/>
                  <w:vAlign w:val="center"/>
                </w:tcPr>
                <w:p w14:paraId="41137B91">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产业发展</w:t>
                  </w:r>
                </w:p>
              </w:tc>
              <w:tc>
                <w:tcPr>
                  <w:tcW w:w="3397" w:type="dxa"/>
                  <w:tcBorders>
                    <w:tl2br w:val="nil"/>
                    <w:tr2bl w:val="nil"/>
                  </w:tcBorders>
                  <w:noWrap/>
                  <w:vAlign w:val="center"/>
                </w:tcPr>
                <w:p w14:paraId="6AFC2A16">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积极构建园区循环经济产业链。重点建设煤炭洗选—焦化—焦炉气、煤焦油及粗笨的深加工，煤炭洗选—矸石发电—粗铜冶炼—阴极铜—铜材深加工，煤矸石、冶炼渣、粉煤灰—水泥建材—商品混凝土、水泥制品，提高产品附加值。</w:t>
                  </w:r>
                </w:p>
              </w:tc>
              <w:tc>
                <w:tcPr>
                  <w:tcW w:w="2597" w:type="dxa"/>
                  <w:tcBorders>
                    <w:tl2br w:val="nil"/>
                    <w:tr2bl w:val="nil"/>
                  </w:tcBorders>
                  <w:noWrap/>
                  <w:vAlign w:val="center"/>
                </w:tcPr>
                <w:p w14:paraId="0964A124">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本项目主体项目符合园区重点发展的“煤炭洗选—焦化—焦炉气、煤焦油及粗苯的深加工”产业链的发展方向，本项目作为厂区配套工程，也符合园区该集群的发展方向。</w:t>
                  </w:r>
                </w:p>
              </w:tc>
              <w:tc>
                <w:tcPr>
                  <w:tcW w:w="407" w:type="dxa"/>
                  <w:tcBorders>
                    <w:tl2br w:val="nil"/>
                    <w:tr2bl w:val="nil"/>
                  </w:tcBorders>
                  <w:noWrap/>
                  <w:vAlign w:val="center"/>
                </w:tcPr>
                <w:p w14:paraId="61FF113B">
                  <w:pPr>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7A47F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5" w:hRule="atLeast"/>
                <w:jc w:val="center"/>
              </w:trPr>
              <w:tc>
                <w:tcPr>
                  <w:tcW w:w="378" w:type="dxa"/>
                  <w:tcBorders>
                    <w:tl2br w:val="nil"/>
                    <w:tr2bl w:val="nil"/>
                  </w:tcBorders>
                  <w:noWrap/>
                  <w:vAlign w:val="center"/>
                </w:tcPr>
                <w:p w14:paraId="618E5221">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环境准入</w:t>
                  </w:r>
                </w:p>
              </w:tc>
              <w:tc>
                <w:tcPr>
                  <w:tcW w:w="3397" w:type="dxa"/>
                  <w:tcBorders>
                    <w:tl2br w:val="nil"/>
                    <w:tr2bl w:val="nil"/>
                  </w:tcBorders>
                  <w:noWrap/>
                  <w:vAlign w:val="center"/>
                </w:tcPr>
                <w:p w14:paraId="22EA18DB">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严格执行入园区项目的准入条件和清洁生产水平要求。现有入园项目清洁生产水平达不到要求的应进行技术改造，强化污染治理措施，满足清洁生产要求；对于国家已经颁布行业清洁生产标准的新入园企业，引入项目应达到二级标准以上。入园项目应符合国家产业政策，园区产业定位及项目引入条件，优先引入节水型项目，确保引入产业链项目配套。</w:t>
                  </w:r>
                </w:p>
              </w:tc>
              <w:tc>
                <w:tcPr>
                  <w:tcW w:w="2597" w:type="dxa"/>
                  <w:tcBorders>
                    <w:tl2br w:val="nil"/>
                    <w:tr2bl w:val="nil"/>
                  </w:tcBorders>
                  <w:noWrap/>
                  <w:vAlign w:val="center"/>
                </w:tcPr>
                <w:p w14:paraId="4749E2B2">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本项目清洁生产水平基本达到国内先进水平，满足园区准入要求。</w:t>
                  </w:r>
                </w:p>
              </w:tc>
              <w:tc>
                <w:tcPr>
                  <w:tcW w:w="407" w:type="dxa"/>
                  <w:tcBorders>
                    <w:tl2br w:val="nil"/>
                    <w:tr2bl w:val="nil"/>
                  </w:tcBorders>
                  <w:noWrap/>
                  <w:vAlign w:val="center"/>
                </w:tcPr>
                <w:p w14:paraId="228C4C21">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599E4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378" w:type="dxa"/>
                  <w:tcBorders>
                    <w:tl2br w:val="nil"/>
                    <w:tr2bl w:val="nil"/>
                  </w:tcBorders>
                  <w:noWrap/>
                  <w:vAlign w:val="center"/>
                </w:tcPr>
                <w:p w14:paraId="712AC3A8">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污染物治理</w:t>
                  </w:r>
                </w:p>
              </w:tc>
              <w:tc>
                <w:tcPr>
                  <w:tcW w:w="3397" w:type="dxa"/>
                  <w:tcBorders>
                    <w:tl2br w:val="nil"/>
                    <w:tr2bl w:val="nil"/>
                  </w:tcBorders>
                  <w:noWrap/>
                  <w:vAlign w:val="center"/>
                </w:tcPr>
                <w:p w14:paraId="7991D943">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根据园区环境容量，严格执行国家、自治区规定的本地区污染物排放总量控制指标。园区主要污染物排放总量SO</w:t>
                  </w:r>
                  <w:r>
                    <w:rPr>
                      <w:rFonts w:hint="eastAsia"/>
                      <w:color w:val="000000" w:themeColor="text1"/>
                      <w:sz w:val="21"/>
                      <w:szCs w:val="21"/>
                      <w:highlight w:val="none"/>
                      <w:vertAlign w:val="sub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应控制在10672吨/年以下，NOx排放总量控制在7115吨/年以下，焦化行业特征污染物苯并芘排放总量应控制在360千克/年一下。生产生活废水全部回用，不外排。严格实行减排目标考核责任制，实行重点污染源在线监控。</w:t>
                  </w:r>
                </w:p>
              </w:tc>
              <w:tc>
                <w:tcPr>
                  <w:tcW w:w="2597" w:type="dxa"/>
                  <w:tcBorders>
                    <w:tl2br w:val="nil"/>
                    <w:tr2bl w:val="nil"/>
                  </w:tcBorders>
                  <w:noWrap/>
                  <w:vAlign w:val="center"/>
                </w:tcPr>
                <w:p w14:paraId="7CDD4BD7">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神华巴能公司目前SO</w:t>
                  </w:r>
                  <w:r>
                    <w:rPr>
                      <w:rFonts w:hint="eastAsia"/>
                      <w:color w:val="000000" w:themeColor="text1"/>
                      <w:sz w:val="21"/>
                      <w:szCs w:val="21"/>
                      <w:highlight w:val="none"/>
                      <w:vertAlign w:val="sub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及NOx排放总量分别为171.31t/a、413.41t/a，占园区允许排放总量的1.6%、5.81%，占比较小；项目生产废水、生活污水等全部进入厂区自建污水处理设施，处理达标后回用。项目主体建设内容符合园区污染物治理相关要求。</w:t>
                  </w:r>
                </w:p>
              </w:tc>
              <w:tc>
                <w:tcPr>
                  <w:tcW w:w="407" w:type="dxa"/>
                  <w:tcBorders>
                    <w:tl2br w:val="nil"/>
                    <w:tr2bl w:val="nil"/>
                  </w:tcBorders>
                  <w:noWrap/>
                  <w:vAlign w:val="center"/>
                </w:tcPr>
                <w:p w14:paraId="0D09AE91">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183F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3" w:hRule="atLeast"/>
                <w:jc w:val="center"/>
              </w:trPr>
              <w:tc>
                <w:tcPr>
                  <w:tcW w:w="378" w:type="dxa"/>
                  <w:tcBorders>
                    <w:tl2br w:val="nil"/>
                    <w:tr2bl w:val="nil"/>
                  </w:tcBorders>
                  <w:noWrap/>
                  <w:vAlign w:val="center"/>
                </w:tcPr>
                <w:p w14:paraId="43312320">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供热规划</w:t>
                  </w:r>
                </w:p>
              </w:tc>
              <w:tc>
                <w:tcPr>
                  <w:tcW w:w="3397" w:type="dxa"/>
                  <w:tcBorders>
                    <w:tl2br w:val="nil"/>
                    <w:tr2bl w:val="nil"/>
                  </w:tcBorders>
                  <w:noWrap/>
                  <w:vAlign w:val="center"/>
                </w:tcPr>
                <w:p w14:paraId="310B711E">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抓紧淘汰落后小锅炉，实现园区集中供热、供气。</w:t>
                  </w:r>
                </w:p>
              </w:tc>
              <w:tc>
                <w:tcPr>
                  <w:tcW w:w="2597" w:type="dxa"/>
                  <w:tcBorders>
                    <w:tl2br w:val="nil"/>
                    <w:tr2bl w:val="nil"/>
                  </w:tcBorders>
                  <w:noWrap/>
                  <w:vAlign w:val="center"/>
                </w:tcPr>
                <w:p w14:paraId="4D77B8AA">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本项目为厂区配套工程，不涉及供热工程。</w:t>
                  </w:r>
                </w:p>
              </w:tc>
              <w:tc>
                <w:tcPr>
                  <w:tcW w:w="407" w:type="dxa"/>
                  <w:tcBorders>
                    <w:tl2br w:val="nil"/>
                    <w:tr2bl w:val="nil"/>
                  </w:tcBorders>
                  <w:noWrap/>
                  <w:vAlign w:val="center"/>
                </w:tcPr>
                <w:p w14:paraId="06410251">
                  <w:pPr>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bl>
          <w:p w14:paraId="1AFDD499">
            <w:pPr>
              <w:keepNext w:val="0"/>
              <w:keepLines w:val="0"/>
              <w:suppressLineNumbers w:val="0"/>
              <w:autoSpaceDE w:val="0"/>
              <w:autoSpaceDN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综上所述，项目符合</w:t>
            </w:r>
            <w:r>
              <w:rPr>
                <w:rFonts w:hint="eastAsia" w:ascii="Times New Roman" w:hAnsi="Times New Roman"/>
                <w:color w:val="000000" w:themeColor="text1"/>
                <w:highlight w:val="none"/>
                <w14:textFill>
                  <w14:solidFill>
                    <w14:schemeClr w14:val="tx1"/>
                  </w14:solidFill>
                </w14:textFill>
              </w:rPr>
              <w:t>甘其毛都口岸加工园区总体规划</w:t>
            </w:r>
            <w:r>
              <w:rPr>
                <w:rFonts w:hint="eastAsia"/>
                <w:color w:val="000000" w:themeColor="text1"/>
                <w:highlight w:val="none"/>
                <w14:textFill>
                  <w14:solidFill>
                    <w14:schemeClr w14:val="tx1"/>
                  </w14:solidFill>
                </w14:textFill>
              </w:rPr>
              <w:t>环境影响报告书的审查意见</w:t>
            </w:r>
            <w:r>
              <w:rPr>
                <w:rFonts w:hint="default"/>
                <w:color w:val="000000" w:themeColor="text1"/>
                <w:highlight w:val="none"/>
                <w14:textFill>
                  <w14:solidFill>
                    <w14:schemeClr w14:val="tx1"/>
                  </w14:solidFill>
                </w14:textFill>
              </w:rPr>
              <w:t>的要求。</w:t>
            </w:r>
          </w:p>
        </w:tc>
      </w:tr>
      <w:tr w14:paraId="58FE1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2" w:type="dxa"/>
            <w:noWrap/>
            <w:vAlign w:val="center"/>
          </w:tcPr>
          <w:p w14:paraId="067D68F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000000" w:themeColor="text1"/>
                <w:kern w:val="0"/>
                <w:highlight w:val="none"/>
                <w14:textFill>
                  <w14:solidFill>
                    <w14:schemeClr w14:val="tx1"/>
                  </w14:solidFill>
                </w14:textFill>
              </w:rPr>
            </w:pPr>
            <w:r>
              <w:rPr>
                <w:rFonts w:hint="default" w:hAnsi="宋体"/>
                <w:color w:val="000000" w:themeColor="text1"/>
                <w:kern w:val="0"/>
                <w:highlight w:val="none"/>
                <w14:textFill>
                  <w14:solidFill>
                    <w14:schemeClr w14:val="tx1"/>
                  </w14:solidFill>
                </w14:textFill>
              </w:rPr>
              <w:t>其他符合性分析</w:t>
            </w:r>
          </w:p>
        </w:tc>
        <w:tc>
          <w:tcPr>
            <w:tcW w:w="7107" w:type="dxa"/>
            <w:gridSpan w:val="3"/>
            <w:noWrap/>
            <w:vAlign w:val="center"/>
          </w:tcPr>
          <w:p w14:paraId="19558DCA">
            <w:pPr>
              <w:keepNext w:val="0"/>
              <w:keepLines w:val="0"/>
              <w:suppressLineNumbers w:val="0"/>
              <w:autoSpaceDE w:val="0"/>
              <w:autoSpaceDN w:val="0"/>
              <w:adjustRightInd w:val="0"/>
              <w:snapToGrid w:val="0"/>
              <w:spacing w:before="0" w:beforeAutospacing="0" w:after="0" w:afterAutospacing="0"/>
              <w:ind w:left="0" w:right="0" w:firstLine="0" w:firstLineChars="0"/>
              <w:jc w:val="left"/>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 xml:space="preserve">1. </w:t>
            </w:r>
            <w:r>
              <w:rPr>
                <w:rFonts w:hint="eastAsia"/>
                <w:b/>
                <w:bCs/>
                <w:color w:val="000000" w:themeColor="text1"/>
                <w:highlight w:val="none"/>
                <w14:textFill>
                  <w14:solidFill>
                    <w14:schemeClr w14:val="tx1"/>
                  </w14:solidFill>
                </w14:textFill>
              </w:rPr>
              <w:t>产业政策相符性分析</w:t>
            </w:r>
          </w:p>
          <w:p w14:paraId="72429BCD">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本项目为新建</w:t>
            </w:r>
            <w:r>
              <w:rPr>
                <w:rFonts w:hint="eastAsia"/>
                <w:color w:val="000000" w:themeColor="text1"/>
                <w:highlight w:val="none"/>
                <w:lang w:val="en-US" w:eastAsia="zh-CN"/>
                <w14:textFill>
                  <w14:solidFill>
                    <w14:schemeClr w14:val="tx1"/>
                  </w14:solidFill>
                </w14:textFill>
              </w:rPr>
              <w:t>乙类</w:t>
            </w:r>
            <w:r>
              <w:rPr>
                <w:rFonts w:hint="eastAsia"/>
                <w:color w:val="000000" w:themeColor="text1"/>
                <w:highlight w:val="none"/>
                <w14:textFill>
                  <w14:solidFill>
                    <w14:schemeClr w14:val="tx1"/>
                  </w14:solidFill>
                </w14:textFill>
              </w:rPr>
              <w:t>仓库项目，行业类别为G5942 危险化学品仓储，根据《产业结构调整指导目录（2024 年本）》要求，本项目不属于鼓励类、限制类、淘汰类，属于允许类产业。本项目于2024年</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日取得了项目备案告知书，项目代码为2406-150824-04-01-602164，</w:t>
            </w:r>
            <w:r>
              <w:rPr>
                <w:rFonts w:hint="eastAsia"/>
                <w:color w:val="000000" w:themeColor="text1"/>
                <w:highlight w:val="none"/>
                <w:lang w:val="en-US" w:eastAsia="zh-CN"/>
                <w14:textFill>
                  <w14:solidFill>
                    <w14:schemeClr w14:val="tx1"/>
                  </w14:solidFill>
                </w14:textFill>
              </w:rPr>
              <w:t>明确项目建设</w:t>
            </w:r>
            <w:r>
              <w:rPr>
                <w:rFonts w:hint="eastAsia"/>
                <w:color w:val="000000" w:themeColor="text1"/>
                <w:highlight w:val="none"/>
                <w14:textFill>
                  <w14:solidFill>
                    <w14:schemeClr w14:val="tx1"/>
                  </w14:solidFill>
                </w14:textFill>
              </w:rPr>
              <w:t>符合</w:t>
            </w:r>
            <w:r>
              <w:rPr>
                <w:rFonts w:hint="eastAsia"/>
                <w:color w:val="000000" w:themeColor="text1"/>
                <w:highlight w:val="none"/>
                <w:lang w:val="en-US" w:eastAsia="zh-CN"/>
                <w14:textFill>
                  <w14:solidFill>
                    <w14:schemeClr w14:val="tx1"/>
                  </w14:solidFill>
                </w14:textFill>
              </w:rPr>
              <w:t>国民经济和社会发展总体规划、专项规划、区域规划、产业政策、市场准入标准、资源开发、能耗与环境管理等要求，准予备案。</w:t>
            </w:r>
          </w:p>
          <w:p w14:paraId="75365EEA">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因此，项目建设符合国家产业政策。</w:t>
            </w:r>
          </w:p>
          <w:p w14:paraId="1E753D17">
            <w:pPr>
              <w:keepNext w:val="0"/>
              <w:keepLines w:val="0"/>
              <w:numPr>
                <w:ilvl w:val="0"/>
                <w:numId w:val="3"/>
              </w:numPr>
              <w:suppressLineNumbers w:val="0"/>
              <w:autoSpaceDE w:val="0"/>
              <w:autoSpaceDN w:val="0"/>
              <w:adjustRightInd w:val="0"/>
              <w:snapToGrid w:val="0"/>
              <w:spacing w:before="0" w:beforeAutospacing="0" w:after="0" w:afterAutospacing="0"/>
              <w:ind w:left="0" w:right="0" w:firstLine="0" w:firstLineChars="0"/>
              <w:jc w:val="left"/>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与“三线一单”相符性分析</w:t>
            </w:r>
          </w:p>
          <w:p w14:paraId="2C3DBF97">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2023年12月26日巴彦淖尔市人民政府发布的《巴彦淖尔市人民政府办公室关于巴彦淖尔市2023年生态环境分区管控成果动态更新的通知》（巴政办字【2023】106号），巴彦淖尔市全市共划定环境管控单元256个，包括优先保护单元、重点管控单元、一般管控单元三类。</w:t>
            </w:r>
          </w:p>
          <w:p w14:paraId="09F72C7B">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1）生态环境空间管控</w:t>
            </w:r>
          </w:p>
          <w:p w14:paraId="4FF068DC">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本项目位于甘其毛都口岸加工园区神华巴彦淖尔能源有限责任公司焦化厂厂区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default"/>
                <w:color w:val="000000" w:themeColor="text1"/>
                <w:highlight w:val="none"/>
                <w14:textFill>
                  <w14:solidFill>
                    <w14:schemeClr w14:val="tx1"/>
                  </w14:solidFill>
                </w14:textFill>
              </w:rPr>
              <w:t>，隶属于巴彦淖尔市</w:t>
            </w:r>
            <w:r>
              <w:rPr>
                <w:rFonts w:hint="eastAsia"/>
                <w:color w:val="000000" w:themeColor="text1"/>
                <w:highlight w:val="none"/>
                <w:lang w:val="en-US" w:eastAsia="zh-CN"/>
                <w14:textFill>
                  <w14:solidFill>
                    <w14:schemeClr w14:val="tx1"/>
                  </w14:solidFill>
                </w14:textFill>
              </w:rPr>
              <w:t>乌拉特中旗</w:t>
            </w:r>
            <w:r>
              <w:rPr>
                <w:rFonts w:hint="default"/>
                <w:color w:val="000000" w:themeColor="text1"/>
                <w:highlight w:val="none"/>
                <w14:textFill>
                  <w14:solidFill>
                    <w14:schemeClr w14:val="tx1"/>
                  </w14:solidFill>
                </w14:textFill>
              </w:rPr>
              <w:t>管辖，本项目与巴彦淖尔市环境管控单元位置关系见下图。</w:t>
            </w:r>
          </w:p>
          <w:p w14:paraId="298C69BD">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1-3</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巴彦淖尔市环境分区总体管控要求分析表</w:t>
            </w:r>
          </w:p>
          <w:tbl>
            <w:tblPr>
              <w:tblStyle w:val="28"/>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34"/>
              <w:gridCol w:w="3553"/>
              <w:gridCol w:w="1816"/>
            </w:tblGrid>
            <w:tr w14:paraId="1DE5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34" w:type="dxa"/>
                  <w:noWrap w:val="0"/>
                  <w:vAlign w:val="center"/>
                </w:tcPr>
                <w:p w14:paraId="44EEC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b/>
                      <w:bCs/>
                      <w:color w:val="000000" w:themeColor="text1"/>
                      <w:sz w:val="21"/>
                      <w:szCs w:val="21"/>
                      <w14:textFill>
                        <w14:solidFill>
                          <w14:schemeClr w14:val="tx1"/>
                        </w14:solidFill>
                      </w14:textFill>
                    </w:rPr>
                  </w:pPr>
                  <w:r>
                    <w:rPr>
                      <w:rFonts w:hint="default" w:ascii="Arial" w:hAnsi="Arial" w:cs="Arial"/>
                      <w:b/>
                      <w:bCs/>
                      <w:color w:val="000000" w:themeColor="text1"/>
                      <w:spacing w:val="-2"/>
                      <w:sz w:val="21"/>
                      <w:szCs w:val="21"/>
                      <w14:textFill>
                        <w14:solidFill>
                          <w14:schemeClr w14:val="tx1"/>
                        </w14:solidFill>
                      </w14:textFill>
                    </w:rPr>
                    <w:t>区域</w:t>
                  </w:r>
                </w:p>
              </w:tc>
              <w:tc>
                <w:tcPr>
                  <w:tcW w:w="3553" w:type="dxa"/>
                  <w:noWrap w:val="0"/>
                  <w:vAlign w:val="center"/>
                </w:tcPr>
                <w:p w14:paraId="30363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b/>
                      <w:bCs/>
                      <w:color w:val="000000" w:themeColor="text1"/>
                      <w:sz w:val="21"/>
                      <w:szCs w:val="21"/>
                      <w14:textFill>
                        <w14:solidFill>
                          <w14:schemeClr w14:val="tx1"/>
                        </w14:solidFill>
                      </w14:textFill>
                    </w:rPr>
                  </w:pPr>
                  <w:r>
                    <w:rPr>
                      <w:rFonts w:hint="default" w:ascii="Arial" w:hAnsi="Arial" w:cs="Arial"/>
                      <w:b/>
                      <w:bCs/>
                      <w:color w:val="000000" w:themeColor="text1"/>
                      <w:spacing w:val="12"/>
                      <w:sz w:val="21"/>
                      <w:szCs w:val="21"/>
                      <w14:textFill>
                        <w14:solidFill>
                          <w14:schemeClr w14:val="tx1"/>
                        </w14:solidFill>
                      </w14:textFill>
                    </w:rPr>
                    <w:t>总</w:t>
                  </w:r>
                  <w:r>
                    <w:rPr>
                      <w:rFonts w:hint="default" w:ascii="Arial" w:hAnsi="Arial" w:cs="Arial"/>
                      <w:b/>
                      <w:bCs/>
                      <w:color w:val="000000" w:themeColor="text1"/>
                      <w:spacing w:val="9"/>
                      <w:sz w:val="21"/>
                      <w:szCs w:val="21"/>
                      <w14:textFill>
                        <w14:solidFill>
                          <w14:schemeClr w14:val="tx1"/>
                        </w14:solidFill>
                      </w14:textFill>
                    </w:rPr>
                    <w:t>体生态环境管控要求</w:t>
                  </w:r>
                </w:p>
              </w:tc>
              <w:tc>
                <w:tcPr>
                  <w:tcW w:w="1816" w:type="dxa"/>
                  <w:noWrap w:val="0"/>
                  <w:vAlign w:val="center"/>
                </w:tcPr>
                <w:p w14:paraId="3ACDB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b/>
                      <w:bCs/>
                      <w:color w:val="000000" w:themeColor="text1"/>
                      <w:sz w:val="21"/>
                      <w:szCs w:val="21"/>
                      <w14:textFill>
                        <w14:solidFill>
                          <w14:schemeClr w14:val="tx1"/>
                        </w14:solidFill>
                      </w14:textFill>
                    </w:rPr>
                  </w:pPr>
                  <w:r>
                    <w:rPr>
                      <w:rFonts w:hint="default" w:ascii="Arial" w:hAnsi="Arial" w:cs="Arial"/>
                      <w:b/>
                      <w:bCs/>
                      <w:color w:val="000000" w:themeColor="text1"/>
                      <w:spacing w:val="9"/>
                      <w:sz w:val="21"/>
                      <w:szCs w:val="21"/>
                      <w14:textFill>
                        <w14:solidFill>
                          <w14:schemeClr w14:val="tx1"/>
                        </w14:solidFill>
                      </w14:textFill>
                    </w:rPr>
                    <w:t>符</w:t>
                  </w:r>
                  <w:r>
                    <w:rPr>
                      <w:rFonts w:hint="default" w:ascii="Arial" w:hAnsi="Arial" w:cs="Arial"/>
                      <w:b/>
                      <w:bCs/>
                      <w:color w:val="000000" w:themeColor="text1"/>
                      <w:spacing w:val="8"/>
                      <w:sz w:val="21"/>
                      <w:szCs w:val="21"/>
                      <w14:textFill>
                        <w14:solidFill>
                          <w14:schemeClr w14:val="tx1"/>
                        </w14:solidFill>
                      </w14:textFill>
                    </w:rPr>
                    <w:t>合性分析</w:t>
                  </w:r>
                </w:p>
              </w:tc>
            </w:tr>
            <w:tr w14:paraId="1743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7" w:hRule="atLeast"/>
                <w:jc w:val="center"/>
              </w:trPr>
              <w:tc>
                <w:tcPr>
                  <w:tcW w:w="1434" w:type="dxa"/>
                  <w:noWrap w:val="0"/>
                  <w:vAlign w:val="center"/>
                </w:tcPr>
                <w:p w14:paraId="14DE2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10"/>
                      <w:sz w:val="21"/>
                      <w:szCs w:val="21"/>
                      <w:highlight w:val="none"/>
                      <w14:textFill>
                        <w14:solidFill>
                          <w14:schemeClr w14:val="tx1"/>
                        </w14:solidFill>
                      </w14:textFill>
                    </w:rPr>
                    <w:t>优</w:t>
                  </w:r>
                  <w:r>
                    <w:rPr>
                      <w:rFonts w:hint="default" w:ascii="Arial" w:hAnsi="Arial" w:cs="Arial"/>
                      <w:color w:val="000000" w:themeColor="text1"/>
                      <w:spacing w:val="8"/>
                      <w:sz w:val="21"/>
                      <w:szCs w:val="21"/>
                      <w:highlight w:val="none"/>
                      <w14:textFill>
                        <w14:solidFill>
                          <w14:schemeClr w14:val="tx1"/>
                        </w14:solidFill>
                      </w14:textFill>
                    </w:rPr>
                    <w:t>先保护单元</w:t>
                  </w:r>
                </w:p>
              </w:tc>
              <w:tc>
                <w:tcPr>
                  <w:tcW w:w="3553" w:type="dxa"/>
                  <w:noWrap w:val="0"/>
                  <w:vAlign w:val="center"/>
                </w:tcPr>
                <w:p w14:paraId="0F2C2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2"/>
                      <w:position w:val="1"/>
                      <w:sz w:val="21"/>
                      <w:szCs w:val="21"/>
                      <w:highlight w:val="none"/>
                      <w14:textFill>
                        <w14:solidFill>
                          <w14:schemeClr w14:val="tx1"/>
                        </w14:solidFill>
                      </w14:textFill>
                    </w:rPr>
                    <w:t>共</w:t>
                  </w:r>
                  <w:r>
                    <w:rPr>
                      <w:rFonts w:hint="eastAsia" w:ascii="Arial" w:hAnsi="Arial" w:cs="Arial"/>
                      <w:color w:val="000000" w:themeColor="text1"/>
                      <w:spacing w:val="2"/>
                      <w:position w:val="1"/>
                      <w:sz w:val="21"/>
                      <w:szCs w:val="21"/>
                      <w:highlight w:val="none"/>
                      <w:lang w:val="en-US" w:eastAsia="zh-CN"/>
                      <w14:textFill>
                        <w14:solidFill>
                          <w14:schemeClr w14:val="tx1"/>
                        </w14:solidFill>
                      </w14:textFill>
                    </w:rPr>
                    <w:t>145</w:t>
                  </w:r>
                  <w:r>
                    <w:rPr>
                      <w:rFonts w:hint="default" w:ascii="Arial" w:hAnsi="Arial" w:cs="Arial"/>
                      <w:color w:val="000000" w:themeColor="text1"/>
                      <w:spacing w:val="2"/>
                      <w:position w:val="1"/>
                      <w:sz w:val="21"/>
                      <w:szCs w:val="21"/>
                      <w:highlight w:val="none"/>
                      <w14:textFill>
                        <w14:solidFill>
                          <w14:schemeClr w14:val="tx1"/>
                        </w14:solidFill>
                      </w14:textFill>
                    </w:rPr>
                    <w:t>个</w:t>
                  </w:r>
                  <w:r>
                    <w:rPr>
                      <w:rFonts w:hint="default" w:ascii="Arial" w:hAnsi="Arial" w:cs="Arial"/>
                      <w:color w:val="000000" w:themeColor="text1"/>
                      <w:spacing w:val="1"/>
                      <w:position w:val="1"/>
                      <w:sz w:val="21"/>
                      <w:szCs w:val="21"/>
                      <w:highlight w:val="none"/>
                      <w14:textFill>
                        <w14:solidFill>
                          <w14:schemeClr w14:val="tx1"/>
                        </w14:solidFill>
                      </w14:textFill>
                    </w:rPr>
                    <w:t>，面积</w:t>
                  </w:r>
                  <w:r>
                    <w:rPr>
                      <w:rFonts w:hint="eastAsia" w:ascii="Arial" w:hAnsi="Arial" w:cs="Arial"/>
                      <w:color w:val="000000" w:themeColor="text1"/>
                      <w:spacing w:val="1"/>
                      <w:position w:val="1"/>
                      <w:sz w:val="21"/>
                      <w:szCs w:val="21"/>
                      <w:highlight w:val="none"/>
                      <w:lang w:val="en-US" w:eastAsia="zh-CN"/>
                      <w14:textFill>
                        <w14:solidFill>
                          <w14:schemeClr w14:val="tx1"/>
                        </w14:solidFill>
                      </w14:textFill>
                    </w:rPr>
                    <w:t>42386.65平方千米，占全市总面积的 65.07%</w:t>
                  </w:r>
                  <w:r>
                    <w:rPr>
                      <w:rFonts w:hint="default" w:ascii="Arial" w:hAnsi="Arial" w:cs="Arial"/>
                      <w:color w:val="000000" w:themeColor="text1"/>
                      <w:spacing w:val="1"/>
                      <w:position w:val="1"/>
                      <w:sz w:val="21"/>
                      <w:szCs w:val="21"/>
                      <w:highlight w:val="none"/>
                      <w14:textFill>
                        <w14:solidFill>
                          <w14:schemeClr w14:val="tx1"/>
                        </w14:solidFill>
                      </w14:textFill>
                    </w:rPr>
                    <w:t>。主要包括我</w:t>
                  </w:r>
                  <w:r>
                    <w:rPr>
                      <w:rFonts w:hint="default" w:ascii="Arial" w:hAnsi="Arial" w:cs="Arial"/>
                      <w:color w:val="000000" w:themeColor="text1"/>
                      <w:spacing w:val="10"/>
                      <w:sz w:val="21"/>
                      <w:szCs w:val="21"/>
                      <w:highlight w:val="none"/>
                      <w14:textFill>
                        <w14:solidFill>
                          <w14:schemeClr w14:val="tx1"/>
                        </w14:solidFill>
                      </w14:textFill>
                    </w:rPr>
                    <w:t>市生</w:t>
                  </w:r>
                  <w:r>
                    <w:rPr>
                      <w:rFonts w:hint="default" w:ascii="Arial" w:hAnsi="Arial" w:cs="Arial"/>
                      <w:color w:val="000000" w:themeColor="text1"/>
                      <w:spacing w:val="6"/>
                      <w:sz w:val="21"/>
                      <w:szCs w:val="21"/>
                      <w:highlight w:val="none"/>
                      <w14:textFill>
                        <w14:solidFill>
                          <w14:schemeClr w14:val="tx1"/>
                        </w14:solidFill>
                      </w14:textFill>
                    </w:rPr>
                    <w:t>态</w:t>
                  </w:r>
                  <w:r>
                    <w:rPr>
                      <w:rFonts w:hint="default" w:ascii="Arial" w:hAnsi="Arial" w:cs="Arial"/>
                      <w:color w:val="000000" w:themeColor="text1"/>
                      <w:spacing w:val="5"/>
                      <w:sz w:val="21"/>
                      <w:szCs w:val="21"/>
                      <w:highlight w:val="none"/>
                      <w14:textFill>
                        <w14:solidFill>
                          <w14:schemeClr w14:val="tx1"/>
                        </w14:solidFill>
                      </w14:textFill>
                    </w:rPr>
                    <w:t>保护红线、自然保护地、集中式饮用水</w:t>
                  </w:r>
                  <w:r>
                    <w:rPr>
                      <w:rFonts w:hint="default" w:ascii="Arial" w:hAnsi="Arial" w:cs="Arial"/>
                      <w:color w:val="000000" w:themeColor="text1"/>
                      <w:spacing w:val="16"/>
                      <w:sz w:val="21"/>
                      <w:szCs w:val="21"/>
                      <w:highlight w:val="none"/>
                      <w14:textFill>
                        <w14:solidFill>
                          <w14:schemeClr w14:val="tx1"/>
                        </w14:solidFill>
                      </w14:textFill>
                    </w:rPr>
                    <w:t>水</w:t>
                  </w:r>
                  <w:r>
                    <w:rPr>
                      <w:rFonts w:hint="default" w:ascii="Arial" w:hAnsi="Arial" w:cs="Arial"/>
                      <w:color w:val="000000" w:themeColor="text1"/>
                      <w:spacing w:val="9"/>
                      <w:sz w:val="21"/>
                      <w:szCs w:val="21"/>
                      <w:highlight w:val="none"/>
                      <w14:textFill>
                        <w14:solidFill>
                          <w14:schemeClr w14:val="tx1"/>
                        </w14:solidFill>
                      </w14:textFill>
                    </w:rPr>
                    <w:t>源保护区等生态功能重要区和生态环境敏</w:t>
                  </w:r>
                  <w:r>
                    <w:rPr>
                      <w:rFonts w:hint="default" w:ascii="Arial" w:hAnsi="Arial" w:cs="Arial"/>
                      <w:color w:val="000000" w:themeColor="text1"/>
                      <w:spacing w:val="6"/>
                      <w:sz w:val="21"/>
                      <w:szCs w:val="21"/>
                      <w:highlight w:val="none"/>
                      <w14:textFill>
                        <w14:solidFill>
                          <w14:schemeClr w14:val="tx1"/>
                        </w14:solidFill>
                      </w14:textFill>
                    </w:rPr>
                    <w:t>感区。该区域以生态环境保护优先为原则，依法禁止或限制大规模、高强度的工业开发和</w:t>
                  </w:r>
                  <w:r>
                    <w:rPr>
                      <w:rFonts w:hint="default" w:ascii="Arial" w:hAnsi="Arial" w:cs="Arial"/>
                      <w:color w:val="000000" w:themeColor="text1"/>
                      <w:spacing w:val="2"/>
                      <w:sz w:val="21"/>
                      <w:szCs w:val="21"/>
                      <w:highlight w:val="none"/>
                      <w14:textFill>
                        <w14:solidFill>
                          <w14:schemeClr w14:val="tx1"/>
                        </w14:solidFill>
                      </w14:textFill>
                    </w:rPr>
                    <w:t>城</w:t>
                  </w:r>
                  <w:r>
                    <w:rPr>
                      <w:rFonts w:hint="default" w:ascii="Arial" w:hAnsi="Arial" w:cs="Arial"/>
                      <w:color w:val="000000" w:themeColor="text1"/>
                      <w:spacing w:val="14"/>
                      <w:sz w:val="21"/>
                      <w:szCs w:val="21"/>
                      <w:highlight w:val="none"/>
                      <w14:textFill>
                        <w14:solidFill>
                          <w14:schemeClr w14:val="tx1"/>
                        </w14:solidFill>
                      </w14:textFill>
                    </w:rPr>
                    <w:t>镇</w:t>
                  </w:r>
                  <w:r>
                    <w:rPr>
                      <w:rFonts w:hint="default" w:ascii="Arial" w:hAnsi="Arial" w:cs="Arial"/>
                      <w:color w:val="000000" w:themeColor="text1"/>
                      <w:spacing w:val="9"/>
                      <w:sz w:val="21"/>
                      <w:szCs w:val="21"/>
                      <w:highlight w:val="none"/>
                      <w14:textFill>
                        <w14:solidFill>
                          <w14:schemeClr w14:val="tx1"/>
                        </w14:solidFill>
                      </w14:textFill>
                    </w:rPr>
                    <w:t>建设，确保生态环境功能不降低</w:t>
                  </w:r>
                  <w:r>
                    <w:rPr>
                      <w:rFonts w:hint="eastAsia" w:ascii="Arial" w:hAnsi="Arial" w:cs="Arial"/>
                      <w:color w:val="000000" w:themeColor="text1"/>
                      <w:spacing w:val="9"/>
                      <w:sz w:val="21"/>
                      <w:szCs w:val="21"/>
                      <w:highlight w:val="none"/>
                      <w14:textFill>
                        <w14:solidFill>
                          <w14:schemeClr w14:val="tx1"/>
                        </w14:solidFill>
                      </w14:textFill>
                    </w:rPr>
                    <w:t>。</w:t>
                  </w:r>
                </w:p>
              </w:tc>
              <w:tc>
                <w:tcPr>
                  <w:tcW w:w="1816" w:type="dxa"/>
                  <w:vMerge w:val="restart"/>
                  <w:noWrap w:val="0"/>
                  <w:vAlign w:val="center"/>
                </w:tcPr>
                <w:p w14:paraId="484AB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14:textFill>
                        <w14:solidFill>
                          <w14:schemeClr w14:val="tx1"/>
                        </w14:solidFill>
                      </w14:textFill>
                    </w:rPr>
                  </w:pPr>
                  <w:r>
                    <w:rPr>
                      <w:rFonts w:hint="default" w:ascii="Arial" w:hAnsi="Arial" w:cs="Arial"/>
                      <w:color w:val="000000" w:themeColor="text1"/>
                      <w:spacing w:val="9"/>
                      <w:sz w:val="21"/>
                      <w:szCs w:val="21"/>
                      <w14:textFill>
                        <w14:solidFill>
                          <w14:schemeClr w14:val="tx1"/>
                        </w14:solidFill>
                      </w14:textFill>
                    </w:rPr>
                    <w:t>本项目</w:t>
                  </w:r>
                  <w:r>
                    <w:rPr>
                      <w:rFonts w:hint="eastAsia" w:ascii="Arial" w:hAnsi="Arial" w:cs="Arial"/>
                      <w:color w:val="000000" w:themeColor="text1"/>
                      <w:spacing w:val="9"/>
                      <w:sz w:val="21"/>
                      <w:szCs w:val="21"/>
                      <w14:textFill>
                        <w14:solidFill>
                          <w14:schemeClr w14:val="tx1"/>
                        </w14:solidFill>
                      </w14:textFill>
                    </w:rPr>
                    <w:t>甘其毛都口岸加工园区神华巴彦淖尔能源有限责任公司焦化厂厂区内</w:t>
                  </w:r>
                  <w:r>
                    <w:rPr>
                      <w:rFonts w:hint="default" w:ascii="Arial" w:hAnsi="Arial" w:cs="Arial"/>
                      <w:color w:val="000000" w:themeColor="text1"/>
                      <w:spacing w:val="8"/>
                      <w:sz w:val="21"/>
                      <w:szCs w:val="21"/>
                      <w14:textFill>
                        <w14:solidFill>
                          <w14:schemeClr w14:val="tx1"/>
                        </w14:solidFill>
                      </w14:textFill>
                    </w:rPr>
                    <w:t>，属于重点</w:t>
                  </w:r>
                  <w:r>
                    <w:rPr>
                      <w:rFonts w:hint="default" w:ascii="Arial" w:hAnsi="Arial" w:cs="Arial"/>
                      <w:color w:val="000000" w:themeColor="text1"/>
                      <w:spacing w:val="15"/>
                      <w:sz w:val="21"/>
                      <w:szCs w:val="21"/>
                      <w14:textFill>
                        <w14:solidFill>
                          <w14:schemeClr w14:val="tx1"/>
                        </w14:solidFill>
                      </w14:textFill>
                    </w:rPr>
                    <w:t>管</w:t>
                  </w:r>
                  <w:r>
                    <w:rPr>
                      <w:rFonts w:hint="default" w:ascii="Arial" w:hAnsi="Arial" w:cs="Arial"/>
                      <w:color w:val="000000" w:themeColor="text1"/>
                      <w:spacing w:val="8"/>
                      <w:sz w:val="21"/>
                      <w:szCs w:val="21"/>
                      <w14:textFill>
                        <w14:solidFill>
                          <w14:schemeClr w14:val="tx1"/>
                        </w14:solidFill>
                      </w14:textFill>
                    </w:rPr>
                    <w:t>控单元。项目在生产过程</w:t>
                  </w:r>
                  <w:r>
                    <w:rPr>
                      <w:rFonts w:hint="default" w:ascii="Arial" w:hAnsi="Arial" w:cs="Arial"/>
                      <w:color w:val="000000" w:themeColor="text1"/>
                      <w:spacing w:val="15"/>
                      <w:sz w:val="21"/>
                      <w:szCs w:val="21"/>
                      <w14:textFill>
                        <w14:solidFill>
                          <w14:schemeClr w14:val="tx1"/>
                        </w14:solidFill>
                      </w14:textFill>
                    </w:rPr>
                    <w:t>中</w:t>
                  </w:r>
                  <w:r>
                    <w:rPr>
                      <w:rFonts w:hint="default" w:ascii="Arial" w:hAnsi="Arial" w:cs="Arial"/>
                      <w:color w:val="000000" w:themeColor="text1"/>
                      <w:spacing w:val="8"/>
                      <w:sz w:val="21"/>
                      <w:szCs w:val="21"/>
                      <w14:textFill>
                        <w14:solidFill>
                          <w14:schemeClr w14:val="tx1"/>
                        </w14:solidFill>
                      </w14:textFill>
                    </w:rPr>
                    <w:t>废气、废水、固废、</w:t>
                  </w:r>
                  <w:r>
                    <w:rPr>
                      <w:rFonts w:hint="default" w:ascii="Arial" w:hAnsi="Arial" w:cs="Arial"/>
                      <w:color w:val="000000" w:themeColor="text1"/>
                      <w:spacing w:val="15"/>
                      <w:sz w:val="21"/>
                      <w:szCs w:val="21"/>
                      <w14:textFill>
                        <w14:solidFill>
                          <w14:schemeClr w14:val="tx1"/>
                        </w14:solidFill>
                      </w14:textFill>
                    </w:rPr>
                    <w:t>噪</w:t>
                  </w:r>
                  <w:r>
                    <w:rPr>
                      <w:rFonts w:hint="default" w:ascii="Arial" w:hAnsi="Arial" w:cs="Arial"/>
                      <w:color w:val="000000" w:themeColor="text1"/>
                      <w:spacing w:val="8"/>
                      <w:sz w:val="21"/>
                      <w:szCs w:val="21"/>
                      <w14:textFill>
                        <w14:solidFill>
                          <w14:schemeClr w14:val="tx1"/>
                        </w14:solidFill>
                      </w14:textFill>
                    </w:rPr>
                    <w:t>声等均采取了有效的</w:t>
                  </w:r>
                  <w:r>
                    <w:rPr>
                      <w:rFonts w:hint="default" w:ascii="Arial" w:hAnsi="Arial" w:cs="Arial"/>
                      <w:color w:val="000000" w:themeColor="text1"/>
                      <w:spacing w:val="4"/>
                      <w:sz w:val="21"/>
                      <w:szCs w:val="21"/>
                      <w14:textFill>
                        <w14:solidFill>
                          <w14:schemeClr w14:val="tx1"/>
                        </w14:solidFill>
                      </w14:textFill>
                    </w:rPr>
                    <w:t>防</w:t>
                  </w:r>
                  <w:r>
                    <w:rPr>
                      <w:rFonts w:hint="default" w:ascii="Arial" w:hAnsi="Arial" w:cs="Arial"/>
                      <w:color w:val="000000" w:themeColor="text1"/>
                      <w:spacing w:val="3"/>
                      <w:sz w:val="21"/>
                      <w:szCs w:val="21"/>
                      <w14:textFill>
                        <w14:solidFill>
                          <w14:schemeClr w14:val="tx1"/>
                        </w14:solidFill>
                      </w14:textFill>
                    </w:rPr>
                    <w:t>护措施。</w:t>
                  </w:r>
                </w:p>
              </w:tc>
            </w:tr>
            <w:tr w14:paraId="147C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9" w:hRule="atLeast"/>
                <w:jc w:val="center"/>
              </w:trPr>
              <w:tc>
                <w:tcPr>
                  <w:tcW w:w="1434" w:type="dxa"/>
                  <w:noWrap w:val="0"/>
                  <w:vAlign w:val="center"/>
                </w:tcPr>
                <w:p w14:paraId="29064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8"/>
                      <w:sz w:val="21"/>
                      <w:szCs w:val="21"/>
                      <w:highlight w:val="none"/>
                      <w14:textFill>
                        <w14:solidFill>
                          <w14:schemeClr w14:val="tx1"/>
                        </w14:solidFill>
                      </w14:textFill>
                    </w:rPr>
                    <w:t>重点管控单元</w:t>
                  </w:r>
                </w:p>
              </w:tc>
              <w:tc>
                <w:tcPr>
                  <w:tcW w:w="3553" w:type="dxa"/>
                  <w:noWrap w:val="0"/>
                  <w:vAlign w:val="center"/>
                </w:tcPr>
                <w:p w14:paraId="5CF36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2"/>
                      <w:sz w:val="21"/>
                      <w:szCs w:val="21"/>
                      <w:highlight w:val="none"/>
                      <w14:textFill>
                        <w14:solidFill>
                          <w14:schemeClr w14:val="tx1"/>
                        </w14:solidFill>
                      </w14:textFill>
                    </w:rPr>
                    <w:t>11</w:t>
                  </w:r>
                  <w:r>
                    <w:rPr>
                      <w:rFonts w:hint="eastAsia" w:ascii="Arial" w:hAnsi="Arial" w:cs="Arial"/>
                      <w:color w:val="000000" w:themeColor="text1"/>
                      <w:spacing w:val="2"/>
                      <w:sz w:val="21"/>
                      <w:szCs w:val="21"/>
                      <w:highlight w:val="none"/>
                      <w:lang w:val="en-US" w:eastAsia="zh-CN"/>
                      <w14:textFill>
                        <w14:solidFill>
                          <w14:schemeClr w14:val="tx1"/>
                        </w14:solidFill>
                      </w14:textFill>
                    </w:rPr>
                    <w:t>0</w:t>
                  </w:r>
                  <w:r>
                    <w:rPr>
                      <w:rFonts w:hint="default" w:ascii="Arial" w:hAnsi="Arial" w:cs="Arial"/>
                      <w:color w:val="000000" w:themeColor="text1"/>
                      <w:spacing w:val="2"/>
                      <w:sz w:val="21"/>
                      <w:szCs w:val="21"/>
                      <w:highlight w:val="none"/>
                      <w14:textFill>
                        <w14:solidFill>
                          <w14:schemeClr w14:val="tx1"/>
                        </w14:solidFill>
                      </w14:textFill>
                    </w:rPr>
                    <w:t>个，</w:t>
                  </w:r>
                  <w:r>
                    <w:rPr>
                      <w:rFonts w:hint="eastAsia" w:ascii="Arial" w:hAnsi="Arial" w:cs="Arial"/>
                      <w:color w:val="000000" w:themeColor="text1"/>
                      <w:spacing w:val="2"/>
                      <w:sz w:val="21"/>
                      <w:szCs w:val="21"/>
                      <w:highlight w:val="none"/>
                      <w14:textFill>
                        <w14:solidFill>
                          <w14:schemeClr w14:val="tx1"/>
                        </w14:solidFill>
                      </w14:textFill>
                    </w:rPr>
                    <w:t>面积为22746.59平方千米，</w:t>
                  </w:r>
                  <w:r>
                    <w:rPr>
                      <w:rFonts w:hint="default" w:ascii="Arial" w:hAnsi="Arial" w:cs="Arial"/>
                      <w:color w:val="000000" w:themeColor="text1"/>
                      <w:spacing w:val="2"/>
                      <w:sz w:val="21"/>
                      <w:szCs w:val="21"/>
                      <w:highlight w:val="none"/>
                      <w14:textFill>
                        <w14:solidFill>
                          <w14:schemeClr w14:val="tx1"/>
                        </w14:solidFill>
                      </w14:textFill>
                    </w:rPr>
                    <w:t>面积占地为</w:t>
                  </w:r>
                  <w:r>
                    <w:rPr>
                      <w:rFonts w:hint="eastAsia" w:ascii="Arial" w:hAnsi="Arial" w:cs="Arial"/>
                      <w:color w:val="000000" w:themeColor="text1"/>
                      <w:spacing w:val="1"/>
                      <w:sz w:val="21"/>
                      <w:szCs w:val="21"/>
                      <w:highlight w:val="none"/>
                      <w:lang w:val="en-US" w:eastAsia="zh-CN"/>
                      <w14:textFill>
                        <w14:solidFill>
                          <w14:schemeClr w14:val="tx1"/>
                        </w14:solidFill>
                      </w14:textFill>
                    </w:rPr>
                    <w:t>34.92</w:t>
                  </w:r>
                  <w:r>
                    <w:rPr>
                      <w:rFonts w:hint="default" w:ascii="Arial" w:hAnsi="Arial" w:cs="Arial"/>
                      <w:color w:val="000000" w:themeColor="text1"/>
                      <w:spacing w:val="1"/>
                      <w:sz w:val="21"/>
                      <w:szCs w:val="21"/>
                      <w:highlight w:val="none"/>
                      <w14:textFill>
                        <w14:solidFill>
                          <w14:schemeClr w14:val="tx1"/>
                        </w14:solidFill>
                      </w14:textFill>
                    </w:rPr>
                    <w:t>%。主要包括工业园</w:t>
                  </w:r>
                  <w:r>
                    <w:rPr>
                      <w:rFonts w:hint="default" w:ascii="Arial" w:hAnsi="Arial" w:cs="Arial"/>
                      <w:color w:val="000000" w:themeColor="text1"/>
                      <w:spacing w:val="-1"/>
                      <w:sz w:val="21"/>
                      <w:szCs w:val="21"/>
                      <w:highlight w:val="none"/>
                      <w14:textFill>
                        <w14:solidFill>
                          <w14:schemeClr w14:val="tx1"/>
                        </w14:solidFill>
                      </w14:textFill>
                    </w:rPr>
                    <w:t>区、城市、矿区等开发强</w:t>
                  </w:r>
                  <w:r>
                    <w:rPr>
                      <w:rFonts w:hint="default" w:ascii="Arial" w:hAnsi="Arial" w:cs="Arial"/>
                      <w:color w:val="000000" w:themeColor="text1"/>
                      <w:sz w:val="21"/>
                      <w:szCs w:val="21"/>
                      <w:highlight w:val="none"/>
                      <w14:textFill>
                        <w14:solidFill>
                          <w14:schemeClr w14:val="tx1"/>
                        </w14:solidFill>
                      </w14:textFill>
                    </w:rPr>
                    <w:t>度高、污染排放量大、</w:t>
                  </w:r>
                  <w:r>
                    <w:rPr>
                      <w:rFonts w:hint="default" w:ascii="Arial" w:hAnsi="Arial" w:cs="Arial"/>
                      <w:color w:val="000000" w:themeColor="text1"/>
                      <w:spacing w:val="6"/>
                      <w:sz w:val="21"/>
                      <w:szCs w:val="21"/>
                      <w:highlight w:val="none"/>
                      <w14:textFill>
                        <w14:solidFill>
                          <w14:schemeClr w14:val="tx1"/>
                        </w14:solidFill>
                      </w14:textFill>
                    </w:rPr>
                    <w:t>环境问题相对集中的区域，以及生态需水补</w:t>
                  </w:r>
                  <w:r>
                    <w:rPr>
                      <w:rFonts w:hint="default" w:ascii="Arial" w:hAnsi="Arial" w:cs="Arial"/>
                      <w:color w:val="000000" w:themeColor="text1"/>
                      <w:spacing w:val="4"/>
                      <w:sz w:val="21"/>
                      <w:szCs w:val="21"/>
                      <w:highlight w:val="none"/>
                      <w14:textFill>
                        <w14:solidFill>
                          <w14:schemeClr w14:val="tx1"/>
                        </w14:solidFill>
                      </w14:textFill>
                    </w:rPr>
                    <w:t>给</w:t>
                  </w:r>
                  <w:r>
                    <w:rPr>
                      <w:rFonts w:hint="default" w:ascii="Arial" w:hAnsi="Arial" w:cs="Arial"/>
                      <w:color w:val="000000" w:themeColor="text1"/>
                      <w:spacing w:val="6"/>
                      <w:sz w:val="21"/>
                      <w:szCs w:val="21"/>
                      <w:highlight w:val="none"/>
                      <w14:textFill>
                        <w14:solidFill>
                          <w14:schemeClr w14:val="tx1"/>
                        </w14:solidFill>
                      </w14:textFill>
                    </w:rPr>
                    <w:t>区等。该区域应不断提升资源利用效率，有</w:t>
                  </w:r>
                  <w:r>
                    <w:rPr>
                      <w:rFonts w:hint="default" w:ascii="Arial" w:hAnsi="Arial" w:cs="Arial"/>
                      <w:color w:val="000000" w:themeColor="text1"/>
                      <w:spacing w:val="4"/>
                      <w:sz w:val="21"/>
                      <w:szCs w:val="21"/>
                      <w:highlight w:val="none"/>
                      <w14:textFill>
                        <w14:solidFill>
                          <w14:schemeClr w14:val="tx1"/>
                        </w14:solidFill>
                      </w14:textFill>
                    </w:rPr>
                    <w:t>针</w:t>
                  </w:r>
                  <w:r>
                    <w:rPr>
                      <w:rFonts w:hint="default" w:ascii="Arial" w:hAnsi="Arial" w:cs="Arial"/>
                      <w:color w:val="000000" w:themeColor="text1"/>
                      <w:spacing w:val="18"/>
                      <w:sz w:val="21"/>
                      <w:szCs w:val="21"/>
                      <w:highlight w:val="none"/>
                      <w14:textFill>
                        <w14:solidFill>
                          <w14:schemeClr w14:val="tx1"/>
                        </w14:solidFill>
                      </w14:textFill>
                    </w:rPr>
                    <w:t>对</w:t>
                  </w:r>
                  <w:r>
                    <w:rPr>
                      <w:rFonts w:hint="default" w:ascii="Arial" w:hAnsi="Arial" w:cs="Arial"/>
                      <w:color w:val="000000" w:themeColor="text1"/>
                      <w:spacing w:val="9"/>
                      <w:sz w:val="21"/>
                      <w:szCs w:val="21"/>
                      <w:highlight w:val="none"/>
                      <w14:textFill>
                        <w14:solidFill>
                          <w14:schemeClr w14:val="tx1"/>
                        </w14:solidFill>
                      </w14:textFill>
                    </w:rPr>
                    <w:t>性地加强污染物排放控制和环境风险防控，</w:t>
                  </w:r>
                  <w:r>
                    <w:rPr>
                      <w:rFonts w:hint="default" w:ascii="Arial" w:hAnsi="Arial" w:cs="Arial"/>
                      <w:color w:val="000000" w:themeColor="text1"/>
                      <w:spacing w:val="6"/>
                      <w:sz w:val="21"/>
                      <w:szCs w:val="21"/>
                      <w:highlight w:val="none"/>
                      <w14:textFill>
                        <w14:solidFill>
                          <w14:schemeClr w14:val="tx1"/>
                        </w14:solidFill>
                      </w14:textFill>
                    </w:rPr>
                    <w:t>解决生态环境质量不达标、生态环境风险高</w:t>
                  </w:r>
                  <w:r>
                    <w:rPr>
                      <w:rFonts w:hint="default" w:ascii="Arial" w:hAnsi="Arial" w:cs="Arial"/>
                      <w:color w:val="000000" w:themeColor="text1"/>
                      <w:spacing w:val="4"/>
                      <w:sz w:val="21"/>
                      <w:szCs w:val="21"/>
                      <w:highlight w:val="none"/>
                      <w14:textFill>
                        <w14:solidFill>
                          <w14:schemeClr w14:val="tx1"/>
                        </w14:solidFill>
                      </w14:textFill>
                    </w:rPr>
                    <w:t>等</w:t>
                  </w:r>
                  <w:r>
                    <w:rPr>
                      <w:rFonts w:hint="default" w:ascii="Arial" w:hAnsi="Arial" w:cs="Arial"/>
                      <w:color w:val="000000" w:themeColor="text1"/>
                      <w:spacing w:val="-7"/>
                      <w:sz w:val="21"/>
                      <w:szCs w:val="21"/>
                      <w:highlight w:val="none"/>
                      <w14:textFill>
                        <w14:solidFill>
                          <w14:schemeClr w14:val="tx1"/>
                        </w14:solidFill>
                      </w14:textFill>
                    </w:rPr>
                    <w:t>问题</w:t>
                  </w:r>
                  <w:r>
                    <w:rPr>
                      <w:rFonts w:hint="eastAsia" w:ascii="Arial" w:hAnsi="Arial" w:cs="Arial"/>
                      <w:color w:val="000000" w:themeColor="text1"/>
                      <w:spacing w:val="-7"/>
                      <w:sz w:val="21"/>
                      <w:szCs w:val="21"/>
                      <w:highlight w:val="none"/>
                      <w14:textFill>
                        <w14:solidFill>
                          <w14:schemeClr w14:val="tx1"/>
                        </w14:solidFill>
                      </w14:textFill>
                    </w:rPr>
                    <w:t>。</w:t>
                  </w:r>
                </w:p>
              </w:tc>
              <w:tc>
                <w:tcPr>
                  <w:tcW w:w="1816" w:type="dxa"/>
                  <w:vMerge w:val="continue"/>
                  <w:noWrap w:val="0"/>
                  <w:vAlign w:val="center"/>
                </w:tcPr>
                <w:p w14:paraId="40B0E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14:textFill>
                        <w14:solidFill>
                          <w14:schemeClr w14:val="tx1"/>
                        </w14:solidFill>
                      </w14:textFill>
                    </w:rPr>
                  </w:pPr>
                </w:p>
              </w:tc>
            </w:tr>
            <w:tr w14:paraId="3343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1434" w:type="dxa"/>
                  <w:noWrap w:val="0"/>
                  <w:vAlign w:val="center"/>
                </w:tcPr>
                <w:p w14:paraId="47C9D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11"/>
                      <w:sz w:val="21"/>
                      <w:szCs w:val="21"/>
                      <w:highlight w:val="none"/>
                      <w14:textFill>
                        <w14:solidFill>
                          <w14:schemeClr w14:val="tx1"/>
                        </w14:solidFill>
                      </w14:textFill>
                    </w:rPr>
                    <w:t>一</w:t>
                  </w:r>
                  <w:r>
                    <w:rPr>
                      <w:rFonts w:hint="default" w:ascii="Arial" w:hAnsi="Arial" w:cs="Arial"/>
                      <w:color w:val="000000" w:themeColor="text1"/>
                      <w:spacing w:val="7"/>
                      <w:sz w:val="21"/>
                      <w:szCs w:val="21"/>
                      <w:highlight w:val="none"/>
                      <w14:textFill>
                        <w14:solidFill>
                          <w14:schemeClr w14:val="tx1"/>
                        </w14:solidFill>
                      </w14:textFill>
                    </w:rPr>
                    <w:t>般管控单元</w:t>
                  </w:r>
                </w:p>
              </w:tc>
              <w:tc>
                <w:tcPr>
                  <w:tcW w:w="3553" w:type="dxa"/>
                  <w:noWrap w:val="0"/>
                  <w:vAlign w:val="center"/>
                </w:tcPr>
                <w:p w14:paraId="3F7DC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Arial" w:hAnsi="Arial" w:cs="Arial"/>
                      <w:color w:val="000000" w:themeColor="text1"/>
                      <w:sz w:val="21"/>
                      <w:szCs w:val="21"/>
                      <w:highlight w:val="none"/>
                      <w14:textFill>
                        <w14:solidFill>
                          <w14:schemeClr w14:val="tx1"/>
                        </w14:solidFill>
                      </w14:textFill>
                    </w:rPr>
                  </w:pPr>
                  <w:r>
                    <w:rPr>
                      <w:rFonts w:hint="default" w:ascii="Arial" w:hAnsi="Arial" w:cs="Arial"/>
                      <w:color w:val="000000" w:themeColor="text1"/>
                      <w:spacing w:val="4"/>
                      <w:position w:val="1"/>
                      <w:sz w:val="21"/>
                      <w:szCs w:val="21"/>
                      <w:highlight w:val="none"/>
                      <w14:textFill>
                        <w14:solidFill>
                          <w14:schemeClr w14:val="tx1"/>
                        </w14:solidFill>
                      </w14:textFill>
                    </w:rPr>
                    <w:t>1个，</w:t>
                  </w:r>
                  <w:r>
                    <w:rPr>
                      <w:rFonts w:hint="eastAsia" w:ascii="Arial" w:hAnsi="Arial" w:cs="Arial"/>
                      <w:color w:val="000000" w:themeColor="text1"/>
                      <w:spacing w:val="4"/>
                      <w:position w:val="1"/>
                      <w:sz w:val="21"/>
                      <w:szCs w:val="21"/>
                      <w:highlight w:val="none"/>
                      <w14:textFill>
                        <w14:solidFill>
                          <w14:schemeClr w14:val="tx1"/>
                        </w14:solidFill>
                      </w14:textFill>
                    </w:rPr>
                    <w:t>面积为 7.43平方千米，</w:t>
                  </w:r>
                  <w:r>
                    <w:rPr>
                      <w:rFonts w:hint="default" w:ascii="Arial" w:hAnsi="Arial" w:cs="Arial"/>
                      <w:color w:val="000000" w:themeColor="text1"/>
                      <w:spacing w:val="4"/>
                      <w:position w:val="1"/>
                      <w:sz w:val="21"/>
                      <w:szCs w:val="21"/>
                      <w:highlight w:val="none"/>
                      <w14:textFill>
                        <w14:solidFill>
                          <w14:schemeClr w14:val="tx1"/>
                        </w14:solidFill>
                      </w14:textFill>
                    </w:rPr>
                    <w:t>面积占地</w:t>
                  </w:r>
                  <w:r>
                    <w:rPr>
                      <w:rFonts w:hint="default" w:ascii="Arial" w:hAnsi="Arial" w:cs="Arial"/>
                      <w:color w:val="000000" w:themeColor="text1"/>
                      <w:spacing w:val="3"/>
                      <w:position w:val="1"/>
                      <w:sz w:val="21"/>
                      <w:szCs w:val="21"/>
                      <w:highlight w:val="none"/>
                      <w14:textFill>
                        <w14:solidFill>
                          <w14:schemeClr w14:val="tx1"/>
                        </w14:solidFill>
                      </w14:textFill>
                    </w:rPr>
                    <w:t>为</w:t>
                  </w:r>
                  <w:r>
                    <w:rPr>
                      <w:rFonts w:hint="default" w:ascii="Arial" w:hAnsi="Arial" w:cs="Arial"/>
                      <w:color w:val="000000" w:themeColor="text1"/>
                      <w:spacing w:val="2"/>
                      <w:position w:val="1"/>
                      <w:sz w:val="21"/>
                      <w:szCs w:val="21"/>
                      <w:highlight w:val="none"/>
                      <w14:textFill>
                        <w14:solidFill>
                          <w14:schemeClr w14:val="tx1"/>
                        </w14:solidFill>
                      </w14:textFill>
                    </w:rPr>
                    <w:t>0.01%，优先保护单元、重</w:t>
                  </w:r>
                  <w:r>
                    <w:rPr>
                      <w:rFonts w:hint="default" w:ascii="Arial" w:hAnsi="Arial" w:cs="Arial"/>
                      <w:color w:val="000000" w:themeColor="text1"/>
                      <w:spacing w:val="10"/>
                      <w:sz w:val="21"/>
                      <w:szCs w:val="21"/>
                      <w:highlight w:val="none"/>
                      <w14:textFill>
                        <w14:solidFill>
                          <w14:schemeClr w14:val="tx1"/>
                        </w14:solidFill>
                      </w14:textFill>
                    </w:rPr>
                    <w:t>点</w:t>
                  </w:r>
                  <w:r>
                    <w:rPr>
                      <w:rFonts w:hint="default" w:ascii="Arial" w:hAnsi="Arial" w:cs="Arial"/>
                      <w:color w:val="000000" w:themeColor="text1"/>
                      <w:spacing w:val="9"/>
                      <w:sz w:val="21"/>
                      <w:szCs w:val="21"/>
                      <w:highlight w:val="none"/>
                      <w14:textFill>
                        <w14:solidFill>
                          <w14:schemeClr w14:val="tx1"/>
                        </w14:solidFill>
                      </w14:textFill>
                    </w:rPr>
                    <w:t>管</w:t>
                  </w:r>
                  <w:r>
                    <w:rPr>
                      <w:rFonts w:hint="default" w:ascii="Arial" w:hAnsi="Arial" w:cs="Arial"/>
                      <w:color w:val="000000" w:themeColor="text1"/>
                      <w:spacing w:val="5"/>
                      <w:sz w:val="21"/>
                      <w:szCs w:val="21"/>
                      <w:highlight w:val="none"/>
                      <w14:textFill>
                        <w14:solidFill>
                          <w14:schemeClr w14:val="tx1"/>
                        </w14:solidFill>
                      </w14:textFill>
                    </w:rPr>
                    <w:t>控单元之外为一般管控单元，该区域主要</w:t>
                  </w:r>
                  <w:r>
                    <w:rPr>
                      <w:rFonts w:hint="default" w:ascii="Arial" w:hAnsi="Arial" w:cs="Arial"/>
                      <w:color w:val="000000" w:themeColor="text1"/>
                      <w:spacing w:val="9"/>
                      <w:sz w:val="21"/>
                      <w:szCs w:val="21"/>
                      <w:highlight w:val="none"/>
                      <w14:textFill>
                        <w14:solidFill>
                          <w14:schemeClr w14:val="tx1"/>
                        </w14:solidFill>
                      </w14:textFill>
                    </w:rPr>
                    <w:t>落实生态环境保护基本要</w:t>
                  </w:r>
                  <w:r>
                    <w:rPr>
                      <w:rFonts w:hint="default" w:ascii="Arial" w:hAnsi="Arial" w:cs="Arial"/>
                      <w:color w:val="000000" w:themeColor="text1"/>
                      <w:spacing w:val="8"/>
                      <w:sz w:val="21"/>
                      <w:szCs w:val="21"/>
                      <w:highlight w:val="none"/>
                      <w14:textFill>
                        <w14:solidFill>
                          <w14:schemeClr w14:val="tx1"/>
                        </w14:solidFill>
                      </w14:textFill>
                    </w:rPr>
                    <w:t>求</w:t>
                  </w:r>
                  <w:r>
                    <w:rPr>
                      <w:rFonts w:hint="eastAsia" w:ascii="Arial" w:hAnsi="Arial" w:cs="Arial"/>
                      <w:color w:val="000000" w:themeColor="text1"/>
                      <w:spacing w:val="8"/>
                      <w:sz w:val="21"/>
                      <w:szCs w:val="21"/>
                      <w:highlight w:val="none"/>
                      <w14:textFill>
                        <w14:solidFill>
                          <w14:schemeClr w14:val="tx1"/>
                        </w14:solidFill>
                      </w14:textFill>
                    </w:rPr>
                    <w:t>。</w:t>
                  </w:r>
                </w:p>
              </w:tc>
              <w:tc>
                <w:tcPr>
                  <w:tcW w:w="1816" w:type="dxa"/>
                  <w:vMerge w:val="continue"/>
                  <w:noWrap w:val="0"/>
                  <w:vAlign w:val="center"/>
                </w:tcPr>
                <w:p w14:paraId="280E4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cs="Arial"/>
                      <w:color w:val="000000" w:themeColor="text1"/>
                      <w:sz w:val="21"/>
                      <w:szCs w:val="21"/>
                      <w14:textFill>
                        <w14:solidFill>
                          <w14:schemeClr w14:val="tx1"/>
                        </w14:solidFill>
                      </w14:textFill>
                    </w:rPr>
                  </w:pPr>
                </w:p>
              </w:tc>
            </w:tr>
          </w:tbl>
          <w:p w14:paraId="5624F6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highlight w:val="none"/>
                <w14:textFill>
                  <w14:solidFill>
                    <w14:schemeClr w14:val="tx1"/>
                  </w14:solidFill>
                </w14:textFill>
              </w:rPr>
            </w:pPr>
            <w:r>
              <w:rPr>
                <w:rFonts w:hint="default"/>
                <w:color w:val="000000" w:themeColor="text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2570480</wp:posOffset>
                      </wp:positionH>
                      <wp:positionV relativeFrom="paragraph">
                        <wp:posOffset>744855</wp:posOffset>
                      </wp:positionV>
                      <wp:extent cx="1094740" cy="840740"/>
                      <wp:effectExtent l="20955" t="5080" r="8255" b="30480"/>
                      <wp:wrapNone/>
                      <wp:docPr id="52" name="组合 52"/>
                      <wp:cNvGraphicFramePr/>
                      <a:graphic xmlns:a="http://schemas.openxmlformats.org/drawingml/2006/main">
                        <a:graphicData uri="http://schemas.microsoft.com/office/word/2010/wordprocessingGroup">
                          <wpg:wgp>
                            <wpg:cNvGrpSpPr/>
                            <wpg:grpSpPr>
                              <a:xfrm>
                                <a:off x="0" y="0"/>
                                <a:ext cx="1094740" cy="840740"/>
                                <a:chOff x="10100" y="296369"/>
                                <a:chExt cx="1724" cy="1324"/>
                              </a:xfrm>
                            </wpg:grpSpPr>
                            <wps:wsp>
                              <wps:cNvPr id="10" name="十字星 10"/>
                              <wps:cNvSpPr/>
                              <wps:spPr>
                                <a:xfrm>
                                  <a:off x="10100" y="297331"/>
                                  <a:ext cx="337" cy="363"/>
                                </a:xfrm>
                                <a:prstGeom prst="star4">
                                  <a:avLst>
                                    <a:gd name="adj" fmla="val 12500"/>
                                  </a:avLst>
                                </a:prstGeom>
                                <a:solidFill>
                                  <a:srgbClr val="FF0000"/>
                                </a:solidFill>
                                <a:ln w="9525" cap="flat" cmpd="sng">
                                  <a:solidFill>
                                    <a:srgbClr val="FF0000"/>
                                  </a:solidFill>
                                  <a:prstDash val="solid"/>
                                  <a:miter/>
                                  <a:headEnd type="none" w="med" len="med"/>
                                  <a:tailEnd type="none" w="med" len="med"/>
                                </a:ln>
                              </wps:spPr>
                              <wps:bodyPr upright="1"/>
                            </wps:wsp>
                            <wps:wsp>
                              <wps:cNvPr id="15" name="圆角矩形标注 15"/>
                              <wps:cNvSpPr/>
                              <wps:spPr>
                                <a:xfrm>
                                  <a:off x="10312" y="296369"/>
                                  <a:ext cx="1513" cy="475"/>
                                </a:xfrm>
                                <a:prstGeom prst="wedgeRoundRectCallout">
                                  <a:avLst>
                                    <a:gd name="adj1" fmla="val -51977"/>
                                    <a:gd name="adj2" fmla="val 191051"/>
                                    <a:gd name="adj3" fmla="val 16667"/>
                                  </a:avLst>
                                </a:prstGeom>
                                <a:noFill/>
                                <a:ln w="9525" cap="flat" cmpd="sng">
                                  <a:solidFill>
                                    <a:srgbClr val="000000"/>
                                  </a:solidFill>
                                  <a:prstDash val="solid"/>
                                  <a:miter/>
                                  <a:headEnd type="none" w="med" len="med"/>
                                  <a:tailEnd type="none" w="med" len="med"/>
                                </a:ln>
                              </wps:spPr>
                              <wps:txbx>
                                <w:txbxContent>
                                  <w:p w14:paraId="7A17FAE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b/>
                                        <w:bCs/>
                                      </w:rPr>
                                    </w:pPr>
                                    <w:r>
                                      <w:rPr>
                                        <w:rFonts w:hint="eastAsia"/>
                                        <w:b/>
                                        <w:bCs/>
                                      </w:rPr>
                                      <w:t>项目位置</w:t>
                                    </w:r>
                                  </w:p>
                                </w:txbxContent>
                              </wps:txbx>
                              <wps:bodyPr upright="1"/>
                            </wps:wsp>
                          </wpg:wgp>
                        </a:graphicData>
                      </a:graphic>
                    </wp:anchor>
                  </w:drawing>
                </mc:Choice>
                <mc:Fallback>
                  <w:pict>
                    <v:group id="_x0000_s1026" o:spid="_x0000_s1026" o:spt="203" style="position:absolute;left:0pt;margin-left:202.4pt;margin-top:58.65pt;height:66.2pt;width:86.2pt;z-index:251661312;mso-width-relative:page;mso-height-relative:page;" coordorigin="10100,296369" coordsize="1724,1324" o:gfxdata="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LWh4HbAAAACwEAAA8AAAAAAAAA&#10;AQAgAAAAIgAAAGRycy9kb3ducmV2LnhtbFBLAQIUABQAAAAIAIdO4kBQQ+xjKwMAAEIIAAAOAAAA&#10;AAAAAAEAIAAAACoBAABkcnMvZTJvRG9jLnhtbFBLBQYAAAAABgAGAFkBAADHBgAAAAA=&#10;">
                      <o:lock v:ext="edit" aspectratio="f"/>
                      <v:shape id="_x0000_s1026" o:spid="_x0000_s1026" o:spt="187" type="#_x0000_t187" style="position:absolute;left:10100;top:297331;height:363;width:337;" fillcolor="#FF0000" filled="t" stroked="t" coordsize="21600,21600" o:gfxdata="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45Y74A&#10;AADbAAAADwAAAAAAAAABACAAAAAiAAAAZHJzL2Rvd25yZXYueG1sUEsBAhQAFAAAAAgAh07iQDMv&#10;BZ47AAAAOQAAABAAAAAAAAAAAQAgAAAADQEAAGRycy9zaGFwZXhtbC54bWxQSwUGAAAAAAYABgBb&#10;AQAAtwMAAAAA&#10;" adj="8100">
                        <v:fill on="t" focussize="0,0"/>
                        <v:stroke color="#FF0000" joinstyle="miter"/>
                        <v:imagedata o:title=""/>
                        <o:lock v:ext="edit" aspectratio="f"/>
                      </v:shape>
                      <v:shape id="_x0000_s1026" o:spid="_x0000_s1026" o:spt="62" type="#_x0000_t62" style="position:absolute;left:10312;top:296369;height:475;width:1513;" filled="f" stroked="t" coordsize="21600,21600" o:gfxdata="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IlfougAAANsA&#10;AAAPAAAAAAAAAAEAIAAAACIAAABkcnMvZG93bnJldi54bWxQSwECFAAUAAAACACHTuJAMy8FnjsA&#10;AAA5AAAAEAAAAAAAAAABACAAAAAJAQAAZHJzL3NoYXBleG1sLnhtbFBLBQYAAAAABgAGAFsBAACz&#10;AwAAAAA=&#10;" adj="-427,52067,14400">
                        <v:fill on="f" focussize="0,0"/>
                        <v:stroke color="#000000" joinstyle="miter"/>
                        <v:imagedata o:title=""/>
                        <o:lock v:ext="edit" aspectratio="f"/>
                        <v:textbox>
                          <w:txbxContent>
                            <w:p w14:paraId="7A17FAE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b/>
                                  <w:bCs/>
                                </w:rPr>
                              </w:pPr>
                              <w:r>
                                <w:rPr>
                                  <w:rFonts w:hint="eastAsia"/>
                                  <w:b/>
                                  <w:bCs/>
                                </w:rPr>
                                <w:t>项目位置</w:t>
                              </w:r>
                            </w:p>
                          </w:txbxContent>
                        </v:textbox>
                      </v:shape>
                    </v:group>
                  </w:pict>
                </mc:Fallback>
              </mc:AlternateContent>
            </w:r>
            <w:r>
              <w:rPr>
                <w:rFonts w:hint="default"/>
                <w:color w:val="000000" w:themeColor="text1"/>
                <w14:textFill>
                  <w14:solidFill>
                    <w14:schemeClr w14:val="tx1"/>
                  </w14:solidFill>
                </w14:textFill>
              </w:rPr>
              <w:drawing>
                <wp:inline distT="0" distB="0" distL="114300" distR="114300">
                  <wp:extent cx="4396105" cy="3074670"/>
                  <wp:effectExtent l="0" t="0" r="4445"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4396105" cy="3074670"/>
                          </a:xfrm>
                          <a:prstGeom prst="rect">
                            <a:avLst/>
                          </a:prstGeom>
                          <a:noFill/>
                          <a:ln>
                            <a:noFill/>
                          </a:ln>
                        </pic:spPr>
                      </pic:pic>
                    </a:graphicData>
                  </a:graphic>
                </wp:inline>
              </w:drawing>
            </w:r>
          </w:p>
          <w:p w14:paraId="023C5A6D">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本项目在巴彦淖尔市环境管控单元位置示意图</w:t>
            </w:r>
          </w:p>
          <w:p w14:paraId="02CC5A93">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2）生态保护红线</w:t>
            </w:r>
          </w:p>
          <w:p w14:paraId="69D694A2">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项目区内无饮用水水源地、自然保护区、风景名胜区等特殊环境敏感区。</w:t>
            </w:r>
            <w:r>
              <w:rPr>
                <w:rFonts w:hint="default"/>
                <w:color w:val="000000" w:themeColor="text1"/>
                <w:highlight w:val="none"/>
                <w14:textFill>
                  <w14:solidFill>
                    <w14:schemeClr w14:val="tx1"/>
                  </w14:solidFill>
                </w14:textFill>
              </w:rPr>
              <w:t>甘其毛都口岸加工园区</w:t>
            </w:r>
            <w:r>
              <w:rPr>
                <w:rFonts w:hint="eastAsia"/>
                <w:color w:val="000000" w:themeColor="text1"/>
                <w:highlight w:val="none"/>
                <w14:textFill>
                  <w14:solidFill>
                    <w14:schemeClr w14:val="tx1"/>
                  </w14:solidFill>
                </w14:textFill>
              </w:rPr>
              <w:t>属于重点管控单元，项目采取完善的污染防治措施、风险防控措施，可确保污染物达标排放、风险可控。本项目不涉及巴彦淖尔市生态保护红线范围。</w:t>
            </w:r>
          </w:p>
          <w:p w14:paraId="018AFF53">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（3）环境质量底线</w:t>
            </w:r>
          </w:p>
          <w:p w14:paraId="2E3BC6F4">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质量底线是国家和地方设置的大气、地下水、土壤和噪声环境质量目标，也是改善环境质量的基准线。对照区域环境质量目标，深入分析、预测项目建设对环境质量的影响，强化污染防治措施和污染排放控制标准。本项目所在区域执行的环境质量底线分别包括：</w:t>
            </w:r>
          </w:p>
          <w:p w14:paraId="7463A47F">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大气环境质量目标：《环境空气质量标准》（GB3095-2012）二级标准；</w:t>
            </w:r>
          </w:p>
          <w:p w14:paraId="47D3DC7C">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土壤环境质量目标：《土壤环境质量建设用地土壤污染风险管控标准（试行）》（GB36600-2018）中第二类用地土壤污染风险筛选值要求；</w:t>
            </w:r>
          </w:p>
          <w:p w14:paraId="63B27B49">
            <w:pPr>
              <w:keepNext w:val="0"/>
              <w:keepLines w:val="0"/>
              <w:suppressLineNumbers w:val="0"/>
              <w:autoSpaceDE w:val="0"/>
              <w:autoSpaceDN w:val="0"/>
              <w:adjustRightInd w:val="0"/>
              <w:snapToGrid w:val="0"/>
              <w:spacing w:before="0" w:beforeAutospacing="0" w:after="0" w:afterAutospacing="0"/>
              <w:ind w:left="0" w:right="0"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地下水环境质量目标：执行《地下水质量标准》（GB/T14848-2017）Ⅲ类标准；</w:t>
            </w:r>
          </w:p>
          <w:p w14:paraId="005D5DF7">
            <w:pPr>
              <w:keepNext w:val="0"/>
              <w:keepLines w:val="0"/>
              <w:suppressLineNumbers w:val="0"/>
              <w:autoSpaceDE w:val="0"/>
              <w:autoSpaceDN w:val="0"/>
              <w:adjustRightInd w:val="0"/>
              <w:snapToGrid w:val="0"/>
              <w:spacing w:before="0" w:beforeAutospacing="0" w:after="0" w:afterAutospacing="0"/>
              <w:ind w:left="0" w:right="0"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声环境质量目标：《声环境质量标准》（GB3096-2008）3类标准。</w:t>
            </w:r>
          </w:p>
          <w:p w14:paraId="4FE60498">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根据大气环境质量现状监测与评价，巴彦淖尔市2023 年环境空气质量达标，为环境空气质量达标区域。评价区内各监测点污染物均满足相关标准限值要求，声环境满足质量标准要求，本项目运营期间产生</w:t>
            </w:r>
            <w:r>
              <w:rPr>
                <w:rFonts w:hint="eastAsia"/>
                <w:color w:val="000000" w:themeColor="text1"/>
                <w:highlight w:val="none"/>
                <w:lang w:val="en-US" w:eastAsia="zh-CN"/>
                <w14:textFill>
                  <w14:solidFill>
                    <w14:schemeClr w14:val="tx1"/>
                  </w14:solidFill>
                </w14:textFill>
              </w:rPr>
              <w:t>的少量颗粒物及微量硫化氢对周围环境影响较小，不产生</w:t>
            </w:r>
            <w:r>
              <w:rPr>
                <w:rFonts w:hint="eastAsia"/>
                <w:color w:val="000000" w:themeColor="text1"/>
                <w:highlight w:val="none"/>
                <w14:textFill>
                  <w14:solidFill>
                    <w14:schemeClr w14:val="tx1"/>
                  </w14:solidFill>
                </w14:textFill>
              </w:rPr>
              <w:t>生产废水及生活污水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固体废物</w:t>
            </w:r>
            <w:r>
              <w:rPr>
                <w:rFonts w:hint="eastAsia"/>
                <w:color w:val="000000" w:themeColor="text1"/>
                <w:highlight w:val="none"/>
                <w14:textFill>
                  <w14:solidFill>
                    <w14:schemeClr w14:val="tx1"/>
                  </w14:solidFill>
                </w14:textFill>
              </w:rPr>
              <w:t>；因此，项目建设符合环境质量底线的要求。</w:t>
            </w:r>
          </w:p>
          <w:p w14:paraId="46CD8216">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资源利用上线</w:t>
            </w:r>
          </w:p>
          <w:p w14:paraId="373C404D">
            <w:pPr>
              <w:keepNext w:val="0"/>
              <w:keepLines w:val="0"/>
              <w:suppressLineNumbers w:val="0"/>
              <w:autoSpaceDE w:val="0"/>
              <w:autoSpaceDN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本项目仅为危险化学品储存项目，运营期间无需生产用水与生活用水，不新增用水量</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本项目位于</w:t>
            </w:r>
            <w:r>
              <w:rPr>
                <w:rFonts w:hint="default"/>
                <w:color w:val="000000" w:themeColor="text1"/>
                <w:highlight w:val="none"/>
                <w14:textFill>
                  <w14:solidFill>
                    <w14:schemeClr w14:val="tx1"/>
                  </w14:solidFill>
                </w14:textFill>
              </w:rPr>
              <w:t>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eastAsia"/>
                <w:color w:val="000000" w:themeColor="text1"/>
                <w:kern w:val="0"/>
                <w:highlight w:val="none"/>
                <w14:textFill>
                  <w14:solidFill>
                    <w14:schemeClr w14:val="tx1"/>
                  </w14:solidFill>
                </w14:textFill>
              </w:rPr>
              <w:t>，不新增占地</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用电量较小。</w:t>
            </w:r>
            <w:r>
              <w:rPr>
                <w:rFonts w:hint="default"/>
                <w:color w:val="000000" w:themeColor="text1"/>
                <w:highlight w:val="none"/>
                <w14:textFill>
                  <w14:solidFill>
                    <w14:schemeClr w14:val="tx1"/>
                  </w14:solidFill>
                </w14:textFill>
              </w:rPr>
              <w:t>资源消耗量相对区域资源利用总量较少，不会突破区域资源利用上线。</w:t>
            </w:r>
          </w:p>
          <w:p w14:paraId="5B754A8D">
            <w:pPr>
              <w:keepNext w:val="0"/>
              <w:keepLines w:val="0"/>
              <w:suppressLineNumbers w:val="0"/>
              <w:autoSpaceDE w:val="0"/>
              <w:autoSpaceDN w:val="0"/>
              <w:adjustRightInd w:val="0"/>
              <w:snapToGrid w:val="0"/>
              <w:spacing w:before="0" w:beforeAutospacing="0" w:after="0" w:afterAutospacing="0"/>
              <w:ind w:left="600" w:right="0" w:firstLine="0" w:firstLineChars="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生态环境准入清单</w:t>
            </w:r>
          </w:p>
          <w:p w14:paraId="188DE0C0">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w:t>
            </w:r>
            <w:r>
              <w:rPr>
                <w:rFonts w:hint="default"/>
                <w:color w:val="000000" w:themeColor="text1"/>
                <w:highlight w:val="none"/>
                <w14:textFill>
                  <w14:solidFill>
                    <w14:schemeClr w14:val="tx1"/>
                  </w14:solidFill>
                </w14:textFill>
              </w:rPr>
              <w:t>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eastAsia"/>
                <w:color w:val="000000" w:themeColor="text1"/>
                <w:kern w:val="0"/>
                <w:highlight w:val="none"/>
                <w14:textFill>
                  <w14:solidFill>
                    <w14:schemeClr w14:val="tx1"/>
                  </w14:solidFill>
                </w14:textFill>
              </w:rPr>
              <w:t>，</w:t>
            </w:r>
            <w:r>
              <w:rPr>
                <w:rFonts w:hint="eastAsia"/>
                <w:color w:val="000000" w:themeColor="text1"/>
                <w:highlight w:val="none"/>
                <w14:textFill>
                  <w14:solidFill>
                    <w14:schemeClr w14:val="tx1"/>
                  </w14:solidFill>
                </w14:textFill>
              </w:rPr>
              <w:t>对比《巴彦淖尔市生态环境准入清单》，本项目属于重点管控单元-甘其毛都口岸加工园区（编码 ZH15082420001） 。</w:t>
            </w:r>
          </w:p>
          <w:p w14:paraId="60C835A7">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1-4</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与巴彦淖尔市</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2023年生态环境分区管控成果动态更新的</w:t>
            </w:r>
            <w:r>
              <w:rPr>
                <w:rFonts w:hint="eastAsia" w:ascii="Times New Roman" w:hAnsi="Times New Roman" w:cs="Times New Roman"/>
                <w:b/>
                <w:bCs/>
                <w:color w:val="000000" w:themeColor="text1"/>
                <w:sz w:val="21"/>
                <w:szCs w:val="21"/>
                <w:highlight w:val="none"/>
                <w14:textFill>
                  <w14:solidFill>
                    <w14:schemeClr w14:val="tx1"/>
                  </w14:solidFill>
                </w14:textFill>
              </w:rPr>
              <w:t>符合性分析</w:t>
            </w:r>
          </w:p>
          <w:tbl>
            <w:tblPr>
              <w:tblStyle w:val="28"/>
              <w:tblW w:w="4997"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57" w:type="dxa"/>
                <w:left w:w="57" w:type="dxa"/>
                <w:bottom w:w="57" w:type="dxa"/>
                <w:right w:w="57" w:type="dxa"/>
              </w:tblCellMar>
            </w:tblPr>
            <w:tblGrid>
              <w:gridCol w:w="812"/>
              <w:gridCol w:w="899"/>
              <w:gridCol w:w="266"/>
              <w:gridCol w:w="274"/>
              <w:gridCol w:w="416"/>
              <w:gridCol w:w="420"/>
              <w:gridCol w:w="1205"/>
              <w:gridCol w:w="2566"/>
            </w:tblGrid>
            <w:tr w14:paraId="71CA6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vMerge w:val="restart"/>
                  <w:noWrap w:val="0"/>
                  <w:vAlign w:val="center"/>
                </w:tcPr>
                <w:p w14:paraId="16F15E7E">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环境管控单元编码</w:t>
                  </w:r>
                </w:p>
              </w:tc>
              <w:tc>
                <w:tcPr>
                  <w:tcW w:w="655" w:type="pct"/>
                  <w:vMerge w:val="restart"/>
                  <w:noWrap w:val="0"/>
                  <w:vAlign w:val="center"/>
                </w:tcPr>
                <w:p w14:paraId="13AF2DDD">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环境管控单元名称</w:t>
                  </w:r>
                </w:p>
              </w:tc>
              <w:tc>
                <w:tcPr>
                  <w:tcW w:w="696" w:type="pct"/>
                  <w:gridSpan w:val="3"/>
                  <w:noWrap w:val="0"/>
                  <w:vAlign w:val="center"/>
                </w:tcPr>
                <w:p w14:paraId="768DC3B0">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行政区划</w:t>
                  </w:r>
                </w:p>
              </w:tc>
              <w:tc>
                <w:tcPr>
                  <w:tcW w:w="306" w:type="pct"/>
                  <w:vMerge w:val="restart"/>
                  <w:noWrap w:val="0"/>
                  <w:vAlign w:val="center"/>
                </w:tcPr>
                <w:p w14:paraId="0DCAD992">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管控单元分类</w:t>
                  </w:r>
                </w:p>
              </w:tc>
              <w:tc>
                <w:tcPr>
                  <w:tcW w:w="878" w:type="pct"/>
                  <w:vMerge w:val="restart"/>
                  <w:noWrap w:val="0"/>
                  <w:vAlign w:val="center"/>
                </w:tcPr>
                <w:p w14:paraId="607BE23A">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生态保护重点</w:t>
                  </w:r>
                </w:p>
              </w:tc>
              <w:tc>
                <w:tcPr>
                  <w:tcW w:w="1870" w:type="pct"/>
                  <w:vMerge w:val="restart"/>
                  <w:noWrap w:val="0"/>
                  <w:vAlign w:val="center"/>
                </w:tcPr>
                <w:p w14:paraId="55BDE06F">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比对情况</w:t>
                  </w:r>
                </w:p>
              </w:tc>
            </w:tr>
            <w:tr w14:paraId="4416B5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vMerge w:val="continue"/>
                  <w:noWrap w:val="0"/>
                  <w:vAlign w:val="center"/>
                </w:tcPr>
                <w:p w14:paraId="7060E85A">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655" w:type="pct"/>
                  <w:vMerge w:val="continue"/>
                  <w:noWrap w:val="0"/>
                  <w:vAlign w:val="center"/>
                </w:tcPr>
                <w:p w14:paraId="337D93A0">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93" w:type="pct"/>
                  <w:noWrap w:val="0"/>
                  <w:vAlign w:val="center"/>
                </w:tcPr>
                <w:p w14:paraId="7FEEB05C">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省</w:t>
                  </w:r>
                </w:p>
              </w:tc>
              <w:tc>
                <w:tcPr>
                  <w:tcW w:w="199" w:type="pct"/>
                  <w:noWrap w:val="0"/>
                  <w:vAlign w:val="center"/>
                </w:tcPr>
                <w:p w14:paraId="2DF44F5F">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市</w:t>
                  </w:r>
                </w:p>
              </w:tc>
              <w:tc>
                <w:tcPr>
                  <w:tcW w:w="303" w:type="pct"/>
                  <w:noWrap w:val="0"/>
                  <w:vAlign w:val="center"/>
                </w:tcPr>
                <w:p w14:paraId="2BB5763B">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区</w:t>
                  </w:r>
                </w:p>
              </w:tc>
              <w:tc>
                <w:tcPr>
                  <w:tcW w:w="306" w:type="pct"/>
                  <w:vMerge w:val="continue"/>
                  <w:noWrap w:val="0"/>
                  <w:vAlign w:val="center"/>
                </w:tcPr>
                <w:p w14:paraId="22992BD8">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878" w:type="pct"/>
                  <w:vMerge w:val="continue"/>
                  <w:noWrap w:val="0"/>
                  <w:vAlign w:val="center"/>
                </w:tcPr>
                <w:p w14:paraId="5A7AE6DB">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870" w:type="pct"/>
                  <w:vMerge w:val="continue"/>
                  <w:noWrap w:val="0"/>
                  <w:vAlign w:val="center"/>
                </w:tcPr>
                <w:p w14:paraId="68B3029D">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r>
            <w:tr w14:paraId="37798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noWrap w:val="0"/>
                  <w:vAlign w:val="center"/>
                </w:tcPr>
                <w:p w14:paraId="56F9C706">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ZH15082420001</w:t>
                  </w:r>
                </w:p>
              </w:tc>
              <w:tc>
                <w:tcPr>
                  <w:tcW w:w="655" w:type="pct"/>
                  <w:noWrap w:val="0"/>
                  <w:vAlign w:val="center"/>
                </w:tcPr>
                <w:p w14:paraId="7CF34E08">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甘其毛都口岸加工园区</w:t>
                  </w:r>
                </w:p>
              </w:tc>
              <w:tc>
                <w:tcPr>
                  <w:tcW w:w="193" w:type="pct"/>
                  <w:noWrap w:val="0"/>
                  <w:vAlign w:val="center"/>
                </w:tcPr>
                <w:p w14:paraId="32DF7CA7">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内蒙古自治区</w:t>
                  </w:r>
                </w:p>
              </w:tc>
              <w:tc>
                <w:tcPr>
                  <w:tcW w:w="199" w:type="pct"/>
                  <w:noWrap w:val="0"/>
                  <w:vAlign w:val="center"/>
                </w:tcPr>
                <w:p w14:paraId="5D379CCC">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巴彦淖尔市</w:t>
                  </w:r>
                </w:p>
              </w:tc>
              <w:tc>
                <w:tcPr>
                  <w:tcW w:w="303" w:type="pct"/>
                  <w:noWrap w:val="0"/>
                  <w:vAlign w:val="center"/>
                </w:tcPr>
                <w:p w14:paraId="121DEC0C">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乌拉特中旗</w:t>
                  </w:r>
                </w:p>
              </w:tc>
              <w:tc>
                <w:tcPr>
                  <w:tcW w:w="306" w:type="pct"/>
                  <w:noWrap w:val="0"/>
                  <w:vAlign w:val="center"/>
                </w:tcPr>
                <w:p w14:paraId="471C24E4">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重点管控单元</w:t>
                  </w:r>
                </w:p>
              </w:tc>
              <w:tc>
                <w:tcPr>
                  <w:tcW w:w="878" w:type="pct"/>
                  <w:noWrap w:val="0"/>
                  <w:vAlign w:val="center"/>
                </w:tcPr>
                <w:p w14:paraId="20D70204">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大气环境高排放重点管控区、水环境工业污染重点管控区、生态用水补给区、土地资源重点管控区</w:t>
                  </w:r>
                </w:p>
              </w:tc>
              <w:tc>
                <w:tcPr>
                  <w:tcW w:w="1870" w:type="pct"/>
                  <w:noWrap w:val="0"/>
                  <w:vAlign w:val="center"/>
                </w:tcPr>
                <w:p w14:paraId="76670868">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位于</w:t>
                  </w:r>
                  <w:r>
                    <w:rPr>
                      <w:rFonts w:hint="eastAsia"/>
                      <w:color w:val="000000" w:themeColor="text1"/>
                      <w:highlight w:val="none"/>
                      <w14:textFill>
                        <w14:solidFill>
                          <w14:schemeClr w14:val="tx1"/>
                        </w14:solidFill>
                      </w14:textFill>
                    </w:rPr>
                    <w:t>巴彦淖尔甘其毛都口岸加工园区神华巴彦淖尔能源有限责任公司焦化厂厂区内，属于重点管控单元。</w:t>
                  </w:r>
                </w:p>
              </w:tc>
            </w:tr>
            <w:tr w14:paraId="10B494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noWrap w:val="0"/>
                  <w:vAlign w:val="center"/>
                </w:tcPr>
                <w:p w14:paraId="2803CBCB">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管控维度</w:t>
                  </w:r>
                </w:p>
              </w:tc>
              <w:tc>
                <w:tcPr>
                  <w:tcW w:w="2537" w:type="pct"/>
                  <w:gridSpan w:val="6"/>
                  <w:noWrap w:val="0"/>
                  <w:vAlign w:val="center"/>
                </w:tcPr>
                <w:p w14:paraId="65147318">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管控要求</w:t>
                  </w:r>
                </w:p>
              </w:tc>
              <w:tc>
                <w:tcPr>
                  <w:tcW w:w="1870" w:type="pct"/>
                  <w:noWrap w:val="0"/>
                  <w:vAlign w:val="center"/>
                </w:tcPr>
                <w:p w14:paraId="285C966F">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比对情况</w:t>
                  </w:r>
                </w:p>
              </w:tc>
            </w:tr>
            <w:tr w14:paraId="07FB06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noWrap w:val="0"/>
                  <w:vAlign w:val="center"/>
                </w:tcPr>
                <w:p w14:paraId="03E0BACE">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空间布局约束</w:t>
                  </w:r>
                </w:p>
              </w:tc>
              <w:tc>
                <w:tcPr>
                  <w:tcW w:w="2537" w:type="pct"/>
                  <w:gridSpan w:val="6"/>
                  <w:noWrap w:val="0"/>
                  <w:vAlign w:val="center"/>
                </w:tcPr>
                <w:p w14:paraId="6C6B10CF">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1、严格执行环境准入门槛，依法落实园区规划环评。对不符合园区产业定位、布局、规划环评等的项目一律不予批准。</w:t>
                  </w:r>
                </w:p>
                <w:p w14:paraId="323D0AF6">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2、新建、改建、扩建项目，必须符合国家和自治区产业指导目录要求、行业技术标准以及规模、投资强度。</w:t>
                  </w:r>
                </w:p>
                <w:p w14:paraId="5A5339FB">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新建、改建、扩建“两高”项目须符合生态环境保护法律法规和相关法定规划，满足重点污染物排放总量控制、碳达峰、碳中和目标、生态环境准入清单、相关规划环评和相应行业建设项目环境准入条件、环评文件审批原则要求。</w:t>
                  </w:r>
                </w:p>
                <w:p w14:paraId="66DEE7E4">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4、积极推进“两高”项目环评开展试点工作，衔接落实有关区域和行业碳达峰、碳中和行动方案、清洁能源替代、清洁运输、煤炭消费总量控制等政策要求。</w:t>
                  </w:r>
                </w:p>
                <w:p w14:paraId="6D2B3DEB">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控制高耗能行业产能规模。确有必要建设的，须在区内实施产能和能耗减量置换。除国家规划布局和自治区延链补链的现代煤化工项目外，“十四五”期间，原则上不再审批新的现代煤化工项目。合理有序控制数据中心建设规模，严禁新建虚拟货币挖矿项目。</w:t>
                  </w:r>
                </w:p>
                <w:p w14:paraId="004A1B1E">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6、严格执行《内蒙古自治区饮用水水源保护条例》、《巴彦淖尔市集中式饮用水水源保护条例》中要求。</w:t>
                  </w:r>
                </w:p>
                <w:p w14:paraId="3DF361BA">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7、新建、改建、扩建“两高一低”项目，须符合《内蒙古自治区发展和改革委员会生态环境厅工业和信息化厅能源局关于印发&lt; 内蒙古自治区坚决遏制“两高一低”项目盲目发展管控目录（2023年修订版）&gt;的通知》（内发改环资字〔2023〕1080号）相关要求。</w:t>
                  </w:r>
                </w:p>
              </w:tc>
              <w:tc>
                <w:tcPr>
                  <w:tcW w:w="1870" w:type="pct"/>
                  <w:noWrap w:val="0"/>
                  <w:vAlign w:val="center"/>
                </w:tcPr>
                <w:p w14:paraId="1CEE4297">
                  <w:pPr>
                    <w:pStyle w:val="101"/>
                    <w:keepNext w:val="0"/>
                    <w:keepLines w:val="0"/>
                    <w:suppressLineNumbers w:val="0"/>
                    <w:spacing w:before="0" w:beforeAutospacing="0" w:after="0" w:afterAutospacing="0"/>
                    <w:ind w:left="0" w:right="0"/>
                    <w:jc w:val="left"/>
                    <w:rPr>
                      <w:rFonts w:hint="default"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1、园区</w:t>
                  </w:r>
                  <w:r>
                    <w:rPr>
                      <w:rFonts w:hint="eastAsia"/>
                      <w:color w:val="000000" w:themeColor="text1"/>
                      <w:highlight w:val="none"/>
                      <w:lang w:val="en-US" w:eastAsia="zh-CN"/>
                      <w14:textFill>
                        <w14:solidFill>
                          <w14:schemeClr w14:val="tx1"/>
                        </w14:solidFill>
                      </w14:textFill>
                    </w:rPr>
                    <w:t>已</w:t>
                  </w:r>
                  <w:r>
                    <w:rPr>
                      <w:rFonts w:hint="default"/>
                      <w:color w:val="000000" w:themeColor="text1"/>
                      <w:highlight w:val="none"/>
                      <w14:textFill>
                        <w14:solidFill>
                          <w14:schemeClr w14:val="tx1"/>
                        </w14:solidFill>
                      </w14:textFill>
                    </w:rPr>
                    <w:t>依法开展</w:t>
                  </w:r>
                  <w:r>
                    <w:rPr>
                      <w:rFonts w:hint="eastAsia"/>
                      <w:color w:val="000000" w:themeColor="text1"/>
                      <w:highlight w:val="none"/>
                      <w:lang w:val="en-US" w:eastAsia="zh-CN"/>
                      <w14:textFill>
                        <w14:solidFill>
                          <w14:schemeClr w14:val="tx1"/>
                        </w14:solidFill>
                      </w14:textFill>
                    </w:rPr>
                    <w:t>了</w:t>
                  </w:r>
                  <w:r>
                    <w:rPr>
                      <w:rFonts w:hint="default"/>
                      <w:color w:val="000000" w:themeColor="text1"/>
                      <w:highlight w:val="none"/>
                      <w14:textFill>
                        <w14:solidFill>
                          <w14:schemeClr w14:val="tx1"/>
                        </w14:solidFill>
                      </w14:textFill>
                    </w:rPr>
                    <w:t>规划环评，</w:t>
                  </w:r>
                  <w:r>
                    <w:rPr>
                      <w:rFonts w:hint="eastAsia"/>
                      <w:color w:val="000000" w:themeColor="text1"/>
                      <w:highlight w:val="none"/>
                      <w:lang w:val="en-US" w:eastAsia="zh-CN"/>
                      <w14:textFill>
                        <w14:solidFill>
                          <w14:schemeClr w14:val="tx1"/>
                        </w14:solidFill>
                      </w14:textFill>
                    </w:rPr>
                    <w:t>本项目位于神华巴彦淖尔能源有限责任公司焦化厂厂区内，本项目作为该厂区配套工程，符合园区</w:t>
                  </w:r>
                  <w:r>
                    <w:rPr>
                      <w:rFonts w:hint="eastAsia"/>
                      <w:color w:val="000000" w:themeColor="text1"/>
                      <w:highlight w:val="none"/>
                      <w14:textFill>
                        <w14:solidFill>
                          <w14:schemeClr w14:val="tx1"/>
                        </w14:solidFill>
                      </w14:textFill>
                    </w:rPr>
                    <w:t>产业定位、布局</w:t>
                  </w:r>
                  <w:r>
                    <w:rPr>
                      <w:rFonts w:hint="eastAsia"/>
                      <w:color w:val="000000" w:themeColor="text1"/>
                      <w:highlight w:val="none"/>
                      <w:lang w:val="en-US" w:eastAsia="zh-CN"/>
                      <w14:textFill>
                        <w14:solidFill>
                          <w14:schemeClr w14:val="tx1"/>
                        </w14:solidFill>
                      </w14:textFill>
                    </w:rPr>
                    <w:t>及</w:t>
                  </w:r>
                  <w:r>
                    <w:rPr>
                      <w:rFonts w:hint="eastAsia"/>
                      <w:color w:val="000000" w:themeColor="text1"/>
                      <w:highlight w:val="none"/>
                      <w14:textFill>
                        <w14:solidFill>
                          <w14:schemeClr w14:val="tx1"/>
                        </w14:solidFill>
                      </w14:textFill>
                    </w:rPr>
                    <w:t>规划环评</w:t>
                  </w:r>
                  <w:r>
                    <w:rPr>
                      <w:rFonts w:hint="eastAsia"/>
                      <w:color w:val="000000" w:themeColor="text1"/>
                      <w:highlight w:val="none"/>
                      <w:lang w:val="en-US" w:eastAsia="zh-CN"/>
                      <w14:textFill>
                        <w14:solidFill>
                          <w14:schemeClr w14:val="tx1"/>
                        </w14:solidFill>
                      </w14:textFill>
                    </w:rPr>
                    <w:t>中相关要求。</w:t>
                  </w:r>
                </w:p>
                <w:p w14:paraId="7BF37A88">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本项目的建设符合国家产业指导目录及相关技术标准中有关要求</w:t>
                  </w:r>
                  <w:r>
                    <w:rPr>
                      <w:rFonts w:hint="eastAsia"/>
                      <w:color w:val="000000" w:themeColor="text1"/>
                      <w:highlight w:val="none"/>
                      <w14:textFill>
                        <w14:solidFill>
                          <w14:schemeClr w14:val="tx1"/>
                        </w14:solidFill>
                      </w14:textFill>
                    </w:rPr>
                    <w:t>。</w:t>
                  </w:r>
                </w:p>
                <w:p w14:paraId="3ABCB093">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本项目的建设不涉及“两高”等项目范畴</w:t>
                  </w:r>
                  <w:r>
                    <w:rPr>
                      <w:rFonts w:hint="eastAsia"/>
                      <w:color w:val="000000" w:themeColor="text1"/>
                      <w:highlight w:val="none"/>
                      <w14:textFill>
                        <w14:solidFill>
                          <w14:schemeClr w14:val="tx1"/>
                        </w14:solidFill>
                      </w14:textFill>
                    </w:rPr>
                    <w:t>。</w:t>
                  </w:r>
                </w:p>
                <w:p w14:paraId="25F4FD4A">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本项目不涉及新增用水及排水环节，并将</w:t>
                  </w:r>
                  <w:r>
                    <w:rPr>
                      <w:rFonts w:hint="eastAsia"/>
                      <w:color w:val="000000" w:themeColor="text1"/>
                      <w:highlight w:val="none"/>
                      <w14:textFill>
                        <w14:solidFill>
                          <w14:schemeClr w14:val="tx1"/>
                        </w14:solidFill>
                      </w14:textFill>
                    </w:rPr>
                    <w:t>严格执行《内蒙古自治区饮用水水源保护条例》、《巴彦淖尔市集中式饮用水水源保护条例》中要求。</w:t>
                  </w:r>
                </w:p>
                <w:p w14:paraId="30D83E11">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本项目不属于</w:t>
                  </w:r>
                  <w:r>
                    <w:rPr>
                      <w:rFonts w:hint="eastAsia"/>
                      <w:color w:val="000000" w:themeColor="text1"/>
                      <w:highlight w:val="none"/>
                      <w14:textFill>
                        <w14:solidFill>
                          <w14:schemeClr w14:val="tx1"/>
                        </w14:solidFill>
                      </w14:textFill>
                    </w:rPr>
                    <w:t>“两高一低”项目</w:t>
                  </w:r>
                  <w:r>
                    <w:rPr>
                      <w:rFonts w:hint="eastAsia"/>
                      <w:color w:val="000000" w:themeColor="text1"/>
                      <w:highlight w:val="none"/>
                      <w:lang w:val="en-US" w:eastAsia="zh-CN"/>
                      <w14:textFill>
                        <w14:solidFill>
                          <w14:schemeClr w14:val="tx1"/>
                        </w14:solidFill>
                      </w14:textFill>
                    </w:rPr>
                    <w:t>范畴</w:t>
                  </w:r>
                  <w:r>
                    <w:rPr>
                      <w:rFonts w:hint="eastAsia"/>
                      <w:color w:val="000000" w:themeColor="text1"/>
                      <w:highlight w:val="none"/>
                      <w14:textFill>
                        <w14:solidFill>
                          <w14:schemeClr w14:val="tx1"/>
                        </w14:solidFill>
                      </w14:textFill>
                    </w:rPr>
                    <w:t>。</w:t>
                  </w:r>
                </w:p>
              </w:tc>
            </w:tr>
            <w:tr w14:paraId="70C7F0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1033" w:hRule="atLeast"/>
              </w:trPr>
              <w:tc>
                <w:tcPr>
                  <w:tcW w:w="592" w:type="pct"/>
                  <w:noWrap w:val="0"/>
                  <w:vAlign w:val="center"/>
                </w:tcPr>
                <w:p w14:paraId="53BEABE7">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污染物排放管控</w:t>
                  </w:r>
                </w:p>
              </w:tc>
              <w:tc>
                <w:tcPr>
                  <w:tcW w:w="2537" w:type="pct"/>
                  <w:gridSpan w:val="6"/>
                  <w:noWrap w:val="0"/>
                  <w:vAlign w:val="center"/>
                </w:tcPr>
                <w:p w14:paraId="3332B83C">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1、粉状物料堆场必须进行全封闭，块状物料必须配套抑尘设施。</w:t>
                  </w:r>
                </w:p>
                <w:p w14:paraId="554FA352">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2、禁止新建每小时35蒸吨以下燃煤锅炉，新建锅炉大气污染物排放要符合相关要求。</w:t>
                  </w:r>
                </w:p>
                <w:p w14:paraId="5994E4E1">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根据《化工园区建设标准和认定管理办法（试行）》（工信部联原[2021]220号）要求，化工园区应按照分类收集、分质处理的要求，配备专业化工生产废水集中处理设施（独立建设或依托骨干企业）及专管或明管输送的配套管网。工业园区的工业企业排放的废水应当按照国家有关规定进行预处理（或者委托具备处理能力的第三方进行集中处理），未达到工业园区集中处理设施（不含园区企业预处理一级集中处理设施）处理工艺要求的，不得排入工业园区污水集中处理设施。</w:t>
                  </w:r>
                </w:p>
                <w:p w14:paraId="2A3E6ADA">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新建“两高”项目应按照《关于加强重点行业建设项目区域削减措施监督管理的通知》要求，依据区域环境质量改善目标，制定配套区域污染物削减方案，采取有效的污染物区域削减措施，腾出足够的环境容量。现有“两高”项目应依法制定并严格落实防治土壤与地下水污染的措施。推进水泥、焦化等行业超低排放改造。以电力、焦化、冶炼、钢铁等行业为重点，有序推进现有企业开展全流程智能化、清洁化、循环化、低碳化改造，促进传统产业绿色转型级，逐步淘汰落后产能。</w:t>
                  </w:r>
                </w:p>
                <w:p w14:paraId="6C4817A9">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5、加强对废气特别是有毒及恶臭气体的收集和处置，严格控制挥发性有机物（VOCs）排放。</w:t>
                  </w:r>
                </w:p>
                <w:p w14:paraId="3FAF3B35">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6、以焦化制造、冶金等行业为重点，有序推进现有企业开展全流程智能化、清洁化、循环化、低碳化改造，促进传统产业绿色转型升级，逐步淘汰落后产能。推进焦化等行业超低排放改造。</w:t>
                  </w:r>
                </w:p>
                <w:p w14:paraId="1BAB1810">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7、固体废物产生量大的化工园区应配套建设固体废物处置设施同时提高综合利用率。</w:t>
                  </w:r>
                </w:p>
                <w:p w14:paraId="6D7DDC57">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新建、改建、扩建重点行业建设项目遵循重点重金属污染物排放“等量替代”原则。建设单位在提交环境影响评价文件时应明确重点重金属污染物排放总量及来源。无明确具体总量来源的，各级生态环境部门不得批准相关环境影响评价文件。禁止新建用汞的电石法（聚）氯乙烯生产工艺项目。新建、扩建的重有色金属冶炼、电镀、制革企业优先布设在依法合规设立并经规划环评的产业园区。</w:t>
                  </w:r>
                </w:p>
              </w:tc>
              <w:tc>
                <w:tcPr>
                  <w:tcW w:w="1870" w:type="pct"/>
                  <w:noWrap w:val="0"/>
                  <w:vAlign w:val="center"/>
                </w:tcPr>
                <w:p w14:paraId="5A63605D">
                  <w:pPr>
                    <w:pStyle w:val="101"/>
                    <w:keepNext w:val="0"/>
                    <w:keepLines w:val="0"/>
                    <w:suppressLineNumbers w:val="0"/>
                    <w:spacing w:before="0" w:beforeAutospacing="0" w:after="0" w:afterAutospacing="0"/>
                    <w:ind w:left="0" w:right="0"/>
                    <w:jc w:val="left"/>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本项目建设的乙类库为全封闭结构，可有效控制颗粒物排放。</w:t>
                  </w:r>
                </w:p>
                <w:p w14:paraId="0B233020">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本项目的建设不涉及新增供暖设施</w:t>
                  </w:r>
                  <w:r>
                    <w:rPr>
                      <w:rFonts w:hint="eastAsia"/>
                      <w:color w:val="000000" w:themeColor="text1"/>
                      <w:highlight w:val="none"/>
                      <w14:textFill>
                        <w14:solidFill>
                          <w14:schemeClr w14:val="tx1"/>
                        </w14:solidFill>
                      </w14:textFill>
                    </w:rPr>
                    <w:t>。</w:t>
                  </w:r>
                </w:p>
                <w:p w14:paraId="0A2720FD">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本项目不涉及污水排放</w:t>
                  </w:r>
                  <w:r>
                    <w:rPr>
                      <w:rFonts w:hint="eastAsia"/>
                      <w:color w:val="000000" w:themeColor="text1"/>
                      <w:highlight w:val="none"/>
                      <w14:textFill>
                        <w14:solidFill>
                          <w14:schemeClr w14:val="tx1"/>
                        </w14:solidFill>
                      </w14:textFill>
                    </w:rPr>
                    <w:t>。</w:t>
                  </w:r>
                </w:p>
                <w:p w14:paraId="6B0885A9">
                  <w:pPr>
                    <w:pStyle w:val="101"/>
                    <w:keepNext w:val="0"/>
                    <w:keepLines w:val="0"/>
                    <w:suppressLineNumbers w:val="0"/>
                    <w:spacing w:before="0" w:beforeAutospacing="0" w:after="0" w:afterAutospacing="0"/>
                    <w:ind w:left="0" w:right="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本项目不属于</w:t>
                  </w:r>
                  <w:r>
                    <w:rPr>
                      <w:rFonts w:hint="eastAsia"/>
                      <w:color w:val="000000" w:themeColor="text1"/>
                      <w:highlight w:val="none"/>
                      <w14:textFill>
                        <w14:solidFill>
                          <w14:schemeClr w14:val="tx1"/>
                        </w14:solidFill>
                      </w14:textFill>
                    </w:rPr>
                    <w:t>“两高”项目</w:t>
                  </w:r>
                  <w:r>
                    <w:rPr>
                      <w:rFonts w:hint="eastAsia"/>
                      <w:color w:val="000000" w:themeColor="text1"/>
                      <w:highlight w:val="none"/>
                      <w:lang w:val="en-US" w:eastAsia="zh-CN"/>
                      <w14:textFill>
                        <w14:solidFill>
                          <w14:schemeClr w14:val="tx1"/>
                        </w14:solidFill>
                      </w14:textFill>
                    </w:rPr>
                    <w:t>范畴。</w:t>
                  </w:r>
                </w:p>
                <w:p w14:paraId="2AF434B6">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本项目建设不涉及</w:t>
                  </w:r>
                  <w:r>
                    <w:rPr>
                      <w:rFonts w:hint="eastAsia"/>
                      <w:color w:val="000000" w:themeColor="text1"/>
                      <w:highlight w:val="none"/>
                      <w14:textFill>
                        <w14:solidFill>
                          <w14:schemeClr w14:val="tx1"/>
                        </w14:solidFill>
                      </w14:textFill>
                    </w:rPr>
                    <w:t>有毒气体</w:t>
                  </w:r>
                  <w:r>
                    <w:rPr>
                      <w:rFonts w:hint="eastAsia"/>
                      <w:color w:val="000000" w:themeColor="text1"/>
                      <w:highlight w:val="none"/>
                      <w:lang w:val="en-US" w:eastAsia="zh-CN"/>
                      <w14:textFill>
                        <w14:solidFill>
                          <w14:schemeClr w14:val="tx1"/>
                        </w14:solidFill>
                      </w14:textFill>
                    </w:rPr>
                    <w:t>排放，排放的少量硫化氢气体对周围环境影响较小</w:t>
                  </w:r>
                  <w:r>
                    <w:rPr>
                      <w:rFonts w:hint="eastAsia"/>
                      <w:color w:val="000000" w:themeColor="text1"/>
                      <w:highlight w:val="none"/>
                      <w14:textFill>
                        <w14:solidFill>
                          <w14:schemeClr w14:val="tx1"/>
                        </w14:solidFill>
                      </w14:textFill>
                    </w:rPr>
                    <w:t>。</w:t>
                  </w:r>
                </w:p>
                <w:p w14:paraId="7E20F6FF">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本项目属于神华巴彦淖尔能源有限责任公司焦化厂配套工程，企业主体开展了全流程智能化、清洁化、循环化、低碳化等改造。并将进一步</w:t>
                  </w:r>
                  <w:r>
                    <w:rPr>
                      <w:rFonts w:hint="eastAsia"/>
                      <w:color w:val="000000" w:themeColor="text1"/>
                      <w:highlight w:val="none"/>
                      <w14:textFill>
                        <w14:solidFill>
                          <w14:schemeClr w14:val="tx1"/>
                        </w14:solidFill>
                      </w14:textFill>
                    </w:rPr>
                    <w:t>推进焦化超低排放改造。</w:t>
                  </w:r>
                </w:p>
                <w:p w14:paraId="3FF818D0">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本项目不涉及固体废物排放</w:t>
                  </w:r>
                  <w:r>
                    <w:rPr>
                      <w:rFonts w:hint="eastAsia"/>
                      <w:color w:val="000000" w:themeColor="text1"/>
                      <w:highlight w:val="none"/>
                      <w14:textFill>
                        <w14:solidFill>
                          <w14:schemeClr w14:val="tx1"/>
                        </w14:solidFill>
                      </w14:textFill>
                    </w:rPr>
                    <w:t>。</w:t>
                  </w:r>
                </w:p>
                <w:p w14:paraId="61AED9AD">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本项目不涉及重金属排放</w:t>
                  </w:r>
                  <w:r>
                    <w:rPr>
                      <w:rFonts w:hint="eastAsia"/>
                      <w:color w:val="000000" w:themeColor="text1"/>
                      <w:highlight w:val="none"/>
                      <w14:textFill>
                        <w14:solidFill>
                          <w14:schemeClr w14:val="tx1"/>
                        </w14:solidFill>
                      </w14:textFill>
                    </w:rPr>
                    <w:t>。</w:t>
                  </w:r>
                </w:p>
              </w:tc>
            </w:tr>
            <w:tr w14:paraId="3116C3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noWrap w:val="0"/>
                  <w:vAlign w:val="center"/>
                </w:tcPr>
                <w:p w14:paraId="1CDEAE24">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环境风险防控</w:t>
                  </w:r>
                </w:p>
              </w:tc>
              <w:tc>
                <w:tcPr>
                  <w:tcW w:w="2537" w:type="pct"/>
                  <w:gridSpan w:val="6"/>
                  <w:noWrap w:val="0"/>
                  <w:vAlign w:val="center"/>
                </w:tcPr>
                <w:p w14:paraId="38165BEF">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加强园区及入园企业环境应急设施整合共享，形成园区应急物资联动资源库，建立有效的拦截、降污、导流、暂存等工程措施，防止泄漏物、消防废水等进入园区外环境。建立园区环境应急监测机制，强化园区风险防控。制定园区环境风险事故防范和应急预案并定期更新。化学工业加强重大环境风险源的风险管控，构建区域环境风险联防联控机制，建立突发环境事故状态下的应急监测与人员疏散联动机制。</w:t>
                  </w:r>
                </w:p>
                <w:p w14:paraId="504C3781">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2、依法严查向滩涂、坑塘、废弃矿井、渗坑渗井等非法排污的环境违法行为。</w:t>
                  </w:r>
                </w:p>
                <w:p w14:paraId="702244E9">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3、实行排污许可重点管理的排污单位，应当依法安装、使用、维护污染物排放自动监测设备，并与生态环境主管部门的监控设备联网。</w:t>
                  </w:r>
                </w:p>
                <w:p w14:paraId="3F756C4B">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4、规范项目台账，化工园区与城市建成区、人口密集区、重要设施等防护目标之间保持足够的安全防护距离，留有适当的缓冲带，加强日常环境风险监管。</w:t>
                  </w:r>
                </w:p>
              </w:tc>
              <w:tc>
                <w:tcPr>
                  <w:tcW w:w="1870" w:type="pct"/>
                  <w:noWrap w:val="0"/>
                  <w:vAlign w:val="center"/>
                </w:tcPr>
                <w:p w14:paraId="74E67ABA">
                  <w:pPr>
                    <w:pStyle w:val="101"/>
                    <w:keepNext w:val="0"/>
                    <w:keepLines w:val="0"/>
                    <w:suppressLineNumbers w:val="0"/>
                    <w:spacing w:before="0" w:beforeAutospacing="0" w:after="0" w:afterAutospacing="0"/>
                    <w:ind w:left="0" w:right="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本项目主体已制定了有效的突发环境事件应急预案，并在主管部门备案；本项目建成后更新全厂（包括本项目在内的）环境风险应急预案。</w:t>
                  </w:r>
                </w:p>
                <w:p w14:paraId="41A7E01C">
                  <w:pPr>
                    <w:pStyle w:val="101"/>
                    <w:keepNext w:val="0"/>
                    <w:keepLines w:val="0"/>
                    <w:suppressLineNumbers w:val="0"/>
                    <w:spacing w:before="0" w:beforeAutospacing="0" w:after="0" w:afterAutospacing="0"/>
                    <w:ind w:left="0" w:right="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项目主体目前不涉及</w:t>
                  </w:r>
                  <w:r>
                    <w:rPr>
                      <w:rFonts w:hint="eastAsia"/>
                      <w:color w:val="000000" w:themeColor="text1"/>
                      <w:highlight w:val="none"/>
                      <w14:textFill>
                        <w14:solidFill>
                          <w14:schemeClr w14:val="tx1"/>
                        </w14:solidFill>
                      </w14:textFill>
                    </w:rPr>
                    <w:t>向滩涂、坑塘、废弃矿井、渗坑渗井等非法排污的环境违法行为。</w:t>
                  </w:r>
                </w:p>
                <w:p w14:paraId="3589EE1E">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本项目主体为</w:t>
                  </w:r>
                  <w:r>
                    <w:rPr>
                      <w:rFonts w:hint="eastAsia"/>
                      <w:color w:val="000000" w:themeColor="text1"/>
                      <w:highlight w:val="none"/>
                      <w14:textFill>
                        <w14:solidFill>
                          <w14:schemeClr w14:val="tx1"/>
                        </w14:solidFill>
                      </w14:textFill>
                    </w:rPr>
                    <w:t>排污许可重点管理的排污单位，全部</w:t>
                  </w:r>
                  <w:r>
                    <w:rPr>
                      <w:rFonts w:hint="eastAsia"/>
                      <w:color w:val="000000" w:themeColor="text1"/>
                      <w:highlight w:val="none"/>
                      <w:lang w:val="en-US" w:eastAsia="zh-CN"/>
                      <w14:textFill>
                        <w14:solidFill>
                          <w14:schemeClr w14:val="tx1"/>
                        </w14:solidFill>
                      </w14:textFill>
                    </w:rPr>
                    <w:t>已</w:t>
                  </w:r>
                  <w:r>
                    <w:rPr>
                      <w:rFonts w:hint="eastAsia"/>
                      <w:color w:val="000000" w:themeColor="text1"/>
                      <w:highlight w:val="none"/>
                      <w14:textFill>
                        <w14:solidFill>
                          <w14:schemeClr w14:val="tx1"/>
                        </w14:solidFill>
                      </w14:textFill>
                    </w:rPr>
                    <w:t>依法安装、使用、维护污染物排放自动监测设备，并与生态环境主管部门的监控设备联网。</w:t>
                  </w:r>
                </w:p>
                <w:p w14:paraId="6848FD02">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本项目建成后将</w:t>
                  </w:r>
                  <w:r>
                    <w:rPr>
                      <w:rFonts w:hint="eastAsia"/>
                      <w:color w:val="000000" w:themeColor="text1"/>
                      <w:highlight w:val="none"/>
                      <w14:textFill>
                        <w14:solidFill>
                          <w14:schemeClr w14:val="tx1"/>
                        </w14:solidFill>
                      </w14:textFill>
                    </w:rPr>
                    <w:t>建立项目台账，</w:t>
                  </w:r>
                  <w:r>
                    <w:rPr>
                      <w:rFonts w:hint="eastAsia"/>
                      <w:color w:val="000000" w:themeColor="text1"/>
                      <w:highlight w:val="none"/>
                      <w:lang w:val="en-US" w:eastAsia="zh-CN"/>
                      <w14:textFill>
                        <w14:solidFill>
                          <w14:schemeClr w14:val="tx1"/>
                        </w14:solidFill>
                      </w14:textFill>
                    </w:rPr>
                    <w:t>并</w:t>
                  </w:r>
                  <w:r>
                    <w:rPr>
                      <w:rFonts w:hint="eastAsia"/>
                      <w:color w:val="000000" w:themeColor="text1"/>
                      <w:highlight w:val="none"/>
                      <w14:textFill>
                        <w14:solidFill>
                          <w14:schemeClr w14:val="tx1"/>
                        </w14:solidFill>
                      </w14:textFill>
                    </w:rPr>
                    <w:t>加强日常环境风险监管。</w:t>
                  </w:r>
                </w:p>
              </w:tc>
            </w:tr>
            <w:tr w14:paraId="74F47D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57" w:type="dxa"/>
                  <w:left w:w="57" w:type="dxa"/>
                  <w:bottom w:w="57" w:type="dxa"/>
                  <w:right w:w="57" w:type="dxa"/>
                </w:tblCellMar>
              </w:tblPrEx>
              <w:trPr>
                <w:trHeight w:val="23" w:hRule="atLeast"/>
              </w:trPr>
              <w:tc>
                <w:tcPr>
                  <w:tcW w:w="592" w:type="pct"/>
                  <w:noWrap w:val="0"/>
                  <w:vAlign w:val="center"/>
                </w:tcPr>
                <w:p w14:paraId="1DD17740">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资源利用效率要求</w:t>
                  </w:r>
                </w:p>
              </w:tc>
              <w:tc>
                <w:tcPr>
                  <w:tcW w:w="2537" w:type="pct"/>
                  <w:gridSpan w:val="6"/>
                  <w:noWrap w:val="0"/>
                  <w:vAlign w:val="center"/>
                </w:tcPr>
                <w:p w14:paraId="050AD1F0">
                  <w:pPr>
                    <w:pStyle w:val="101"/>
                    <w:keepNext w:val="0"/>
                    <w:keepLines w:val="0"/>
                    <w:suppressLineNumbers w:val="0"/>
                    <w:spacing w:before="0" w:beforeAutospacing="0" w:after="0" w:afterAutospacing="0"/>
                    <w:ind w:left="0" w:right="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新建、改建、扩建的工业项目，禁止擅自使用地下水；食品、制药等项目取用地下水，须经有管理权限的水行政主管部门批准；具备使用非常规水源条件的园区，限期关闭企业生产用地下水自备水井；工业企业的设备冷却水、空调冷却水、锅炉冷凝水应当循环使用或者回收利用，不得直接排放。</w:t>
                  </w:r>
                </w:p>
                <w:p w14:paraId="16CBDE61">
                  <w:pPr>
                    <w:pStyle w:val="101"/>
                    <w:keepNext w:val="0"/>
                    <w:keepLines w:val="0"/>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加强对已建成高污染、高耗水、高耗能项目的监管，有节能节水减排潜力的项目要升级改造，单位产品物耗、能耗、水耗等鼓励逐步达到清洁生产先进水平。节水设施应与主体工程同时设计、同时施工、同时投运。</w:t>
                  </w:r>
                </w:p>
              </w:tc>
              <w:tc>
                <w:tcPr>
                  <w:tcW w:w="1870" w:type="pct"/>
                  <w:noWrap w:val="0"/>
                  <w:vAlign w:val="center"/>
                </w:tcPr>
                <w:p w14:paraId="6ECD08E4">
                  <w:pPr>
                    <w:pStyle w:val="101"/>
                    <w:keepNext w:val="0"/>
                    <w:keepLines w:val="0"/>
                    <w:suppressLineNumbers w:val="0"/>
                    <w:spacing w:before="0" w:beforeAutospacing="0" w:after="0" w:afterAutospacing="0"/>
                    <w:ind w:left="0" w:right="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本项目建设不涉及用水环节。</w:t>
                  </w:r>
                </w:p>
                <w:p w14:paraId="2A6248F9">
                  <w:pPr>
                    <w:pStyle w:val="101"/>
                    <w:keepNext w:val="0"/>
                    <w:keepLines w:val="0"/>
                    <w:suppressLineNumbers w:val="0"/>
                    <w:spacing w:before="0" w:beforeAutospacing="0" w:after="0" w:afterAutospacing="0"/>
                    <w:ind w:left="0" w:right="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本项目不属于</w:t>
                  </w:r>
                  <w:r>
                    <w:rPr>
                      <w:rFonts w:hint="eastAsia"/>
                      <w:color w:val="000000" w:themeColor="text1"/>
                      <w:highlight w:val="none"/>
                      <w14:textFill>
                        <w14:solidFill>
                          <w14:schemeClr w14:val="tx1"/>
                        </w14:solidFill>
                      </w14:textFill>
                    </w:rPr>
                    <w:t>高污染、高耗水、高耗能项目</w:t>
                  </w:r>
                  <w:r>
                    <w:rPr>
                      <w:rFonts w:hint="eastAsia"/>
                      <w:color w:val="000000" w:themeColor="text1"/>
                      <w:highlight w:val="none"/>
                      <w:lang w:val="en-US" w:eastAsia="zh-CN"/>
                      <w14:textFill>
                        <w14:solidFill>
                          <w14:schemeClr w14:val="tx1"/>
                        </w14:solidFill>
                      </w14:textFill>
                    </w:rPr>
                    <w:t>范畴。</w:t>
                  </w:r>
                </w:p>
              </w:tc>
            </w:tr>
          </w:tbl>
          <w:p w14:paraId="23A4B216">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本项目的建设不涉及生态红线范围，满足环境质量底线及资源利用上线，根据《巴彦淖尔市生态环境准入清单》（2023版），本项目的建设从空间布局约束、污染物排放管控、环控风险防控及资源利用效率等方面，符合准入清单建设要求。因此，本项目的建设符合巴彦淖尔市“三线一单”有关要求。</w:t>
            </w:r>
          </w:p>
          <w:p w14:paraId="1CBF43D1">
            <w:pPr>
              <w:keepNext w:val="0"/>
              <w:keepLines w:val="0"/>
              <w:suppressLineNumbers w:val="0"/>
              <w:autoSpaceDE w:val="0"/>
              <w:autoSpaceDN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3</w:t>
            </w:r>
            <w:r>
              <w:rPr>
                <w:rFonts w:hint="eastAsia"/>
                <w:b/>
                <w:bCs/>
                <w:color w:val="000000" w:themeColor="text1"/>
                <w:highlight w:val="none"/>
                <w14:textFill>
                  <w14:solidFill>
                    <w14:schemeClr w14:val="tx1"/>
                  </w14:solidFill>
                </w14:textFill>
              </w:rPr>
              <w:t>、与《巴彦淖尔市“十四五”生态环境保护规划》符合性分析</w:t>
            </w:r>
          </w:p>
          <w:p w14:paraId="5E4678B0">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巴彦淖尔市“十四五”生态环境保护规划》指出：“深入开展全市化学品基础信息调查更新，进行重点行业重点化学物质生产使用信息调查和环境危害评估，识别有毒有害化学物质。以黄河干流和乌梁素海为重点，将内分泌干扰物、抗生素、全氟化合物等有毒有害化学物质列为调查对象，逐步推进有毒有害化学物质环境调查和环境风险评估。</w:t>
            </w:r>
          </w:p>
          <w:p w14:paraId="2597065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新建乙类库是为满足神华巴彦淖尔能源有限责任公司焦炉煤气脱硫净化过程产生硫磺的临时贮存使用，项目建成后可以满足硫磺的贮存需求，并将加强该危险化学品的进出库记录。</w:t>
            </w:r>
            <w:r>
              <w:rPr>
                <w:rFonts w:hint="eastAsia"/>
                <w:color w:val="000000" w:themeColor="text1"/>
                <w:highlight w:val="none"/>
                <w14:textFill>
                  <w14:solidFill>
                    <w14:schemeClr w14:val="tx1"/>
                  </w14:solidFill>
                </w14:textFill>
              </w:rPr>
              <w:t>因此，本项目的建设符合《巴彦淖尔市“十四五”生态环境保护规划》。</w:t>
            </w:r>
          </w:p>
          <w:p w14:paraId="21CDAD87">
            <w:pPr>
              <w:keepNext w:val="0"/>
              <w:keepLines w:val="0"/>
              <w:numPr>
                <w:ilvl w:val="0"/>
                <w:numId w:val="4"/>
              </w:numPr>
              <w:suppressLineNumbers w:val="0"/>
              <w:autoSpaceDE w:val="0"/>
              <w:autoSpaceDN w:val="0"/>
              <w:spacing w:before="0" w:beforeAutospacing="0" w:after="0" w:afterAutospacing="0"/>
              <w:ind w:left="0" w:right="0" w:firstLine="482"/>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与《危险化学品仓库储存通则》（GB15603-2022）符合性分析</w:t>
            </w:r>
          </w:p>
          <w:p w14:paraId="7D1AF237">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1-5</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与《危险化学品仓库储存通则》（GB15603-2022）符合性分析</w:t>
            </w:r>
          </w:p>
          <w:tbl>
            <w:tblPr>
              <w:tblStyle w:val="29"/>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7"/>
              <w:gridCol w:w="3191"/>
              <w:gridCol w:w="645"/>
            </w:tblGrid>
            <w:tr w14:paraId="1109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67" w:type="dxa"/>
                  <w:vAlign w:val="center"/>
                </w:tcPr>
                <w:p w14:paraId="6A98D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通则要求</w:t>
                  </w:r>
                </w:p>
              </w:tc>
              <w:tc>
                <w:tcPr>
                  <w:tcW w:w="3191" w:type="dxa"/>
                  <w:vAlign w:val="center"/>
                </w:tcPr>
                <w:p w14:paraId="2E628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项目建设情况</w:t>
                  </w:r>
                </w:p>
              </w:tc>
              <w:tc>
                <w:tcPr>
                  <w:tcW w:w="645" w:type="dxa"/>
                  <w:vAlign w:val="center"/>
                </w:tcPr>
                <w:p w14:paraId="0AD98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是否满足</w:t>
                  </w:r>
                </w:p>
              </w:tc>
            </w:tr>
            <w:tr w14:paraId="7C2E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4BCF1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基本要求</w:t>
                  </w:r>
                </w:p>
              </w:tc>
            </w:tr>
            <w:tr w14:paraId="7837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78170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危险化学品储存、经营企业的仓库规划选址、建设、安全设施，应符合GB50016、GB18265的要求。</w:t>
                  </w:r>
                </w:p>
              </w:tc>
              <w:tc>
                <w:tcPr>
                  <w:tcW w:w="3191" w:type="dxa"/>
                  <w:vAlign w:val="center"/>
                </w:tcPr>
                <w:p w14:paraId="56B40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本项目的建设位于园区内，远离市区及居民区，乙类库的设施按防火间距要求规定执行，并设有安全防护距离，具体见下表。</w:t>
                  </w:r>
                </w:p>
              </w:tc>
              <w:tc>
                <w:tcPr>
                  <w:tcW w:w="645" w:type="dxa"/>
                  <w:vAlign w:val="center"/>
                </w:tcPr>
                <w:p w14:paraId="2FB2C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124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8D80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应建立危险化学品储存信息管理系统，按照储存量大小进行分层次要求，实时记录作业基础数据</w:t>
                  </w:r>
                </w:p>
              </w:tc>
              <w:tc>
                <w:tcPr>
                  <w:tcW w:w="3191" w:type="dxa"/>
                  <w:vAlign w:val="center"/>
                </w:tcPr>
                <w:p w14:paraId="4EA52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建成后将进行硫磺的出入库记录（含时间、名称、品种、数量、包装形式及内部分布等）；本项目的建设识别了硫磺的危险特性，并按其防火等级设定为乙类库，配备了相应的消防设施；此外将识别硫磺的禁忌配存及应急措施等内容。</w:t>
                  </w:r>
                </w:p>
              </w:tc>
              <w:tc>
                <w:tcPr>
                  <w:tcW w:w="645" w:type="dxa"/>
                  <w:vAlign w:val="center"/>
                </w:tcPr>
                <w:p w14:paraId="68331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6C3C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7" w:type="dxa"/>
                  <w:vAlign w:val="center"/>
                </w:tcPr>
                <w:p w14:paraId="7CAC2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危险化学品储存信息数据应进行异地实时备份，数据保存期限不少于1年</w:t>
                  </w:r>
                </w:p>
              </w:tc>
              <w:tc>
                <w:tcPr>
                  <w:tcW w:w="3191" w:type="dxa"/>
                  <w:vAlign w:val="center"/>
                </w:tcPr>
                <w:p w14:paraId="044BB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本项目建成后，相关数据保存期限不少于1年。</w:t>
                  </w:r>
                </w:p>
              </w:tc>
              <w:tc>
                <w:tcPr>
                  <w:tcW w:w="645" w:type="dxa"/>
                  <w:vAlign w:val="center"/>
                </w:tcPr>
                <w:p w14:paraId="358D8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3CFE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CF12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危险化学品信息系统应具有接入所在地相关监管部门业务信息系统的接口</w:t>
                  </w:r>
                </w:p>
              </w:tc>
              <w:tc>
                <w:tcPr>
                  <w:tcW w:w="3191" w:type="dxa"/>
                  <w:vAlign w:val="center"/>
                </w:tcPr>
                <w:p w14:paraId="141B8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本项目建成后，化学品信息系统将接入所在地相关监管部门业务信息系统的接口。</w:t>
                  </w:r>
                </w:p>
              </w:tc>
              <w:tc>
                <w:tcPr>
                  <w:tcW w:w="645" w:type="dxa"/>
                  <w:vAlign w:val="center"/>
                </w:tcPr>
                <w:p w14:paraId="4E325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3005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139AA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储存要求</w:t>
                  </w:r>
                </w:p>
              </w:tc>
            </w:tr>
            <w:tr w14:paraId="22F0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4C1B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危险化学品仓库应采用隔离储存,隔开储存,分离储存的方式对危险化学品进行储存。</w:t>
                  </w:r>
                </w:p>
              </w:tc>
              <w:tc>
                <w:tcPr>
                  <w:tcW w:w="3191" w:type="dxa"/>
                  <w:vAlign w:val="center"/>
                </w:tcPr>
                <w:p w14:paraId="2D2F2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本项目仅贮存硫磺，不涉及其它危险化学品。仓库占地200m</w:t>
                  </w:r>
                  <w:r>
                    <w:rPr>
                      <w:rFonts w:hint="eastAsia"/>
                      <w:b w:val="0"/>
                      <w:bCs w:val="0"/>
                      <w:color w:val="000000" w:themeColor="text1"/>
                      <w:sz w:val="21"/>
                      <w:szCs w:val="21"/>
                      <w:highlight w:val="none"/>
                      <w:vertAlign w:val="superscript"/>
                      <w:lang w:val="en-US" w:eastAsia="zh-CN"/>
                      <w14:textFill>
                        <w14:solidFill>
                          <w14:schemeClr w14:val="tx1"/>
                        </w14:solidFill>
                      </w14:textFill>
                    </w:rPr>
                    <w:t>2</w:t>
                  </w:r>
                  <w:r>
                    <w:rPr>
                      <w:rFonts w:hint="eastAsia"/>
                      <w:b w:val="0"/>
                      <w:bCs w:val="0"/>
                      <w:color w:val="000000" w:themeColor="text1"/>
                      <w:sz w:val="21"/>
                      <w:szCs w:val="21"/>
                      <w:highlight w:val="none"/>
                      <w:vertAlign w:val="baseline"/>
                      <w:lang w:val="en-US" w:eastAsia="zh-CN"/>
                      <w14:textFill>
                        <w14:solidFill>
                          <w14:schemeClr w14:val="tx1"/>
                        </w14:solidFill>
                      </w14:textFill>
                    </w:rPr>
                    <w:t>，内部设为一个防火分区。</w:t>
                  </w:r>
                </w:p>
              </w:tc>
              <w:tc>
                <w:tcPr>
                  <w:tcW w:w="645" w:type="dxa"/>
                  <w:vAlign w:val="center"/>
                </w:tcPr>
                <w:p w14:paraId="66AC4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839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6CE45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应选择符合危险化学品的特性,防火要求及化学品安全技术说明书中储存要求的仓储设施进行储存。</w:t>
                  </w:r>
                </w:p>
              </w:tc>
              <w:tc>
                <w:tcPr>
                  <w:tcW w:w="3191" w:type="dxa"/>
                  <w:vAlign w:val="center"/>
                </w:tcPr>
                <w:p w14:paraId="3D9CC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本项目结合化学品的特性对仓储库进行了防火设计。</w:t>
                  </w:r>
                </w:p>
              </w:tc>
              <w:tc>
                <w:tcPr>
                  <w:tcW w:w="645" w:type="dxa"/>
                  <w:vAlign w:val="center"/>
                </w:tcPr>
                <w:p w14:paraId="5118D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028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1F068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应根据危险化学品仓库的设计和经营许可要求，严格控制危险化学品的储存品种，数量。</w:t>
                  </w:r>
                </w:p>
              </w:tc>
              <w:tc>
                <w:tcPr>
                  <w:tcW w:w="3191" w:type="dxa"/>
                  <w:vAlign w:val="center"/>
                </w:tcPr>
                <w:p w14:paraId="2C958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本项目仅涉及硫磺的贮存，并将严格控制危险化学品的储存数量。</w:t>
                  </w:r>
                </w:p>
              </w:tc>
              <w:tc>
                <w:tcPr>
                  <w:tcW w:w="645" w:type="dxa"/>
                  <w:vAlign w:val="center"/>
                </w:tcPr>
                <w:p w14:paraId="1C360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A01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1BF98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危险化学品储存应满足危险化学品分类，包装，储存方式及消防要求。</w:t>
                  </w:r>
                </w:p>
              </w:tc>
              <w:tc>
                <w:tcPr>
                  <w:tcW w:w="3191" w:type="dxa"/>
                  <w:vAlign w:val="center"/>
                </w:tcPr>
                <w:p w14:paraId="741EC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本项目仅储存硫磺，其包装、储存方式等均满足相关消防要求。</w:t>
                  </w:r>
                </w:p>
              </w:tc>
              <w:tc>
                <w:tcPr>
                  <w:tcW w:w="645" w:type="dxa"/>
                  <w:vAlign w:val="center"/>
                </w:tcPr>
                <w:p w14:paraId="29CB9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288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4AF7A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危险化学品的储存配存，应符合附录及其化学品安全技术说明书的要求。</w:t>
                  </w:r>
                </w:p>
              </w:tc>
              <w:tc>
                <w:tcPr>
                  <w:tcW w:w="3191" w:type="dxa"/>
                  <w:vAlign w:val="center"/>
                </w:tcPr>
                <w:p w14:paraId="4F150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本项目硫磺的储存符合相关设计要求。</w:t>
                  </w:r>
                </w:p>
              </w:tc>
              <w:tc>
                <w:tcPr>
                  <w:tcW w:w="645" w:type="dxa"/>
                  <w:vAlign w:val="center"/>
                </w:tcPr>
                <w:p w14:paraId="651D6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4E96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48CB6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储存爆炸物的仓库,其外部安全防护距离以及物品存放应满足GB18265的要求。</w:t>
                  </w:r>
                </w:p>
              </w:tc>
              <w:tc>
                <w:tcPr>
                  <w:tcW w:w="3191" w:type="dxa"/>
                  <w:vAlign w:val="center"/>
                </w:tcPr>
                <w:p w14:paraId="6E61A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本项目仓库周边的安全防护距离满足GB18265的要求。</w:t>
                  </w:r>
                </w:p>
              </w:tc>
              <w:tc>
                <w:tcPr>
                  <w:tcW w:w="645" w:type="dxa"/>
                  <w:vAlign w:val="center"/>
                </w:tcPr>
                <w:p w14:paraId="3016E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574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59715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储存有毒气体或易燃气体,且其构成危险化学品重大危险源的仓库,其外部安全防护距离应满足GB18265的要求。</w:t>
                  </w:r>
                </w:p>
              </w:tc>
              <w:tc>
                <w:tcPr>
                  <w:tcW w:w="3191" w:type="dxa"/>
                  <w:vAlign w:val="center"/>
                </w:tcPr>
                <w:p w14:paraId="22357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本项目不涉及气体储存，相关安全防护距离满足GB18265的要求。</w:t>
                  </w:r>
                </w:p>
              </w:tc>
              <w:tc>
                <w:tcPr>
                  <w:tcW w:w="645" w:type="dxa"/>
                  <w:vAlign w:val="center"/>
                </w:tcPr>
                <w:p w14:paraId="75AA6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11D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46EC0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储存具有火灾危险性危险化学品的仓库,耐火等级、层数、面积及防火间距应符合GB50016的要求。</w:t>
                  </w:r>
                </w:p>
              </w:tc>
              <w:tc>
                <w:tcPr>
                  <w:tcW w:w="3191" w:type="dxa"/>
                  <w:vAlign w:val="center"/>
                </w:tcPr>
                <w:p w14:paraId="3AB6F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本项目仓库建设的,耐火等级、层数、面积及防火间距均符合GB50016的要求。</w:t>
                  </w:r>
                </w:p>
              </w:tc>
              <w:tc>
                <w:tcPr>
                  <w:tcW w:w="645" w:type="dxa"/>
                  <w:vAlign w:val="center"/>
                </w:tcPr>
                <w:p w14:paraId="33A2C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9E4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1EAF4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剧毒化学品,易燃气体,氧化性气体,急性毒性气体,遇水放出易燃气体的物质和混合物,氯酸盐,高锰酸盐,亚硝酸盐,过氧化钠,过氧化氢,溴素应分离储存。</w:t>
                  </w:r>
                </w:p>
              </w:tc>
              <w:tc>
                <w:tcPr>
                  <w:tcW w:w="3191" w:type="dxa"/>
                  <w:vAlign w:val="center"/>
                </w:tcPr>
                <w:p w14:paraId="0470F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本项目仅涉及硫磺的储存。</w:t>
                  </w:r>
                </w:p>
              </w:tc>
              <w:tc>
                <w:tcPr>
                  <w:tcW w:w="645" w:type="dxa"/>
                  <w:vAlign w:val="center"/>
                </w:tcPr>
                <w:p w14:paraId="3CED8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3CAB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0C8F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剧毒化学品,监控化学品,易制毒化学品,易制爆危险化学品,应按规定将储存地点,储存数量,流向及管理人员的情况报相关部门备案,剧毒化学品以及构成重大危险源的危险化学品,应在专用仓库内单独存放,并实行双人收发,双人保管制度。</w:t>
                  </w:r>
                </w:p>
              </w:tc>
              <w:tc>
                <w:tcPr>
                  <w:tcW w:w="3191" w:type="dxa"/>
                  <w:vAlign w:val="center"/>
                </w:tcPr>
                <w:p w14:paraId="7F60D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本项目建成后将按规定将硫磺贮存于仓库内单独存放，并实行双人收发,双人保管制度。</w:t>
                  </w:r>
                </w:p>
              </w:tc>
              <w:tc>
                <w:tcPr>
                  <w:tcW w:w="645" w:type="dxa"/>
                  <w:vAlign w:val="center"/>
                </w:tcPr>
                <w:p w14:paraId="43803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5721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75A5D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装卸搬运与堆码</w:t>
                  </w:r>
                </w:p>
              </w:tc>
            </w:tr>
            <w:tr w14:paraId="0928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7850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应按照化学品安全技术说明书及装卸要求进行作业。</w:t>
                  </w:r>
                </w:p>
              </w:tc>
              <w:tc>
                <w:tcPr>
                  <w:tcW w:w="3191" w:type="dxa"/>
                  <w:vAlign w:val="center"/>
                </w:tcPr>
                <w:p w14:paraId="2E45C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本项目硫磺位于封闭乙类库内，厂区内利用叉车运送。</w:t>
                  </w:r>
                </w:p>
              </w:tc>
              <w:tc>
                <w:tcPr>
                  <w:tcW w:w="645" w:type="dxa"/>
                  <w:vAlign w:val="center"/>
                </w:tcPr>
                <w:p w14:paraId="60EDF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609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57689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应做到轻拿轻放,不应拖拉,翻滚,撞击,摩擦,摔扔,挤压等。</w:t>
                  </w:r>
                </w:p>
              </w:tc>
              <w:tc>
                <w:tcPr>
                  <w:tcW w:w="3191" w:type="dxa"/>
                  <w:vAlign w:val="center"/>
                </w:tcPr>
                <w:p w14:paraId="7E6DD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本项目运送过程将做到轻拿轻放,避免拖拉,翻滚,撞击,摩擦,摔扔,挤压等。</w:t>
                  </w:r>
                </w:p>
              </w:tc>
              <w:tc>
                <w:tcPr>
                  <w:tcW w:w="645" w:type="dxa"/>
                  <w:vAlign w:val="center"/>
                </w:tcPr>
                <w:p w14:paraId="4936F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48AB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93C8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应使用防爆叉车搬运装卸爆炸物及其他易发生燃烧爆炸的危险化学品。</w:t>
                  </w:r>
                </w:p>
              </w:tc>
              <w:tc>
                <w:tcPr>
                  <w:tcW w:w="3191" w:type="dxa"/>
                  <w:vAlign w:val="center"/>
                </w:tcPr>
                <w:p w14:paraId="479CA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本项目将采用内燃机叉车运送硫磺，安装阻火器。</w:t>
                  </w:r>
                </w:p>
              </w:tc>
              <w:tc>
                <w:tcPr>
                  <w:tcW w:w="645" w:type="dxa"/>
                  <w:vAlign w:val="center"/>
                </w:tcPr>
                <w:p w14:paraId="16A59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64B7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D53A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气体钢瓶的装卸,搬运应符合GB/T34525的有关规定。</w:t>
                  </w:r>
                </w:p>
              </w:tc>
              <w:tc>
                <w:tcPr>
                  <w:tcW w:w="3191" w:type="dxa"/>
                  <w:vAlign w:val="center"/>
                </w:tcPr>
                <w:p w14:paraId="110B9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本项目不涉及气体钢瓶的装卸及搬运。</w:t>
                  </w:r>
                </w:p>
              </w:tc>
              <w:tc>
                <w:tcPr>
                  <w:tcW w:w="645" w:type="dxa"/>
                  <w:vAlign w:val="center"/>
                </w:tcPr>
                <w:p w14:paraId="095F9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970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1DBE7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危险化学品堆码应整齐,牢固,无倒置、不应遮挡消防设备,安全设施,安全标志和通道。</w:t>
                  </w:r>
                </w:p>
              </w:tc>
              <w:tc>
                <w:tcPr>
                  <w:tcW w:w="3191" w:type="dxa"/>
                  <w:vAlign w:val="center"/>
                </w:tcPr>
                <w:p w14:paraId="686E7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本项目采用封闭的铁箱贮存硫磺，贮存过程无倒置、不遮挡消防设备,安全设施,安全标志和通道。</w:t>
                  </w:r>
                </w:p>
              </w:tc>
              <w:tc>
                <w:tcPr>
                  <w:tcW w:w="645" w:type="dxa"/>
                  <w:vAlign w:val="center"/>
                </w:tcPr>
                <w:p w14:paraId="7DBE7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66E8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B802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除200L及以上的钢桶,气体钢瓶外，其他包装的危险化学品不应直接与地面接触，垫底高度不小于10cm。</w:t>
                  </w:r>
                </w:p>
              </w:tc>
              <w:tc>
                <w:tcPr>
                  <w:tcW w:w="3191" w:type="dxa"/>
                  <w:vAlign w:val="center"/>
                </w:tcPr>
                <w:p w14:paraId="2DFA8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本项目硫磺散堆于乙类库地面，根据设计资料，</w:t>
                  </w:r>
                  <w:r>
                    <w:rPr>
                      <w:rFonts w:hint="eastAsia"/>
                      <w:color w:val="000000" w:themeColor="text1"/>
                      <w:sz w:val="21"/>
                      <w:szCs w:val="21"/>
                      <w:highlight w:val="none"/>
                      <w:vertAlign w:val="baseline"/>
                      <w:lang w:val="en-US" w:eastAsia="zh-CN"/>
                      <w14:textFill>
                        <w14:solidFill>
                          <w14:schemeClr w14:val="tx1"/>
                        </w14:solidFill>
                      </w14:textFill>
                    </w:rPr>
                    <w:t>乙类库地面采用耐酸砖，主要结构如下：1、20厚花岗石板用环氧胶泥铺砌，缝宽3~；2、6~8厚环氧胶泥结合层；3、1.5厚树脂玻璃钢（隔离层）；4、20厚DS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地面防渗层厚度为207.9~209.9mm，可以满足</w:t>
                  </w:r>
                  <w:r>
                    <w:rPr>
                      <w:rFonts w:hint="eastAsia"/>
                      <w:b w:val="0"/>
                      <w:bCs w:val="0"/>
                      <w:color w:val="000000" w:themeColor="text1"/>
                      <w:sz w:val="21"/>
                      <w:szCs w:val="21"/>
                      <w:highlight w:val="none"/>
                      <w:vertAlign w:val="baseline"/>
                      <w:lang w:val="en-US" w:eastAsia="zh-CN"/>
                      <w14:textFill>
                        <w14:solidFill>
                          <w14:schemeClr w14:val="tx1"/>
                        </w14:solidFill>
                      </w14:textFill>
                    </w:rPr>
                    <w:t>垫底高度不小于10cm的要求。</w:t>
                  </w:r>
                </w:p>
              </w:tc>
              <w:tc>
                <w:tcPr>
                  <w:tcW w:w="645" w:type="dxa"/>
                  <w:vAlign w:val="center"/>
                </w:tcPr>
                <w:p w14:paraId="31D3D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430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E4D7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堆码应符合包装标志要求；包装无堆码标志的危险化学品堆码高度应不超过3m（不含托盘等的高度）。</w:t>
                  </w:r>
                </w:p>
              </w:tc>
              <w:tc>
                <w:tcPr>
                  <w:tcW w:w="3191" w:type="dxa"/>
                  <w:vAlign w:val="center"/>
                </w:tcPr>
                <w:p w14:paraId="49782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本项目化学品的堆码高度小于3m，不涉及化学品包装。</w:t>
                  </w:r>
                </w:p>
              </w:tc>
              <w:tc>
                <w:tcPr>
                  <w:tcW w:w="645" w:type="dxa"/>
                  <w:vAlign w:val="center"/>
                </w:tcPr>
                <w:p w14:paraId="5FB64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5741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7E0CE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采用货架存放时，应置于托盘上并采取固定措施</w:t>
                  </w:r>
                </w:p>
              </w:tc>
              <w:tc>
                <w:tcPr>
                  <w:tcW w:w="3191" w:type="dxa"/>
                  <w:vAlign w:val="center"/>
                </w:tcPr>
                <w:p w14:paraId="1F7F9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本项目不设货架存放。</w:t>
                  </w:r>
                </w:p>
              </w:tc>
              <w:tc>
                <w:tcPr>
                  <w:tcW w:w="645" w:type="dxa"/>
                  <w:vAlign w:val="center"/>
                </w:tcPr>
                <w:p w14:paraId="7C2DC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688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66B6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仓库堆垛间距应满足以下要求：a）主通道大于或等于200cm；b）墙距大于或等于50cm；c）柱距大于或等于30cm；d）垛距大于或等于100cm（每个堆垛的面积不应大于150㎡）；e）灯距大于或等于50cm。</w:t>
                  </w:r>
                </w:p>
              </w:tc>
              <w:tc>
                <w:tcPr>
                  <w:tcW w:w="3191" w:type="dxa"/>
                  <w:vAlign w:val="center"/>
                </w:tcPr>
                <w:p w14:paraId="61207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本项目仓库化学品堆垛通道满足相关要求。</w:t>
                  </w:r>
                </w:p>
              </w:tc>
              <w:tc>
                <w:tcPr>
                  <w:tcW w:w="645" w:type="dxa"/>
                  <w:vAlign w:val="center"/>
                </w:tcPr>
                <w:p w14:paraId="433DA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E6D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28320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入库作业</w:t>
                  </w:r>
                </w:p>
              </w:tc>
            </w:tr>
            <w:tr w14:paraId="5B61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67780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入库前应做好储存位置、搬运工具、加固材料、防护装备、交接清单的准备。</w:t>
                  </w:r>
                </w:p>
              </w:tc>
              <w:tc>
                <w:tcPr>
                  <w:tcW w:w="3191" w:type="dxa"/>
                  <w:vAlign w:val="center"/>
                </w:tcPr>
                <w:p w14:paraId="6698E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本项目化学品入库前将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做好储存位置、搬运工具、加固材料、防护装备、交接清单的准备。</w:t>
                  </w:r>
                </w:p>
              </w:tc>
              <w:tc>
                <w:tcPr>
                  <w:tcW w:w="645" w:type="dxa"/>
                  <w:vAlign w:val="center"/>
                </w:tcPr>
                <w:p w14:paraId="630A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6E53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9C7B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应对运输车辆（厢）、装载状况（含施封）进行检查。</w:t>
                  </w:r>
                </w:p>
              </w:tc>
              <w:tc>
                <w:tcPr>
                  <w:tcW w:w="3191" w:type="dxa"/>
                  <w:vAlign w:val="center"/>
                </w:tcPr>
                <w:p w14:paraId="546FC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本项目将对</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运输车辆（厢）、装载状况（含施封）进行检查。</w:t>
                  </w:r>
                </w:p>
              </w:tc>
              <w:tc>
                <w:tcPr>
                  <w:tcW w:w="645" w:type="dxa"/>
                  <w:vAlign w:val="center"/>
                </w:tcPr>
                <w:p w14:paraId="4C4C2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3858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D016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应对入库危险化学品的品名、规格、数量与入库信息或单据的一致性进行查验。</w:t>
                  </w:r>
                </w:p>
              </w:tc>
              <w:tc>
                <w:tcPr>
                  <w:tcW w:w="3191" w:type="dxa"/>
                  <w:vAlign w:val="center"/>
                </w:tcPr>
                <w:p w14:paraId="16B4A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对入库危险化学品的品名、规格、数量与入库信息或单据的一致性进行查验。</w:t>
                  </w:r>
                </w:p>
              </w:tc>
              <w:tc>
                <w:tcPr>
                  <w:tcW w:w="645" w:type="dxa"/>
                  <w:vAlign w:val="center"/>
                </w:tcPr>
                <w:p w14:paraId="10A8E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47E2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51BF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入库物品的包装应完好，标志、安全标签应规范、清晰。</w:t>
                  </w:r>
                </w:p>
              </w:tc>
              <w:tc>
                <w:tcPr>
                  <w:tcW w:w="3191" w:type="dxa"/>
                  <w:vAlign w:val="center"/>
                </w:tcPr>
                <w:p w14:paraId="16BBD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本项目入库</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物品的包装将保持完好，标志、安全标签应规范、清晰。</w:t>
                  </w:r>
                </w:p>
              </w:tc>
              <w:tc>
                <w:tcPr>
                  <w:tcW w:w="645" w:type="dxa"/>
                  <w:vAlign w:val="center"/>
                </w:tcPr>
                <w:p w14:paraId="4DFBC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1940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C92E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入库物品应附有中文化学品安全技术说明书和安全标签。</w:t>
                  </w:r>
                </w:p>
              </w:tc>
              <w:tc>
                <w:tcPr>
                  <w:tcW w:w="3191" w:type="dxa"/>
                  <w:vAlign w:val="center"/>
                </w:tcPr>
                <w:p w14:paraId="7CB8F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本项目入库物品将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附有中文化学品安全技术说明书和安全标签。</w:t>
                  </w:r>
                </w:p>
              </w:tc>
              <w:tc>
                <w:tcPr>
                  <w:tcW w:w="645" w:type="dxa"/>
                  <w:vAlign w:val="center"/>
                </w:tcPr>
                <w:p w14:paraId="2ACC2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B1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11908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入库数量应以实际验收为准。</w:t>
                  </w:r>
                </w:p>
              </w:tc>
              <w:tc>
                <w:tcPr>
                  <w:tcW w:w="3191" w:type="dxa"/>
                  <w:vAlign w:val="center"/>
                </w:tcPr>
                <w:p w14:paraId="4F39E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本项目入库数量将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以实际验收为准。</w:t>
                  </w:r>
                </w:p>
              </w:tc>
              <w:tc>
                <w:tcPr>
                  <w:tcW w:w="645" w:type="dxa"/>
                  <w:vAlign w:val="center"/>
                </w:tcPr>
                <w:p w14:paraId="6A75F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30B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BDCB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验收完毕应作好记录并归档，单据保存期限不少于1年。</w:t>
                  </w:r>
                </w:p>
              </w:tc>
              <w:tc>
                <w:tcPr>
                  <w:tcW w:w="3191" w:type="dxa"/>
                  <w:vAlign w:val="center"/>
                </w:tcPr>
                <w:p w14:paraId="5473F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本项目对入库物品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验收完毕后将作好记录并归档，单据保存期限不少于1年。</w:t>
                  </w:r>
                </w:p>
              </w:tc>
              <w:tc>
                <w:tcPr>
                  <w:tcW w:w="645" w:type="dxa"/>
                  <w:vAlign w:val="center"/>
                </w:tcPr>
                <w:p w14:paraId="1869A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79A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04B94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在库管理</w:t>
                  </w:r>
                </w:p>
              </w:tc>
            </w:tr>
            <w:tr w14:paraId="1C7F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0D6C4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应定期进行盘点，并记录。发现账货不符，应及时进行处理。</w:t>
                  </w:r>
                </w:p>
              </w:tc>
              <w:tc>
                <w:tcPr>
                  <w:tcW w:w="3191" w:type="dxa"/>
                  <w:vAlign w:val="center"/>
                </w:tcPr>
                <w:p w14:paraId="18B1D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定期进行盘点，并记录。发现账货不符，应及时进行处理。</w:t>
                  </w:r>
                </w:p>
              </w:tc>
              <w:tc>
                <w:tcPr>
                  <w:tcW w:w="645" w:type="dxa"/>
                  <w:vAlign w:val="center"/>
                </w:tcPr>
                <w:p w14:paraId="09113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4812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54F95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应定期对物品堆码状态、包装及仓库进行检查，并记录。应对检查发现的问题及时进行处理。</w:t>
                  </w:r>
                </w:p>
              </w:tc>
              <w:tc>
                <w:tcPr>
                  <w:tcW w:w="3191" w:type="dxa"/>
                  <w:vAlign w:val="center"/>
                </w:tcPr>
                <w:p w14:paraId="241E0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定期对物品堆码状态、包装及仓库进行检查，并记录。应对检查发现的问题及时进行处理。</w:t>
                  </w:r>
                </w:p>
              </w:tc>
              <w:tc>
                <w:tcPr>
                  <w:tcW w:w="645" w:type="dxa"/>
                  <w:vAlign w:val="center"/>
                </w:tcPr>
                <w:p w14:paraId="4BDD8A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FB4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A0D9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应根据储存的危险化学品特性和气候条件，确定每日观测库内温湿度次数，并记录。</w:t>
                  </w:r>
                </w:p>
              </w:tc>
              <w:tc>
                <w:tcPr>
                  <w:tcW w:w="3191" w:type="dxa"/>
                  <w:vAlign w:val="center"/>
                </w:tcPr>
                <w:p w14:paraId="4BB4C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根据储存的危险化学品特性和气候条件，确定每日观测库内温湿度次数，并记录。</w:t>
                  </w:r>
                </w:p>
              </w:tc>
              <w:tc>
                <w:tcPr>
                  <w:tcW w:w="645" w:type="dxa"/>
                  <w:vAlign w:val="center"/>
                </w:tcPr>
                <w:p w14:paraId="1A802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01BD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610B1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 </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应根据储存的危险化学品特性，正确调节控制库内温湿度。</w:t>
                  </w:r>
                </w:p>
              </w:tc>
              <w:tc>
                <w:tcPr>
                  <w:tcW w:w="3191" w:type="dxa"/>
                  <w:vAlign w:val="center"/>
                </w:tcPr>
                <w:p w14:paraId="4CDF9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本项目将</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根据储存的危险化学品特性，正确调节控制库内温湿度。</w:t>
                  </w:r>
                </w:p>
              </w:tc>
              <w:tc>
                <w:tcPr>
                  <w:tcW w:w="645" w:type="dxa"/>
                  <w:vAlign w:val="center"/>
                </w:tcPr>
                <w:p w14:paraId="58C52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7034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38CDC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盘点、检查、观测记录应保存不少于1年。</w:t>
                  </w:r>
                </w:p>
              </w:tc>
              <w:tc>
                <w:tcPr>
                  <w:tcW w:w="3191" w:type="dxa"/>
                  <w:vAlign w:val="center"/>
                </w:tcPr>
                <w:p w14:paraId="52CFE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本项目建成后，</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盘点、检查、观测记录应保存不少于1年。</w:t>
                  </w:r>
                </w:p>
              </w:tc>
              <w:tc>
                <w:tcPr>
                  <w:tcW w:w="645" w:type="dxa"/>
                  <w:vAlign w:val="center"/>
                </w:tcPr>
                <w:p w14:paraId="3C7EA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2EAD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3"/>
                  <w:vAlign w:val="center"/>
                </w:tcPr>
                <w:p w14:paraId="6D9AA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出库作业</w:t>
                  </w:r>
                </w:p>
              </w:tc>
            </w:tr>
            <w:tr w14:paraId="052C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72196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危险化学品储存单位应建立完善的个体防护制度，应配置安全有效的个体防护装备，并符合GB 39800.1和GB 39800.2的要求。</w:t>
                  </w:r>
                </w:p>
              </w:tc>
              <w:tc>
                <w:tcPr>
                  <w:tcW w:w="3191" w:type="dxa"/>
                  <w:vAlign w:val="center"/>
                </w:tcPr>
                <w:p w14:paraId="2B8D3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危险化学品储存单位将建立完善的个体防护制度，</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并</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配置安全有效的个体防护装备，并符合GB 39800.1和GB 39800.2的要求。</w:t>
                  </w:r>
                </w:p>
              </w:tc>
              <w:tc>
                <w:tcPr>
                  <w:tcW w:w="645" w:type="dxa"/>
                  <w:vAlign w:val="center"/>
                </w:tcPr>
                <w:p w14:paraId="18713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r w14:paraId="15FC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7" w:type="dxa"/>
                  <w:vAlign w:val="center"/>
                </w:tcPr>
                <w:p w14:paraId="235EC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从业人员应经过专业防护知识培训，根据作业对象的危险特性应正确穿戴相应的防护装备作业。</w:t>
                  </w:r>
                </w:p>
              </w:tc>
              <w:tc>
                <w:tcPr>
                  <w:tcW w:w="3191" w:type="dxa"/>
                  <w:vAlign w:val="center"/>
                </w:tcPr>
                <w:p w14:paraId="04FEF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从业人员</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将</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经过专业防护知识培训，根据作业对象的危险特性应正确穿戴相应的防护装备作业。</w:t>
                  </w:r>
                </w:p>
              </w:tc>
              <w:tc>
                <w:tcPr>
                  <w:tcW w:w="645" w:type="dxa"/>
                  <w:vAlign w:val="center"/>
                </w:tcPr>
                <w:p w14:paraId="79179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满足</w:t>
                  </w:r>
                </w:p>
              </w:tc>
            </w:tr>
          </w:tbl>
          <w:p w14:paraId="02FF657E">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1-6</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本项目与周边建筑间距一览表</w:t>
            </w:r>
          </w:p>
          <w:tbl>
            <w:tblPr>
              <w:tblStyle w:val="29"/>
              <w:tblW w:w="6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827"/>
              <w:gridCol w:w="1469"/>
              <w:gridCol w:w="1019"/>
              <w:gridCol w:w="1004"/>
              <w:gridCol w:w="1424"/>
            </w:tblGrid>
            <w:tr w14:paraId="5EC1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Align w:val="center"/>
                </w:tcPr>
                <w:p w14:paraId="57777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名称</w:t>
                  </w:r>
                </w:p>
              </w:tc>
              <w:tc>
                <w:tcPr>
                  <w:tcW w:w="827" w:type="dxa"/>
                  <w:vAlign w:val="center"/>
                </w:tcPr>
                <w:p w14:paraId="720EF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位置</w:t>
                  </w:r>
                </w:p>
              </w:tc>
              <w:tc>
                <w:tcPr>
                  <w:tcW w:w="1469" w:type="dxa"/>
                  <w:vAlign w:val="center"/>
                </w:tcPr>
                <w:p w14:paraId="3BF70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相邻设施</w:t>
                  </w:r>
                </w:p>
              </w:tc>
              <w:tc>
                <w:tcPr>
                  <w:tcW w:w="1019" w:type="dxa"/>
                  <w:vAlign w:val="center"/>
                </w:tcPr>
                <w:p w14:paraId="465B5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设计距离（m）</w:t>
                  </w:r>
                </w:p>
              </w:tc>
              <w:tc>
                <w:tcPr>
                  <w:tcW w:w="1004" w:type="dxa"/>
                  <w:vAlign w:val="center"/>
                </w:tcPr>
                <w:p w14:paraId="0C82D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规范限值（m）</w:t>
                  </w:r>
                </w:p>
              </w:tc>
              <w:tc>
                <w:tcPr>
                  <w:tcW w:w="1424" w:type="dxa"/>
                  <w:vAlign w:val="center"/>
                </w:tcPr>
                <w:p w14:paraId="1F4A7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规范依据</w:t>
                  </w:r>
                </w:p>
              </w:tc>
            </w:tr>
            <w:tr w14:paraId="064D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14:paraId="47744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乙类危化品库房（乙类）</w:t>
                  </w:r>
                </w:p>
              </w:tc>
              <w:tc>
                <w:tcPr>
                  <w:tcW w:w="827" w:type="dxa"/>
                  <w:vAlign w:val="center"/>
                </w:tcPr>
                <w:p w14:paraId="0859A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w:t>
                  </w:r>
                </w:p>
              </w:tc>
              <w:tc>
                <w:tcPr>
                  <w:tcW w:w="1469" w:type="dxa"/>
                  <w:vAlign w:val="center"/>
                </w:tcPr>
                <w:p w14:paraId="16F6E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危废仓库（丙类）</w:t>
                  </w:r>
                </w:p>
              </w:tc>
              <w:tc>
                <w:tcPr>
                  <w:tcW w:w="1019" w:type="dxa"/>
                  <w:vAlign w:val="center"/>
                </w:tcPr>
                <w:p w14:paraId="1540D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125</w:t>
                  </w:r>
                </w:p>
              </w:tc>
              <w:tc>
                <w:tcPr>
                  <w:tcW w:w="1004" w:type="dxa"/>
                  <w:vAlign w:val="center"/>
                </w:tcPr>
                <w:p w14:paraId="7564F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10.00</w:t>
                  </w:r>
                </w:p>
              </w:tc>
              <w:tc>
                <w:tcPr>
                  <w:tcW w:w="1424" w:type="dxa"/>
                  <w:vAlign w:val="center"/>
                </w:tcPr>
                <w:p w14:paraId="1D443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GB50160-2008（2018年版）</w:t>
                  </w:r>
                </w:p>
              </w:tc>
            </w:tr>
            <w:tr w14:paraId="40D7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29838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3B8D0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w:t>
                  </w:r>
                </w:p>
              </w:tc>
              <w:tc>
                <w:tcPr>
                  <w:tcW w:w="1469" w:type="dxa"/>
                  <w:vAlign w:val="center"/>
                </w:tcPr>
                <w:p w14:paraId="4D71C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空地</w:t>
                  </w:r>
                </w:p>
              </w:tc>
              <w:tc>
                <w:tcPr>
                  <w:tcW w:w="1019" w:type="dxa"/>
                  <w:vAlign w:val="center"/>
                </w:tcPr>
                <w:p w14:paraId="0E5A4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c>
                <w:tcPr>
                  <w:tcW w:w="1004" w:type="dxa"/>
                  <w:vAlign w:val="center"/>
                </w:tcPr>
                <w:p w14:paraId="77C15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1424" w:type="dxa"/>
                  <w:vAlign w:val="center"/>
                </w:tcPr>
                <w:p w14:paraId="00A68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r>
            <w:tr w14:paraId="0689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54234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6C1AA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南</w:t>
                  </w:r>
                </w:p>
              </w:tc>
              <w:tc>
                <w:tcPr>
                  <w:tcW w:w="1469" w:type="dxa"/>
                  <w:vAlign w:val="center"/>
                </w:tcPr>
                <w:p w14:paraId="2AEC3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储煤棚</w:t>
                  </w:r>
                </w:p>
              </w:tc>
              <w:tc>
                <w:tcPr>
                  <w:tcW w:w="1019" w:type="dxa"/>
                  <w:vAlign w:val="center"/>
                </w:tcPr>
                <w:p w14:paraId="185E2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108</w:t>
                  </w:r>
                </w:p>
              </w:tc>
              <w:tc>
                <w:tcPr>
                  <w:tcW w:w="1004" w:type="dxa"/>
                  <w:vAlign w:val="center"/>
                </w:tcPr>
                <w:p w14:paraId="2B761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25.00</w:t>
                  </w:r>
                </w:p>
              </w:tc>
              <w:tc>
                <w:tcPr>
                  <w:tcW w:w="1424" w:type="dxa"/>
                  <w:vAlign w:val="center"/>
                </w:tcPr>
                <w:p w14:paraId="671A0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GB50016-2014（2018年版）</w:t>
                  </w:r>
                </w:p>
              </w:tc>
            </w:tr>
            <w:tr w14:paraId="204E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44068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66793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北</w:t>
                  </w:r>
                </w:p>
              </w:tc>
              <w:tc>
                <w:tcPr>
                  <w:tcW w:w="1469" w:type="dxa"/>
                  <w:vAlign w:val="center"/>
                </w:tcPr>
                <w:p w14:paraId="556275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空地</w:t>
                  </w:r>
                </w:p>
              </w:tc>
              <w:tc>
                <w:tcPr>
                  <w:tcW w:w="1019" w:type="dxa"/>
                  <w:vAlign w:val="center"/>
                </w:tcPr>
                <w:p w14:paraId="3E0A0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c>
                <w:tcPr>
                  <w:tcW w:w="1004" w:type="dxa"/>
                  <w:vAlign w:val="center"/>
                </w:tcPr>
                <w:p w14:paraId="26814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1424" w:type="dxa"/>
                  <w:vAlign w:val="center"/>
                </w:tcPr>
                <w:p w14:paraId="1EFA4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r>
          </w:tbl>
          <w:p w14:paraId="1862F6B5">
            <w:pPr>
              <w:keepNext w:val="0"/>
              <w:keepLines w:val="0"/>
              <w:suppressLineNumbers w:val="0"/>
              <w:autoSpaceDE w:val="0"/>
              <w:autoSpaceDN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w:t>
            </w:r>
            <w:r>
              <w:rPr>
                <w:rFonts w:hint="eastAsia"/>
                <w:b/>
                <w:bCs/>
                <w:color w:val="000000" w:themeColor="text1"/>
                <w:highlight w:val="none"/>
                <w14:textFill>
                  <w14:solidFill>
                    <w14:schemeClr w14:val="tx1"/>
                  </w14:solidFill>
                </w14:textFill>
              </w:rPr>
              <w:t>、选址合理性分析</w:t>
            </w:r>
          </w:p>
          <w:p w14:paraId="0EE2E9BD">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本项目选址位于</w:t>
            </w:r>
            <w:r>
              <w:rPr>
                <w:rFonts w:hint="default"/>
                <w:color w:val="000000" w:themeColor="text1"/>
                <w:highlight w:val="none"/>
                <w14:textFill>
                  <w14:solidFill>
                    <w14:schemeClr w14:val="tx1"/>
                  </w14:solidFill>
                </w14:textFill>
              </w:rPr>
              <w:t>甘其毛都口岸加工园区神华巴彦淖尔能源有限责任公司焦化厂厂区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eastAsia"/>
                <w:color w:val="000000" w:themeColor="text1"/>
                <w:highlight w:val="none"/>
                <w14:textFill>
                  <w14:solidFill>
                    <w14:schemeClr w14:val="tx1"/>
                  </w14:solidFill>
                </w14:textFill>
              </w:rPr>
              <w:t>，中心点坐标为北纬41°18'44.405"，东经108°34'08.079"。项目区内无饮用水水源地、自然保护区、风景名胜区等特殊环境敏感区。</w:t>
            </w:r>
            <w:r>
              <w:rPr>
                <w:rFonts w:hint="eastAsia"/>
                <w:color w:val="000000" w:themeColor="text1"/>
                <w:highlight w:val="none"/>
                <w:lang w:val="en-US" w:eastAsia="zh-CN"/>
                <w14:textFill>
                  <w14:solidFill>
                    <w14:schemeClr w14:val="tx1"/>
                  </w14:solidFill>
                </w14:textFill>
              </w:rPr>
              <w:t>项目选址满足GB50016、GB18265及GB18599的相关要求。</w:t>
            </w:r>
          </w:p>
          <w:p w14:paraId="26C71015">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项目所在厂区</w:t>
            </w:r>
            <w:r>
              <w:rPr>
                <w:rFonts w:hint="eastAsia" w:ascii="宋体" w:hAnsi="宋体" w:cs="宋体"/>
                <w:color w:val="000000" w:themeColor="text1"/>
                <w:highlight w:val="none"/>
                <w14:textFill>
                  <w14:solidFill>
                    <w14:schemeClr w14:val="tx1"/>
                  </w14:solidFill>
                </w14:textFill>
              </w:rPr>
              <w:t>内道路设施健全，水、电均由园区管网提供，满足生产需求。</w:t>
            </w:r>
            <w:r>
              <w:rPr>
                <w:rFonts w:hint="default"/>
                <w:color w:val="000000" w:themeColor="text1"/>
                <w:highlight w:val="none"/>
                <w14:textFill>
                  <w14:solidFill>
                    <w14:schemeClr w14:val="tx1"/>
                  </w14:solidFill>
                </w14:textFill>
              </w:rPr>
              <w:t>本项目建设符合甘其毛都口岸加工园区</w:t>
            </w:r>
            <w:r>
              <w:rPr>
                <w:rFonts w:hint="eastAsia"/>
                <w:color w:val="000000" w:themeColor="text1"/>
                <w:highlight w:val="none"/>
                <w14:textFill>
                  <w14:solidFill>
                    <w14:schemeClr w14:val="tx1"/>
                  </w14:solidFill>
                </w14:textFill>
              </w:rPr>
              <w:t>总体规划和</w:t>
            </w:r>
            <w:r>
              <w:rPr>
                <w:rFonts w:hint="eastAsia"/>
                <w:color w:val="000000" w:themeColor="text1"/>
                <w:highlight w:val="none"/>
                <w:lang w:val="en-US" w:eastAsia="zh-CN"/>
                <w14:textFill>
                  <w14:solidFill>
                    <w14:schemeClr w14:val="tx1"/>
                  </w14:solidFill>
                </w14:textFill>
              </w:rPr>
              <w:t>当地</w:t>
            </w:r>
            <w:r>
              <w:rPr>
                <w:rFonts w:hint="eastAsia"/>
                <w:color w:val="000000" w:themeColor="text1"/>
                <w:highlight w:val="none"/>
                <w14:textFill>
                  <w14:solidFill>
                    <w14:schemeClr w14:val="tx1"/>
                  </w14:solidFill>
                </w14:textFill>
              </w:rPr>
              <w:t>“三线一单”的要求</w:t>
            </w:r>
            <w:r>
              <w:rPr>
                <w:rFonts w:hint="default"/>
                <w:color w:val="000000" w:themeColor="text1"/>
                <w:highlight w:val="none"/>
                <w14:textFill>
                  <w14:solidFill>
                    <w14:schemeClr w14:val="tx1"/>
                  </w14:solidFill>
                </w14:textFill>
              </w:rPr>
              <w:t>。</w:t>
            </w:r>
          </w:p>
          <w:p w14:paraId="0134762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本项目运营期生产过程中</w:t>
            </w:r>
            <w:r>
              <w:rPr>
                <w:rFonts w:hint="eastAsia"/>
                <w:color w:val="000000" w:themeColor="text1"/>
                <w:highlight w:val="none"/>
                <w14:textFill>
                  <w14:solidFill>
                    <w14:schemeClr w14:val="tx1"/>
                  </w14:solidFill>
                </w14:textFill>
              </w:rPr>
              <w:t>产生</w:t>
            </w:r>
            <w:r>
              <w:rPr>
                <w:rFonts w:hint="eastAsia"/>
                <w:color w:val="000000" w:themeColor="text1"/>
                <w:highlight w:val="none"/>
                <w:lang w:val="en-US" w:eastAsia="zh-CN"/>
                <w14:textFill>
                  <w14:solidFill>
                    <w14:schemeClr w14:val="tx1"/>
                  </w14:solidFill>
                </w14:textFill>
              </w:rPr>
              <w:t>废气对周围环境影响较小，不产生</w:t>
            </w:r>
            <w:r>
              <w:rPr>
                <w:rFonts w:hint="eastAsia"/>
                <w:color w:val="000000" w:themeColor="text1"/>
                <w:highlight w:val="none"/>
                <w14:textFill>
                  <w14:solidFill>
                    <w14:schemeClr w14:val="tx1"/>
                  </w14:solidFill>
                </w14:textFill>
              </w:rPr>
              <w:t>废水和固废，</w:t>
            </w:r>
            <w:r>
              <w:rPr>
                <w:rFonts w:hint="default"/>
                <w:color w:val="000000" w:themeColor="text1"/>
                <w:highlight w:val="none"/>
                <w14:textFill>
                  <w14:solidFill>
                    <w14:schemeClr w14:val="tx1"/>
                  </w14:solidFill>
                </w14:textFill>
              </w:rPr>
              <w:t>噪声采取治理措施后，对周围环境影响较小。</w:t>
            </w:r>
          </w:p>
          <w:p w14:paraId="195177B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综上所述，从环保角度来看</w:t>
            </w:r>
            <w:r>
              <w:rPr>
                <w:rFonts w:hint="eastAsia" w:ascii="宋体" w:hAnsi="宋体" w:cs="宋体"/>
                <w:color w:val="000000" w:themeColor="text1"/>
                <w:highlight w:val="none"/>
                <w:lang w:val="en-US" w:eastAsia="zh-CN"/>
                <w14:textFill>
                  <w14:solidFill>
                    <w14:schemeClr w14:val="tx1"/>
                  </w14:solidFill>
                </w14:textFill>
              </w:rPr>
              <w:t>本项目选址</w:t>
            </w:r>
            <w:r>
              <w:rPr>
                <w:rFonts w:hint="eastAsia" w:ascii="宋体" w:hAnsi="宋体" w:cs="宋体"/>
                <w:color w:val="000000" w:themeColor="text1"/>
                <w:highlight w:val="none"/>
                <w14:textFill>
                  <w14:solidFill>
                    <w14:schemeClr w14:val="tx1"/>
                  </w14:solidFill>
                </w14:textFill>
              </w:rPr>
              <w:t>基本合理。</w:t>
            </w:r>
          </w:p>
          <w:p w14:paraId="339B8123">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p>
          <w:p w14:paraId="09BE7878">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p>
        </w:tc>
      </w:tr>
    </w:tbl>
    <w:p w14:paraId="1C210C40">
      <w:pPr>
        <w:ind w:firstLine="600"/>
        <w:outlineLvl w:val="0"/>
        <w:rPr>
          <w:rFonts w:eastAsia="黑体"/>
          <w:color w:val="000000" w:themeColor="text1"/>
          <w:sz w:val="30"/>
          <w:highlight w:val="none"/>
          <w14:textFill>
            <w14:solidFill>
              <w14:schemeClr w14:val="tx1"/>
            </w14:solidFill>
          </w14:textFill>
        </w:rPr>
        <w:sectPr>
          <w:headerReference r:id="rId7" w:type="default"/>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C48B13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156"/>
      </w:tblGrid>
      <w:tr w14:paraId="58863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9" w:hRule="atLeast"/>
          <w:jc w:val="center"/>
        </w:trPr>
        <w:tc>
          <w:tcPr>
            <w:tcW w:w="730" w:type="dxa"/>
            <w:noWrap/>
            <w:vAlign w:val="center"/>
          </w:tcPr>
          <w:p w14:paraId="6185182C">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建</w:t>
            </w:r>
          </w:p>
          <w:p w14:paraId="39595C5F">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设</w:t>
            </w:r>
          </w:p>
          <w:p w14:paraId="2ECD6645">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内</w:t>
            </w:r>
          </w:p>
          <w:p w14:paraId="5E32C02A">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 w:val="21"/>
                <w:szCs w:val="21"/>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容</w:t>
            </w:r>
          </w:p>
        </w:tc>
        <w:tc>
          <w:tcPr>
            <w:tcW w:w="8156" w:type="dxa"/>
            <w:noWrap/>
          </w:tcPr>
          <w:p w14:paraId="2FA1A013">
            <w:pPr>
              <w:keepNext w:val="0"/>
              <w:keepLines w:val="0"/>
              <w:suppressLineNumbers w:val="0"/>
              <w:adjustRightInd w:val="0"/>
              <w:snapToGrid w:val="0"/>
              <w:spacing w:before="0" w:beforeAutospacing="0" w:after="0" w:afterAutospacing="0"/>
              <w:ind w:left="0" w:right="0" w:firstLine="482"/>
              <w:jc w:val="left"/>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1、项目建设必要性</w:t>
            </w:r>
          </w:p>
          <w:p w14:paraId="13153723">
            <w:pPr>
              <w:keepNext w:val="0"/>
              <w:keepLines w:val="0"/>
              <w:suppressLineNumbers w:val="0"/>
              <w:spacing w:before="0" w:beforeAutospacing="0" w:after="0" w:afterAutospacing="0"/>
              <w:ind w:left="0" w:right="0" w:firstLine="480"/>
              <w:rPr>
                <w:rFonts w:hint="default" w:eastAsia="宋体"/>
                <w:bCs/>
                <w:color w:val="000000" w:themeColor="text1"/>
                <w:highlight w:val="none"/>
                <w:lang w:val="en-US" w:eastAsia="zh-CN"/>
                <w14:textFill>
                  <w14:solidFill>
                    <w14:schemeClr w14:val="tx1"/>
                  </w14:solidFill>
                </w14:textFill>
              </w:rPr>
            </w:pPr>
            <w:r>
              <w:rPr>
                <w:rFonts w:hint="eastAsia" w:eastAsiaTheme="minorEastAsia"/>
                <w:color w:val="000000" w:themeColor="text1"/>
                <w:kern w:val="0"/>
                <w:highlight w:val="none"/>
                <w14:textFill>
                  <w14:solidFill>
                    <w14:schemeClr w14:val="tx1"/>
                  </w14:solidFill>
                </w14:textFill>
              </w:rPr>
              <w:t>本项目为</w:t>
            </w:r>
            <w:r>
              <w:rPr>
                <w:rFonts w:hint="eastAsia" w:eastAsiaTheme="minorEastAsia"/>
                <w:color w:val="000000" w:themeColor="text1"/>
                <w:kern w:val="0"/>
                <w:highlight w:val="none"/>
                <w:lang w:val="en-US" w:eastAsia="zh-CN"/>
                <w14:textFill>
                  <w14:solidFill>
                    <w14:schemeClr w14:val="tx1"/>
                  </w14:solidFill>
                </w14:textFill>
              </w:rPr>
              <w:t>新建乙类</w:t>
            </w:r>
            <w:r>
              <w:rPr>
                <w:rFonts w:hint="eastAsia" w:eastAsiaTheme="minorEastAsia"/>
                <w:color w:val="000000" w:themeColor="text1"/>
                <w:kern w:val="0"/>
                <w:highlight w:val="none"/>
                <w14:textFill>
                  <w14:solidFill>
                    <w14:schemeClr w14:val="tx1"/>
                  </w14:solidFill>
                </w14:textFill>
              </w:rPr>
              <w:t>库，位于</w:t>
            </w:r>
            <w:r>
              <w:rPr>
                <w:rFonts w:hint="default" w:eastAsiaTheme="minorEastAsia"/>
                <w:color w:val="000000" w:themeColor="text1"/>
                <w:kern w:val="0"/>
                <w:highlight w:val="none"/>
                <w14:textFill>
                  <w14:solidFill>
                    <w14:schemeClr w14:val="tx1"/>
                  </w14:solidFill>
                </w14:textFill>
              </w:rPr>
              <w:t>神华巴彦淖尔能源有限责任公司焦化厂厂区</w:t>
            </w:r>
            <w:r>
              <w:rPr>
                <w:rFonts w:hint="eastAsia" w:eastAsiaTheme="minorEastAsia"/>
                <w:color w:val="000000" w:themeColor="text1"/>
                <w:kern w:val="0"/>
                <w:highlight w:val="none"/>
                <w:lang w:val="en-US" w:eastAsia="zh-CN"/>
                <w14:textFill>
                  <w14:solidFill>
                    <w14:schemeClr w14:val="tx1"/>
                  </w14:solidFill>
                </w14:textFill>
              </w:rPr>
              <w:t>备煤车间北侧空地</w:t>
            </w:r>
            <w:r>
              <w:rPr>
                <w:rFonts w:hint="eastAsia" w:eastAsiaTheme="minorEastAsia"/>
                <w:color w:val="000000" w:themeColor="text1"/>
                <w:kern w:val="0"/>
                <w:highlight w:val="none"/>
                <w14:textFill>
                  <w14:solidFill>
                    <w14:schemeClr w14:val="tx1"/>
                  </w14:solidFill>
                </w14:textFill>
              </w:rPr>
              <w:t>。其储存的危险化学品</w:t>
            </w:r>
            <w:r>
              <w:rPr>
                <w:rFonts w:hint="eastAsia"/>
                <w:bCs/>
                <w:color w:val="000000" w:themeColor="text1"/>
                <w:highlight w:val="none"/>
                <w14:textFill>
                  <w14:solidFill>
                    <w14:schemeClr w14:val="tx1"/>
                  </w14:solidFill>
                </w14:textFill>
              </w:rPr>
              <w:t>主要为</w:t>
            </w:r>
            <w:r>
              <w:rPr>
                <w:rFonts w:hint="eastAsia"/>
                <w:bCs/>
                <w:color w:val="000000" w:themeColor="text1"/>
                <w:highlight w:val="none"/>
                <w:lang w:val="en-US" w:eastAsia="zh-CN"/>
                <w14:textFill>
                  <w14:solidFill>
                    <w14:schemeClr w14:val="tx1"/>
                  </w14:solidFill>
                </w14:textFill>
              </w:rPr>
              <w:t>公司已投运的焦化联产甲醇项目焦炉煤气净化过程产生的硫磺。神华巴能公司建成投用的焦化联产甲醇装置于2010年9月10日取得环评批复（内环审[2010]196号），2011年8月25日开工建设，2013年底建成，2014年取得了竣工环境保护验收的意见（内环验[2014]53号），并正式投产。生产的产品主要有焦炭、甲醇、焦油、粗苯、硫磺等。其规模为年产120万吨规模捣固焦及综合利用项目，其中备煤及焦处理系统规模240万吨/年。</w:t>
            </w:r>
          </w:p>
          <w:p w14:paraId="21116429">
            <w:pPr>
              <w:keepNext w:val="0"/>
              <w:keepLines w:val="0"/>
              <w:suppressLineNumbers w:val="0"/>
              <w:spacing w:before="0" w:beforeAutospacing="0" w:after="0" w:afterAutospacing="0"/>
              <w:ind w:left="0" w:right="0" w:firstLine="480"/>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目前，焦化厂煤气净化工序脱硫单元产生的硫磺产量为2545t/a，产生后均直接外售给绵竹市盛星瑞商贸有限公司，现场不存在暂存或堆放场所不符合相关要求等情况。但建设单位考虑市场需求的不确定性及环保形式的日益严峻，未来可能存在产生硫磺无法直接拉运出售，需要暂存的情况，因此建设单位需要新建一个乙类危化品库房。</w:t>
            </w:r>
          </w:p>
          <w:p w14:paraId="18AA6622">
            <w:pPr>
              <w:keepNext w:val="0"/>
              <w:keepLines w:val="0"/>
              <w:suppressLineNumbers w:val="0"/>
              <w:spacing w:before="0" w:beforeAutospacing="0" w:after="0" w:afterAutospacing="0"/>
              <w:ind w:left="0" w:right="0" w:firstLine="480"/>
              <w:rPr>
                <w:rFonts w:hint="default" w:cs="宋体" w:asciiTheme="minorEastAsia" w:hAnsiTheme="minorEastAsia" w:eastAsiaTheme="minor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根据《建设项目环境影响评价分类管理名录》（2021年版），项目属于五十三、装卸搬运和仓储业 59，149、危险品仓储594（不含加油站的油库，不含加气站的气库），其他（含有毒、有害、危险品的仓储；含液化天然气库）类，应当编制环境影响报告表。</w:t>
            </w:r>
            <w:r>
              <w:rPr>
                <w:rFonts w:hint="eastAsia" w:cs="宋体" w:asciiTheme="minorEastAsia" w:hAnsiTheme="minorEastAsia" w:eastAsiaTheme="minorEastAsia"/>
                <w:color w:val="000000" w:themeColor="text1"/>
                <w:kern w:val="0"/>
                <w:highlight w:val="none"/>
                <w14:textFill>
                  <w14:solidFill>
                    <w14:schemeClr w14:val="tx1"/>
                  </w14:solidFill>
                </w14:textFill>
              </w:rPr>
              <w:t>因此，</w:t>
            </w:r>
            <w:r>
              <w:rPr>
                <w:rFonts w:hint="default" w:eastAsiaTheme="minorEastAsia"/>
                <w:color w:val="000000" w:themeColor="text1"/>
                <w:kern w:val="0"/>
                <w:highlight w:val="none"/>
                <w14:textFill>
                  <w14:solidFill>
                    <w14:schemeClr w14:val="tx1"/>
                  </w14:solidFill>
                </w14:textFill>
              </w:rPr>
              <w:t>神华巴彦淖尔能源有限责任公司于2024年</w:t>
            </w:r>
            <w:r>
              <w:rPr>
                <w:rFonts w:hint="eastAsia" w:eastAsiaTheme="minorEastAsia"/>
                <w:color w:val="000000" w:themeColor="text1"/>
                <w:kern w:val="0"/>
                <w:highlight w:val="none"/>
                <w:lang w:val="en-US" w:eastAsia="zh-CN"/>
                <w14:textFill>
                  <w14:solidFill>
                    <w14:schemeClr w14:val="tx1"/>
                  </w14:solidFill>
                </w14:textFill>
              </w:rPr>
              <w:t>10</w:t>
            </w:r>
            <w:r>
              <w:rPr>
                <w:rFonts w:hint="default" w:eastAsiaTheme="minorEastAsia"/>
                <w:color w:val="000000" w:themeColor="text1"/>
                <w:kern w:val="0"/>
                <w:highlight w:val="none"/>
                <w14:textFill>
                  <w14:solidFill>
                    <w14:schemeClr w14:val="tx1"/>
                  </w14:solidFill>
                </w14:textFill>
              </w:rPr>
              <w:t>月委托内蒙古源通鸿盛环保科技有限公司</w:t>
            </w:r>
            <w:r>
              <w:rPr>
                <w:rFonts w:hint="eastAsia"/>
                <w:color w:val="000000" w:themeColor="text1"/>
                <w:highlight w:val="none"/>
                <w14:textFill>
                  <w14:solidFill>
                    <w14:schemeClr w14:val="tx1"/>
                  </w14:solidFill>
                </w14:textFill>
              </w:rPr>
              <w:t>承担该项目的环境影响评价工作</w:t>
            </w:r>
            <w:r>
              <w:rPr>
                <w:rFonts w:hint="eastAsia" w:cs="宋体" w:asciiTheme="minorEastAsia" w:hAnsiTheme="minorEastAsia" w:eastAsiaTheme="minorEastAsia"/>
                <w:color w:val="000000" w:themeColor="text1"/>
                <w:kern w:val="0"/>
                <w:highlight w:val="none"/>
                <w14:textFill>
                  <w14:solidFill>
                    <w14:schemeClr w14:val="tx1"/>
                  </w14:solidFill>
                </w14:textFill>
              </w:rPr>
              <w:t>。接到委托后，我单位对现场进行踏勘、收集相关资料，依据国家有关法规文件和环境影响评价技术导则，本着“科学、公正、客观、严谨”的态度，编制完成了《</w:t>
            </w:r>
            <w:r>
              <w:rPr>
                <w:rFonts w:hint="eastAsia"/>
                <w:color w:val="000000" w:themeColor="text1"/>
                <w:highlight w:val="none"/>
                <w:lang w:val="en-US" w:eastAsia="zh-CN"/>
                <w14:textFill>
                  <w14:solidFill>
                    <w14:schemeClr w14:val="tx1"/>
                  </w14:solidFill>
                </w14:textFill>
              </w:rPr>
              <w:t>神华巴彦淖尔能源有限责任公司焦化厂新建乙类危化品库房环保项目</w:t>
            </w:r>
            <w:r>
              <w:rPr>
                <w:rFonts w:hint="eastAsia" w:cs="宋体" w:asciiTheme="minorEastAsia" w:hAnsiTheme="minorEastAsia" w:eastAsiaTheme="minorEastAsia"/>
                <w:color w:val="000000" w:themeColor="text1"/>
                <w:kern w:val="0"/>
                <w:highlight w:val="none"/>
                <w14:textFill>
                  <w14:solidFill>
                    <w14:schemeClr w14:val="tx1"/>
                  </w14:solidFill>
                </w14:textFill>
              </w:rPr>
              <w:t>环境影响报告表》。</w:t>
            </w:r>
          </w:p>
          <w:p w14:paraId="26D090DC">
            <w:pPr>
              <w:keepNext w:val="0"/>
              <w:keepLines w:val="0"/>
              <w:widowControl/>
              <w:suppressLineNumbers w:val="0"/>
              <w:spacing w:before="0" w:beforeAutospacing="0" w:after="0" w:afterAutospacing="0"/>
              <w:ind w:left="0" w:right="0" w:firstLine="482"/>
              <w:jc w:val="left"/>
              <w:rPr>
                <w:rFonts w:hint="default"/>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2、项目概况</w:t>
            </w:r>
          </w:p>
          <w:p w14:paraId="450BA6F0">
            <w:pPr>
              <w:keepNext w:val="0"/>
              <w:keepLines w:val="0"/>
              <w:suppressLineNumbers w:val="0"/>
              <w:spacing w:before="0" w:beforeAutospacing="0" w:after="0" w:afterAutospacing="0"/>
              <w:ind w:left="0" w:right="0" w:firstLine="480"/>
              <w:rPr>
                <w:rFonts w:hint="default" w:eastAsiaTheme="minorEastAsia"/>
                <w:color w:val="000000" w:themeColor="text1"/>
                <w:kern w:val="0"/>
                <w:highlight w:val="none"/>
                <w14:textFill>
                  <w14:solidFill>
                    <w14:schemeClr w14:val="tx1"/>
                  </w14:solidFill>
                </w14:textFill>
              </w:rPr>
            </w:pPr>
            <w:r>
              <w:rPr>
                <w:rFonts w:hint="default" w:eastAsiaTheme="minorEastAsia"/>
                <w:color w:val="000000" w:themeColor="text1"/>
                <w:kern w:val="0"/>
                <w:highlight w:val="none"/>
                <w14:textFill>
                  <w14:solidFill>
                    <w14:schemeClr w14:val="tx1"/>
                  </w14:solidFill>
                </w14:textFill>
              </w:rPr>
              <w:t>（1）建设地点：本项目位于</w:t>
            </w:r>
            <w:r>
              <w:rPr>
                <w:rFonts w:hint="default"/>
                <w:color w:val="000000" w:themeColor="text1"/>
                <w:highlight w:val="none"/>
                <w14:textFill>
                  <w14:solidFill>
                    <w14:schemeClr w14:val="tx1"/>
                  </w14:solidFill>
                </w14:textFill>
              </w:rPr>
              <w:t>甘其毛都口岸加工园区神华巴彦淖尔能源有限责任公司焦化厂厂区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default" w:eastAsiaTheme="minorEastAsia"/>
                <w:color w:val="000000" w:themeColor="text1"/>
                <w:kern w:val="0"/>
                <w:highlight w:val="none"/>
                <w14:textFill>
                  <w14:solidFill>
                    <w14:schemeClr w14:val="tx1"/>
                  </w14:solidFill>
                </w14:textFill>
              </w:rPr>
              <w:t>，项目中心点坐标为北纬</w:t>
            </w:r>
            <w:r>
              <w:rPr>
                <w:rFonts w:hint="eastAsia"/>
                <w:color w:val="000000" w:themeColor="text1"/>
                <w:highlight w:val="none"/>
                <w14:textFill>
                  <w14:solidFill>
                    <w14:schemeClr w14:val="tx1"/>
                  </w14:solidFill>
                </w14:textFill>
              </w:rPr>
              <w:t>41°18'44.405"</w:t>
            </w:r>
            <w:r>
              <w:rPr>
                <w:rFonts w:hint="default" w:eastAsiaTheme="minorEastAsia"/>
                <w:color w:val="000000" w:themeColor="text1"/>
                <w:kern w:val="0"/>
                <w:highlight w:val="none"/>
                <w14:textFill>
                  <w14:solidFill>
                    <w14:schemeClr w14:val="tx1"/>
                  </w14:solidFill>
                </w14:textFill>
              </w:rPr>
              <w:t>，东经</w:t>
            </w:r>
            <w:r>
              <w:rPr>
                <w:rFonts w:hint="eastAsia"/>
                <w:color w:val="000000" w:themeColor="text1"/>
                <w:highlight w:val="none"/>
                <w14:textFill>
                  <w14:solidFill>
                    <w14:schemeClr w14:val="tx1"/>
                  </w14:solidFill>
                </w14:textFill>
              </w:rPr>
              <w:t>41°18'44.405"</w:t>
            </w:r>
            <w:r>
              <w:rPr>
                <w:rFonts w:hint="default" w:eastAsiaTheme="minorEastAsia"/>
                <w:color w:val="000000" w:themeColor="text1"/>
                <w:kern w:val="0"/>
                <w:highlight w:val="none"/>
                <w14:textFill>
                  <w14:solidFill>
                    <w14:schemeClr w14:val="tx1"/>
                  </w14:solidFill>
                </w14:textFill>
              </w:rPr>
              <w:t>。项目区</w:t>
            </w:r>
            <w:r>
              <w:rPr>
                <w:rFonts w:hint="eastAsia" w:eastAsiaTheme="minorEastAsia"/>
                <w:color w:val="000000" w:themeColor="text1"/>
                <w:kern w:val="0"/>
                <w:highlight w:val="none"/>
                <w:lang w:val="en-US" w:eastAsia="zh-CN"/>
                <w14:textFill>
                  <w14:solidFill>
                    <w14:schemeClr w14:val="tx1"/>
                  </w14:solidFill>
                </w14:textFill>
              </w:rPr>
              <w:t>不涉及</w:t>
            </w:r>
            <w:r>
              <w:rPr>
                <w:rFonts w:hint="default" w:eastAsiaTheme="minorEastAsia"/>
                <w:color w:val="000000" w:themeColor="text1"/>
                <w:kern w:val="0"/>
                <w:highlight w:val="none"/>
                <w14:textFill>
                  <w14:solidFill>
                    <w14:schemeClr w14:val="tx1"/>
                  </w14:solidFill>
                </w14:textFill>
              </w:rPr>
              <w:t>无饮用水水源地、自然保护区、风景名胜区等特殊环境敏感区。项目位置图见附图</w:t>
            </w:r>
            <w:r>
              <w:rPr>
                <w:rFonts w:hint="eastAsia" w:eastAsiaTheme="minorEastAsia"/>
                <w:color w:val="000000" w:themeColor="text1"/>
                <w:kern w:val="0"/>
                <w:highlight w:val="none"/>
                <w:lang w:val="en-US" w:eastAsia="zh-CN"/>
                <w14:textFill>
                  <w14:solidFill>
                    <w14:schemeClr w14:val="tx1"/>
                  </w14:solidFill>
                </w14:textFill>
              </w:rPr>
              <w:t>1</w:t>
            </w:r>
            <w:r>
              <w:rPr>
                <w:rFonts w:hint="default" w:eastAsiaTheme="minorEastAsia"/>
                <w:color w:val="000000" w:themeColor="text1"/>
                <w:kern w:val="0"/>
                <w:highlight w:val="none"/>
                <w14:textFill>
                  <w14:solidFill>
                    <w14:schemeClr w14:val="tx1"/>
                  </w14:solidFill>
                </w14:textFill>
              </w:rPr>
              <w:t>。</w:t>
            </w:r>
          </w:p>
          <w:p w14:paraId="37802010">
            <w:pPr>
              <w:keepNext w:val="0"/>
              <w:keepLines w:val="0"/>
              <w:suppressLineNumbers w:val="0"/>
              <w:spacing w:before="0" w:beforeAutospacing="0" w:after="0" w:afterAutospacing="0"/>
              <w:ind w:left="0" w:right="0" w:firstLine="480"/>
              <w:rPr>
                <w:rFonts w:hint="default" w:eastAsiaTheme="minorEastAsia"/>
                <w:color w:val="000000" w:themeColor="text1"/>
                <w:kern w:val="0"/>
                <w:highlight w:val="none"/>
                <w:lang w:val="en-US" w:eastAsia="zh-CN"/>
                <w14:textFill>
                  <w14:solidFill>
                    <w14:schemeClr w14:val="tx1"/>
                  </w14:solidFill>
                </w14:textFill>
              </w:rPr>
            </w:pPr>
            <w:r>
              <w:rPr>
                <w:rFonts w:hint="default" w:eastAsiaTheme="minorEastAsia"/>
                <w:color w:val="000000" w:themeColor="text1"/>
                <w:kern w:val="0"/>
                <w:highlight w:val="none"/>
                <w14:textFill>
                  <w14:solidFill>
                    <w14:schemeClr w14:val="tx1"/>
                  </w14:solidFill>
                </w14:textFill>
              </w:rPr>
              <w:t>（2）外环境关系：本项目</w:t>
            </w:r>
            <w:r>
              <w:rPr>
                <w:rFonts w:hint="eastAsia" w:eastAsiaTheme="minorEastAsia"/>
                <w:color w:val="000000" w:themeColor="text1"/>
                <w:kern w:val="0"/>
                <w:highlight w:val="none"/>
                <w:lang w:val="en-US" w:eastAsia="zh-CN"/>
                <w14:textFill>
                  <w14:solidFill>
                    <w14:schemeClr w14:val="tx1"/>
                  </w14:solidFill>
                </w14:textFill>
              </w:rPr>
              <w:t>新建</w:t>
            </w:r>
            <w:r>
              <w:rPr>
                <w:rFonts w:hint="default" w:eastAsiaTheme="minorEastAsia"/>
                <w:color w:val="000000" w:themeColor="text1"/>
                <w:kern w:val="0"/>
                <w:highlight w:val="none"/>
                <w14:textFill>
                  <w14:solidFill>
                    <w14:schemeClr w14:val="tx1"/>
                  </w14:solidFill>
                </w14:textFill>
              </w:rPr>
              <w:t>的</w:t>
            </w:r>
            <w:r>
              <w:rPr>
                <w:rFonts w:hint="eastAsia" w:eastAsiaTheme="minorEastAsia"/>
                <w:color w:val="000000" w:themeColor="text1"/>
                <w:kern w:val="0"/>
                <w:highlight w:val="none"/>
                <w:lang w:val="en-US" w:eastAsia="zh-CN"/>
                <w14:textFill>
                  <w14:solidFill>
                    <w14:schemeClr w14:val="tx1"/>
                  </w14:solidFill>
                </w14:textFill>
              </w:rPr>
              <w:t>乙类</w:t>
            </w:r>
            <w:r>
              <w:rPr>
                <w:rFonts w:hint="default" w:eastAsiaTheme="minorEastAsia"/>
                <w:color w:val="000000" w:themeColor="text1"/>
                <w:kern w:val="0"/>
                <w:highlight w:val="none"/>
                <w14:textFill>
                  <w14:solidFill>
                    <w14:schemeClr w14:val="tx1"/>
                  </w14:solidFill>
                </w14:textFill>
              </w:rPr>
              <w:t>库位于焦化厂厂区</w:t>
            </w:r>
            <w:r>
              <w:rPr>
                <w:rFonts w:hint="eastAsia" w:eastAsiaTheme="minorEastAsia"/>
                <w:color w:val="000000" w:themeColor="text1"/>
                <w:kern w:val="0"/>
                <w:highlight w:val="none"/>
                <w:lang w:val="en-US" w:eastAsia="zh-CN"/>
                <w14:textFill>
                  <w14:solidFill>
                    <w14:schemeClr w14:val="tx1"/>
                  </w14:solidFill>
                </w14:textFill>
              </w:rPr>
              <w:t>备煤车间北侧空地</w:t>
            </w:r>
            <w:r>
              <w:rPr>
                <w:rFonts w:hint="default" w:eastAsiaTheme="minorEastAsia"/>
                <w:color w:val="000000" w:themeColor="text1"/>
                <w:kern w:val="0"/>
                <w:highlight w:val="none"/>
                <w14:textFill>
                  <w14:solidFill>
                    <w14:schemeClr w14:val="tx1"/>
                  </w14:solidFill>
                </w14:textFill>
              </w:rPr>
              <w:t>。</w:t>
            </w:r>
            <w:r>
              <w:rPr>
                <w:rFonts w:hint="eastAsia" w:eastAsiaTheme="minorEastAsia"/>
                <w:color w:val="000000" w:themeColor="text1"/>
                <w:kern w:val="0"/>
                <w:highlight w:val="none"/>
                <w:lang w:val="en-US" w:eastAsia="zh-CN"/>
                <w14:textFill>
                  <w14:solidFill>
                    <w14:schemeClr w14:val="tx1"/>
                  </w14:solidFill>
                </w14:textFill>
              </w:rPr>
              <w:t>项目区东侧125m处为厂区原有的丙类仓库，项目区西侧及北侧为空地，项目区南侧108m为储煤棚。</w:t>
            </w:r>
          </w:p>
          <w:p w14:paraId="5BCF2931">
            <w:pPr>
              <w:keepNext w:val="0"/>
              <w:keepLines w:val="0"/>
              <w:suppressLineNumbers w:val="0"/>
              <w:spacing w:before="0" w:beforeAutospacing="0" w:after="0" w:afterAutospacing="0"/>
              <w:ind w:left="0" w:right="0" w:firstLine="480"/>
              <w:rPr>
                <w:rFonts w:hint="default" w:cs="宋体" w:asciiTheme="minorEastAsia" w:hAnsiTheme="minorEastAsia" w:eastAsiaTheme="minorEastAsia"/>
                <w:color w:val="000000" w:themeColor="text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项目外环境关系图见附图</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w:t>
            </w:r>
          </w:p>
          <w:p w14:paraId="7EFAD29D">
            <w:pPr>
              <w:keepNext w:val="0"/>
              <w:keepLines w:val="0"/>
              <w:numPr>
                <w:ilvl w:val="0"/>
                <w:numId w:val="5"/>
              </w:numPr>
              <w:suppressLineNumbers w:val="0"/>
              <w:spacing w:before="0" w:beforeAutospacing="0" w:after="0" w:afterAutospacing="0"/>
              <w:ind w:left="0" w:right="0" w:firstLine="48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建设内容：本项目新建1座一层混凝土</w:t>
            </w:r>
            <w:r>
              <w:rPr>
                <w:rFonts w:hint="eastAsia"/>
                <w:color w:val="000000" w:themeColor="text1"/>
                <w:highlight w:val="none"/>
                <w:lang w:val="en-US" w:eastAsia="zh-CN"/>
                <w14:textFill>
                  <w14:solidFill>
                    <w14:schemeClr w14:val="tx1"/>
                  </w14:solidFill>
                </w14:textFill>
              </w:rPr>
              <w:t>门式钢架</w:t>
            </w:r>
            <w:r>
              <w:rPr>
                <w:rFonts w:hint="eastAsia"/>
                <w:color w:val="000000" w:themeColor="text1"/>
                <w:highlight w:val="none"/>
                <w14:textFill>
                  <w14:solidFill>
                    <w14:schemeClr w14:val="tx1"/>
                  </w14:solidFill>
                </w14:textFill>
              </w:rPr>
              <w:t>结构的</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类库，建筑面积为</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地上一层建筑，高度为7.5m，其火灾危险分类为乙类，抗震等级为八度。</w:t>
            </w:r>
          </w:p>
          <w:p w14:paraId="53846D5D">
            <w:pPr>
              <w:keepNext w:val="0"/>
              <w:keepLines w:val="0"/>
              <w:suppressLineNumbers w:val="0"/>
              <w:spacing w:before="0" w:beforeAutospacing="0" w:after="0" w:afterAutospacing="0"/>
              <w:ind w:left="0" w:right="0" w:firstLine="480"/>
              <w:rPr>
                <w:rFonts w:hint="default" w:cs="宋体" w:asciiTheme="minorEastAsia" w:hAnsiTheme="minorEastAsia" w:eastAsiaTheme="minorEastAsia"/>
                <w:color w:val="000000" w:themeColor="text1"/>
                <w:kern w:val="0"/>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（4）劳动定员：</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本项目不新增工作人员</w:t>
            </w:r>
            <w:r>
              <w:rPr>
                <w:rFonts w:hint="eastAsia" w:cs="宋体" w:asciiTheme="minorEastAsia" w:hAnsiTheme="minorEastAsia" w:eastAsiaTheme="minorEastAsia"/>
                <w:color w:val="000000" w:themeColor="text1"/>
                <w:kern w:val="0"/>
                <w:highlight w:val="none"/>
                <w14:textFill>
                  <w14:solidFill>
                    <w14:schemeClr w14:val="tx1"/>
                  </w14:solidFill>
                </w14:textFill>
              </w:rPr>
              <w:t>。</w:t>
            </w:r>
          </w:p>
          <w:p w14:paraId="120CD620">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（5）占地面积</w:t>
            </w:r>
            <w:r>
              <w:rPr>
                <w:rFonts w:hint="default"/>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项目占地面积</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Style w:val="33"/>
                <w:rFonts w:hint="eastAsia"/>
                <w:color w:val="000000" w:themeColor="text1"/>
                <w:kern w:val="0"/>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均在现有厂区内建设，不新增占地面积。</w:t>
            </w:r>
          </w:p>
          <w:p w14:paraId="2A8392D4">
            <w:pPr>
              <w:keepNext w:val="0"/>
              <w:keepLines w:val="0"/>
              <w:suppressLineNumbers w:val="0"/>
              <w:spacing w:before="0" w:beforeAutospacing="0" w:after="0" w:afterAutospacing="0"/>
              <w:ind w:left="0" w:right="0" w:firstLine="480"/>
              <w:rPr>
                <w:rFonts w:hint="default" w:cs="宋体" w:asciiTheme="minorEastAsia" w:hAnsiTheme="minorEastAsia" w:eastAsiaTheme="minorEastAsia"/>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（6）项目总投资：</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w:t>
            </w:r>
          </w:p>
          <w:p w14:paraId="73EE5348">
            <w:pPr>
              <w:keepNext w:val="0"/>
              <w:keepLines w:val="0"/>
              <w:suppressLineNumbers w:val="0"/>
              <w:spacing w:before="0" w:beforeAutospacing="0" w:after="0" w:afterAutospacing="0"/>
              <w:ind w:left="0" w:right="0" w:firstLine="482"/>
              <w:rPr>
                <w:rFonts w:hint="default"/>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3、项目组成</w:t>
            </w:r>
          </w:p>
          <w:p w14:paraId="0DB67830">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表2-1  项目组成一览表</w:t>
            </w:r>
          </w:p>
          <w:tbl>
            <w:tblPr>
              <w:tblStyle w:val="29"/>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437"/>
              <w:gridCol w:w="645"/>
              <w:gridCol w:w="5991"/>
              <w:gridCol w:w="430"/>
            </w:tblGrid>
            <w:tr w14:paraId="51DD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37" w:type="dxa"/>
                  <w:vAlign w:val="center"/>
                </w:tcPr>
                <w:p w14:paraId="7973395F">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分类</w:t>
                  </w:r>
                </w:p>
              </w:tc>
              <w:tc>
                <w:tcPr>
                  <w:tcW w:w="437" w:type="dxa"/>
                  <w:vAlign w:val="center"/>
                </w:tcPr>
                <w:p w14:paraId="3D62E160">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6636" w:type="dxa"/>
                  <w:gridSpan w:val="2"/>
                  <w:vAlign w:val="center"/>
                </w:tcPr>
                <w:p w14:paraId="5E979E8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建设内容</w:t>
                  </w:r>
                </w:p>
              </w:tc>
              <w:tc>
                <w:tcPr>
                  <w:tcW w:w="430" w:type="dxa"/>
                  <w:vAlign w:val="center"/>
                </w:tcPr>
                <w:p w14:paraId="49CDF904">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备注</w:t>
                  </w:r>
                </w:p>
              </w:tc>
            </w:tr>
            <w:tr w14:paraId="53AB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437" w:type="dxa"/>
                  <w:vMerge w:val="restart"/>
                  <w:vAlign w:val="center"/>
                </w:tcPr>
                <w:p w14:paraId="42BBF4FA">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主体工程</w:t>
                  </w:r>
                </w:p>
              </w:tc>
              <w:tc>
                <w:tcPr>
                  <w:tcW w:w="437" w:type="dxa"/>
                  <w:vMerge w:val="restart"/>
                  <w:vAlign w:val="center"/>
                </w:tcPr>
                <w:p w14:paraId="7D890EC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乙</w:t>
                  </w:r>
                  <w:r>
                    <w:rPr>
                      <w:rFonts w:hint="eastAsia"/>
                      <w:color w:val="000000" w:themeColor="text1"/>
                      <w:sz w:val="21"/>
                      <w:szCs w:val="21"/>
                      <w:highlight w:val="none"/>
                      <w14:textFill>
                        <w14:solidFill>
                          <w14:schemeClr w14:val="tx1"/>
                        </w14:solidFill>
                      </w14:textFill>
                    </w:rPr>
                    <w:t>类库</w:t>
                  </w:r>
                </w:p>
              </w:tc>
              <w:tc>
                <w:tcPr>
                  <w:tcW w:w="645" w:type="dxa"/>
                  <w:vAlign w:val="center"/>
                </w:tcPr>
                <w:p w14:paraId="1157782B">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结构</w:t>
                  </w:r>
                </w:p>
              </w:tc>
              <w:tc>
                <w:tcPr>
                  <w:tcW w:w="5991" w:type="dxa"/>
                  <w:vAlign w:val="center"/>
                </w:tcPr>
                <w:p w14:paraId="2418CDD5">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新建1座</w:t>
                  </w:r>
                  <w:r>
                    <w:rPr>
                      <w:rFonts w:hint="eastAsia"/>
                      <w:color w:val="000000" w:themeColor="text1"/>
                      <w:sz w:val="21"/>
                      <w:szCs w:val="21"/>
                      <w:highlight w:val="none"/>
                      <w:lang w:val="en-US" w:eastAsia="zh-CN"/>
                      <w14:textFill>
                        <w14:solidFill>
                          <w14:schemeClr w14:val="tx1"/>
                        </w14:solidFill>
                      </w14:textFill>
                    </w:rPr>
                    <w:t>乙</w:t>
                  </w:r>
                  <w:r>
                    <w:rPr>
                      <w:rFonts w:hint="eastAsia"/>
                      <w:color w:val="000000" w:themeColor="text1"/>
                      <w:sz w:val="21"/>
                      <w:szCs w:val="21"/>
                      <w:highlight w:val="none"/>
                      <w14:textFill>
                        <w14:solidFill>
                          <w14:schemeClr w14:val="tx1"/>
                        </w14:solidFill>
                      </w14:textFill>
                    </w:rPr>
                    <w:t>类库，</w:t>
                  </w:r>
                  <w:r>
                    <w:rPr>
                      <w:rFonts w:hint="eastAsia"/>
                      <w:color w:val="000000" w:themeColor="text1"/>
                      <w:sz w:val="21"/>
                      <w:szCs w:val="21"/>
                      <w:highlight w:val="none"/>
                      <w:lang w:val="en-US" w:eastAsia="zh-CN"/>
                      <w14:textFill>
                        <w14:solidFill>
                          <w14:schemeClr w14:val="tx1"/>
                        </w14:solidFill>
                      </w14:textFill>
                    </w:rPr>
                    <w:t>采用</w:t>
                  </w:r>
                  <w:r>
                    <w:rPr>
                      <w:rFonts w:hint="eastAsia"/>
                      <w:color w:val="000000" w:themeColor="text1"/>
                      <w:sz w:val="21"/>
                      <w:szCs w:val="21"/>
                      <w:highlight w:val="none"/>
                      <w14:textFill>
                        <w14:solidFill>
                          <w14:schemeClr w14:val="tx1"/>
                        </w14:solidFill>
                      </w14:textFill>
                    </w:rPr>
                    <w:t>混凝土门式钢架结构</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位于储煤棚北侧，用于贮存硫磺。新建乙类库为地上一层结构，建筑高度为7.5m，耐火等级为二级，占地面积及建筑面积均为200m</w:t>
                  </w:r>
                  <w:r>
                    <w:rPr>
                      <w:rFonts w:hint="eastAsia"/>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vertAlign w:val="baseline"/>
                      <w:lang w:val="en-US" w:eastAsia="zh-CN"/>
                      <w14:textFill>
                        <w14:solidFill>
                          <w14:schemeClr w14:val="tx1"/>
                        </w14:solidFill>
                      </w14:textFill>
                    </w:rPr>
                    <w:t>。</w:t>
                  </w:r>
                </w:p>
              </w:tc>
              <w:tc>
                <w:tcPr>
                  <w:tcW w:w="430" w:type="dxa"/>
                  <w:vMerge w:val="restart"/>
                  <w:vAlign w:val="center"/>
                </w:tcPr>
                <w:p w14:paraId="7DAEACCF">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03AA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37" w:type="dxa"/>
                  <w:vMerge w:val="continue"/>
                  <w:vAlign w:val="center"/>
                </w:tcPr>
                <w:p w14:paraId="66D95D1A">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437" w:type="dxa"/>
                  <w:vMerge w:val="continue"/>
                  <w:vAlign w:val="center"/>
                </w:tcPr>
                <w:p w14:paraId="51CA149D">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645" w:type="dxa"/>
                  <w:vAlign w:val="center"/>
                </w:tcPr>
                <w:p w14:paraId="22CE4A21">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地面及墙裙</w:t>
                  </w:r>
                </w:p>
              </w:tc>
              <w:tc>
                <w:tcPr>
                  <w:tcW w:w="5991" w:type="dxa"/>
                  <w:vAlign w:val="center"/>
                </w:tcPr>
                <w:p w14:paraId="30360850">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乙类库地面及墙裙采用耐酸砖，主要结构如下：1、20厚花岗石板用环氧胶泥铺砌，缝宽3~；2、6~8厚环氧胶泥结合层；3、1.5厚树脂玻璃钢（隔离层）；4、20厚DS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c>
                <w:tcPr>
                  <w:tcW w:w="430" w:type="dxa"/>
                  <w:vMerge w:val="continue"/>
                  <w:vAlign w:val="center"/>
                </w:tcPr>
                <w:p w14:paraId="3E222EF9">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6CB2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37" w:type="dxa"/>
                  <w:vMerge w:val="continue"/>
                  <w:vAlign w:val="center"/>
                </w:tcPr>
                <w:p w14:paraId="5AAD60E6">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437" w:type="dxa"/>
                  <w:vMerge w:val="continue"/>
                  <w:vAlign w:val="center"/>
                </w:tcPr>
                <w:p w14:paraId="00427659">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645" w:type="dxa"/>
                  <w:vAlign w:val="center"/>
                </w:tcPr>
                <w:p w14:paraId="43015E35">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导流渠及事故池</w:t>
                  </w:r>
                </w:p>
              </w:tc>
              <w:tc>
                <w:tcPr>
                  <w:tcW w:w="5991" w:type="dxa"/>
                  <w:vAlign w:val="center"/>
                </w:tcPr>
                <w:p w14:paraId="4ED2B72D">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仓库内坡度整体从北向南有1%的坡度设计，并在东侧、西侧及南侧布设导流槽，深度为0.2m，并在仓库东南角设有一个事故池，事故池容积为0.64m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vertAlign w:val="baseline"/>
                      <w:lang w:val="en-US" w:eastAsia="zh-CN"/>
                      <w14:textFill>
                        <w14:solidFill>
                          <w14:schemeClr w14:val="tx1"/>
                        </w14:solidFill>
                      </w14:textFill>
                    </w:rPr>
                    <w:t>（0.8m×0.8m×1m），用于收集事故状态下的废液。导流渠及事故池建设范围采用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c>
                <w:tcPr>
                  <w:tcW w:w="430" w:type="dxa"/>
                  <w:vMerge w:val="continue"/>
                  <w:vAlign w:val="center"/>
                </w:tcPr>
                <w:p w14:paraId="76EF0DF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3EA2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437" w:type="dxa"/>
                  <w:vMerge w:val="restart"/>
                  <w:vAlign w:val="center"/>
                </w:tcPr>
                <w:p w14:paraId="0DEFC18B">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公用工程</w:t>
                  </w:r>
                </w:p>
              </w:tc>
              <w:tc>
                <w:tcPr>
                  <w:tcW w:w="1082" w:type="dxa"/>
                  <w:gridSpan w:val="2"/>
                  <w:vAlign w:val="center"/>
                </w:tcPr>
                <w:p w14:paraId="57D5B7E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供水</w:t>
                  </w:r>
                </w:p>
              </w:tc>
              <w:tc>
                <w:tcPr>
                  <w:tcW w:w="5991" w:type="dxa"/>
                  <w:vAlign w:val="center"/>
                </w:tcPr>
                <w:p w14:paraId="0F73BA93">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本项目无需供水。事故状态消防用水利用消防管道接入厂区现有给水管网。</w:t>
                  </w:r>
                </w:p>
              </w:tc>
              <w:tc>
                <w:tcPr>
                  <w:tcW w:w="430" w:type="dxa"/>
                  <w:vAlign w:val="center"/>
                </w:tcPr>
                <w:p w14:paraId="189E524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56DC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437" w:type="dxa"/>
                  <w:vMerge w:val="continue"/>
                  <w:vAlign w:val="center"/>
                </w:tcPr>
                <w:p w14:paraId="3CC3E28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082" w:type="dxa"/>
                  <w:gridSpan w:val="2"/>
                  <w:vAlign w:val="center"/>
                </w:tcPr>
                <w:p w14:paraId="00C115F5">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供电</w:t>
                  </w:r>
                </w:p>
              </w:tc>
              <w:tc>
                <w:tcPr>
                  <w:tcW w:w="5991" w:type="dxa"/>
                  <w:vAlign w:val="center"/>
                </w:tcPr>
                <w:p w14:paraId="1EEEE9A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本项目用电依托厂内原有工程，由附近电源接入。</w:t>
                  </w:r>
                </w:p>
              </w:tc>
              <w:tc>
                <w:tcPr>
                  <w:tcW w:w="430" w:type="dxa"/>
                  <w:vAlign w:val="center"/>
                </w:tcPr>
                <w:p w14:paraId="71FBF17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依托</w:t>
                  </w:r>
                </w:p>
              </w:tc>
            </w:tr>
            <w:tr w14:paraId="5751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37" w:type="dxa"/>
                  <w:vMerge w:val="continue"/>
                  <w:vAlign w:val="center"/>
                </w:tcPr>
                <w:p w14:paraId="767B4CAC">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082" w:type="dxa"/>
                  <w:gridSpan w:val="2"/>
                  <w:vAlign w:val="center"/>
                </w:tcPr>
                <w:p w14:paraId="71681BD9">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通风</w:t>
                  </w:r>
                </w:p>
              </w:tc>
              <w:tc>
                <w:tcPr>
                  <w:tcW w:w="5991" w:type="dxa"/>
                  <w:vAlign w:val="center"/>
                </w:tcPr>
                <w:p w14:paraId="39EC3E65">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乙类库共设置2台防腐防爆轴流风机，对该仓库设置全面排风系统，通风换气次数为12次/h。</w:t>
                  </w:r>
                </w:p>
              </w:tc>
              <w:tc>
                <w:tcPr>
                  <w:tcW w:w="430" w:type="dxa"/>
                  <w:vAlign w:val="center"/>
                </w:tcPr>
                <w:p w14:paraId="1F9095F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48B4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437" w:type="dxa"/>
                  <w:vMerge w:val="continue"/>
                  <w:vAlign w:val="center"/>
                </w:tcPr>
                <w:p w14:paraId="36CDE1B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1082" w:type="dxa"/>
                  <w:gridSpan w:val="2"/>
                  <w:vAlign w:val="center"/>
                </w:tcPr>
                <w:p w14:paraId="5FB320BF">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储运工程</w:t>
                  </w:r>
                </w:p>
              </w:tc>
              <w:tc>
                <w:tcPr>
                  <w:tcW w:w="5991" w:type="dxa"/>
                  <w:vAlign w:val="center"/>
                </w:tcPr>
                <w:p w14:paraId="626655FC">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厂内利用叉车</w:t>
                  </w:r>
                  <w:r>
                    <w:rPr>
                      <w:rFonts w:hint="eastAsia"/>
                      <w:color w:val="000000" w:themeColor="text1"/>
                      <w:sz w:val="21"/>
                      <w:szCs w:val="21"/>
                      <w:highlight w:val="none"/>
                      <w14:textFill>
                        <w14:solidFill>
                          <w14:schemeClr w14:val="tx1"/>
                        </w14:solidFill>
                      </w14:textFill>
                    </w:rPr>
                    <w:t>运输</w:t>
                  </w:r>
                  <w:r>
                    <w:rPr>
                      <w:rFonts w:hint="eastAsia"/>
                      <w:color w:val="000000" w:themeColor="text1"/>
                      <w:sz w:val="21"/>
                      <w:szCs w:val="21"/>
                      <w:highlight w:val="none"/>
                      <w:lang w:val="en-US" w:eastAsia="zh-CN"/>
                      <w14:textFill>
                        <w14:solidFill>
                          <w14:schemeClr w14:val="tx1"/>
                        </w14:solidFill>
                      </w14:textFill>
                    </w:rPr>
                    <w:t>及</w:t>
                  </w:r>
                  <w:r>
                    <w:rPr>
                      <w:rFonts w:hint="eastAsia"/>
                      <w:color w:val="000000" w:themeColor="text1"/>
                      <w:sz w:val="21"/>
                      <w:szCs w:val="21"/>
                      <w:highlight w:val="none"/>
                      <w14:textFill>
                        <w14:solidFill>
                          <w14:schemeClr w14:val="tx1"/>
                        </w14:solidFill>
                      </w14:textFill>
                    </w:rPr>
                    <w:t>人工搬运</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厂外由有资质的运输车辆公司承载。</w:t>
                  </w:r>
                </w:p>
              </w:tc>
              <w:tc>
                <w:tcPr>
                  <w:tcW w:w="430" w:type="dxa"/>
                  <w:vAlign w:val="center"/>
                </w:tcPr>
                <w:p w14:paraId="56AC33A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120E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37" w:type="dxa"/>
                  <w:vMerge w:val="restart"/>
                  <w:vAlign w:val="center"/>
                </w:tcPr>
                <w:p w14:paraId="299E37BC">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环保工程</w:t>
                  </w:r>
                </w:p>
              </w:tc>
              <w:tc>
                <w:tcPr>
                  <w:tcW w:w="1082" w:type="dxa"/>
                  <w:gridSpan w:val="2"/>
                  <w:vAlign w:val="center"/>
                </w:tcPr>
                <w:p w14:paraId="55AF59B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5991" w:type="dxa"/>
                  <w:vAlign w:val="center"/>
                </w:tcPr>
                <w:p w14:paraId="5F3282B0">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pacing w:val="6"/>
                      <w:sz w:val="21"/>
                      <w:szCs w:val="21"/>
                      <w:highlight w:val="none"/>
                      <w14:textFill>
                        <w14:solidFill>
                          <w14:schemeClr w14:val="tx1"/>
                        </w14:solidFill>
                      </w14:textFill>
                    </w:rPr>
                    <w:t>项目运营期正常工况下</w:t>
                  </w:r>
                  <w:r>
                    <w:rPr>
                      <w:rFonts w:hint="eastAsia"/>
                      <w:color w:val="000000" w:themeColor="text1"/>
                      <w:spacing w:val="6"/>
                      <w:sz w:val="21"/>
                      <w:szCs w:val="21"/>
                      <w:highlight w:val="none"/>
                      <w:lang w:val="en-US" w:eastAsia="zh-CN"/>
                      <w14:textFill>
                        <w14:solidFill>
                          <w14:schemeClr w14:val="tx1"/>
                        </w14:solidFill>
                      </w14:textFill>
                    </w:rPr>
                    <w:t>涉及硫磺装卸料过程少量颗粒物及少量硫化氢逸散</w:t>
                  </w:r>
                  <w:r>
                    <w:rPr>
                      <w:rFonts w:hint="default"/>
                      <w:color w:val="000000" w:themeColor="text1"/>
                      <w:spacing w:val="6"/>
                      <w:sz w:val="21"/>
                      <w:szCs w:val="21"/>
                      <w:highlight w:val="none"/>
                      <w14:textFill>
                        <w14:solidFill>
                          <w14:schemeClr w14:val="tx1"/>
                        </w14:solidFill>
                      </w14:textFill>
                    </w:rPr>
                    <w:t>；</w:t>
                  </w:r>
                  <w:r>
                    <w:rPr>
                      <w:rFonts w:hint="eastAsia"/>
                      <w:color w:val="000000" w:themeColor="text1"/>
                      <w:spacing w:val="6"/>
                      <w:sz w:val="21"/>
                      <w:szCs w:val="21"/>
                      <w:highlight w:val="none"/>
                      <w:lang w:val="en-US" w:eastAsia="zh-CN"/>
                      <w14:textFill>
                        <w14:solidFill>
                          <w14:schemeClr w14:val="tx1"/>
                        </w14:solidFill>
                      </w14:textFill>
                    </w:rPr>
                    <w:t>项目在</w:t>
                  </w:r>
                  <w:r>
                    <w:rPr>
                      <w:rFonts w:hint="default"/>
                      <w:color w:val="000000" w:themeColor="text1"/>
                      <w:spacing w:val="10"/>
                      <w:sz w:val="21"/>
                      <w:szCs w:val="21"/>
                      <w:highlight w:val="none"/>
                      <w14:textFill>
                        <w14:solidFill>
                          <w14:schemeClr w14:val="tx1"/>
                        </w14:solidFill>
                      </w14:textFill>
                    </w:rPr>
                    <w:t>库房内安装</w:t>
                  </w:r>
                  <w:r>
                    <w:rPr>
                      <w:rFonts w:hint="eastAsia"/>
                      <w:color w:val="000000" w:themeColor="text1"/>
                      <w:spacing w:val="10"/>
                      <w:sz w:val="21"/>
                      <w:szCs w:val="21"/>
                      <w:highlight w:val="none"/>
                      <w:lang w:val="en-US" w:eastAsia="zh-CN"/>
                      <w14:textFill>
                        <w14:solidFill>
                          <w14:schemeClr w14:val="tx1"/>
                        </w14:solidFill>
                      </w14:textFill>
                    </w:rPr>
                    <w:t>2台</w:t>
                  </w:r>
                  <w:r>
                    <w:rPr>
                      <w:rFonts w:hint="default"/>
                      <w:color w:val="000000" w:themeColor="text1"/>
                      <w:spacing w:val="10"/>
                      <w:sz w:val="21"/>
                      <w:szCs w:val="21"/>
                      <w:highlight w:val="none"/>
                      <w14:textFill>
                        <w14:solidFill>
                          <w14:schemeClr w14:val="tx1"/>
                        </w14:solidFill>
                      </w14:textFill>
                    </w:rPr>
                    <w:t>轴流</w:t>
                  </w:r>
                  <w:r>
                    <w:rPr>
                      <w:rFonts w:hint="eastAsia"/>
                      <w:color w:val="000000" w:themeColor="text1"/>
                      <w:spacing w:val="10"/>
                      <w:sz w:val="21"/>
                      <w:szCs w:val="21"/>
                      <w:highlight w:val="none"/>
                      <w14:textFill>
                        <w14:solidFill>
                          <w14:schemeClr w14:val="tx1"/>
                        </w14:solidFill>
                      </w14:textFill>
                    </w:rPr>
                    <w:t>风机</w:t>
                  </w:r>
                  <w:r>
                    <w:rPr>
                      <w:rFonts w:hint="eastAsia"/>
                      <w:color w:val="000000" w:themeColor="text1"/>
                      <w:spacing w:val="10"/>
                      <w:sz w:val="21"/>
                      <w:szCs w:val="21"/>
                      <w:highlight w:val="none"/>
                      <w:lang w:val="en-US" w:eastAsia="zh-CN"/>
                      <w14:textFill>
                        <w14:solidFill>
                          <w14:schemeClr w14:val="tx1"/>
                        </w14:solidFill>
                      </w14:textFill>
                    </w:rPr>
                    <w:t>对污染物</w:t>
                  </w:r>
                  <w:r>
                    <w:rPr>
                      <w:rFonts w:hint="eastAsia"/>
                      <w:color w:val="000000" w:themeColor="text1"/>
                      <w:spacing w:val="10"/>
                      <w:sz w:val="21"/>
                      <w:szCs w:val="21"/>
                      <w:highlight w:val="none"/>
                      <w14:textFill>
                        <w14:solidFill>
                          <w14:schemeClr w14:val="tx1"/>
                        </w14:solidFill>
                      </w14:textFill>
                    </w:rPr>
                    <w:t>进行</w:t>
                  </w:r>
                  <w:r>
                    <w:rPr>
                      <w:rFonts w:hint="eastAsia"/>
                      <w:color w:val="000000" w:themeColor="text1"/>
                      <w:spacing w:val="10"/>
                      <w:sz w:val="21"/>
                      <w:szCs w:val="21"/>
                      <w:highlight w:val="none"/>
                      <w:lang w:val="en-US" w:eastAsia="zh-CN"/>
                      <w14:textFill>
                        <w14:solidFill>
                          <w14:schemeClr w14:val="tx1"/>
                        </w14:solidFill>
                      </w14:textFill>
                    </w:rPr>
                    <w:t>抽散</w:t>
                  </w:r>
                  <w:r>
                    <w:rPr>
                      <w:rFonts w:hint="eastAsia"/>
                      <w:color w:val="000000" w:themeColor="text1"/>
                      <w:spacing w:val="1"/>
                      <w:sz w:val="21"/>
                      <w:szCs w:val="21"/>
                      <w:highlight w:val="none"/>
                      <w14:textFill>
                        <w14:solidFill>
                          <w14:schemeClr w14:val="tx1"/>
                        </w14:solidFill>
                      </w14:textFill>
                    </w:rPr>
                    <w:t>。</w:t>
                  </w:r>
                </w:p>
              </w:tc>
              <w:tc>
                <w:tcPr>
                  <w:tcW w:w="430" w:type="dxa"/>
                  <w:vAlign w:val="center"/>
                </w:tcPr>
                <w:p w14:paraId="5D2983A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78E7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37" w:type="dxa"/>
                  <w:vMerge w:val="continue"/>
                  <w:vAlign w:val="center"/>
                </w:tcPr>
                <w:p w14:paraId="5736B833">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082" w:type="dxa"/>
                  <w:gridSpan w:val="2"/>
                  <w:vAlign w:val="center"/>
                </w:tcPr>
                <w:p w14:paraId="44F25AED">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w:t>
                  </w:r>
                </w:p>
              </w:tc>
              <w:tc>
                <w:tcPr>
                  <w:tcW w:w="5991" w:type="dxa"/>
                  <w:vAlign w:val="center"/>
                </w:tcPr>
                <w:p w14:paraId="530429F3">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pacing w:val="6"/>
                      <w:sz w:val="21"/>
                      <w:szCs w:val="21"/>
                      <w:highlight w:val="none"/>
                      <w:lang w:val="en-US" w:eastAsia="zh-CN"/>
                      <w14:textFill>
                        <w14:solidFill>
                          <w14:schemeClr w14:val="tx1"/>
                        </w14:solidFill>
                      </w14:textFill>
                    </w:rPr>
                  </w:pPr>
                  <w:r>
                    <w:rPr>
                      <w:rFonts w:hint="eastAsia"/>
                      <w:color w:val="000000" w:themeColor="text1"/>
                      <w:spacing w:val="6"/>
                      <w:sz w:val="21"/>
                      <w:szCs w:val="21"/>
                      <w:highlight w:val="none"/>
                      <w:lang w:val="en-US" w:eastAsia="zh-CN"/>
                      <w14:textFill>
                        <w14:solidFill>
                          <w14:schemeClr w14:val="tx1"/>
                        </w14:solidFill>
                      </w14:textFill>
                    </w:rPr>
                    <w:t>本项目正常情况下无废水产生。库房发生漏水或其它非正常工况</w:t>
                  </w:r>
                  <w:r>
                    <w:rPr>
                      <w:rFonts w:hint="eastAsia"/>
                      <w:color w:val="000000" w:themeColor="text1"/>
                      <w:sz w:val="21"/>
                      <w:szCs w:val="21"/>
                      <w:highlight w:val="none"/>
                      <w14:textFill>
                        <w14:solidFill>
                          <w14:schemeClr w14:val="tx1"/>
                        </w14:solidFill>
                      </w14:textFill>
                    </w:rPr>
                    <w:t>时，</w:t>
                  </w:r>
                  <w:r>
                    <w:rPr>
                      <w:rFonts w:hint="eastAsia"/>
                      <w:color w:val="000000" w:themeColor="text1"/>
                      <w:sz w:val="21"/>
                      <w:szCs w:val="21"/>
                      <w:highlight w:val="none"/>
                      <w:lang w:val="en-US" w:eastAsia="zh-CN"/>
                      <w14:textFill>
                        <w14:solidFill>
                          <w14:schemeClr w14:val="tx1"/>
                        </w14:solidFill>
                      </w14:textFill>
                    </w:rPr>
                    <w:t>产生的事故废水</w:t>
                  </w:r>
                  <w:r>
                    <w:rPr>
                      <w:rFonts w:hint="eastAsia"/>
                      <w:color w:val="000000" w:themeColor="text1"/>
                      <w:sz w:val="21"/>
                      <w:szCs w:val="21"/>
                      <w:highlight w:val="none"/>
                      <w14:textFill>
                        <w14:solidFill>
                          <w14:schemeClr w14:val="tx1"/>
                        </w14:solidFill>
                      </w14:textFill>
                    </w:rPr>
                    <w:t>靠</w:t>
                  </w:r>
                  <w:r>
                    <w:rPr>
                      <w:rFonts w:hint="eastAsia"/>
                      <w:color w:val="000000" w:themeColor="text1"/>
                      <w:sz w:val="21"/>
                      <w:szCs w:val="21"/>
                      <w:highlight w:val="none"/>
                      <w:lang w:val="en-US" w:eastAsia="zh-CN"/>
                      <w14:textFill>
                        <w14:solidFill>
                          <w14:schemeClr w14:val="tx1"/>
                        </w14:solidFill>
                      </w14:textFill>
                    </w:rPr>
                    <w:t>乙类</w:t>
                  </w:r>
                  <w:r>
                    <w:rPr>
                      <w:rFonts w:hint="eastAsia"/>
                      <w:color w:val="000000" w:themeColor="text1"/>
                      <w:sz w:val="21"/>
                      <w:szCs w:val="21"/>
                      <w:highlight w:val="none"/>
                      <w14:textFill>
                        <w14:solidFill>
                          <w14:schemeClr w14:val="tx1"/>
                        </w14:solidFill>
                      </w14:textFill>
                    </w:rPr>
                    <w:t>库内设计坡度自流进入</w:t>
                  </w:r>
                  <w:r>
                    <w:rPr>
                      <w:rFonts w:hint="eastAsia"/>
                      <w:color w:val="000000" w:themeColor="text1"/>
                      <w:sz w:val="21"/>
                      <w:szCs w:val="21"/>
                      <w:highlight w:val="none"/>
                      <w:lang w:val="en-US" w:eastAsia="zh-CN"/>
                      <w14:textFill>
                        <w14:solidFill>
                          <w14:schemeClr w14:val="tx1"/>
                        </w14:solidFill>
                      </w14:textFill>
                    </w:rPr>
                    <w:t>事故池内</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vertAlign w:val="baseline"/>
                      <w:lang w:val="en-US" w:eastAsia="zh-CN"/>
                      <w14:textFill>
                        <w14:solidFill>
                          <w14:schemeClr w14:val="tx1"/>
                        </w14:solidFill>
                      </w14:textFill>
                    </w:rPr>
                    <w:t>事故池容积为0.64m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vertAlign w:val="baseline"/>
                      <w:lang w:val="en-US" w:eastAsia="zh-CN"/>
                      <w14:textFill>
                        <w14:solidFill>
                          <w14:schemeClr w14:val="tx1"/>
                        </w14:solidFill>
                      </w14:textFill>
                    </w:rPr>
                    <w:t>（0.8m×0.8m×1m）。</w:t>
                  </w:r>
                </w:p>
              </w:tc>
              <w:tc>
                <w:tcPr>
                  <w:tcW w:w="430" w:type="dxa"/>
                  <w:vAlign w:val="center"/>
                </w:tcPr>
                <w:p w14:paraId="1FA2E129">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6998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437" w:type="dxa"/>
                  <w:vMerge w:val="continue"/>
                  <w:vAlign w:val="center"/>
                </w:tcPr>
                <w:p w14:paraId="15E23314">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1082" w:type="dxa"/>
                  <w:gridSpan w:val="2"/>
                  <w:vAlign w:val="center"/>
                </w:tcPr>
                <w:p w14:paraId="219A2B3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噪声</w:t>
                  </w:r>
                </w:p>
              </w:tc>
              <w:tc>
                <w:tcPr>
                  <w:tcW w:w="5991" w:type="dxa"/>
                  <w:vAlign w:val="center"/>
                </w:tcPr>
                <w:p w14:paraId="6D8C872C">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pacing w:val="9"/>
                      <w:sz w:val="21"/>
                      <w:szCs w:val="21"/>
                      <w:highlight w:val="none"/>
                      <w:lang w:eastAsia="zh-CN"/>
                      <w14:textFill>
                        <w14:solidFill>
                          <w14:schemeClr w14:val="tx1"/>
                        </w14:solidFill>
                      </w14:textFill>
                    </w:rPr>
                  </w:pPr>
                  <w:r>
                    <w:rPr>
                      <w:rFonts w:hint="default"/>
                      <w:color w:val="000000" w:themeColor="text1"/>
                      <w:spacing w:val="9"/>
                      <w:sz w:val="21"/>
                      <w:szCs w:val="21"/>
                      <w:highlight w:val="none"/>
                      <w14:textFill>
                        <w14:solidFill>
                          <w14:schemeClr w14:val="tx1"/>
                        </w14:solidFill>
                      </w14:textFill>
                    </w:rPr>
                    <w:t>选用低噪声设备，产噪设备加装减震基座</w:t>
                  </w:r>
                  <w:r>
                    <w:rPr>
                      <w:rFonts w:hint="eastAsia"/>
                      <w:color w:val="000000" w:themeColor="text1"/>
                      <w:spacing w:val="9"/>
                      <w:sz w:val="21"/>
                      <w:szCs w:val="21"/>
                      <w:highlight w:val="none"/>
                      <w:lang w:eastAsia="zh-CN"/>
                      <w14:textFill>
                        <w14:solidFill>
                          <w14:schemeClr w14:val="tx1"/>
                        </w14:solidFill>
                      </w14:textFill>
                    </w:rPr>
                    <w:t>。</w:t>
                  </w:r>
                </w:p>
              </w:tc>
              <w:tc>
                <w:tcPr>
                  <w:tcW w:w="430" w:type="dxa"/>
                  <w:vAlign w:val="center"/>
                </w:tcPr>
                <w:p w14:paraId="13C59BC3">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3CE5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437" w:type="dxa"/>
                  <w:vMerge w:val="continue"/>
                  <w:vAlign w:val="center"/>
                </w:tcPr>
                <w:p w14:paraId="2BAC2F2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1082" w:type="dxa"/>
                  <w:gridSpan w:val="2"/>
                  <w:vAlign w:val="center"/>
                </w:tcPr>
                <w:p w14:paraId="164F8259">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固废</w:t>
                  </w:r>
                </w:p>
              </w:tc>
              <w:tc>
                <w:tcPr>
                  <w:tcW w:w="5991" w:type="dxa"/>
                  <w:vAlign w:val="center"/>
                </w:tcPr>
                <w:p w14:paraId="39900B1B">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本项目仅为危险化学品储存，</w:t>
                  </w:r>
                  <w:r>
                    <w:rPr>
                      <w:rFonts w:hint="eastAsia"/>
                      <w:color w:val="000000" w:themeColor="text1"/>
                      <w:sz w:val="21"/>
                      <w:szCs w:val="21"/>
                      <w:highlight w:val="none"/>
                      <w:lang w:val="en-US" w:eastAsia="zh-CN"/>
                      <w14:textFill>
                        <w14:solidFill>
                          <w14:schemeClr w14:val="tx1"/>
                        </w14:solidFill>
                      </w14:textFill>
                    </w:rPr>
                    <w:t>不涉及包装</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装卸过程均在库房内进行，</w:t>
                  </w:r>
                  <w:r>
                    <w:rPr>
                      <w:rFonts w:hint="eastAsia"/>
                      <w:color w:val="000000" w:themeColor="text1"/>
                      <w:sz w:val="21"/>
                      <w:szCs w:val="21"/>
                      <w:highlight w:val="none"/>
                      <w14:textFill>
                        <w14:solidFill>
                          <w14:schemeClr w14:val="tx1"/>
                        </w14:solidFill>
                      </w14:textFill>
                    </w:rPr>
                    <w:t>不产生固废。</w:t>
                  </w:r>
                </w:p>
              </w:tc>
              <w:tc>
                <w:tcPr>
                  <w:tcW w:w="430" w:type="dxa"/>
                  <w:vAlign w:val="center"/>
                </w:tcPr>
                <w:p w14:paraId="2BDF4DAC">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6041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437" w:type="dxa"/>
                  <w:vMerge w:val="continue"/>
                  <w:vAlign w:val="center"/>
                </w:tcPr>
                <w:p w14:paraId="71443E17">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1082" w:type="dxa"/>
                  <w:gridSpan w:val="2"/>
                  <w:vAlign w:val="center"/>
                </w:tcPr>
                <w:p w14:paraId="6031ED3F">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风险</w:t>
                  </w:r>
                </w:p>
              </w:tc>
              <w:tc>
                <w:tcPr>
                  <w:tcW w:w="5991" w:type="dxa"/>
                  <w:vAlign w:val="center"/>
                </w:tcPr>
                <w:p w14:paraId="4965ADB8">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配套建设消防栓、气体灭火器、消防手</w:t>
                  </w:r>
                  <w:r>
                    <w:rPr>
                      <w:rFonts w:hint="default"/>
                      <w:color w:val="000000" w:themeColor="text1"/>
                      <w:sz w:val="21"/>
                      <w:szCs w:val="21"/>
                      <w:highlight w:val="none"/>
                      <w:lang w:val="en-US" w:eastAsia="zh-CN"/>
                      <w14:textFill>
                        <w14:solidFill>
                          <w14:schemeClr w14:val="tx1"/>
                        </w14:solidFill>
                      </w14:textFill>
                    </w:rPr>
                    <w:t>报</w:t>
                  </w:r>
                  <w:r>
                    <w:rPr>
                      <w:rFonts w:hint="eastAsia"/>
                      <w:color w:val="000000" w:themeColor="text1"/>
                      <w:sz w:val="21"/>
                      <w:szCs w:val="21"/>
                      <w:highlight w:val="none"/>
                      <w:lang w:val="en-US" w:eastAsia="zh-CN"/>
                      <w14:textFill>
                        <w14:solidFill>
                          <w14:schemeClr w14:val="tx1"/>
                        </w14:solidFill>
                      </w14:textFill>
                    </w:rPr>
                    <w:t>器</w:t>
                  </w:r>
                  <w:r>
                    <w:rPr>
                      <w:rFonts w:hint="default"/>
                      <w:color w:val="000000" w:themeColor="text1"/>
                      <w:sz w:val="21"/>
                      <w:szCs w:val="21"/>
                      <w:highlight w:val="none"/>
                      <w14:textFill>
                        <w14:solidFill>
                          <w14:schemeClr w14:val="tx1"/>
                        </w14:solidFill>
                      </w14:textFill>
                    </w:rPr>
                    <w:t>、有毒气体探测装置、烟感、温感探头、</w:t>
                  </w:r>
                  <w:r>
                    <w:rPr>
                      <w:rFonts w:hint="eastAsia"/>
                      <w:color w:val="000000" w:themeColor="text1"/>
                      <w:sz w:val="21"/>
                      <w:szCs w:val="21"/>
                      <w:highlight w:val="none"/>
                      <w:lang w:val="en-US" w:eastAsia="zh-CN"/>
                      <w14:textFill>
                        <w14:solidFill>
                          <w14:schemeClr w14:val="tx1"/>
                        </w14:solidFill>
                      </w14:textFill>
                    </w:rPr>
                    <w:t>自动报警、</w:t>
                  </w:r>
                  <w:r>
                    <w:rPr>
                      <w:rFonts w:hint="default"/>
                      <w:color w:val="000000" w:themeColor="text1"/>
                      <w:sz w:val="21"/>
                      <w:szCs w:val="21"/>
                      <w:highlight w:val="none"/>
                      <w14:textFill>
                        <w14:solidFill>
                          <w14:schemeClr w14:val="tx1"/>
                        </w14:solidFill>
                      </w14:textFill>
                    </w:rPr>
                    <w:t>应急照明、安全出口标识等</w:t>
                  </w:r>
                  <w:r>
                    <w:rPr>
                      <w:rFonts w:hint="eastAsia"/>
                      <w:color w:val="000000" w:themeColor="text1"/>
                      <w:sz w:val="21"/>
                      <w:szCs w:val="21"/>
                      <w:highlight w:val="none"/>
                      <w14:textFill>
                        <w14:solidFill>
                          <w14:schemeClr w14:val="tx1"/>
                        </w14:solidFill>
                      </w14:textFill>
                    </w:rPr>
                    <w:t>。</w:t>
                  </w:r>
                </w:p>
                <w:p w14:paraId="0C03A222">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相关防火应急设施包括4台干粉灭火器及1m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灭火砂。</w:t>
                  </w:r>
                </w:p>
              </w:tc>
              <w:tc>
                <w:tcPr>
                  <w:tcW w:w="430" w:type="dxa"/>
                  <w:vAlign w:val="center"/>
                </w:tcPr>
                <w:p w14:paraId="12B5F08D">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bl>
          <w:p w14:paraId="2D9A2807">
            <w:pPr>
              <w:keepNext w:val="0"/>
              <w:keepLines w:val="0"/>
              <w:suppressLineNumbers w:val="0"/>
              <w:adjustRightInd w:val="0"/>
              <w:snapToGrid w:val="0"/>
              <w:spacing w:before="0" w:beforeAutospacing="0" w:after="0" w:afterAutospacing="0"/>
              <w:ind w:left="0" w:right="0" w:firstLine="482"/>
              <w:jc w:val="left"/>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4、存储物品及存储量</w:t>
            </w:r>
          </w:p>
          <w:p w14:paraId="669076A5">
            <w:pPr>
              <w:keepNext w:val="0"/>
              <w:keepLines w:val="0"/>
              <w:suppressLineNumbers w:val="0"/>
              <w:spacing w:before="0" w:beforeAutospacing="0" w:after="0" w:afterAutospacing="0"/>
              <w:ind w:left="0" w:right="0" w:firstLine="480"/>
              <w:rPr>
                <w:rFonts w:hint="eastAsia" w:eastAsia="宋体"/>
                <w:color w:val="000000" w:themeColor="text1"/>
                <w:highlight w:val="yellow"/>
                <w:lang w:val="en-US" w:eastAsia="zh-CN"/>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本项目</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乙类</w:t>
            </w:r>
            <w:r>
              <w:rPr>
                <w:rFonts w:hint="eastAsia" w:cs="宋体" w:asciiTheme="minorEastAsia" w:hAnsiTheme="minorEastAsia" w:eastAsiaTheme="minorEastAsia"/>
                <w:color w:val="000000" w:themeColor="text1"/>
                <w:kern w:val="0"/>
                <w:highlight w:val="none"/>
                <w14:textFill>
                  <w14:solidFill>
                    <w14:schemeClr w14:val="tx1"/>
                  </w14:solidFill>
                </w14:textFill>
              </w:rPr>
              <w:t>库存储的</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仅为</w:t>
            </w:r>
            <w:r>
              <w:rPr>
                <w:rFonts w:hint="eastAsia"/>
                <w:bCs/>
                <w:color w:val="000000" w:themeColor="text1"/>
                <w:highlight w:val="none"/>
                <w:lang w:val="en-US" w:eastAsia="zh-CN"/>
                <w14:textFill>
                  <w14:solidFill>
                    <w14:schemeClr w14:val="tx1"/>
                  </w14:solidFill>
                </w14:textFill>
              </w:rPr>
              <w:t>焦化厂煤气净化工序脱硫单元产生的硫磺</w:t>
            </w:r>
            <w:r>
              <w:rPr>
                <w:rFonts w:hint="eastAsia" w:cs="宋体" w:asciiTheme="minorEastAsia" w:hAnsiTheme="minorEastAsia" w:eastAsiaTheme="minorEastAsia"/>
                <w:color w:val="000000" w:themeColor="text1"/>
                <w:kern w:val="0"/>
                <w:highlight w:val="none"/>
                <w14:textFill>
                  <w14:solidFill>
                    <w14:schemeClr w14:val="tx1"/>
                  </w14:solidFill>
                </w14:textFill>
              </w:rPr>
              <w:t>，</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储存</w:t>
            </w:r>
            <w:r>
              <w:rPr>
                <w:rFonts w:hint="eastAsia" w:cs="宋体" w:asciiTheme="minorEastAsia" w:hAnsiTheme="minorEastAsia" w:eastAsiaTheme="minorEastAsia"/>
                <w:color w:val="000000" w:themeColor="text1"/>
                <w:kern w:val="0"/>
                <w:highlight w:val="none"/>
                <w14:textFill>
                  <w14:solidFill>
                    <w14:schemeClr w14:val="tx1"/>
                  </w14:solidFill>
                </w14:textFill>
              </w:rPr>
              <w:t>规格及存储量</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见</w:t>
            </w:r>
            <w:r>
              <w:rPr>
                <w:rFonts w:hint="eastAsia" w:cs="宋体" w:asciiTheme="minorEastAsia" w:hAnsiTheme="minorEastAsia" w:eastAsiaTheme="minorEastAsia"/>
                <w:color w:val="000000" w:themeColor="text1"/>
                <w:kern w:val="0"/>
                <w:highlight w:val="none"/>
                <w14:textFill>
                  <w14:solidFill>
                    <w14:schemeClr w14:val="tx1"/>
                  </w14:solidFill>
                </w14:textFill>
              </w:rPr>
              <w:t>下表</w:t>
            </w:r>
            <w:r>
              <w:rPr>
                <w:rFonts w:hint="eastAsia" w:ascii="宋体" w:hAnsi="宋体" w:cs="宋体"/>
                <w:color w:val="000000" w:themeColor="text1"/>
                <w:highlight w:val="none"/>
                <w14:textFill>
                  <w14:solidFill>
                    <w14:schemeClr w14:val="tx1"/>
                  </w14:solidFill>
                </w14:textFill>
              </w:rPr>
              <w:t>。</w:t>
            </w:r>
          </w:p>
          <w:p w14:paraId="1F3051C5">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表2-2  存储化学品种类及规模</w:t>
            </w:r>
          </w:p>
          <w:tbl>
            <w:tblPr>
              <w:tblStyle w:val="28"/>
              <w:tblW w:w="7747" w:type="dxa"/>
              <w:jc w:val="center"/>
              <w:tblLayout w:type="fixed"/>
              <w:tblCellMar>
                <w:top w:w="0" w:type="dxa"/>
                <w:left w:w="108" w:type="dxa"/>
                <w:bottom w:w="0" w:type="dxa"/>
                <w:right w:w="108" w:type="dxa"/>
              </w:tblCellMar>
            </w:tblPr>
            <w:tblGrid>
              <w:gridCol w:w="1090"/>
              <w:gridCol w:w="675"/>
              <w:gridCol w:w="888"/>
              <w:gridCol w:w="1250"/>
              <w:gridCol w:w="758"/>
              <w:gridCol w:w="679"/>
              <w:gridCol w:w="902"/>
              <w:gridCol w:w="660"/>
              <w:gridCol w:w="845"/>
            </w:tblGrid>
            <w:tr w14:paraId="4BF13094">
              <w:tblPrEx>
                <w:tblCellMar>
                  <w:top w:w="0" w:type="dxa"/>
                  <w:left w:w="108" w:type="dxa"/>
                  <w:bottom w:w="0" w:type="dxa"/>
                  <w:right w:w="108" w:type="dxa"/>
                </w:tblCellMar>
              </w:tblPrEx>
              <w:trPr>
                <w:trHeight w:val="930" w:hRule="atLeast"/>
                <w:jc w:val="center"/>
              </w:trPr>
              <w:tc>
                <w:tcPr>
                  <w:tcW w:w="109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A8C82A1">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物料名称</w:t>
                  </w:r>
                </w:p>
              </w:tc>
              <w:tc>
                <w:tcPr>
                  <w:tcW w:w="67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8807B0E">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状态</w:t>
                  </w:r>
                </w:p>
              </w:tc>
              <w:tc>
                <w:tcPr>
                  <w:tcW w:w="88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1F02482">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火灾危险类别</w:t>
                  </w:r>
                </w:p>
              </w:tc>
              <w:tc>
                <w:tcPr>
                  <w:tcW w:w="125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83C4749">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运输</w:t>
                  </w:r>
                  <w:r>
                    <w:rPr>
                      <w:rFonts w:hint="default"/>
                      <w:b/>
                      <w:bCs/>
                      <w:color w:val="000000" w:themeColor="text1"/>
                      <w:sz w:val="21"/>
                      <w:szCs w:val="21"/>
                      <w:highlight w:val="none"/>
                      <w14:textFill>
                        <w14:solidFill>
                          <w14:schemeClr w14:val="tx1"/>
                        </w14:solidFill>
                      </w14:textFill>
                    </w:rPr>
                    <w:t>规格</w:t>
                  </w:r>
                </w:p>
              </w:tc>
              <w:tc>
                <w:tcPr>
                  <w:tcW w:w="75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93E0EB">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堆存</w:t>
                  </w:r>
                  <w:r>
                    <w:rPr>
                      <w:rFonts w:hint="default"/>
                      <w:b/>
                      <w:bCs/>
                      <w:color w:val="000000" w:themeColor="text1"/>
                      <w:sz w:val="21"/>
                      <w:szCs w:val="21"/>
                      <w:highlight w:val="none"/>
                      <w14:textFill>
                        <w14:solidFill>
                          <w14:schemeClr w14:val="tx1"/>
                        </w14:solidFill>
                      </w14:textFill>
                    </w:rPr>
                    <w:t>形式</w:t>
                  </w:r>
                </w:p>
              </w:tc>
              <w:tc>
                <w:tcPr>
                  <w:tcW w:w="679" w:type="dxa"/>
                  <w:tcBorders>
                    <w:top w:val="single" w:color="auto" w:sz="4" w:space="0"/>
                    <w:left w:val="single" w:color="000000" w:sz="4" w:space="0"/>
                    <w:bottom w:val="single" w:color="000000" w:sz="4" w:space="0"/>
                    <w:right w:val="single" w:color="000000" w:sz="4" w:space="0"/>
                  </w:tcBorders>
                  <w:shd w:val="clear" w:color="auto" w:fill="auto"/>
                  <w:vAlign w:val="center"/>
                </w:tcPr>
                <w:p w14:paraId="7AD0FDFA">
                  <w:pPr>
                    <w:keepNext w:val="0"/>
                    <w:keepLines w:val="0"/>
                    <w:widowControl/>
                    <w:suppressLineNumbers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产生量t/a</w:t>
                  </w:r>
                </w:p>
              </w:tc>
              <w:tc>
                <w:tcPr>
                  <w:tcW w:w="90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CEE98E7">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计划</w:t>
                  </w:r>
                  <w:r>
                    <w:rPr>
                      <w:rFonts w:hint="eastAsia"/>
                      <w:b/>
                      <w:bCs/>
                      <w:color w:val="000000" w:themeColor="text1"/>
                      <w:sz w:val="21"/>
                      <w:szCs w:val="21"/>
                      <w:highlight w:val="none"/>
                      <w:lang w:val="en-US" w:eastAsia="zh-CN"/>
                      <w14:textFill>
                        <w14:solidFill>
                          <w14:schemeClr w14:val="tx1"/>
                        </w14:solidFill>
                      </w14:textFill>
                    </w:rPr>
                    <w:t>最大</w:t>
                  </w:r>
                  <w:r>
                    <w:rPr>
                      <w:rFonts w:hint="default"/>
                      <w:b/>
                      <w:bCs/>
                      <w:color w:val="000000" w:themeColor="text1"/>
                      <w:sz w:val="21"/>
                      <w:szCs w:val="21"/>
                      <w:highlight w:val="none"/>
                      <w14:textFill>
                        <w14:solidFill>
                          <w14:schemeClr w14:val="tx1"/>
                        </w14:solidFill>
                      </w14:textFill>
                    </w:rPr>
                    <w:t>储存量</w:t>
                  </w:r>
                  <w:r>
                    <w:rPr>
                      <w:rFonts w:hint="eastAsia"/>
                      <w:b/>
                      <w:bCs/>
                      <w:color w:val="000000" w:themeColor="text1"/>
                      <w:sz w:val="21"/>
                      <w:szCs w:val="21"/>
                      <w:highlight w:val="none"/>
                      <w:lang w:val="en-US" w:eastAsia="zh-CN"/>
                      <w14:textFill>
                        <w14:solidFill>
                          <w14:schemeClr w14:val="tx1"/>
                        </w14:solidFill>
                      </w14:textFill>
                    </w:rPr>
                    <w:t>t</w:t>
                  </w:r>
                </w:p>
              </w:tc>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CB2E94A">
                  <w:pPr>
                    <w:keepNext w:val="0"/>
                    <w:keepLines w:val="0"/>
                    <w:widowControl/>
                    <w:suppressLineNumbers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贮存周期d</w:t>
                  </w:r>
                </w:p>
              </w:tc>
              <w:tc>
                <w:tcPr>
                  <w:tcW w:w="8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3E9BF76">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年周转次数</w:t>
                  </w:r>
                </w:p>
              </w:tc>
            </w:tr>
            <w:tr w14:paraId="04980877">
              <w:tblPrEx>
                <w:tblCellMar>
                  <w:top w:w="0" w:type="dxa"/>
                  <w:left w:w="108" w:type="dxa"/>
                  <w:bottom w:w="0" w:type="dxa"/>
                  <w:right w:w="108" w:type="dxa"/>
                </w:tblCellMar>
              </w:tblPrEx>
              <w:trPr>
                <w:trHeight w:val="386"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54BD">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硫磺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E171">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固体</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7D764">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乙类</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945E">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430</w:t>
                  </w:r>
                  <w:r>
                    <w:rPr>
                      <w:rFonts w:hint="default"/>
                      <w:color w:val="000000" w:themeColor="text1"/>
                      <w:sz w:val="21"/>
                      <w:szCs w:val="21"/>
                      <w:highlight w:val="none"/>
                      <w14:textFill>
                        <w14:solidFill>
                          <w14:schemeClr w14:val="tx1"/>
                        </w14:solidFill>
                      </w14:textFill>
                    </w:rPr>
                    <w:t>kg/</w:t>
                  </w:r>
                  <w:r>
                    <w:rPr>
                      <w:rFonts w:hint="eastAsia"/>
                      <w:color w:val="000000" w:themeColor="text1"/>
                      <w:sz w:val="21"/>
                      <w:szCs w:val="21"/>
                      <w:highlight w:val="none"/>
                      <w:lang w:val="en-US" w:eastAsia="zh-CN"/>
                      <w14:textFill>
                        <w14:solidFill>
                          <w14:schemeClr w14:val="tx1"/>
                        </w14:solidFill>
                      </w14:textFill>
                    </w:rPr>
                    <w:t>箱</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1510">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块状堆存</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5C36">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2545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A381">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559D">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1496C">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r>
          </w:tbl>
          <w:p w14:paraId="25B3A334">
            <w:pPr>
              <w:keepNext w:val="0"/>
              <w:keepLines w:val="0"/>
              <w:suppressLineNumbers w:val="0"/>
              <w:spacing w:before="0" w:beforeAutospacing="0" w:after="0" w:afterAutospacing="0"/>
              <w:ind w:left="0" w:right="0" w:firstLine="480"/>
              <w:rPr>
                <w:rFonts w:hint="default" w:cs="宋体" w:asciiTheme="minorEastAsia" w:hAnsiTheme="minorEastAsia" w:eastAsiaTheme="minorEastAsia"/>
                <w:color w:val="000000" w:themeColor="text1"/>
                <w:kern w:val="0"/>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该项目</w:t>
            </w:r>
            <w:r>
              <w:rPr>
                <w:rFonts w:hint="eastAsia"/>
                <w:bCs/>
                <w:color w:val="000000" w:themeColor="text1"/>
                <w:highlight w:val="none"/>
                <w:lang w:val="en-US" w:eastAsia="zh-CN"/>
                <w14:textFill>
                  <w14:solidFill>
                    <w14:schemeClr w14:val="tx1"/>
                  </w14:solidFill>
                </w14:textFill>
              </w:rPr>
              <w:t>焦化厂煤气净化工序脱硫单元产生的硫磺作为副产品，产品质量符合中国标准 GB2449-92中的合格品标准，具体见下表。</w:t>
            </w:r>
          </w:p>
          <w:p w14:paraId="1A69EDBE">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表2-</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硫磺质量指标</w:t>
            </w:r>
          </w:p>
          <w:p w14:paraId="3D6C6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000000" w:themeColor="text1"/>
                <w:highlight w:val="none"/>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040630" cy="1795145"/>
                  <wp:effectExtent l="0" t="0" r="7620" b="14605"/>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16"/>
                          <a:stretch>
                            <a:fillRect/>
                          </a:stretch>
                        </pic:blipFill>
                        <pic:spPr>
                          <a:xfrm>
                            <a:off x="0" y="0"/>
                            <a:ext cx="5040630" cy="1795145"/>
                          </a:xfrm>
                          <a:prstGeom prst="rect">
                            <a:avLst/>
                          </a:prstGeom>
                          <a:noFill/>
                          <a:ln>
                            <a:noFill/>
                          </a:ln>
                        </pic:spPr>
                      </pic:pic>
                    </a:graphicData>
                  </a:graphic>
                </wp:inline>
              </w:drawing>
            </w:r>
          </w:p>
          <w:p w14:paraId="7C34BB88">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根据建设单位对硫磺的成分分析表明，硫磺中含水量约为0.6%、灰分为0.18%、酸度为0.015%、有机物质量分数为0.35%、砷(As)质量含量＜0.00001%，相关指标均符合合格品的要求。</w:t>
            </w:r>
          </w:p>
          <w:p w14:paraId="5978ABB2">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仓库内</w:t>
            </w:r>
            <w:r>
              <w:rPr>
                <w:rFonts w:hint="eastAsia"/>
                <w:bCs/>
                <w:color w:val="000000" w:themeColor="text1"/>
                <w:highlight w:val="none"/>
                <w14:textFill>
                  <w14:solidFill>
                    <w14:schemeClr w14:val="tx1"/>
                  </w14:solidFill>
                </w14:textFill>
              </w:rPr>
              <w:t>不涉及暂存物质的处置、加工，物品暂存、转运等过程严格按照《危险化学品仓库储存通则》（GB15603-2022）等相关规定进行。</w:t>
            </w:r>
          </w:p>
          <w:p w14:paraId="69D4E9DE">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本项目存储物料</w:t>
            </w:r>
            <w:r>
              <w:rPr>
                <w:rFonts w:hint="eastAsia"/>
                <w:color w:val="000000" w:themeColor="text1"/>
                <w:highlight w:val="none"/>
                <w:lang w:val="en-US" w:eastAsia="zh-CN"/>
                <w14:textFill>
                  <w14:solidFill>
                    <w14:schemeClr w14:val="tx1"/>
                  </w14:solidFill>
                </w14:textFill>
              </w:rPr>
              <w:t>硫磺</w:t>
            </w:r>
            <w:r>
              <w:rPr>
                <w:rFonts w:hint="eastAsia"/>
                <w:color w:val="000000" w:themeColor="text1"/>
                <w:highlight w:val="none"/>
                <w14:textFill>
                  <w14:solidFill>
                    <w14:schemeClr w14:val="tx1"/>
                  </w14:solidFill>
                </w14:textFill>
              </w:rPr>
              <w:t>的理化性质如下：</w:t>
            </w:r>
          </w:p>
          <w:p w14:paraId="6A12FB00">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表2-</w:t>
            </w:r>
            <w:r>
              <w:rPr>
                <w:rFonts w:hint="eastAsia" w:cs="Times New Roman"/>
                <w:b/>
                <w:bCs/>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存储化学品种类的理化性质</w:t>
            </w:r>
          </w:p>
          <w:tbl>
            <w:tblPr>
              <w:tblStyle w:val="28"/>
              <w:tblW w:w="4950" w:type="pct"/>
              <w:jc w:val="center"/>
              <w:tblCellSpacing w:w="1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15" w:type="dxa"/>
                <w:left w:w="15" w:type="dxa"/>
                <w:bottom w:w="15" w:type="dxa"/>
                <w:right w:w="15" w:type="dxa"/>
              </w:tblCellMar>
            </w:tblPr>
            <w:tblGrid>
              <w:gridCol w:w="1043"/>
              <w:gridCol w:w="2872"/>
              <w:gridCol w:w="798"/>
              <w:gridCol w:w="3117"/>
            </w:tblGrid>
            <w:tr w14:paraId="718E2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72DA2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国标编号</w:t>
                  </w:r>
                </w:p>
              </w:tc>
              <w:tc>
                <w:tcPr>
                  <w:tcW w:w="4350" w:type="pct"/>
                  <w:gridSpan w:val="3"/>
                  <w:tcBorders>
                    <w:tl2br w:val="nil"/>
                    <w:tr2bl w:val="nil"/>
                  </w:tcBorders>
                  <w:shd w:val="clear" w:color="auto" w:fill="auto"/>
                  <w:vAlign w:val="center"/>
                </w:tcPr>
                <w:p w14:paraId="60658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41501</w:t>
                  </w:r>
                </w:p>
              </w:tc>
            </w:tr>
            <w:tr w14:paraId="13CBE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3DCE2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CAS号</w:t>
                  </w:r>
                </w:p>
              </w:tc>
              <w:tc>
                <w:tcPr>
                  <w:tcW w:w="4350" w:type="pct"/>
                  <w:gridSpan w:val="3"/>
                  <w:tcBorders>
                    <w:tl2br w:val="nil"/>
                    <w:tr2bl w:val="nil"/>
                  </w:tcBorders>
                  <w:shd w:val="clear" w:color="auto" w:fill="auto"/>
                  <w:vAlign w:val="center"/>
                </w:tcPr>
                <w:p w14:paraId="5545D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7704-34-9</w:t>
                  </w:r>
                </w:p>
              </w:tc>
            </w:tr>
            <w:tr w14:paraId="6ADF7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3F83D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中文名称</w:t>
                  </w:r>
                </w:p>
              </w:tc>
              <w:tc>
                <w:tcPr>
                  <w:tcW w:w="4350" w:type="pct"/>
                  <w:gridSpan w:val="3"/>
                  <w:tcBorders>
                    <w:tl2br w:val="nil"/>
                    <w:tr2bl w:val="nil"/>
                  </w:tcBorders>
                  <w:shd w:val="clear" w:color="auto" w:fill="auto"/>
                  <w:vAlign w:val="center"/>
                </w:tcPr>
                <w:p w14:paraId="25F01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硫磺</w:t>
                  </w:r>
                </w:p>
              </w:tc>
            </w:tr>
            <w:tr w14:paraId="50332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35A15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英文名称</w:t>
                  </w:r>
                </w:p>
              </w:tc>
              <w:tc>
                <w:tcPr>
                  <w:tcW w:w="4350" w:type="pct"/>
                  <w:gridSpan w:val="3"/>
                  <w:tcBorders>
                    <w:tl2br w:val="nil"/>
                    <w:tr2bl w:val="nil"/>
                  </w:tcBorders>
                  <w:shd w:val="clear" w:color="auto" w:fill="auto"/>
                  <w:vAlign w:val="center"/>
                </w:tcPr>
                <w:p w14:paraId="12EB8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sulfur、Cosan  、Elosal</w:t>
                  </w:r>
                </w:p>
              </w:tc>
            </w:tr>
            <w:tr w14:paraId="516A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6ED44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别  名</w:t>
                  </w:r>
                </w:p>
              </w:tc>
              <w:tc>
                <w:tcPr>
                  <w:tcW w:w="4350" w:type="pct"/>
                  <w:gridSpan w:val="3"/>
                  <w:tcBorders>
                    <w:tl2br w:val="nil"/>
                    <w:tr2bl w:val="nil"/>
                  </w:tcBorders>
                  <w:shd w:val="clear" w:color="auto" w:fill="auto"/>
                  <w:vAlign w:val="center"/>
                </w:tcPr>
                <w:p w14:paraId="0F488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硫；胶体硫；硫黄块；硫黄粉</w:t>
                  </w:r>
                </w:p>
              </w:tc>
            </w:tr>
            <w:tr w14:paraId="30536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13D63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分子式</w:t>
                  </w:r>
                </w:p>
              </w:tc>
              <w:tc>
                <w:tcPr>
                  <w:tcW w:w="1850" w:type="pct"/>
                  <w:tcBorders>
                    <w:tl2br w:val="nil"/>
                    <w:tr2bl w:val="nil"/>
                  </w:tcBorders>
                  <w:shd w:val="clear" w:color="auto" w:fill="auto"/>
                  <w:vAlign w:val="center"/>
                </w:tcPr>
                <w:p w14:paraId="5FA3F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S</w:t>
                  </w:r>
                </w:p>
              </w:tc>
              <w:tc>
                <w:tcPr>
                  <w:tcW w:w="500" w:type="pct"/>
                  <w:tcBorders>
                    <w:tl2br w:val="nil"/>
                    <w:tr2bl w:val="nil"/>
                  </w:tcBorders>
                  <w:shd w:val="clear" w:color="auto" w:fill="auto"/>
                  <w:vAlign w:val="center"/>
                </w:tcPr>
                <w:p w14:paraId="63A70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外观与性状</w:t>
                  </w:r>
                </w:p>
              </w:tc>
              <w:tc>
                <w:tcPr>
                  <w:tcW w:w="2000" w:type="pct"/>
                  <w:tcBorders>
                    <w:tl2br w:val="nil"/>
                    <w:tr2bl w:val="nil"/>
                  </w:tcBorders>
                  <w:shd w:val="clear" w:color="auto" w:fill="auto"/>
                  <w:vAlign w:val="center"/>
                </w:tcPr>
                <w:p w14:paraId="4B1B3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淡黄色脆性结晶或粉末，有特殊臭味</w:t>
                  </w:r>
                </w:p>
              </w:tc>
            </w:tr>
            <w:tr w14:paraId="35CA6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54B80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分子量</w:t>
                  </w:r>
                </w:p>
              </w:tc>
              <w:tc>
                <w:tcPr>
                  <w:tcW w:w="1850" w:type="pct"/>
                  <w:tcBorders>
                    <w:tl2br w:val="nil"/>
                    <w:tr2bl w:val="nil"/>
                  </w:tcBorders>
                  <w:shd w:val="clear" w:color="auto" w:fill="auto"/>
                  <w:vAlign w:val="center"/>
                </w:tcPr>
                <w:p w14:paraId="5217F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32.06</w:t>
                  </w:r>
                </w:p>
              </w:tc>
              <w:tc>
                <w:tcPr>
                  <w:tcW w:w="500" w:type="pct"/>
                  <w:tcBorders>
                    <w:tl2br w:val="nil"/>
                    <w:tr2bl w:val="nil"/>
                  </w:tcBorders>
                  <w:shd w:val="clear" w:color="auto" w:fill="auto"/>
                  <w:vAlign w:val="center"/>
                </w:tcPr>
                <w:p w14:paraId="6A421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蒸汽压</w:t>
                  </w:r>
                </w:p>
              </w:tc>
              <w:tc>
                <w:tcPr>
                  <w:tcW w:w="2000" w:type="pct"/>
                  <w:tcBorders>
                    <w:tl2br w:val="nil"/>
                    <w:tr2bl w:val="nil"/>
                  </w:tcBorders>
                  <w:shd w:val="clear" w:color="auto" w:fill="auto"/>
                  <w:vAlign w:val="center"/>
                </w:tcPr>
                <w:p w14:paraId="6EFE9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0.13kPa/183.8℃ 闪点：207℃</w:t>
                  </w:r>
                </w:p>
              </w:tc>
            </w:tr>
            <w:tr w14:paraId="2268F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271D2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熔  点</w:t>
                  </w:r>
                </w:p>
              </w:tc>
              <w:tc>
                <w:tcPr>
                  <w:tcW w:w="1850" w:type="pct"/>
                  <w:tcBorders>
                    <w:tl2br w:val="nil"/>
                    <w:tr2bl w:val="nil"/>
                  </w:tcBorders>
                  <w:shd w:val="clear" w:color="auto" w:fill="auto"/>
                  <w:vAlign w:val="center"/>
                </w:tcPr>
                <w:p w14:paraId="244AF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119℃ 沸点：444.6℃</w:t>
                  </w:r>
                </w:p>
              </w:tc>
              <w:tc>
                <w:tcPr>
                  <w:tcW w:w="500" w:type="pct"/>
                  <w:tcBorders>
                    <w:tl2br w:val="nil"/>
                    <w:tr2bl w:val="nil"/>
                  </w:tcBorders>
                  <w:shd w:val="clear" w:color="auto" w:fill="auto"/>
                  <w:vAlign w:val="center"/>
                </w:tcPr>
                <w:p w14:paraId="60ED6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溶解性</w:t>
                  </w:r>
                </w:p>
              </w:tc>
              <w:tc>
                <w:tcPr>
                  <w:tcW w:w="2000" w:type="pct"/>
                  <w:tcBorders>
                    <w:tl2br w:val="nil"/>
                    <w:tr2bl w:val="nil"/>
                  </w:tcBorders>
                  <w:shd w:val="clear" w:color="auto" w:fill="auto"/>
                  <w:vAlign w:val="center"/>
                </w:tcPr>
                <w:p w14:paraId="33868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不溶于水，微溶于乙醇、醚，易溶于二硫化碳</w:t>
                  </w:r>
                </w:p>
              </w:tc>
            </w:tr>
            <w:tr w14:paraId="15774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241" w:hRule="atLeast"/>
                <w:tblCellSpacing w:w="15" w:type="dxa"/>
                <w:jc w:val="center"/>
              </w:trPr>
              <w:tc>
                <w:tcPr>
                  <w:tcW w:w="650" w:type="pct"/>
                  <w:tcBorders>
                    <w:tl2br w:val="nil"/>
                    <w:tr2bl w:val="nil"/>
                  </w:tcBorders>
                  <w:shd w:val="clear" w:color="auto" w:fill="auto"/>
                  <w:vAlign w:val="center"/>
                </w:tcPr>
                <w:p w14:paraId="006D0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密  度</w:t>
                  </w:r>
                </w:p>
              </w:tc>
              <w:tc>
                <w:tcPr>
                  <w:tcW w:w="1850" w:type="pct"/>
                  <w:tcBorders>
                    <w:tl2br w:val="nil"/>
                    <w:tr2bl w:val="nil"/>
                  </w:tcBorders>
                  <w:shd w:val="clear" w:color="auto" w:fill="auto"/>
                  <w:vAlign w:val="center"/>
                </w:tcPr>
                <w:p w14:paraId="4177B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相对密度(水=1)2.0</w:t>
                  </w:r>
                </w:p>
              </w:tc>
              <w:tc>
                <w:tcPr>
                  <w:tcW w:w="500" w:type="pct"/>
                  <w:tcBorders>
                    <w:tl2br w:val="nil"/>
                    <w:tr2bl w:val="nil"/>
                  </w:tcBorders>
                  <w:shd w:val="clear" w:color="auto" w:fill="auto"/>
                  <w:vAlign w:val="center"/>
                </w:tcPr>
                <w:p w14:paraId="35895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稳定性</w:t>
                  </w:r>
                </w:p>
              </w:tc>
              <w:tc>
                <w:tcPr>
                  <w:tcW w:w="2000" w:type="pct"/>
                  <w:tcBorders>
                    <w:tl2br w:val="nil"/>
                    <w:tr2bl w:val="nil"/>
                  </w:tcBorders>
                  <w:shd w:val="clear" w:color="auto" w:fill="auto"/>
                  <w:vAlign w:val="center"/>
                </w:tcPr>
                <w:p w14:paraId="43BC6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稳定</w:t>
                  </w:r>
                </w:p>
              </w:tc>
            </w:tr>
            <w:tr w14:paraId="5651E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15" w:type="dxa"/>
                  <w:left w:w="15" w:type="dxa"/>
                  <w:bottom w:w="15" w:type="dxa"/>
                  <w:right w:w="15" w:type="dxa"/>
                </w:tblCellMar>
              </w:tblPrEx>
              <w:trPr>
                <w:trHeight w:val="495" w:hRule="atLeast"/>
                <w:tblCellSpacing w:w="15" w:type="dxa"/>
                <w:jc w:val="center"/>
              </w:trPr>
              <w:tc>
                <w:tcPr>
                  <w:tcW w:w="650" w:type="pct"/>
                  <w:tcBorders>
                    <w:tl2br w:val="nil"/>
                    <w:tr2bl w:val="nil"/>
                  </w:tcBorders>
                  <w:shd w:val="clear" w:color="auto" w:fill="auto"/>
                  <w:vAlign w:val="center"/>
                </w:tcPr>
                <w:p w14:paraId="73417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危险标记</w:t>
                  </w:r>
                </w:p>
              </w:tc>
              <w:tc>
                <w:tcPr>
                  <w:tcW w:w="1850" w:type="pct"/>
                  <w:tcBorders>
                    <w:tl2br w:val="nil"/>
                    <w:tr2bl w:val="nil"/>
                  </w:tcBorders>
                  <w:shd w:val="clear" w:color="auto" w:fill="auto"/>
                  <w:vAlign w:val="center"/>
                </w:tcPr>
                <w:p w14:paraId="16A5B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8(易燃固体)</w:t>
                  </w:r>
                </w:p>
              </w:tc>
              <w:tc>
                <w:tcPr>
                  <w:tcW w:w="500" w:type="pct"/>
                  <w:tcBorders>
                    <w:tl2br w:val="nil"/>
                    <w:tr2bl w:val="nil"/>
                  </w:tcBorders>
                  <w:shd w:val="clear" w:color="auto" w:fill="auto"/>
                  <w:vAlign w:val="center"/>
                </w:tcPr>
                <w:p w14:paraId="7DD76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主要用途</w:t>
                  </w:r>
                </w:p>
              </w:tc>
              <w:tc>
                <w:tcPr>
                  <w:tcW w:w="2000" w:type="pct"/>
                  <w:tcBorders>
                    <w:tl2br w:val="nil"/>
                    <w:tr2bl w:val="nil"/>
                  </w:tcBorders>
                  <w:shd w:val="clear" w:color="auto" w:fill="auto"/>
                  <w:vAlign w:val="center"/>
                </w:tcPr>
                <w:p w14:paraId="208AE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color w:val="000000" w:themeColor="text1"/>
                      <w:sz w:val="21"/>
                      <w:szCs w:val="21"/>
                      <w14:textFill>
                        <w14:solidFill>
                          <w14:schemeClr w14:val="tx1"/>
                        </w14:solidFill>
                      </w14:textFill>
                    </w:rPr>
                  </w:pPr>
                  <w:r>
                    <w:rPr>
                      <w:rFonts w:hint="default" w:ascii="宋体" w:hAnsi="宋体" w:eastAsia="宋体" w:cs="宋体"/>
                      <w:color w:val="000000" w:themeColor="text1"/>
                      <w:kern w:val="0"/>
                      <w:sz w:val="21"/>
                      <w:szCs w:val="21"/>
                      <w:lang w:val="en-US" w:eastAsia="zh-CN" w:bidi="ar"/>
                      <w14:textFill>
                        <w14:solidFill>
                          <w14:schemeClr w14:val="tx1"/>
                        </w14:solidFill>
                      </w14:textFill>
                    </w:rPr>
                    <w:t>用于制造染料、农药、火柴、火药、橡胶、人造丝、医药等</w:t>
                  </w:r>
                </w:p>
              </w:tc>
            </w:tr>
          </w:tbl>
          <w:p w14:paraId="1608B4D2">
            <w:pPr>
              <w:keepNext w:val="0"/>
              <w:keepLines w:val="0"/>
              <w:suppressLineNumbers w:val="0"/>
              <w:adjustRightInd w:val="0"/>
              <w:snapToGrid w:val="0"/>
              <w:spacing w:before="0" w:beforeAutospacing="0" w:after="0" w:afterAutospacing="0"/>
              <w:ind w:left="0" w:right="0" w:firstLine="482"/>
              <w:jc w:val="left"/>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5、主要设备</w:t>
            </w:r>
          </w:p>
          <w:p w14:paraId="6F83E3F1">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项目主要设备情况见下表。</w:t>
            </w:r>
          </w:p>
          <w:p w14:paraId="72649305">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表2-5 本项目设备情况</w:t>
            </w:r>
          </w:p>
          <w:tbl>
            <w:tblPr>
              <w:tblStyle w:val="29"/>
              <w:tblW w:w="7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643"/>
              <w:gridCol w:w="1434"/>
              <w:gridCol w:w="3392"/>
            </w:tblGrid>
            <w:tr w14:paraId="779A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290" w:type="dxa"/>
                  <w:vAlign w:val="center"/>
                </w:tcPr>
                <w:p w14:paraId="352EAA9C">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设备名称</w:t>
                  </w:r>
                </w:p>
              </w:tc>
              <w:tc>
                <w:tcPr>
                  <w:tcW w:w="1643" w:type="dxa"/>
                  <w:vAlign w:val="center"/>
                </w:tcPr>
                <w:p w14:paraId="095E7D71">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型号</w:t>
                  </w:r>
                </w:p>
              </w:tc>
              <w:tc>
                <w:tcPr>
                  <w:tcW w:w="1434" w:type="dxa"/>
                  <w:vAlign w:val="center"/>
                </w:tcPr>
                <w:p w14:paraId="014E867D">
                  <w:pPr>
                    <w:keepNext w:val="0"/>
                    <w:keepLines w:val="0"/>
                    <w:widowControl/>
                    <w:suppressLineNumbers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数量（台）</w:t>
                  </w:r>
                </w:p>
              </w:tc>
              <w:tc>
                <w:tcPr>
                  <w:tcW w:w="3392" w:type="dxa"/>
                  <w:vAlign w:val="center"/>
                </w:tcPr>
                <w:p w14:paraId="4B7FD2E4">
                  <w:pPr>
                    <w:keepNext w:val="0"/>
                    <w:keepLines w:val="0"/>
                    <w:widowControl/>
                    <w:suppressLineNumbers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规格</w:t>
                  </w:r>
                </w:p>
              </w:tc>
            </w:tr>
            <w:tr w14:paraId="1B19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290" w:type="dxa"/>
                  <w:vAlign w:val="center"/>
                </w:tcPr>
                <w:p w14:paraId="5F5758ED">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防腐防爆轴流风机</w:t>
                  </w:r>
                </w:p>
              </w:tc>
              <w:tc>
                <w:tcPr>
                  <w:tcW w:w="1643" w:type="dxa"/>
                  <w:vAlign w:val="center"/>
                </w:tcPr>
                <w:p w14:paraId="651A6F22">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BFJ-1~2</w:t>
                  </w:r>
                </w:p>
              </w:tc>
              <w:tc>
                <w:tcPr>
                  <w:tcW w:w="1434" w:type="dxa"/>
                  <w:vAlign w:val="center"/>
                </w:tcPr>
                <w:p w14:paraId="11FFC08A">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3392" w:type="dxa"/>
                  <w:vAlign w:val="center"/>
                </w:tcPr>
                <w:p w14:paraId="1539112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转速：1400r/min；风量：5881m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/h；功率：0.25KW，380V</w:t>
                  </w:r>
                </w:p>
              </w:tc>
            </w:tr>
          </w:tbl>
          <w:p w14:paraId="70A3E836">
            <w:pPr>
              <w:keepNext w:val="0"/>
              <w:keepLines w:val="0"/>
              <w:suppressLineNumbers w:val="0"/>
              <w:adjustRightInd w:val="0"/>
              <w:snapToGrid w:val="0"/>
              <w:spacing w:before="0" w:beforeAutospacing="0" w:after="0" w:afterAutospacing="0"/>
              <w:ind w:left="0" w:right="0" w:firstLine="482"/>
              <w:jc w:val="left"/>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6、工程总平面布置</w:t>
            </w:r>
          </w:p>
          <w:p w14:paraId="59EE6113">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lang w:val="en-US"/>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项目位于甘其毛都口岸加工园区神华巴彦淖尔能源有限责任公司焦化厂厂区内，</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整体位于厂区北侧。本项目为一层结构，总占地面积为200m</w:t>
            </w:r>
            <w:r>
              <w:rPr>
                <w:rFonts w:hint="eastAsia" w:cs="宋体" w:asciiTheme="minorEastAsia" w:hAnsiTheme="minorEastAsia" w:eastAsiaTheme="minorEastAsia"/>
                <w:color w:val="000000" w:themeColor="text1"/>
                <w:kern w:val="0"/>
                <w:highlight w:val="none"/>
                <w:vertAlign w:val="superscript"/>
                <w:lang w:val="en-US" w:eastAsia="zh-CN"/>
                <w14:textFill>
                  <w14:solidFill>
                    <w14:schemeClr w14:val="tx1"/>
                  </w14:solidFill>
                </w14:textFill>
              </w:rPr>
              <w:t>2</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，划分为一个防火分区，在项目区北侧设两个直通室外的安全出口，</w:t>
            </w:r>
            <w:r>
              <w:rPr>
                <w:rFonts w:hint="eastAsia" w:eastAsiaTheme="minorEastAsia"/>
                <w:color w:val="000000" w:themeColor="text1"/>
                <w:kern w:val="0"/>
                <w:highlight w:val="none"/>
                <w:lang w:val="en-US" w:eastAsia="zh-CN"/>
                <w14:textFill>
                  <w14:solidFill>
                    <w14:schemeClr w14:val="tx1"/>
                  </w14:solidFill>
                </w14:textFill>
              </w:rPr>
              <w:t>具体见附图3。</w:t>
            </w:r>
          </w:p>
          <w:p w14:paraId="3F02917F">
            <w:pPr>
              <w:keepNext w:val="0"/>
              <w:keepLines w:val="0"/>
              <w:suppressLineNumbers w:val="0"/>
              <w:adjustRightInd w:val="0"/>
              <w:snapToGrid w:val="0"/>
              <w:spacing w:before="0" w:beforeAutospacing="0" w:after="0" w:afterAutospacing="0"/>
              <w:ind w:left="0" w:right="0" w:firstLine="482"/>
              <w:jc w:val="left"/>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7、公用工程</w:t>
            </w:r>
          </w:p>
          <w:p w14:paraId="2B0F297C">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（1）给水</w:t>
            </w:r>
          </w:p>
          <w:p w14:paraId="172A2387">
            <w:pPr>
              <w:keepNext w:val="0"/>
              <w:keepLines w:val="0"/>
              <w:suppressLineNumbers w:val="0"/>
              <w:adjustRightInd w:val="0"/>
              <w:snapToGrid w:val="0"/>
              <w:spacing w:before="0" w:beforeAutospacing="0" w:after="0" w:afterAutospacing="0"/>
              <w:ind w:left="0" w:right="0" w:firstLine="480"/>
              <w:jc w:val="left"/>
              <w:rPr>
                <w:rFonts w:hint="eastAsia"/>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本项目不新增工作人员，不新增生活用水。</w:t>
            </w:r>
          </w:p>
          <w:p w14:paraId="1E0039C0">
            <w:pPr>
              <w:keepNext w:val="0"/>
              <w:keepLines w:val="0"/>
              <w:suppressLineNumbers w:val="0"/>
              <w:adjustRightInd w:val="0"/>
              <w:snapToGrid w:val="0"/>
              <w:spacing w:before="0" w:beforeAutospacing="0" w:after="0" w:afterAutospacing="0"/>
              <w:ind w:left="0" w:right="0" w:firstLine="480"/>
              <w:jc w:val="left"/>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生产过程也不涉及水的使用。</w:t>
            </w:r>
          </w:p>
          <w:p w14:paraId="03947E26">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（2）排水</w:t>
            </w:r>
          </w:p>
          <w:p w14:paraId="4FF1BD57">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运营期间不产生生产废水及</w:t>
            </w:r>
            <w:r>
              <w:rPr>
                <w:rFonts w:hint="eastAsia"/>
                <w:bCs/>
                <w:color w:val="000000" w:themeColor="text1"/>
                <w:highlight w:val="none"/>
                <w:lang w:val="en-US" w:eastAsia="zh-CN"/>
                <w14:textFill>
                  <w14:solidFill>
                    <w14:schemeClr w14:val="tx1"/>
                  </w14:solidFill>
                </w14:textFill>
              </w:rPr>
              <w:t>新增</w:t>
            </w:r>
            <w:r>
              <w:rPr>
                <w:rFonts w:hint="eastAsia"/>
                <w:bCs/>
                <w:color w:val="000000" w:themeColor="text1"/>
                <w:highlight w:val="none"/>
                <w14:textFill>
                  <w14:solidFill>
                    <w14:schemeClr w14:val="tx1"/>
                  </w14:solidFill>
                </w14:textFill>
              </w:rPr>
              <w:t>生活污水。</w:t>
            </w:r>
          </w:p>
          <w:p w14:paraId="3A552E96">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（3）供电</w:t>
            </w:r>
          </w:p>
          <w:p w14:paraId="1A0D8A0D">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本项目用电依托厂内原有工程，由附近电源接入。</w:t>
            </w:r>
          </w:p>
          <w:p w14:paraId="683BDBEE">
            <w:pPr>
              <w:keepNext w:val="0"/>
              <w:keepLines w:val="0"/>
              <w:numPr>
                <w:ilvl w:val="0"/>
                <w:numId w:val="6"/>
              </w:numPr>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供暖</w:t>
            </w:r>
          </w:p>
          <w:p w14:paraId="39D01BC9">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本项目无需供暖。</w:t>
            </w:r>
          </w:p>
          <w:p w14:paraId="31B1C0BC">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（5）通风</w:t>
            </w:r>
          </w:p>
          <w:p w14:paraId="49833D60">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乙类</w:t>
            </w:r>
            <w:r>
              <w:rPr>
                <w:rFonts w:hint="eastAsia"/>
                <w:bCs/>
                <w:color w:val="000000" w:themeColor="text1"/>
                <w:highlight w:val="none"/>
                <w14:textFill>
                  <w14:solidFill>
                    <w14:schemeClr w14:val="tx1"/>
                  </w14:solidFill>
                </w14:textFill>
              </w:rPr>
              <w:t>库共设置</w:t>
            </w:r>
            <w:r>
              <w:rPr>
                <w:rFonts w:hint="eastAsia"/>
                <w:bCs/>
                <w:color w:val="000000" w:themeColor="text1"/>
                <w:highlight w:val="none"/>
                <w:lang w:val="en-US" w:eastAsia="zh-CN"/>
                <w14:textFill>
                  <w14:solidFill>
                    <w14:schemeClr w14:val="tx1"/>
                  </w14:solidFill>
                </w14:textFill>
              </w:rPr>
              <w:t>2</w:t>
            </w:r>
            <w:r>
              <w:rPr>
                <w:rFonts w:hint="eastAsia"/>
                <w:bCs/>
                <w:color w:val="000000" w:themeColor="text1"/>
                <w:highlight w:val="none"/>
                <w14:textFill>
                  <w14:solidFill>
                    <w14:schemeClr w14:val="tx1"/>
                  </w14:solidFill>
                </w14:textFill>
              </w:rPr>
              <w:t>台轴流风机。其中型号为BFJ-1~2，风量</w:t>
            </w:r>
            <w:r>
              <w:rPr>
                <w:rFonts w:hint="eastAsia"/>
                <w:bCs/>
                <w:color w:val="000000" w:themeColor="text1"/>
                <w:highlight w:val="none"/>
                <w:lang w:val="en-US" w:eastAsia="zh-CN"/>
                <w14:textFill>
                  <w14:solidFill>
                    <w14:schemeClr w14:val="tx1"/>
                  </w14:solidFill>
                </w14:textFill>
              </w:rPr>
              <w:t>5881</w:t>
            </w:r>
            <w:r>
              <w:rPr>
                <w:rFonts w:hint="eastAsia"/>
                <w:bCs/>
                <w:color w:val="000000" w:themeColor="text1"/>
                <w:highlight w:val="none"/>
                <w14:textFill>
                  <w14:solidFill>
                    <w14:schemeClr w14:val="tx1"/>
                  </w14:solidFill>
                </w14:textFill>
              </w:rPr>
              <w:t>m³/h，通风换气次数：</w:t>
            </w:r>
            <w:r>
              <w:rPr>
                <w:rFonts w:hint="eastAsia"/>
                <w:bCs/>
                <w:color w:val="000000" w:themeColor="text1"/>
                <w:highlight w:val="none"/>
                <w:lang w:val="en-US" w:eastAsia="zh-CN"/>
                <w14:textFill>
                  <w14:solidFill>
                    <w14:schemeClr w14:val="tx1"/>
                  </w14:solidFill>
                </w14:textFill>
              </w:rPr>
              <w:t>12</w:t>
            </w:r>
            <w:r>
              <w:rPr>
                <w:rFonts w:hint="eastAsia"/>
                <w:bCs/>
                <w:color w:val="000000" w:themeColor="text1"/>
                <w:highlight w:val="none"/>
                <w14:textFill>
                  <w14:solidFill>
                    <w14:schemeClr w14:val="tx1"/>
                  </w14:solidFill>
                </w14:textFill>
              </w:rPr>
              <w:t>次/h</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事故状态下可调节并加大通风次数</w:t>
            </w:r>
            <w:r>
              <w:rPr>
                <w:rFonts w:hint="eastAsia"/>
                <w:bCs/>
                <w:color w:val="000000" w:themeColor="text1"/>
                <w:highlight w:val="none"/>
                <w14:textFill>
                  <w14:solidFill>
                    <w14:schemeClr w14:val="tx1"/>
                  </w14:solidFill>
                </w14:textFill>
              </w:rPr>
              <w:t>。</w:t>
            </w:r>
          </w:p>
          <w:p w14:paraId="6D5CF3A6">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（6）消防工程设施</w:t>
            </w:r>
          </w:p>
          <w:p w14:paraId="268C69AF">
            <w:pPr>
              <w:keepNext w:val="0"/>
              <w:keepLines w:val="0"/>
              <w:suppressLineNumbers w:val="0"/>
              <w:adjustRightInd w:val="0"/>
              <w:snapToGrid w:val="0"/>
              <w:spacing w:before="0" w:beforeAutospacing="0" w:after="0" w:afterAutospacing="0"/>
              <w:ind w:left="0" w:right="0" w:firstLine="480"/>
              <w:jc w:val="left"/>
              <w:rPr>
                <w:rFonts w:hint="default"/>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本项目配套建设消防栓、气体灭火器、消防手报、有毒气体探测装置、烟感、温感探头、应急照明、安全出口标识等。</w:t>
            </w:r>
          </w:p>
        </w:tc>
      </w:tr>
      <w:tr w14:paraId="26090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8" w:hRule="atLeast"/>
          <w:jc w:val="center"/>
        </w:trPr>
        <w:tc>
          <w:tcPr>
            <w:tcW w:w="730" w:type="dxa"/>
            <w:noWrap/>
            <w:vAlign w:val="center"/>
          </w:tcPr>
          <w:p w14:paraId="324DC300">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156" w:type="dxa"/>
            <w:noWrap/>
          </w:tcPr>
          <w:p w14:paraId="4045B516">
            <w:pPr>
              <w:keepNext w:val="0"/>
              <w:keepLines w:val="0"/>
              <w:suppressLineNumbers w:val="0"/>
              <w:adjustRightInd w:val="0"/>
              <w:snapToGrid w:val="0"/>
              <w:spacing w:before="0" w:beforeAutospacing="0" w:after="0" w:afterAutospacing="0"/>
              <w:ind w:left="0" w:right="0" w:firstLine="0" w:firstLineChars="0"/>
              <w:rPr>
                <w:rFonts w:hint="default"/>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1、施工期工艺流程</w:t>
            </w:r>
          </w:p>
          <w:p w14:paraId="37D25325">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本项目施工期主要是项目土建、给排水、电气、消防等建设，使用的施工设备包括电动挖掘机、推土机、电钻及运输、装卸设备等。项目建筑施工主要施工工艺流程见下图：</w:t>
            </w:r>
          </w:p>
          <w:p w14:paraId="6C023C67">
            <w:pPr>
              <w:keepNext w:val="0"/>
              <w:keepLines w:val="0"/>
              <w:suppressLineNumbers w:val="0"/>
              <w:spacing w:before="0" w:beforeAutospacing="0" w:after="0" w:afterAutospacing="0"/>
              <w:ind w:left="0" w:right="0" w:firstLine="0" w:firstLineChars="0"/>
              <w:jc w:val="center"/>
              <w:rPr>
                <w:rFonts w:hint="default"/>
                <w:bCs/>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514215" cy="1176655"/>
                  <wp:effectExtent l="0" t="0" r="63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4514215" cy="1176655"/>
                          </a:xfrm>
                          <a:prstGeom prst="rect">
                            <a:avLst/>
                          </a:prstGeom>
                          <a:noFill/>
                          <a:ln>
                            <a:noFill/>
                          </a:ln>
                        </pic:spPr>
                      </pic:pic>
                    </a:graphicData>
                  </a:graphic>
                </wp:inline>
              </w:drawing>
            </w:r>
          </w:p>
          <w:p w14:paraId="0067C969">
            <w:pPr>
              <w:keepNext w:val="0"/>
              <w:keepLines w:val="0"/>
              <w:suppressLineNumbers w:val="0"/>
              <w:spacing w:before="0" w:beforeAutospacing="0" w:after="0" w:afterAutospacing="0"/>
              <w:ind w:left="0" w:right="0" w:firstLine="422"/>
              <w:jc w:val="center"/>
              <w:rPr>
                <w:rFonts w:hint="default"/>
                <w:b/>
                <w:color w:val="000000" w:themeColor="text1"/>
                <w:szCs w:val="21"/>
                <w:highlight w:val="none"/>
                <w14:textFill>
                  <w14:solidFill>
                    <w14:schemeClr w14:val="tx1"/>
                  </w14:solidFill>
                </w14:textFill>
              </w:rPr>
            </w:pPr>
            <w:r>
              <w:rPr>
                <w:rFonts w:hint="eastAsia"/>
                <w:b/>
                <w:color w:val="000000" w:themeColor="text1"/>
                <w:sz w:val="21"/>
                <w:szCs w:val="18"/>
                <w:highlight w:val="none"/>
                <w14:textFill>
                  <w14:solidFill>
                    <w14:schemeClr w14:val="tx1"/>
                  </w14:solidFill>
                </w14:textFill>
              </w:rPr>
              <w:t>图</w:t>
            </w:r>
            <w:r>
              <w:rPr>
                <w:rFonts w:hint="eastAsia"/>
                <w:b/>
                <w:color w:val="000000" w:themeColor="text1"/>
                <w:sz w:val="21"/>
                <w:szCs w:val="18"/>
                <w:highlight w:val="none"/>
                <w:lang w:val="en-US" w:eastAsia="zh-CN"/>
                <w14:textFill>
                  <w14:solidFill>
                    <w14:schemeClr w14:val="tx1"/>
                  </w14:solidFill>
                </w14:textFill>
              </w:rPr>
              <w:t>2</w:t>
            </w:r>
            <w:r>
              <w:rPr>
                <w:rFonts w:hint="eastAsia"/>
                <w:b/>
                <w:color w:val="000000" w:themeColor="text1"/>
                <w:sz w:val="21"/>
                <w:szCs w:val="18"/>
                <w:highlight w:val="none"/>
                <w14:textFill>
                  <w14:solidFill>
                    <w14:schemeClr w14:val="tx1"/>
                  </w14:solidFill>
                </w14:textFill>
              </w:rPr>
              <w:t>-1 本项目施工期工艺流程</w:t>
            </w:r>
          </w:p>
          <w:p w14:paraId="0EE9C45A">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施工流程图简述：</w:t>
            </w:r>
          </w:p>
          <w:p w14:paraId="6649D776">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default" w:ascii="宋体" w:hAnsi="宋体" w:cs="宋体"/>
                <w:color w:val="000000" w:themeColor="text1"/>
                <w:kern w:val="0"/>
                <w:highlight w:val="none"/>
                <w14:textFill>
                  <w14:solidFill>
                    <w14:schemeClr w14:val="tx1"/>
                  </w14:solidFill>
                </w14:textFill>
              </w:rPr>
              <w:t>首先对场地进行土地平整，平整后进行土建基础工程建设（土方开挖等），接着进行简单道路建设（方便施工车辆的进出），然后</w:t>
            </w:r>
            <w:r>
              <w:rPr>
                <w:rFonts w:hint="eastAsia" w:ascii="宋体" w:hAnsi="宋体" w:cs="宋体"/>
                <w:color w:val="000000" w:themeColor="text1"/>
                <w:kern w:val="0"/>
                <w:highlight w:val="none"/>
                <w:lang w:val="en-US" w:eastAsia="zh-CN"/>
                <w14:textFill>
                  <w14:solidFill>
                    <w14:schemeClr w14:val="tx1"/>
                  </w14:solidFill>
                </w14:textFill>
              </w:rPr>
              <w:t>进</w:t>
            </w:r>
            <w:r>
              <w:rPr>
                <w:rFonts w:hint="default" w:ascii="宋体" w:hAnsi="宋体" w:cs="宋体"/>
                <w:color w:val="000000" w:themeColor="text1"/>
                <w:kern w:val="0"/>
                <w:highlight w:val="none"/>
                <w14:textFill>
                  <w14:solidFill>
                    <w14:schemeClr w14:val="tx1"/>
                  </w14:solidFill>
                </w14:textFill>
              </w:rPr>
              <w:t>行主体工程建筑（房屋建筑），主体工程完成后进行装修。</w:t>
            </w:r>
          </w:p>
          <w:p w14:paraId="6C1DF959">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default" w:ascii="宋体" w:hAnsi="宋体" w:cs="宋体"/>
                <w:color w:val="000000" w:themeColor="text1"/>
                <w:kern w:val="0"/>
                <w:highlight w:val="none"/>
                <w14:textFill>
                  <w14:solidFill>
                    <w14:schemeClr w14:val="tx1"/>
                  </w14:solidFill>
                </w14:textFill>
              </w:rPr>
              <w:t>本项目施工期主要污染因子如下</w:t>
            </w:r>
          </w:p>
          <w:p w14:paraId="69228A1D">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（1）</w:t>
            </w:r>
            <w:r>
              <w:rPr>
                <w:rFonts w:hint="default" w:ascii="宋体" w:hAnsi="宋体" w:cs="宋体"/>
                <w:color w:val="000000" w:themeColor="text1"/>
                <w:kern w:val="0"/>
                <w:highlight w:val="none"/>
                <w14:textFill>
                  <w14:solidFill>
                    <w14:schemeClr w14:val="tx1"/>
                  </w14:solidFill>
                </w14:textFill>
              </w:rPr>
              <w:t>施工废气：在场地开挖、场地平整、土方施工、物料运输、物料堆置等过程均会有扬尘产生，扬尘的产生会使周围空气中的</w:t>
            </w:r>
            <w:r>
              <w:rPr>
                <w:rFonts w:hint="default"/>
                <w:color w:val="000000" w:themeColor="text1"/>
                <w:kern w:val="0"/>
                <w:highlight w:val="none"/>
                <w14:textFill>
                  <w14:solidFill>
                    <w14:schemeClr w14:val="tx1"/>
                  </w14:solidFill>
                </w14:textFill>
              </w:rPr>
              <w:t>TSP</w:t>
            </w:r>
            <w:r>
              <w:rPr>
                <w:rFonts w:hint="default" w:ascii="宋体" w:hAnsi="宋体" w:cs="宋体"/>
                <w:color w:val="000000" w:themeColor="text1"/>
                <w:kern w:val="0"/>
                <w:highlight w:val="none"/>
                <w14:textFill>
                  <w14:solidFill>
                    <w14:schemeClr w14:val="tx1"/>
                  </w14:solidFill>
                </w14:textFill>
              </w:rPr>
              <w:t>浓度升高。施工过程中施工机械及运输</w:t>
            </w:r>
            <w:r>
              <w:rPr>
                <w:rFonts w:hint="eastAsia" w:ascii="宋体" w:hAnsi="宋体" w:cs="宋体"/>
                <w:color w:val="000000" w:themeColor="text1"/>
                <w:kern w:val="0"/>
                <w:highlight w:val="none"/>
                <w14:textFill>
                  <w14:solidFill>
                    <w14:schemeClr w14:val="tx1"/>
                  </w14:solidFill>
                </w14:textFill>
              </w:rPr>
              <w:t>设备燃油废气</w:t>
            </w:r>
            <w:r>
              <w:rPr>
                <w:rFonts w:hint="default" w:ascii="宋体" w:hAnsi="宋体" w:cs="宋体"/>
                <w:color w:val="000000" w:themeColor="text1"/>
                <w:kern w:val="0"/>
                <w:highlight w:val="none"/>
                <w14:textFill>
                  <w14:solidFill>
                    <w14:schemeClr w14:val="tx1"/>
                  </w14:solidFill>
                </w14:textFill>
              </w:rPr>
              <w:t>。</w:t>
            </w:r>
          </w:p>
          <w:p w14:paraId="78462C87">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（2）</w:t>
            </w:r>
            <w:r>
              <w:rPr>
                <w:rFonts w:hint="default" w:ascii="宋体" w:hAnsi="宋体" w:cs="宋体"/>
                <w:color w:val="000000" w:themeColor="text1"/>
                <w:kern w:val="0"/>
                <w:highlight w:val="none"/>
                <w14:textFill>
                  <w14:solidFill>
                    <w14:schemeClr w14:val="tx1"/>
                  </w14:solidFill>
                </w14:textFill>
              </w:rPr>
              <w:t>施工噪声：在基础挖掘、物料运输、建筑作业及房屋装修过程中，会有噪声产生。</w:t>
            </w:r>
          </w:p>
          <w:p w14:paraId="79A0D21F">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w:t>
            </w:r>
            <w:r>
              <w:rPr>
                <w:rFonts w:hint="default" w:ascii="宋体" w:hAnsi="宋体" w:cs="宋体"/>
                <w:color w:val="000000" w:themeColor="text1"/>
                <w:kern w:val="0"/>
                <w:highlight w:val="none"/>
                <w14:textFill>
                  <w14:solidFill>
                    <w14:schemeClr w14:val="tx1"/>
                  </w14:solidFill>
                </w14:textFill>
              </w:rPr>
              <w:t>施工废水：主要为建筑施工人员产生的生活污水以及在建筑施工中产生</w:t>
            </w:r>
            <w:r>
              <w:rPr>
                <w:rFonts w:hint="eastAsia" w:ascii="宋体" w:hAnsi="宋体" w:cs="宋体"/>
                <w:color w:val="000000" w:themeColor="text1"/>
                <w:kern w:val="0"/>
                <w:highlight w:val="none"/>
                <w14:textFill>
                  <w14:solidFill>
                    <w14:schemeClr w14:val="tx1"/>
                  </w14:solidFill>
                </w14:textFill>
              </w:rPr>
              <w:t>废水</w:t>
            </w:r>
            <w:r>
              <w:rPr>
                <w:rFonts w:hint="default" w:ascii="宋体" w:hAnsi="宋体" w:cs="宋体"/>
                <w:color w:val="000000" w:themeColor="text1"/>
                <w:kern w:val="0"/>
                <w:highlight w:val="none"/>
                <w14:textFill>
                  <w14:solidFill>
                    <w14:schemeClr w14:val="tx1"/>
                  </w14:solidFill>
                </w14:textFill>
              </w:rPr>
              <w:t>。</w:t>
            </w:r>
          </w:p>
          <w:p w14:paraId="0F12EB84">
            <w:pPr>
              <w:keepNext w:val="0"/>
              <w:keepLines w:val="0"/>
              <w:widowControl/>
              <w:suppressLineNumbers w:val="0"/>
              <w:spacing w:before="0" w:beforeAutospacing="0" w:after="0" w:afterAutospacing="0"/>
              <w:ind w:left="0" w:right="0" w:firstLine="480"/>
              <w:jc w:val="left"/>
              <w:rPr>
                <w:rFonts w:hint="default"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w:t>
            </w:r>
            <w:r>
              <w:rPr>
                <w:rFonts w:hint="default" w:ascii="宋体" w:hAnsi="宋体" w:cs="宋体"/>
                <w:color w:val="000000" w:themeColor="text1"/>
                <w:kern w:val="0"/>
                <w:highlight w:val="none"/>
                <w14:textFill>
                  <w14:solidFill>
                    <w14:schemeClr w14:val="tx1"/>
                  </w14:solidFill>
                </w14:textFill>
              </w:rPr>
              <w:t>施工固废：主要为施工过程产生的建筑垃圾、装修期产生的装修垃圾以及施工人员产生的生活垃圾。</w:t>
            </w:r>
          </w:p>
          <w:p w14:paraId="3EC0A574">
            <w:pPr>
              <w:keepNext w:val="0"/>
              <w:keepLines w:val="0"/>
              <w:suppressLineNumbers w:val="0"/>
              <w:adjustRightInd w:val="0"/>
              <w:snapToGrid w:val="0"/>
              <w:spacing w:before="0" w:beforeAutospacing="0" w:after="0" w:afterAutospacing="0"/>
              <w:ind w:left="0" w:right="0" w:firstLine="0" w:firstLineChars="0"/>
              <w:rPr>
                <w:rFonts w:hint="default"/>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2、运营期工艺流程</w:t>
            </w:r>
          </w:p>
          <w:p w14:paraId="714006F3">
            <w:pPr>
              <w:keepNext w:val="0"/>
              <w:keepLines w:val="0"/>
              <w:suppressLineNumbers w:val="0"/>
              <w:adjustRightInd w:val="0"/>
              <w:snapToGrid w:val="0"/>
              <w:spacing w:before="0" w:beforeAutospacing="0" w:after="0" w:afterAutospacing="0"/>
              <w:ind w:left="0" w:right="0" w:firstLine="48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本次新建</w:t>
            </w:r>
            <w:r>
              <w:rPr>
                <w:rFonts w:hint="eastAsia"/>
                <w:color w:val="000000" w:themeColor="text1"/>
                <w:highlight w:val="none"/>
                <w:lang w:val="en-US" w:eastAsia="zh-CN"/>
                <w14:textFill>
                  <w14:solidFill>
                    <w14:schemeClr w14:val="tx1"/>
                  </w14:solidFill>
                </w14:textFill>
              </w:rPr>
              <w:t>乙类</w:t>
            </w:r>
            <w:r>
              <w:rPr>
                <w:rFonts w:hint="eastAsia"/>
                <w:color w:val="000000" w:themeColor="text1"/>
                <w:highlight w:val="none"/>
                <w14:textFill>
                  <w14:solidFill>
                    <w14:schemeClr w14:val="tx1"/>
                  </w14:solidFill>
                </w14:textFill>
              </w:rPr>
              <w:t>库仅用于</w:t>
            </w:r>
            <w:r>
              <w:rPr>
                <w:rFonts w:hint="eastAsia"/>
                <w:color w:val="000000" w:themeColor="text1"/>
                <w:highlight w:val="none"/>
                <w:lang w:val="en-US" w:eastAsia="zh-CN"/>
                <w14:textFill>
                  <w14:solidFill>
                    <w14:schemeClr w14:val="tx1"/>
                  </w14:solidFill>
                </w14:textFill>
              </w:rPr>
              <w:t>硫磺的</w:t>
            </w:r>
            <w:r>
              <w:rPr>
                <w:rFonts w:hint="eastAsia"/>
                <w:color w:val="000000" w:themeColor="text1"/>
                <w:highlight w:val="none"/>
                <w14:textFill>
                  <w14:solidFill>
                    <w14:schemeClr w14:val="tx1"/>
                  </w14:solidFill>
                </w14:textFill>
              </w:rPr>
              <w:t>暂存</w:t>
            </w:r>
            <w:r>
              <w:rPr>
                <w:rFonts w:hint="eastAsia"/>
                <w:color w:val="000000" w:themeColor="text1"/>
                <w:highlight w:val="none"/>
                <w:lang w:eastAsia="zh-CN"/>
                <w14:textFill>
                  <w14:solidFill>
                    <w14:schemeClr w14:val="tx1"/>
                  </w14:solidFill>
                </w14:textFill>
              </w:rPr>
              <w:t>。</w:t>
            </w:r>
          </w:p>
          <w:p w14:paraId="4C0CF5C7">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硫磺主要产生于焦化厂炼焦煤气净化过程，粗煤气进入脱硫塔下部与塔顶喷淋下来的脱硫液逆流接触洗涤后送至循环槽，用溶液循环泵抽送至再生塔，与来自空压站的压缩空气并流再生，再生后的脱硫液返回脱硫塔塔顶循环喷淋脱硫。硫泡沫则由再生塔顶部扩大部分排至硫泡沫槽，经泡沫泵进入熔硫釜，生成硫磺。硫磺留至铁箱后进行自然固化，待硫磺含水率小于1%结块后利用叉车将盛放硫磺的铁箱运至乙类库，在库内将硫磺块从桶内卸出后堆存，铁箱返回脱硫工序继续使用。</w:t>
            </w:r>
          </w:p>
          <w:p w14:paraId="6DDC4DB0">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该过程产污环节主要是在乙类库内硫磺卸料及装车过程产生的少量粉尘，以及硫磺本身在脱硫过程残留的少量硫化氢在贮存过程的逸散。不涉及固废及污水的产排。</w:t>
            </w:r>
          </w:p>
          <w:p w14:paraId="348E6527">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具体工艺流程如下：</w:t>
            </w:r>
          </w:p>
          <w:p w14:paraId="70F7B0DC">
            <w:pPr>
              <w:keepNext w:val="0"/>
              <w:keepLines w:val="0"/>
              <w:suppressLineNumbers w:val="0"/>
              <w:adjustRightInd w:val="0"/>
              <w:snapToGrid w:val="0"/>
              <w:spacing w:before="0" w:beforeAutospacing="0" w:after="0" w:afterAutospacing="0"/>
              <w:ind w:left="0" w:right="0"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040630" cy="1024255"/>
                  <wp:effectExtent l="0" t="0" r="7620" b="4445"/>
                  <wp:docPr id="125" name="图片 1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片1"/>
                          <pic:cNvPicPr>
                            <a:picLocks noChangeAspect="1"/>
                          </pic:cNvPicPr>
                        </pic:nvPicPr>
                        <pic:blipFill>
                          <a:blip r:embed="rId18"/>
                          <a:stretch>
                            <a:fillRect/>
                          </a:stretch>
                        </pic:blipFill>
                        <pic:spPr>
                          <a:xfrm>
                            <a:off x="0" y="0"/>
                            <a:ext cx="5040630" cy="1024255"/>
                          </a:xfrm>
                          <a:prstGeom prst="rect">
                            <a:avLst/>
                          </a:prstGeom>
                        </pic:spPr>
                      </pic:pic>
                    </a:graphicData>
                  </a:graphic>
                </wp:inline>
              </w:drawing>
            </w:r>
          </w:p>
          <w:p w14:paraId="6480EE84">
            <w:pPr>
              <w:keepNext w:val="0"/>
              <w:keepLines w:val="0"/>
              <w:suppressLineNumbers w:val="0"/>
              <w:adjustRightInd w:val="0"/>
              <w:snapToGrid w:val="0"/>
              <w:spacing w:before="0" w:beforeAutospacing="0" w:after="0" w:afterAutospacing="0"/>
              <w:ind w:left="0" w:right="0" w:firstLine="422"/>
              <w:jc w:val="center"/>
              <w:rPr>
                <w:rFonts w:hint="default"/>
                <w:color w:val="000000" w:themeColor="text1"/>
                <w:highlight w:val="none"/>
                <w14:textFill>
                  <w14:solidFill>
                    <w14:schemeClr w14:val="tx1"/>
                  </w14:solidFill>
                </w14:textFill>
              </w:rPr>
            </w:pPr>
            <w:r>
              <w:rPr>
                <w:rFonts w:hint="eastAsia"/>
                <w:b/>
                <w:color w:val="000000" w:themeColor="text1"/>
                <w:sz w:val="21"/>
                <w:szCs w:val="18"/>
                <w:highlight w:val="none"/>
                <w14:textFill>
                  <w14:solidFill>
                    <w14:schemeClr w14:val="tx1"/>
                  </w14:solidFill>
                </w14:textFill>
              </w:rPr>
              <w:t>图</w:t>
            </w:r>
            <w:r>
              <w:rPr>
                <w:rFonts w:hint="eastAsia"/>
                <w:b/>
                <w:color w:val="000000" w:themeColor="text1"/>
                <w:sz w:val="21"/>
                <w:szCs w:val="18"/>
                <w:highlight w:val="none"/>
                <w:lang w:val="en-US" w:eastAsia="zh-CN"/>
                <w14:textFill>
                  <w14:solidFill>
                    <w14:schemeClr w14:val="tx1"/>
                  </w14:solidFill>
                </w14:textFill>
              </w:rPr>
              <w:t>2</w:t>
            </w:r>
            <w:r>
              <w:rPr>
                <w:rFonts w:hint="eastAsia"/>
                <w:b/>
                <w:color w:val="000000" w:themeColor="text1"/>
                <w:sz w:val="21"/>
                <w:szCs w:val="18"/>
                <w:highlight w:val="none"/>
                <w14:textFill>
                  <w14:solidFill>
                    <w14:schemeClr w14:val="tx1"/>
                  </w14:solidFill>
                </w14:textFill>
              </w:rPr>
              <w:t>-2 项目运营期工艺流程及产污节点图</w:t>
            </w:r>
          </w:p>
        </w:tc>
      </w:tr>
      <w:tr w14:paraId="6A764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30" w:type="dxa"/>
            <w:noWrap/>
            <w:vAlign w:val="center"/>
          </w:tcPr>
          <w:p w14:paraId="5A8D70A1">
            <w:pPr>
              <w:pStyle w:val="24"/>
              <w:keepNext w:val="0"/>
              <w:keepLines w:val="0"/>
              <w:suppressLineNumbers w:val="0"/>
              <w:adjustRightInd w:val="0"/>
              <w:snapToGrid w:val="0"/>
              <w:spacing w:before="0" w:beforeAutospacing="0" w:after="0" w:afterAutospacing="0"/>
              <w:ind w:left="0" w:right="0" w:firstLine="0" w:firstLineChars="0"/>
              <w:jc w:val="center"/>
              <w:rPr>
                <w:rFonts w:hint="default" w:cs="宋体"/>
                <w:color w:val="000000" w:themeColor="text1"/>
                <w:sz w:val="21"/>
                <w:szCs w:val="21"/>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与项目有关的原有环境污染问题</w:t>
            </w:r>
          </w:p>
        </w:tc>
        <w:tc>
          <w:tcPr>
            <w:tcW w:w="8156" w:type="dxa"/>
            <w:noWrap/>
            <w:vAlign w:val="center"/>
          </w:tcPr>
          <w:p w14:paraId="78FB9E7C">
            <w:pPr>
              <w:keepNext w:val="0"/>
              <w:keepLines w:val="0"/>
              <w:suppressLineNumbers w:val="0"/>
              <w:adjustRightInd w:val="0"/>
              <w:snapToGrid w:val="0"/>
              <w:spacing w:before="0" w:beforeAutospacing="0" w:after="0" w:afterAutospacing="0"/>
              <w:ind w:left="0" w:right="0" w:firstLine="480"/>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1、现有有关工段介绍</w:t>
            </w:r>
          </w:p>
          <w:p w14:paraId="03CD8516">
            <w:pPr>
              <w:keepNext w:val="0"/>
              <w:keepLines w:val="0"/>
              <w:suppressLineNumbers w:val="0"/>
              <w:adjustRightInd w:val="0"/>
              <w:snapToGrid w:val="0"/>
              <w:spacing w:before="0" w:beforeAutospacing="0" w:after="0" w:afterAutospacing="0"/>
              <w:ind w:left="0" w:right="0" w:firstLine="480"/>
              <w:rPr>
                <w:rFonts w:hint="eastAsia"/>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神华巴能公司建成投用的焦化联产甲醇装置于2010年9月10日取得环评批复（内环审[2010]196号），2011年8月25日开工建设，2013年底建成，</w:t>
            </w:r>
            <w:r>
              <w:rPr>
                <w:rFonts w:hint="eastAsia"/>
                <w:bCs/>
                <w:color w:val="000000" w:themeColor="text1"/>
                <w:highlight w:val="none"/>
                <w:lang w:val="en-US" w:eastAsia="zh-CN"/>
                <w14:textFill>
                  <w14:solidFill>
                    <w14:schemeClr w14:val="tx1"/>
                  </w14:solidFill>
                </w14:textFill>
              </w:rPr>
              <w:t>2014年取得了竣工环境保护验收的意见（内环验[2014]53号），并正式投产</w:t>
            </w:r>
            <w:r>
              <w:rPr>
                <w:rFonts w:hint="eastAsia"/>
                <w:bCs/>
                <w:color w:val="000000" w:themeColor="text1"/>
                <w:highlight w:val="none"/>
                <w14:textFill>
                  <w14:solidFill>
                    <w14:schemeClr w14:val="tx1"/>
                  </w14:solidFill>
                </w14:textFill>
              </w:rPr>
              <w:t>。生产的产品主要有焦炭、甲醇、焦油、粗苯、</w:t>
            </w:r>
            <w:r>
              <w:rPr>
                <w:rFonts w:hint="eastAsia"/>
                <w:bCs/>
                <w:color w:val="000000" w:themeColor="text1"/>
                <w:highlight w:val="none"/>
                <w:lang w:val="en-US" w:eastAsia="zh-CN"/>
                <w14:textFill>
                  <w14:solidFill>
                    <w14:schemeClr w14:val="tx1"/>
                  </w14:solidFill>
                </w14:textFill>
              </w:rPr>
              <w:t>硫磺</w:t>
            </w:r>
            <w:r>
              <w:rPr>
                <w:rFonts w:hint="eastAsia"/>
                <w:bCs/>
                <w:color w:val="000000" w:themeColor="text1"/>
                <w:highlight w:val="none"/>
                <w14:textFill>
                  <w14:solidFill>
                    <w14:schemeClr w14:val="tx1"/>
                  </w14:solidFill>
                </w14:textFill>
              </w:rPr>
              <w:t>等。其规模为年产120万吨规模捣固焦及综合利用项目，其中备煤及焦处理系统规模240万吨/年。</w:t>
            </w:r>
          </w:p>
          <w:p w14:paraId="02DFB47A">
            <w:pPr>
              <w:keepNext w:val="0"/>
              <w:keepLines w:val="0"/>
              <w:suppressLineNumbers w:val="0"/>
              <w:adjustRightInd w:val="0"/>
              <w:snapToGrid w:val="0"/>
              <w:spacing w:before="0" w:beforeAutospacing="0" w:after="0" w:afterAutospacing="0"/>
              <w:ind w:left="0" w:right="0" w:firstLine="480"/>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本项目硫磺产生工段为煤气净化工段，其产生过程见下图。</w:t>
            </w:r>
          </w:p>
          <w:p w14:paraId="4A073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Cs/>
                <w:color w:val="000000" w:themeColor="text1"/>
                <w:highlight w:val="none"/>
                <w:lang w:eastAsia="zh-CN"/>
                <w14:textFill>
                  <w14:solidFill>
                    <w14:schemeClr w14:val="tx1"/>
                  </w14:solidFill>
                </w14:textFill>
              </w:rPr>
            </w:pPr>
            <w:r>
              <w:rPr>
                <w:rFonts w:hint="eastAsia" w:eastAsia="宋体"/>
                <w:bCs/>
                <w:color w:val="000000" w:themeColor="text1"/>
                <w:highlight w:val="none"/>
                <w:lang w:eastAsia="zh-CN"/>
                <w14:textFill>
                  <w14:solidFill>
                    <w14:schemeClr w14:val="tx1"/>
                  </w14:solidFill>
                </w14:textFill>
              </w:rPr>
              <w:drawing>
                <wp:inline distT="0" distB="0" distL="114300" distR="114300">
                  <wp:extent cx="5039360" cy="1539240"/>
                  <wp:effectExtent l="0" t="0" r="8890" b="3810"/>
                  <wp:docPr id="127" name="图片 1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片2"/>
                          <pic:cNvPicPr>
                            <a:picLocks noChangeAspect="1"/>
                          </pic:cNvPicPr>
                        </pic:nvPicPr>
                        <pic:blipFill>
                          <a:blip r:embed="rId19"/>
                          <a:stretch>
                            <a:fillRect/>
                          </a:stretch>
                        </pic:blipFill>
                        <pic:spPr>
                          <a:xfrm>
                            <a:off x="0" y="0"/>
                            <a:ext cx="5039360" cy="1539240"/>
                          </a:xfrm>
                          <a:prstGeom prst="rect">
                            <a:avLst/>
                          </a:prstGeom>
                        </pic:spPr>
                      </pic:pic>
                    </a:graphicData>
                  </a:graphic>
                </wp:inline>
              </w:drawing>
            </w:r>
          </w:p>
          <w:p w14:paraId="56A3E701">
            <w:pPr>
              <w:keepNext w:val="0"/>
              <w:keepLines w:val="0"/>
              <w:suppressLineNumbers w:val="0"/>
              <w:adjustRightInd w:val="0"/>
              <w:snapToGrid w:val="0"/>
              <w:spacing w:before="0" w:beforeAutospacing="0" w:after="0" w:afterAutospacing="0"/>
              <w:ind w:left="0" w:right="0" w:firstLine="48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该工段脱硫后再生塔废气经1根15m排气筒（DA015）排放。根据厂区例行检测报告结果，该排气筒排放的再生塔尾气可满足《炼焦化学工业污染物排放标准》（GB1671-2012）相关限值要求；厂界噪声满足《工业企业厂界环境噪声排放标准》（GB12348-2008）3类标准；再生后的脱硫液返回脱硫塔塔顶循环喷淋脱硫，不外排。</w:t>
            </w:r>
          </w:p>
          <w:p w14:paraId="73459136">
            <w:pPr>
              <w:keepNext w:val="0"/>
              <w:keepLines w:val="0"/>
              <w:suppressLineNumbers w:val="0"/>
              <w:adjustRightInd w:val="0"/>
              <w:snapToGrid w:val="0"/>
              <w:spacing w:before="0" w:beforeAutospacing="0" w:after="0" w:afterAutospacing="0"/>
              <w:ind w:left="0" w:right="0" w:firstLine="48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根据目前实际生产情况，硫磺的产量为2545t/a，产生后直接排入铁箱内，自然固化后，利用叉车运至本项目乙类库经卸车、暂存、装车出售。</w:t>
            </w:r>
          </w:p>
          <w:p w14:paraId="34AB75E4">
            <w:pPr>
              <w:keepNext w:val="0"/>
              <w:keepLines w:val="0"/>
              <w:suppressLineNumbers w:val="0"/>
              <w:adjustRightInd w:val="0"/>
              <w:snapToGrid w:val="0"/>
              <w:spacing w:before="0" w:beforeAutospacing="0" w:after="0" w:afterAutospacing="0"/>
              <w:ind w:left="0" w:right="0" w:firstLine="480"/>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2、排污许可申领及执行情况</w:t>
            </w:r>
          </w:p>
          <w:p w14:paraId="30550308">
            <w:pPr>
              <w:keepNext w:val="0"/>
              <w:keepLines w:val="0"/>
              <w:suppressLineNumbers w:val="0"/>
              <w:adjustRightInd w:val="0"/>
              <w:snapToGrid w:val="0"/>
              <w:spacing w:before="0" w:beforeAutospacing="0" w:after="0" w:afterAutospacing="0"/>
              <w:ind w:left="0" w:right="0" w:firstLine="480"/>
              <w:rPr>
                <w:rFonts w:hint="eastAsia"/>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建设单位已取得排污许可证，许可证编号91150824566931138J001P，有效期至2025年</w:t>
            </w:r>
            <w:r>
              <w:rPr>
                <w:rFonts w:hint="eastAsia"/>
                <w:bCs/>
                <w:color w:val="000000" w:themeColor="text1"/>
                <w:highlight w:val="none"/>
                <w:lang w:val="en-US" w:eastAsia="zh-CN"/>
                <w14:textFill>
                  <w14:solidFill>
                    <w14:schemeClr w14:val="tx1"/>
                  </w14:solidFill>
                </w14:textFill>
              </w:rPr>
              <w:t>12</w:t>
            </w:r>
            <w:r>
              <w:rPr>
                <w:rFonts w:hint="eastAsia"/>
                <w:bCs/>
                <w:color w:val="000000" w:themeColor="text1"/>
                <w:highlight w:val="none"/>
                <w14:textFill>
                  <w14:solidFill>
                    <w14:schemeClr w14:val="tx1"/>
                  </w14:solidFill>
                </w14:textFill>
              </w:rPr>
              <w:t>月</w:t>
            </w:r>
            <w:r>
              <w:rPr>
                <w:rFonts w:hint="eastAsia"/>
                <w:bCs/>
                <w:color w:val="000000" w:themeColor="text1"/>
                <w:highlight w:val="none"/>
                <w:lang w:val="en-US" w:eastAsia="zh-CN"/>
                <w14:textFill>
                  <w14:solidFill>
                    <w14:schemeClr w14:val="tx1"/>
                  </w14:solidFill>
                </w14:textFill>
              </w:rPr>
              <w:t>21</w:t>
            </w:r>
            <w:r>
              <w:rPr>
                <w:rFonts w:hint="eastAsia"/>
                <w:bCs/>
                <w:color w:val="000000" w:themeColor="text1"/>
                <w:highlight w:val="none"/>
                <w14:textFill>
                  <w14:solidFill>
                    <w14:schemeClr w14:val="tx1"/>
                  </w14:solidFill>
                </w14:textFill>
              </w:rPr>
              <w:t>日，所涉及行业类别包括：炼焦，煤炭开采和洗选业，有机化学原料制造。公司根据排污许可情况对项目区污染物进行了例行监测，并按规定要求完成了排污许可执行报告的提交工作。</w:t>
            </w:r>
          </w:p>
          <w:p w14:paraId="1C022898">
            <w:pPr>
              <w:keepNext w:val="0"/>
              <w:keepLines w:val="0"/>
              <w:suppressLineNumbers w:val="0"/>
              <w:adjustRightInd w:val="0"/>
              <w:snapToGrid w:val="0"/>
              <w:spacing w:before="0" w:beforeAutospacing="0" w:after="0" w:afterAutospacing="0"/>
              <w:ind w:left="0" w:right="0" w:firstLine="48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3、现有环境问题</w:t>
            </w:r>
          </w:p>
          <w:p w14:paraId="5AB4D737">
            <w:pPr>
              <w:keepNext w:val="0"/>
              <w:keepLines w:val="0"/>
              <w:suppressLineNumbers w:val="0"/>
              <w:adjustRightInd w:val="0"/>
              <w:snapToGrid w:val="0"/>
              <w:spacing w:before="0" w:beforeAutospacing="0" w:after="0" w:afterAutospacing="0"/>
              <w:ind w:left="0" w:right="0" w:firstLine="48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目前该厂区生产工段均正常运行，焦化厂煤气净化工序脱硫单元产生的硫磺均直接外售给绵竹市盛星瑞商贸有限公司，现场不存在暂存或堆放场所不符合相关要求等情况。项目运行至今不存在环境信访问题。各项污染物均达标排放，不涉及环境问题。</w:t>
            </w:r>
          </w:p>
          <w:p w14:paraId="549CDD2A">
            <w:pPr>
              <w:keepNext w:val="0"/>
              <w:keepLines w:val="0"/>
              <w:suppressLineNumbers w:val="0"/>
              <w:adjustRightInd w:val="0"/>
              <w:snapToGrid w:val="0"/>
              <w:spacing w:before="0" w:beforeAutospacing="0" w:after="0" w:afterAutospacing="0"/>
              <w:ind w:left="0" w:right="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4、环保建议</w:t>
            </w:r>
          </w:p>
          <w:p w14:paraId="3491D8EE">
            <w:pPr>
              <w:keepNext w:val="0"/>
              <w:keepLines w:val="0"/>
              <w:suppressLineNumbers w:val="0"/>
              <w:adjustRightInd w:val="0"/>
              <w:snapToGrid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default"/>
                <w:color w:val="000000" w:themeColor="text1"/>
                <w:szCs w:val="21"/>
                <w:highlight w:val="none"/>
                <w:lang w:val="en-US" w:eastAsia="zh-CN"/>
                <w14:textFill>
                  <w14:solidFill>
                    <w14:schemeClr w14:val="tx1"/>
                  </w14:solidFill>
                </w14:textFill>
              </w:rPr>
              <w:t>由于市场需求的不确定性及环保形式的日益严峻，目前现场情况不能满足</w:t>
            </w:r>
            <w:r>
              <w:rPr>
                <w:rFonts w:hint="eastAsia"/>
                <w:color w:val="000000" w:themeColor="text1"/>
                <w:szCs w:val="21"/>
                <w:highlight w:val="none"/>
                <w:lang w:val="en-US" w:eastAsia="zh-CN"/>
                <w14:textFill>
                  <w14:solidFill>
                    <w14:schemeClr w14:val="tx1"/>
                  </w14:solidFill>
                </w14:textFill>
              </w:rPr>
              <w:t>相关暂存</w:t>
            </w:r>
            <w:r>
              <w:rPr>
                <w:rFonts w:hint="default"/>
                <w:color w:val="000000" w:themeColor="text1"/>
                <w:szCs w:val="21"/>
                <w:highlight w:val="none"/>
                <w:lang w:val="en-US" w:eastAsia="zh-CN"/>
                <w14:textFill>
                  <w14:solidFill>
                    <w14:schemeClr w14:val="tx1"/>
                  </w14:solidFill>
                </w14:textFill>
              </w:rPr>
              <w:t>要求，故需要新建一个乙类危化品库房，满足</w:t>
            </w:r>
            <w:r>
              <w:rPr>
                <w:rFonts w:hint="eastAsia"/>
                <w:color w:val="000000" w:themeColor="text1"/>
                <w:szCs w:val="21"/>
                <w:highlight w:val="none"/>
                <w:lang w:val="en-US" w:eastAsia="zh-CN"/>
                <w14:textFill>
                  <w14:solidFill>
                    <w14:schemeClr w14:val="tx1"/>
                  </w14:solidFill>
                </w14:textFill>
              </w:rPr>
              <w:t>硫磺</w:t>
            </w:r>
            <w:r>
              <w:rPr>
                <w:rFonts w:hint="default"/>
                <w:color w:val="000000" w:themeColor="text1"/>
                <w:szCs w:val="21"/>
                <w:highlight w:val="none"/>
                <w:lang w:val="en-US" w:eastAsia="zh-CN"/>
                <w14:textFill>
                  <w14:solidFill>
                    <w14:schemeClr w14:val="tx1"/>
                  </w14:solidFill>
                </w14:textFill>
              </w:rPr>
              <w:t>的暂存需求。</w:t>
            </w:r>
          </w:p>
        </w:tc>
      </w:tr>
    </w:tbl>
    <w:p w14:paraId="705EB220">
      <w:pPr>
        <w:pStyle w:val="24"/>
        <w:ind w:firstLine="720"/>
        <w:jc w:val="both"/>
        <w:rPr>
          <w:rFonts w:ascii="黑体" w:hAnsi="黑体" w:eastAsia="黑体"/>
          <w:snapToGrid w:val="0"/>
          <w:color w:val="000000" w:themeColor="text1"/>
          <w:sz w:val="36"/>
          <w:szCs w:val="36"/>
          <w:highlight w:val="none"/>
          <w14:textFill>
            <w14:solidFill>
              <w14:schemeClr w14:val="tx1"/>
            </w14:solidFill>
          </w14:textFill>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4A883C4">
      <w:pPr>
        <w:pStyle w:val="24"/>
        <w:adjustRightInd w:val="0"/>
        <w:snapToGrid w:val="0"/>
        <w:spacing w:before="0" w:beforeAutospacing="0" w:after="0" w:afterAutospacing="0" w:line="14" w:lineRule="auto"/>
        <w:ind w:firstLine="600"/>
        <w:jc w:val="both"/>
        <w:outlineLvl w:val="0"/>
        <w:rPr>
          <w:rFonts w:ascii="黑体" w:hAnsi="黑体" w:eastAsia="黑体"/>
          <w:snapToGrid w:val="0"/>
          <w:color w:val="000000" w:themeColor="text1"/>
          <w:sz w:val="30"/>
          <w:szCs w:val="30"/>
          <w:highlight w:val="none"/>
          <w14:textFill>
            <w14:solidFill>
              <w14:schemeClr w14:val="tx1"/>
            </w14:solidFill>
          </w14:textFill>
        </w:rPr>
      </w:pPr>
    </w:p>
    <w:p w14:paraId="7C8A404A">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9901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ign w:val="center"/>
          </w:tcPr>
          <w:p w14:paraId="7A1828D1">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w:t>
            </w:r>
          </w:p>
          <w:p w14:paraId="3E797C3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域</w:t>
            </w:r>
          </w:p>
          <w:p w14:paraId="461E365D">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w:t>
            </w:r>
          </w:p>
          <w:p w14:paraId="0B9AB55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境</w:t>
            </w:r>
          </w:p>
          <w:p w14:paraId="7AC2D59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w:t>
            </w:r>
          </w:p>
          <w:p w14:paraId="16168BB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量</w:t>
            </w:r>
          </w:p>
          <w:p w14:paraId="4EA035F3">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w:t>
            </w:r>
          </w:p>
          <w:p w14:paraId="0056D515">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状</w:t>
            </w:r>
          </w:p>
        </w:tc>
        <w:tc>
          <w:tcPr>
            <w:tcW w:w="8190" w:type="dxa"/>
            <w:noWrap/>
            <w:vAlign w:val="center"/>
          </w:tcPr>
          <w:p w14:paraId="6347F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1、大气环境质量现状</w:t>
            </w:r>
          </w:p>
          <w:p w14:paraId="52620410">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（1）达标区域判断</w:t>
            </w:r>
          </w:p>
          <w:p w14:paraId="2A6A912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w:t>
            </w:r>
            <w:r>
              <w:rPr>
                <w:rFonts w:hint="default"/>
                <w:color w:val="000000" w:themeColor="text1"/>
                <w:highlight w:val="none"/>
                <w14:textFill>
                  <w14:solidFill>
                    <w14:schemeClr w14:val="tx1"/>
                  </w14:solidFill>
                </w14:textFill>
              </w:rPr>
              <w:t>价技术导则大气环境》（HJ2.2-2018）中6.4.1.1中的内容“城市环境空气质量达标情况评价指标为SO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10</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2.5</w:t>
            </w:r>
            <w:r>
              <w:rPr>
                <w:rFonts w:hint="default"/>
                <w:color w:val="000000" w:themeColor="text1"/>
                <w:highlight w:val="none"/>
                <w14:textFill>
                  <w14:solidFill>
                    <w14:schemeClr w14:val="tx1"/>
                  </w14:solidFill>
                </w14:textFill>
              </w:rPr>
              <w:t>、CO和O</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六项污染物全部达标即为城市环境空气质量达标”。项目所在区域达标判定，优先采用国家或地方生态环境主管部门公开发布的评价基准年环境质量公告或环境质量报告中的数据或结论。选择近3年中数据相对完整的1个日历年作为评价基准年。</w:t>
            </w:r>
          </w:p>
          <w:p w14:paraId="042E7AD6">
            <w:pPr>
              <w:keepNext w:val="0"/>
              <w:keepLines w:val="0"/>
              <w:suppressLineNumbers w:val="0"/>
              <w:adjustRightInd w:val="0"/>
              <w:snapToGrid w:val="0"/>
              <w:spacing w:before="0" w:beforeAutospacing="0" w:after="0" w:afterAutospacing="0"/>
              <w:ind w:left="0" w:right="0" w:firstLine="480"/>
              <w:jc w:val="left"/>
              <w:rPr>
                <w:rFonts w:hint="default"/>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根据《巴彦淖尔市环境质量状况公报》（202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年巴彦淖尔市</w:t>
            </w:r>
            <w:r>
              <w:rPr>
                <w:rFonts w:hint="eastAsia"/>
                <w:color w:val="000000" w:themeColor="text1"/>
                <w:highlight w:val="none"/>
                <w:lang w:val="en-US" w:eastAsia="zh-CN"/>
                <w14:textFill>
                  <w14:solidFill>
                    <w14:schemeClr w14:val="tx1"/>
                  </w14:solidFill>
                </w14:textFill>
              </w:rPr>
              <w:t>乌拉特中旗海流图镇有效监测天数360天，优良率为89.2%。细颗粒物(PM</w:t>
            </w:r>
            <w:r>
              <w:rPr>
                <w:rFonts w:hint="eastAsia"/>
                <w:color w:val="000000" w:themeColor="text1"/>
                <w:highlight w:val="none"/>
                <w:vertAlign w:val="subscript"/>
                <w:lang w:val="en-US" w:eastAsia="zh-CN"/>
                <w14:textFill>
                  <w14:solidFill>
                    <w14:schemeClr w14:val="tx1"/>
                  </w14:solidFill>
                </w14:textFill>
              </w:rPr>
              <w:t>2.5</w:t>
            </w:r>
            <w:r>
              <w:rPr>
                <w:rFonts w:hint="eastAsia"/>
                <w:color w:val="000000" w:themeColor="text1"/>
                <w:highlight w:val="none"/>
                <w:lang w:val="en-US" w:eastAsia="zh-CN"/>
                <w14:textFill>
                  <w14:solidFill>
                    <w14:schemeClr w14:val="tx1"/>
                  </w14:solidFill>
                </w14:textFill>
              </w:rPr>
              <w:t>)年均值为18微克/立方米，可吸入颗粒物（PM</w:t>
            </w:r>
            <w:r>
              <w:rPr>
                <w:rFonts w:hint="eastAsia"/>
                <w:color w:val="000000" w:themeColor="text1"/>
                <w:highlight w:val="none"/>
                <w:vertAlign w:val="subscript"/>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年均值为39微克/立方米，二氧化硫年均值为7微克/立方米，二氧化氮年均值为13微克/立方米，一氧化碳24小时平均第95百分位数值为0.8毫克/立方米，臭氧日最大8小时滑动平均值的第90百分位数值为144微克/立方米。</w:t>
            </w:r>
            <w:r>
              <w:rPr>
                <w:rFonts w:hint="eastAsia"/>
                <w:color w:val="000000" w:themeColor="text1"/>
                <w:highlight w:val="none"/>
                <w14:textFill>
                  <w14:solidFill>
                    <w14:schemeClr w14:val="tx1"/>
                  </w14:solidFill>
                </w14:textFill>
              </w:rPr>
              <w:t>各污染物浓度均符合《环境空气质量标准》（GB3095-2012）及修改单二级标准浓度限值要求。根据HJ663-2013判定，</w:t>
            </w:r>
            <w:r>
              <w:rPr>
                <w:rFonts w:hint="eastAsia"/>
                <w:color w:val="000000" w:themeColor="text1"/>
                <w:highlight w:val="none"/>
                <w:lang w:val="en-US" w:eastAsia="zh-CN"/>
                <w14:textFill>
                  <w14:solidFill>
                    <w14:schemeClr w14:val="tx1"/>
                  </w14:solidFill>
                </w14:textFill>
              </w:rPr>
              <w:t>项目所在区域</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年环境空气质量达标，项目所在区域为环境空气质量达标区域。</w:t>
            </w:r>
            <w:r>
              <w:rPr>
                <w:rFonts w:hint="default"/>
                <w:color w:val="000000" w:themeColor="text1"/>
                <w:highlight w:val="none"/>
                <w14:textFill>
                  <w14:solidFill>
                    <w14:schemeClr w14:val="tx1"/>
                  </w14:solidFill>
                </w14:textFill>
              </w:rPr>
              <w:t>环境</w:t>
            </w:r>
            <w:r>
              <w:rPr>
                <w:rFonts w:hint="eastAsia"/>
                <w:color w:val="000000" w:themeColor="text1"/>
                <w:highlight w:val="none"/>
                <w14:textFill>
                  <w14:solidFill>
                    <w14:schemeClr w14:val="tx1"/>
                  </w14:solidFill>
                </w14:textFill>
              </w:rPr>
              <w:t>空气</w:t>
            </w:r>
            <w:r>
              <w:rPr>
                <w:rFonts w:hint="default"/>
                <w:color w:val="000000" w:themeColor="text1"/>
                <w:highlight w:val="none"/>
                <w14:textFill>
                  <w14:solidFill>
                    <w14:schemeClr w14:val="tx1"/>
                  </w14:solidFill>
                </w14:textFill>
              </w:rPr>
              <w:t>质量现状数据如下表</w:t>
            </w:r>
            <w:r>
              <w:rPr>
                <w:rFonts w:hint="eastAsia"/>
                <w:bCs/>
                <w:color w:val="000000" w:themeColor="text1"/>
                <w:highlight w:val="none"/>
                <w14:textFill>
                  <w14:solidFill>
                    <w14:schemeClr w14:val="tx1"/>
                  </w14:solidFill>
                </w14:textFill>
              </w:rPr>
              <w:t>3-1。</w:t>
            </w:r>
          </w:p>
          <w:p w14:paraId="0C96F0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表</w:t>
            </w:r>
            <w:r>
              <w:rPr>
                <w:rFonts w:hint="eastAsia"/>
                <w:b/>
                <w:bCs/>
                <w:color w:val="000000" w:themeColor="text1"/>
                <w:kern w:val="0"/>
                <w:sz w:val="21"/>
                <w:szCs w:val="21"/>
                <w:highlight w:val="none"/>
                <w14:textFill>
                  <w14:solidFill>
                    <w14:schemeClr w14:val="tx1"/>
                  </w14:solidFill>
                </w14:textFill>
              </w:rPr>
              <w:t>3-1 基本污染物环境质量现状一览表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984"/>
              <w:gridCol w:w="1276"/>
              <w:gridCol w:w="1418"/>
              <w:gridCol w:w="1134"/>
              <w:gridCol w:w="1004"/>
            </w:tblGrid>
            <w:tr w14:paraId="4F7A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3" w:type="dxa"/>
                  <w:vAlign w:val="center"/>
                </w:tcPr>
                <w:p w14:paraId="260B0E6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评价因子</w:t>
                  </w:r>
                </w:p>
              </w:tc>
              <w:tc>
                <w:tcPr>
                  <w:tcW w:w="1984" w:type="dxa"/>
                  <w:vAlign w:val="center"/>
                </w:tcPr>
                <w:p w14:paraId="3BB368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平均时段</w:t>
                  </w:r>
                </w:p>
              </w:tc>
              <w:tc>
                <w:tcPr>
                  <w:tcW w:w="1276" w:type="dxa"/>
                  <w:vAlign w:val="center"/>
                </w:tcPr>
                <w:p w14:paraId="68BEA399">
                  <w:pPr>
                    <w:keepNext w:val="0"/>
                    <w:keepLines w:val="0"/>
                    <w:suppressLineNumbers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现状浓度</w:t>
                  </w:r>
                </w:p>
                <w:p w14:paraId="1D19B9F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/（μg/m</w:t>
                  </w:r>
                  <w:r>
                    <w:rPr>
                      <w:rFonts w:hint="default"/>
                      <w:bCs/>
                      <w:color w:val="000000" w:themeColor="text1"/>
                      <w:sz w:val="21"/>
                      <w:szCs w:val="21"/>
                      <w:highlight w:val="none"/>
                      <w:vertAlign w:val="super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w:t>
                  </w:r>
                </w:p>
              </w:tc>
              <w:tc>
                <w:tcPr>
                  <w:tcW w:w="1418" w:type="dxa"/>
                  <w:vAlign w:val="center"/>
                </w:tcPr>
                <w:p w14:paraId="726C4D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标准值/（μg/m</w:t>
                  </w:r>
                  <w:r>
                    <w:rPr>
                      <w:rFonts w:hint="default"/>
                      <w:bCs/>
                      <w:color w:val="000000" w:themeColor="text1"/>
                      <w:sz w:val="21"/>
                      <w:szCs w:val="21"/>
                      <w:highlight w:val="none"/>
                      <w:vertAlign w:val="super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w:t>
                  </w:r>
                </w:p>
              </w:tc>
              <w:tc>
                <w:tcPr>
                  <w:tcW w:w="1134" w:type="dxa"/>
                  <w:vAlign w:val="center"/>
                </w:tcPr>
                <w:p w14:paraId="44CAA4FF">
                  <w:pPr>
                    <w:keepNext w:val="0"/>
                    <w:keepLines w:val="0"/>
                    <w:suppressLineNumbers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占标率</w:t>
                  </w:r>
                </w:p>
                <w:p w14:paraId="59BA7C7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w:t>
                  </w:r>
                </w:p>
              </w:tc>
              <w:tc>
                <w:tcPr>
                  <w:tcW w:w="1004" w:type="dxa"/>
                  <w:vAlign w:val="center"/>
                </w:tcPr>
                <w:p w14:paraId="4BF915C5">
                  <w:pPr>
                    <w:keepNext w:val="0"/>
                    <w:keepLines w:val="0"/>
                    <w:suppressLineNumbers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p w14:paraId="65CFD3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情况</w:t>
                  </w:r>
                </w:p>
              </w:tc>
            </w:tr>
            <w:tr w14:paraId="53FC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14:paraId="015E5A9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SO</w:t>
                  </w:r>
                  <w:r>
                    <w:rPr>
                      <w:rFonts w:hint="default"/>
                      <w:bCs/>
                      <w:color w:val="000000" w:themeColor="text1"/>
                      <w:sz w:val="21"/>
                      <w:szCs w:val="21"/>
                      <w:highlight w:val="none"/>
                      <w:vertAlign w:val="subscript"/>
                      <w14:textFill>
                        <w14:solidFill>
                          <w14:schemeClr w14:val="tx1"/>
                        </w14:solidFill>
                      </w14:textFill>
                    </w:rPr>
                    <w:t>2</w:t>
                  </w:r>
                </w:p>
              </w:tc>
              <w:tc>
                <w:tcPr>
                  <w:tcW w:w="1984" w:type="dxa"/>
                  <w:vAlign w:val="center"/>
                </w:tcPr>
                <w:p w14:paraId="1ABBE2F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年平均质量浓度</w:t>
                  </w:r>
                </w:p>
              </w:tc>
              <w:tc>
                <w:tcPr>
                  <w:tcW w:w="1276" w:type="dxa"/>
                  <w:vAlign w:val="center"/>
                </w:tcPr>
                <w:p w14:paraId="7E6513B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13</w:t>
                  </w:r>
                </w:p>
              </w:tc>
              <w:tc>
                <w:tcPr>
                  <w:tcW w:w="1418" w:type="dxa"/>
                  <w:vAlign w:val="center"/>
                </w:tcPr>
                <w:p w14:paraId="48CB38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60</w:t>
                  </w:r>
                </w:p>
              </w:tc>
              <w:tc>
                <w:tcPr>
                  <w:tcW w:w="1134" w:type="dxa"/>
                  <w:vAlign w:val="center"/>
                </w:tcPr>
                <w:p w14:paraId="75503D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21.7%</w:t>
                  </w:r>
                </w:p>
              </w:tc>
              <w:tc>
                <w:tcPr>
                  <w:tcW w:w="1004" w:type="dxa"/>
                  <w:vAlign w:val="center"/>
                </w:tcPr>
                <w:p w14:paraId="0B99DC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r w14:paraId="38F2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14:paraId="333D726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NO</w:t>
                  </w:r>
                  <w:r>
                    <w:rPr>
                      <w:rFonts w:hint="default"/>
                      <w:bCs/>
                      <w:color w:val="000000" w:themeColor="text1"/>
                      <w:sz w:val="21"/>
                      <w:szCs w:val="21"/>
                      <w:highlight w:val="none"/>
                      <w:vertAlign w:val="subscript"/>
                      <w14:textFill>
                        <w14:solidFill>
                          <w14:schemeClr w14:val="tx1"/>
                        </w14:solidFill>
                      </w14:textFill>
                    </w:rPr>
                    <w:t>2</w:t>
                  </w:r>
                </w:p>
              </w:tc>
              <w:tc>
                <w:tcPr>
                  <w:tcW w:w="1984" w:type="dxa"/>
                  <w:vAlign w:val="center"/>
                </w:tcPr>
                <w:p w14:paraId="7303C02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年平均质量浓度</w:t>
                  </w:r>
                </w:p>
              </w:tc>
              <w:tc>
                <w:tcPr>
                  <w:tcW w:w="1276" w:type="dxa"/>
                  <w:vAlign w:val="center"/>
                </w:tcPr>
                <w:p w14:paraId="2485512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13</w:t>
                  </w:r>
                </w:p>
              </w:tc>
              <w:tc>
                <w:tcPr>
                  <w:tcW w:w="1418" w:type="dxa"/>
                  <w:vAlign w:val="center"/>
                </w:tcPr>
                <w:p w14:paraId="691E5F0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40</w:t>
                  </w:r>
                </w:p>
              </w:tc>
              <w:tc>
                <w:tcPr>
                  <w:tcW w:w="1134" w:type="dxa"/>
                  <w:vAlign w:val="center"/>
                </w:tcPr>
                <w:p w14:paraId="61378A7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32.5%</w:t>
                  </w:r>
                </w:p>
              </w:tc>
              <w:tc>
                <w:tcPr>
                  <w:tcW w:w="1004" w:type="dxa"/>
                  <w:vAlign w:val="center"/>
                </w:tcPr>
                <w:p w14:paraId="5599675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r w14:paraId="4630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14:paraId="4E12B7D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PM</w:t>
                  </w:r>
                  <w:r>
                    <w:rPr>
                      <w:rFonts w:hint="default"/>
                      <w:bCs/>
                      <w:color w:val="000000" w:themeColor="text1"/>
                      <w:sz w:val="21"/>
                      <w:szCs w:val="21"/>
                      <w:highlight w:val="none"/>
                      <w:vertAlign w:val="subscript"/>
                      <w14:textFill>
                        <w14:solidFill>
                          <w14:schemeClr w14:val="tx1"/>
                        </w14:solidFill>
                      </w14:textFill>
                    </w:rPr>
                    <w:t>2.5</w:t>
                  </w:r>
                </w:p>
              </w:tc>
              <w:tc>
                <w:tcPr>
                  <w:tcW w:w="1984" w:type="dxa"/>
                  <w:vAlign w:val="center"/>
                </w:tcPr>
                <w:p w14:paraId="29DB652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年平均质量浓度</w:t>
                  </w:r>
                </w:p>
              </w:tc>
              <w:tc>
                <w:tcPr>
                  <w:tcW w:w="1276" w:type="dxa"/>
                  <w:vAlign w:val="center"/>
                </w:tcPr>
                <w:p w14:paraId="2E1305F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18</w:t>
                  </w:r>
                </w:p>
              </w:tc>
              <w:tc>
                <w:tcPr>
                  <w:tcW w:w="1418" w:type="dxa"/>
                  <w:vAlign w:val="center"/>
                </w:tcPr>
                <w:p w14:paraId="51BE182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35</w:t>
                  </w:r>
                </w:p>
              </w:tc>
              <w:tc>
                <w:tcPr>
                  <w:tcW w:w="1134" w:type="dxa"/>
                  <w:vAlign w:val="center"/>
                </w:tcPr>
                <w:p w14:paraId="6F97932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51.4%</w:t>
                  </w:r>
                </w:p>
              </w:tc>
              <w:tc>
                <w:tcPr>
                  <w:tcW w:w="1004" w:type="dxa"/>
                  <w:vAlign w:val="center"/>
                </w:tcPr>
                <w:p w14:paraId="1158E23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r w14:paraId="70DB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143" w:type="dxa"/>
                  <w:vAlign w:val="center"/>
                </w:tcPr>
                <w:p w14:paraId="0EFC0B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PM</w:t>
                  </w:r>
                  <w:r>
                    <w:rPr>
                      <w:rFonts w:hint="default"/>
                      <w:bCs/>
                      <w:color w:val="000000" w:themeColor="text1"/>
                      <w:sz w:val="21"/>
                      <w:szCs w:val="21"/>
                      <w:highlight w:val="none"/>
                      <w:vertAlign w:val="subscript"/>
                      <w14:textFill>
                        <w14:solidFill>
                          <w14:schemeClr w14:val="tx1"/>
                        </w14:solidFill>
                      </w14:textFill>
                    </w:rPr>
                    <w:t>10</w:t>
                  </w:r>
                </w:p>
              </w:tc>
              <w:tc>
                <w:tcPr>
                  <w:tcW w:w="1984" w:type="dxa"/>
                  <w:vAlign w:val="center"/>
                </w:tcPr>
                <w:p w14:paraId="1752ECA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年平均质量浓度</w:t>
                  </w:r>
                </w:p>
              </w:tc>
              <w:tc>
                <w:tcPr>
                  <w:tcW w:w="1276" w:type="dxa"/>
                  <w:vAlign w:val="center"/>
                </w:tcPr>
                <w:p w14:paraId="66C1D2E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39</w:t>
                  </w:r>
                </w:p>
              </w:tc>
              <w:tc>
                <w:tcPr>
                  <w:tcW w:w="1418" w:type="dxa"/>
                  <w:vAlign w:val="center"/>
                </w:tcPr>
                <w:p w14:paraId="083C874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70</w:t>
                  </w:r>
                </w:p>
              </w:tc>
              <w:tc>
                <w:tcPr>
                  <w:tcW w:w="1134" w:type="dxa"/>
                  <w:vAlign w:val="center"/>
                </w:tcPr>
                <w:p w14:paraId="62C38F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55.7%</w:t>
                  </w:r>
                </w:p>
              </w:tc>
              <w:tc>
                <w:tcPr>
                  <w:tcW w:w="1004" w:type="dxa"/>
                  <w:vAlign w:val="center"/>
                </w:tcPr>
                <w:p w14:paraId="41F14FC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r w14:paraId="6508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14:paraId="498064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CO</w:t>
                  </w:r>
                </w:p>
              </w:tc>
              <w:tc>
                <w:tcPr>
                  <w:tcW w:w="1984" w:type="dxa"/>
                  <w:vAlign w:val="center"/>
                </w:tcPr>
                <w:p w14:paraId="29ED643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24小时平均</w:t>
                  </w:r>
                </w:p>
              </w:tc>
              <w:tc>
                <w:tcPr>
                  <w:tcW w:w="1276" w:type="dxa"/>
                  <w:vAlign w:val="center"/>
                </w:tcPr>
                <w:p w14:paraId="46DB30B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w:t>
                  </w:r>
                  <w:r>
                    <w:rPr>
                      <w:rFonts w:hint="eastAsia"/>
                      <w:bCs/>
                      <w:color w:val="000000" w:themeColor="text1"/>
                      <w:sz w:val="21"/>
                      <w:szCs w:val="21"/>
                      <w:highlight w:val="none"/>
                      <w:lang w:val="en-US" w:eastAsia="zh-CN"/>
                      <w14:textFill>
                        <w14:solidFill>
                          <w14:schemeClr w14:val="tx1"/>
                        </w14:solidFill>
                      </w14:textFill>
                    </w:rPr>
                    <w:t>8</w:t>
                  </w:r>
                  <w:r>
                    <w:rPr>
                      <w:rFonts w:hint="eastAsia"/>
                      <w:bCs/>
                      <w:color w:val="000000" w:themeColor="text1"/>
                      <w:sz w:val="21"/>
                      <w:szCs w:val="21"/>
                      <w:highlight w:val="none"/>
                      <w14:textFill>
                        <w14:solidFill>
                          <w14:schemeClr w14:val="tx1"/>
                        </w14:solidFill>
                      </w14:textFill>
                    </w:rPr>
                    <w:t>mg/m</w:t>
                  </w:r>
                  <w:r>
                    <w:rPr>
                      <w:rFonts w:hint="eastAsia"/>
                      <w:bCs/>
                      <w:color w:val="000000" w:themeColor="text1"/>
                      <w:sz w:val="21"/>
                      <w:szCs w:val="21"/>
                      <w:highlight w:val="none"/>
                      <w:vertAlign w:val="superscript"/>
                      <w14:textFill>
                        <w14:solidFill>
                          <w14:schemeClr w14:val="tx1"/>
                        </w14:solidFill>
                      </w14:textFill>
                    </w:rPr>
                    <w:t>3</w:t>
                  </w:r>
                </w:p>
              </w:tc>
              <w:tc>
                <w:tcPr>
                  <w:tcW w:w="1418" w:type="dxa"/>
                  <w:vAlign w:val="center"/>
                </w:tcPr>
                <w:p w14:paraId="7EDDFA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4mg/m</w:t>
                  </w:r>
                  <w:r>
                    <w:rPr>
                      <w:rFonts w:hint="eastAsia"/>
                      <w:bCs/>
                      <w:color w:val="000000" w:themeColor="text1"/>
                      <w:sz w:val="21"/>
                      <w:szCs w:val="21"/>
                      <w:highlight w:val="none"/>
                      <w:vertAlign w:val="superscript"/>
                      <w14:textFill>
                        <w14:solidFill>
                          <w14:schemeClr w14:val="tx1"/>
                        </w14:solidFill>
                      </w14:textFill>
                    </w:rPr>
                    <w:t>3</w:t>
                  </w:r>
                </w:p>
              </w:tc>
              <w:tc>
                <w:tcPr>
                  <w:tcW w:w="1134" w:type="dxa"/>
                  <w:vAlign w:val="center"/>
                </w:tcPr>
                <w:p w14:paraId="7C3769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20%</w:t>
                  </w:r>
                </w:p>
              </w:tc>
              <w:tc>
                <w:tcPr>
                  <w:tcW w:w="1004" w:type="dxa"/>
                  <w:vAlign w:val="center"/>
                </w:tcPr>
                <w:p w14:paraId="0D6AFD9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r w14:paraId="315B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14:paraId="408F109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O</w:t>
                  </w:r>
                  <w:r>
                    <w:rPr>
                      <w:rFonts w:hint="default"/>
                      <w:bCs/>
                      <w:color w:val="000000" w:themeColor="text1"/>
                      <w:sz w:val="21"/>
                      <w:szCs w:val="21"/>
                      <w:highlight w:val="none"/>
                      <w:vertAlign w:val="subscript"/>
                      <w14:textFill>
                        <w14:solidFill>
                          <w14:schemeClr w14:val="tx1"/>
                        </w14:solidFill>
                      </w14:textFill>
                    </w:rPr>
                    <w:t>3</w:t>
                  </w:r>
                </w:p>
              </w:tc>
              <w:tc>
                <w:tcPr>
                  <w:tcW w:w="1984" w:type="dxa"/>
                  <w:vAlign w:val="center"/>
                </w:tcPr>
                <w:p w14:paraId="71D964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日最大8小时平均</w:t>
                  </w:r>
                </w:p>
              </w:tc>
              <w:tc>
                <w:tcPr>
                  <w:tcW w:w="1276" w:type="dxa"/>
                  <w:vAlign w:val="center"/>
                </w:tcPr>
                <w:p w14:paraId="32406C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144</w:t>
                  </w:r>
                </w:p>
              </w:tc>
              <w:tc>
                <w:tcPr>
                  <w:tcW w:w="1418" w:type="dxa"/>
                  <w:vAlign w:val="center"/>
                </w:tcPr>
                <w:p w14:paraId="2B02C2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160</w:t>
                  </w:r>
                </w:p>
              </w:tc>
              <w:tc>
                <w:tcPr>
                  <w:tcW w:w="1134" w:type="dxa"/>
                  <w:vAlign w:val="center"/>
                </w:tcPr>
                <w:p w14:paraId="6E2DBD3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90%</w:t>
                  </w:r>
                </w:p>
              </w:tc>
              <w:tc>
                <w:tcPr>
                  <w:tcW w:w="1004" w:type="dxa"/>
                  <w:vAlign w:val="center"/>
                </w:tcPr>
                <w:p w14:paraId="14AABD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 w:val="21"/>
                      <w:szCs w:val="21"/>
                      <w:highlight w:val="none"/>
                      <w14:textFill>
                        <w14:solidFill>
                          <w14:schemeClr w14:val="tx1"/>
                        </w14:solidFill>
                      </w14:textFill>
                    </w:rPr>
                  </w:pPr>
                  <w:r>
                    <w:rPr>
                      <w:rFonts w:hint="default"/>
                      <w:bCs/>
                      <w:color w:val="000000" w:themeColor="text1"/>
                      <w:sz w:val="21"/>
                      <w:szCs w:val="21"/>
                      <w:highlight w:val="none"/>
                      <w14:textFill>
                        <w14:solidFill>
                          <w14:schemeClr w14:val="tx1"/>
                        </w14:solidFill>
                      </w14:textFill>
                    </w:rPr>
                    <w:t>达标</w:t>
                  </w:r>
                </w:p>
              </w:tc>
            </w:tr>
          </w:tbl>
          <w:p w14:paraId="753B88D9">
            <w:pPr>
              <w:keepNext w:val="0"/>
              <w:keepLines w:val="0"/>
              <w:suppressLineNumbers w:val="0"/>
              <w:spacing w:before="0" w:beforeLines="5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由上表可知，</w:t>
            </w:r>
            <w:r>
              <w:rPr>
                <w:rFonts w:hint="eastAsia"/>
                <w:color w:val="000000" w:themeColor="text1"/>
                <w:highlight w:val="none"/>
                <w14:textFill>
                  <w14:solidFill>
                    <w14:schemeClr w14:val="tx1"/>
                  </w14:solidFill>
                </w14:textFill>
              </w:rPr>
              <w:t>六项基本污染物中，</w:t>
            </w:r>
            <w:r>
              <w:rPr>
                <w:rFonts w:hint="default"/>
                <w:color w:val="000000" w:themeColor="text1"/>
                <w:highlight w:val="none"/>
                <w14:textFill>
                  <w14:solidFill>
                    <w14:schemeClr w14:val="tx1"/>
                  </w14:solidFill>
                </w14:textFill>
              </w:rPr>
              <w:t>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2.5</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10</w:t>
            </w:r>
            <w:r>
              <w:rPr>
                <w:rFonts w:hint="default"/>
                <w:color w:val="000000" w:themeColor="text1"/>
                <w:highlight w:val="none"/>
                <w14:textFill>
                  <w14:solidFill>
                    <w14:schemeClr w14:val="tx1"/>
                  </w14:solidFill>
                </w14:textFill>
              </w:rPr>
              <w:t>年均浓度、CO24小时平均浓度、O</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日最大8小时平均浓度均满足《环境空气质量标准》（GB3095-2012）二级标准限值</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该区域属于达标区。</w:t>
            </w:r>
          </w:p>
          <w:p w14:paraId="626BBFD3">
            <w:pPr>
              <w:keepNext w:val="0"/>
              <w:keepLines w:val="0"/>
              <w:suppressLineNumbers w:val="0"/>
              <w:spacing w:before="0" w:beforeLines="5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（2）特征污染物监测</w:t>
            </w:r>
          </w:p>
          <w:p w14:paraId="114E7645">
            <w:pPr>
              <w:keepNext w:val="0"/>
              <w:keepLines w:val="0"/>
              <w:suppressLineNumbers w:val="0"/>
              <w:spacing w:before="0" w:beforeLines="5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本项目涉及的特征污染物主要为TSP和硫化氢，本次引用《国能巴彦淖尔煤化工有限责任公司年产 120 万吨捣固焦及综合利用项目(变更)环境影响报告书》中的监测数据，监测时间为2024年4月23日至2024年4月29日，监测单位为为内蒙古金玥检测技术有限公司，采用的监测点位位于本项目区西南侧约4.2km处，引用的监测点符合</w:t>
            </w:r>
            <w:r>
              <w:rPr>
                <w:rFonts w:hint="eastAsia"/>
                <w:color w:val="000000" w:themeColor="text1"/>
                <w:highlight w:val="none"/>
                <w14:textFill>
                  <w14:solidFill>
                    <w14:schemeClr w14:val="tx1"/>
                  </w14:solidFill>
                </w14:textFill>
              </w:rPr>
              <w:t>《建设项目环境影响报告表编制技术指南（污染影响类）（试行）》</w:t>
            </w:r>
            <w:r>
              <w:rPr>
                <w:rFonts w:hint="eastAsia"/>
                <w:color w:val="000000" w:themeColor="text1"/>
                <w:highlight w:val="none"/>
                <w:lang w:val="en-US" w:eastAsia="zh-CN"/>
                <w14:textFill>
                  <w14:solidFill>
                    <w14:schemeClr w14:val="tx1"/>
                  </w14:solidFill>
                </w14:textFill>
              </w:rPr>
              <w:t>中关于周边5千米范围内近3年的现有监测数据的要求。</w:t>
            </w:r>
          </w:p>
          <w:p w14:paraId="7B0718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监测点位位置见下图。</w:t>
            </w:r>
          </w:p>
          <w:p w14:paraId="604C3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131445</wp:posOffset>
                      </wp:positionH>
                      <wp:positionV relativeFrom="paragraph">
                        <wp:posOffset>2029460</wp:posOffset>
                      </wp:positionV>
                      <wp:extent cx="2549525" cy="1726565"/>
                      <wp:effectExtent l="12700" t="4445" r="9525" b="21590"/>
                      <wp:wrapNone/>
                      <wp:docPr id="25" name="组合 25"/>
                      <wp:cNvGraphicFramePr/>
                      <a:graphic xmlns:a="http://schemas.openxmlformats.org/drawingml/2006/main">
                        <a:graphicData uri="http://schemas.microsoft.com/office/word/2010/wordprocessingGroup">
                          <wpg:wgp>
                            <wpg:cNvGrpSpPr/>
                            <wpg:grpSpPr>
                              <a:xfrm>
                                <a:off x="0" y="0"/>
                                <a:ext cx="2549525" cy="1726565"/>
                                <a:chOff x="2856" y="574050"/>
                                <a:chExt cx="4015" cy="2719"/>
                              </a:xfrm>
                            </wpg:grpSpPr>
                            <wps:wsp>
                              <wps:cNvPr id="126" name="椭圆 106"/>
                              <wps:cNvSpPr/>
                              <wps:spPr>
                                <a:xfrm>
                                  <a:off x="6815" y="574050"/>
                                  <a:ext cx="57" cy="57"/>
                                </a:xfrm>
                                <a:prstGeom prst="ellipse">
                                  <a:avLst/>
                                </a:prstGeom>
                                <a:solidFill>
                                  <a:srgbClr val="FF0000"/>
                                </a:solidFill>
                                <a:ln w="3175">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等腰三角形 120"/>
                              <wps:cNvSpPr/>
                              <wps:spPr>
                                <a:xfrm>
                                  <a:off x="4451" y="576713"/>
                                  <a:ext cx="113" cy="57"/>
                                </a:xfrm>
                                <a:prstGeom prst="triangl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矩形标注 121"/>
                              <wps:cNvSpPr/>
                              <wps:spPr>
                                <a:xfrm>
                                  <a:off x="5252" y="574490"/>
                                  <a:ext cx="1180" cy="504"/>
                                </a:xfrm>
                                <a:prstGeom prst="wedgeRectCallout">
                                  <a:avLst>
                                    <a:gd name="adj1" fmla="val 84576"/>
                                    <a:gd name="adj2" fmla="val -12460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9A81BA">
                                    <w:pPr>
                                      <w:ind w:left="0" w:leftChars="0" w:firstLine="0" w:firstLineChars="0"/>
                                      <w:jc w:val="center"/>
                                      <w:rPr>
                                        <w:rFonts w:hint="default"/>
                                        <w:b/>
                                        <w:bCs/>
                                        <w:color w:val="FF0000"/>
                                        <w:lang w:val="en-US" w:eastAsia="zh-CN"/>
                                      </w:rPr>
                                    </w:pPr>
                                    <w:r>
                                      <w:rPr>
                                        <w:rFonts w:hint="eastAsia"/>
                                        <w:b/>
                                        <w:bCs/>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矩形标注 123"/>
                              <wps:cNvSpPr/>
                              <wps:spPr>
                                <a:xfrm>
                                  <a:off x="2856" y="575212"/>
                                  <a:ext cx="1661" cy="504"/>
                                </a:xfrm>
                                <a:prstGeom prst="wedgeRectCallout">
                                  <a:avLst>
                                    <a:gd name="adj1" fmla="val 53913"/>
                                    <a:gd name="adj2" fmla="val 245833"/>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DB1CE28">
                                    <w:pPr>
                                      <w:ind w:left="0" w:leftChars="0" w:firstLine="0" w:firstLineChars="0"/>
                                      <w:jc w:val="center"/>
                                      <w:rPr>
                                        <w:rFonts w:hint="default"/>
                                        <w:b/>
                                        <w:bCs/>
                                        <w:color w:val="FFFF00"/>
                                        <w:lang w:val="en-US" w:eastAsia="zh-CN"/>
                                      </w:rPr>
                                    </w:pPr>
                                    <w:r>
                                      <w:rPr>
                                        <w:rFonts w:hint="eastAsia"/>
                                        <w:b/>
                                        <w:bCs/>
                                        <w:color w:val="FFFF00"/>
                                        <w:lang w:val="en-US" w:eastAsia="zh-CN"/>
                                      </w:rPr>
                                      <w:t>大气点位</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35pt;margin-top:159.8pt;height:135.95pt;width:200.75pt;z-index:251668480;mso-width-relative:page;mso-height-relative:page;" coordorigin="2856,574050" coordsize="4015,2719" o:gfxdata="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CTjX152wAAAAoBAAAPAAAAAAAA&#10;AAEAIAAAACIAAABkcnMvZG93bnJldi54bWxQSwECFAAUAAAACACHTuJAOq81LxAEAAC+DwAADgAA&#10;AAAAAAABACAAAAAqAQAAZHJzL2Uyb0RvYy54bWxQSwUGAAAAAAYABgBZAQAArAcAAAAA&#10;">
                      <o:lock v:ext="edit" aspectratio="f"/>
                      <v:shape id="椭圆 106" o:spid="_x0000_s1026" o:spt="3" type="#_x0000_t3" style="position:absolute;left:6815;top:574050;height:57;width:57;v-text-anchor:middle;" fillcolor="#FF0000" filled="t" stroked="t" coordsize="21600,21600" o:gfxdata="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NbLwtwAAANwAAAAP&#10;AAAAAAAAAAEAIAAAACIAAABkcnMvZG93bnJldi54bWxQSwECFAAUAAAACACHTuJAMy8FnjsAAAA5&#10;AAAAEAAAAAAAAAABACAAAAAGAQAAZHJzL3NoYXBleG1sLnhtbFBLBQYAAAAABgAGAFsBAACwAwAA&#10;AAA=&#10;">
                        <v:fill on="t" focussize="0,0"/>
                        <v:stroke weight="0.25pt" color="#FFFFFF [3212]" joinstyle="round"/>
                        <v:imagedata o:title=""/>
                        <o:lock v:ext="edit" aspectratio="f"/>
                      </v:shape>
                      <v:shape id="等腰三角形 120" o:spid="_x0000_s1026" o:spt="5" type="#_x0000_t5" style="position:absolute;left:4451;top:576713;height:57;width:113;v-text-anchor:middle;" fillcolor="#FFFF00" filled="t" stroked="t" coordsize="21600,21600" o:gfxdata="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vNO2/&#10;AAAA3AAAAA8AAAAAAAAAAQAgAAAAIgAAAGRycy9kb3ducmV2LnhtbFBLAQIUABQAAAAIAIdO4kAz&#10;LwWeOwAAADkAAAAQAAAAAAAAAAEAIAAAAA4BAABkcnMvc2hhcGV4bWwueG1sUEsFBgAAAAAGAAYA&#10;WwEAALgDAAAAAA==&#10;" adj="10800">
                        <v:fill on="t" focussize="0,0"/>
                        <v:stroke weight="2pt" color="#FFFF00 [2404]" joinstyle="round"/>
                        <v:imagedata o:title=""/>
                        <o:lock v:ext="edit" aspectratio="f"/>
                      </v:shape>
                      <v:shape id="矩形标注 121" o:spid="_x0000_s1026" o:spt="61" type="#_x0000_t61" style="position:absolute;left:5252;top:574490;height:504;width:1180;v-text-anchor:middle;" filled="f" stroked="t" coordsize="21600,21600" o:gfxdata="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cwnrugAAANwA&#10;AAAPAAAAAAAAAAEAIAAAACIAAABkcnMvZG93bnJldi54bWxQSwECFAAUAAAACACHTuJAMy8FnjsA&#10;AAA5AAAAEAAAAAAAAAABACAAAAAJAQAAZHJzL3NoYXBleG1sLnhtbFBLBQYAAAAABgAGAFsBAACz&#10;AwAAAAA=&#10;" adj="29068,-16114">
                        <v:fill on="f" focussize="0,0"/>
                        <v:stroke weight="2pt" color="#FF0000 [2404]" joinstyle="round"/>
                        <v:imagedata o:title=""/>
                        <o:lock v:ext="edit" aspectratio="f"/>
                        <v:textbox>
                          <w:txbxContent>
                            <w:p w14:paraId="749A81BA">
                              <w:pPr>
                                <w:ind w:left="0" w:leftChars="0" w:firstLine="0" w:firstLineChars="0"/>
                                <w:jc w:val="center"/>
                                <w:rPr>
                                  <w:rFonts w:hint="default"/>
                                  <w:b/>
                                  <w:bCs/>
                                  <w:color w:val="FF0000"/>
                                  <w:lang w:val="en-US" w:eastAsia="zh-CN"/>
                                </w:rPr>
                              </w:pPr>
                              <w:r>
                                <w:rPr>
                                  <w:rFonts w:hint="eastAsia"/>
                                  <w:b/>
                                  <w:bCs/>
                                  <w:color w:val="FF0000"/>
                                  <w:lang w:val="en-US" w:eastAsia="zh-CN"/>
                                </w:rPr>
                                <w:t>项目区</w:t>
                              </w:r>
                            </w:p>
                          </w:txbxContent>
                        </v:textbox>
                      </v:shape>
                      <v:shape id="矩形标注 123" o:spid="_x0000_s1026" o:spt="61" type="#_x0000_t61" style="position:absolute;left:2856;top:575212;height:504;width:1661;v-text-anchor:middle;" filled="f" stroked="t" coordsize="21600,21600" o:gfxdata="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vsJvQAA&#10;ANwAAAAPAAAAAAAAAAEAIAAAACIAAABkcnMvZG93bnJldi54bWxQSwECFAAUAAAACACHTuJAMy8F&#10;njsAAAA5AAAAEAAAAAAAAAABACAAAAAMAQAAZHJzL3NoYXBleG1sLnhtbFBLBQYAAAAABgAGAFsB&#10;AAC2AwAAAAA=&#10;" adj="22445,63900">
                        <v:fill on="f" focussize="0,0"/>
                        <v:stroke weight="2pt" color="#FFFF00 [2404]" joinstyle="round"/>
                        <v:imagedata o:title=""/>
                        <o:lock v:ext="edit" aspectratio="f"/>
                        <v:textbox>
                          <w:txbxContent>
                            <w:p w14:paraId="3DB1CE28">
                              <w:pPr>
                                <w:ind w:left="0" w:leftChars="0" w:firstLine="0" w:firstLineChars="0"/>
                                <w:jc w:val="center"/>
                                <w:rPr>
                                  <w:rFonts w:hint="default"/>
                                  <w:b/>
                                  <w:bCs/>
                                  <w:color w:val="FFFF00"/>
                                  <w:lang w:val="en-US" w:eastAsia="zh-CN"/>
                                </w:rPr>
                              </w:pPr>
                              <w:r>
                                <w:rPr>
                                  <w:rFonts w:hint="eastAsia"/>
                                  <w:b/>
                                  <w:bCs/>
                                  <w:color w:val="FFFF00"/>
                                  <w:lang w:val="en-US" w:eastAsia="zh-CN"/>
                                </w:rPr>
                                <w:t>大气点位</w:t>
                              </w:r>
                            </w:p>
                          </w:txbxContent>
                        </v:textbox>
                      </v:shape>
                    </v:group>
                  </w:pict>
                </mc:Fallback>
              </mc:AlternateContent>
            </w:r>
            <w:r>
              <w:rPr>
                <w:rFonts w:hint="default"/>
                <w:color w:val="000000" w:themeColor="text1"/>
                <w14:textFill>
                  <w14:solidFill>
                    <w14:schemeClr w14:val="tx1"/>
                  </w14:solidFill>
                </w14:textFill>
              </w:rPr>
              <w:drawing>
                <wp:inline distT="0" distB="0" distL="114300" distR="114300">
                  <wp:extent cx="5062855" cy="4211320"/>
                  <wp:effectExtent l="0" t="0" r="4445" b="1778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5062855" cy="4211320"/>
                          </a:xfrm>
                          <a:prstGeom prst="rect">
                            <a:avLst/>
                          </a:prstGeom>
                          <a:noFill/>
                          <a:ln>
                            <a:noFill/>
                          </a:ln>
                        </pic:spPr>
                      </pic:pic>
                    </a:graphicData>
                  </a:graphic>
                </wp:inline>
              </w:drawing>
            </w:r>
          </w:p>
          <w:p w14:paraId="29764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大气监测点位示意图</w:t>
            </w:r>
          </w:p>
          <w:p w14:paraId="5A21F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监测结果见下表。</w:t>
            </w:r>
          </w:p>
          <w:p w14:paraId="65558B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表</w:t>
            </w:r>
            <w:r>
              <w:rPr>
                <w:rFonts w:hint="eastAsia"/>
                <w:b/>
                <w:bCs/>
                <w:color w:val="000000" w:themeColor="text1"/>
                <w:kern w:val="0"/>
                <w:sz w:val="21"/>
                <w:szCs w:val="21"/>
                <w:highlight w:val="none"/>
                <w14:textFill>
                  <w14:solidFill>
                    <w14:schemeClr w14:val="tx1"/>
                  </w14:solidFill>
                </w14:textFill>
              </w:rPr>
              <w:t>3-</w:t>
            </w:r>
            <w:r>
              <w:rPr>
                <w:rFonts w:hint="eastAsia"/>
                <w:b/>
                <w:bCs/>
                <w:color w:val="000000" w:themeColor="text1"/>
                <w:kern w:val="0"/>
                <w:sz w:val="21"/>
                <w:szCs w:val="21"/>
                <w:highlight w:val="none"/>
                <w:lang w:val="en-US" w:eastAsia="zh-CN"/>
                <w14:textFill>
                  <w14:solidFill>
                    <w14:schemeClr w14:val="tx1"/>
                  </w14:solidFill>
                </w14:textFill>
              </w:rPr>
              <w:t>2</w:t>
            </w:r>
            <w:r>
              <w:rPr>
                <w:rFonts w:hint="eastAsia"/>
                <w:b/>
                <w:bCs/>
                <w:color w:val="000000" w:themeColor="text1"/>
                <w:kern w:val="0"/>
                <w:sz w:val="21"/>
                <w:szCs w:val="21"/>
                <w:highlight w:val="none"/>
                <w14:textFill>
                  <w14:solidFill>
                    <w14:schemeClr w14:val="tx1"/>
                  </w14:solidFill>
                </w14:textFill>
              </w:rPr>
              <w:t xml:space="preserve"> </w:t>
            </w:r>
            <w:r>
              <w:rPr>
                <w:rFonts w:hint="eastAsia"/>
                <w:b/>
                <w:bCs/>
                <w:color w:val="000000" w:themeColor="text1"/>
                <w:kern w:val="0"/>
                <w:sz w:val="21"/>
                <w:szCs w:val="21"/>
                <w:highlight w:val="none"/>
                <w:lang w:val="en-US" w:eastAsia="zh-CN"/>
                <w14:textFill>
                  <w14:solidFill>
                    <w14:schemeClr w14:val="tx1"/>
                  </w14:solidFill>
                </w14:textFill>
              </w:rPr>
              <w:t>特征</w:t>
            </w:r>
            <w:r>
              <w:rPr>
                <w:rFonts w:hint="eastAsia"/>
                <w:b/>
                <w:bCs/>
                <w:color w:val="000000" w:themeColor="text1"/>
                <w:kern w:val="0"/>
                <w:sz w:val="21"/>
                <w:szCs w:val="21"/>
                <w:highlight w:val="none"/>
                <w14:textFill>
                  <w14:solidFill>
                    <w14:schemeClr w14:val="tx1"/>
                  </w14:solidFill>
                </w14:textFill>
              </w:rPr>
              <w:t>污染物环境质量现状一览表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3"/>
              <w:gridCol w:w="1907"/>
              <w:gridCol w:w="1982"/>
              <w:gridCol w:w="2093"/>
              <w:gridCol w:w="1259"/>
            </w:tblGrid>
            <w:tr w14:paraId="17855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2" w:type="pct"/>
                  <w:noWrap/>
                  <w:vAlign w:val="center"/>
                </w:tcPr>
                <w:p w14:paraId="1CE278E8">
                  <w:pPr>
                    <w:pStyle w:val="101"/>
                    <w:keepNext w:val="0"/>
                    <w:keepLines w:val="0"/>
                    <w:suppressLineNumbers w:val="0"/>
                    <w:spacing w:before="0" w:beforeAutospacing="0" w:after="0" w:afterAutospacing="0"/>
                    <w:ind w:left="0" w:right="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w:t>
                  </w:r>
                </w:p>
              </w:tc>
              <w:tc>
                <w:tcPr>
                  <w:tcW w:w="1200" w:type="pct"/>
                  <w:noWrap/>
                  <w:vAlign w:val="center"/>
                </w:tcPr>
                <w:p w14:paraId="16DBECF2">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监测点位</w:t>
                  </w:r>
                </w:p>
              </w:tc>
              <w:tc>
                <w:tcPr>
                  <w:tcW w:w="1247" w:type="pct"/>
                  <w:noWrap/>
                  <w:vAlign w:val="center"/>
                </w:tcPr>
                <w:p w14:paraId="13797E35">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监测结果范围µg/m</w:t>
                  </w:r>
                  <w:r>
                    <w:rPr>
                      <w:rFonts w:hint="default"/>
                      <w:color w:val="000000" w:themeColor="text1"/>
                      <w:highlight w:val="none"/>
                      <w:vertAlign w:val="superscript"/>
                      <w14:textFill>
                        <w14:solidFill>
                          <w14:schemeClr w14:val="tx1"/>
                        </w14:solidFill>
                      </w14:textFill>
                    </w:rPr>
                    <w:t>3</w:t>
                  </w:r>
                </w:p>
              </w:tc>
              <w:tc>
                <w:tcPr>
                  <w:tcW w:w="1317" w:type="pct"/>
                  <w:noWrap/>
                  <w:vAlign w:val="center"/>
                </w:tcPr>
                <w:p w14:paraId="2067E1E3">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最大浓度占标率</w:t>
                  </w:r>
                </w:p>
              </w:tc>
              <w:tc>
                <w:tcPr>
                  <w:tcW w:w="792" w:type="pct"/>
                  <w:noWrap/>
                  <w:vAlign w:val="center"/>
                </w:tcPr>
                <w:p w14:paraId="2640DA4B">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超标情况</w:t>
                  </w:r>
                </w:p>
              </w:tc>
            </w:tr>
            <w:tr w14:paraId="1EE1B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2" w:type="pct"/>
                  <w:noWrap/>
                  <w:vAlign w:val="center"/>
                </w:tcPr>
                <w:p w14:paraId="791F232A">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TSP</w:t>
                  </w:r>
                </w:p>
              </w:tc>
              <w:tc>
                <w:tcPr>
                  <w:tcW w:w="1200" w:type="pct"/>
                  <w:vMerge w:val="restart"/>
                  <w:noWrap/>
                  <w:vAlign w:val="center"/>
                </w:tcPr>
                <w:p w14:paraId="045CE76D">
                  <w:pPr>
                    <w:keepNext w:val="0"/>
                    <w:keepLines w:val="0"/>
                    <w:suppressLineNumbers w:val="0"/>
                    <w:spacing w:before="0" w:beforeAutospacing="0" w:after="0" w:afterAutospacing="0" w:line="0" w:lineRule="atLeast"/>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东四义堂</w:t>
                  </w:r>
                </w:p>
              </w:tc>
              <w:tc>
                <w:tcPr>
                  <w:tcW w:w="1247" w:type="pct"/>
                  <w:noWrap/>
                  <w:vAlign w:val="center"/>
                </w:tcPr>
                <w:p w14:paraId="077B99C0">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43-81</w:t>
                  </w:r>
                </w:p>
              </w:tc>
              <w:tc>
                <w:tcPr>
                  <w:tcW w:w="1317" w:type="pct"/>
                  <w:noWrap/>
                  <w:vAlign w:val="center"/>
                </w:tcPr>
                <w:p w14:paraId="3AD6E093">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0.27</w:t>
                  </w:r>
                </w:p>
              </w:tc>
              <w:tc>
                <w:tcPr>
                  <w:tcW w:w="792" w:type="pct"/>
                  <w:noWrap/>
                  <w:vAlign w:val="center"/>
                </w:tcPr>
                <w:p w14:paraId="2EFC678A">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未超标</w:t>
                  </w:r>
                </w:p>
              </w:tc>
            </w:tr>
            <w:tr w14:paraId="6526E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2" w:type="pct"/>
                  <w:noWrap/>
                  <w:vAlign w:val="center"/>
                </w:tcPr>
                <w:p w14:paraId="038E45A3">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H</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S</w:t>
                  </w:r>
                </w:p>
              </w:tc>
              <w:tc>
                <w:tcPr>
                  <w:tcW w:w="1200" w:type="pct"/>
                  <w:vMerge w:val="continue"/>
                  <w:noWrap/>
                  <w:vAlign w:val="center"/>
                </w:tcPr>
                <w:p w14:paraId="6E752B54">
                  <w:pPr>
                    <w:keepNext w:val="0"/>
                    <w:keepLines w:val="0"/>
                    <w:suppressLineNumbers w:val="0"/>
                    <w:spacing w:before="0" w:beforeAutospacing="0" w:after="0" w:afterAutospacing="0" w:line="0" w:lineRule="atLeast"/>
                    <w:ind w:left="0" w:right="0" w:firstLine="0" w:firstLineChars="0"/>
                    <w:jc w:val="center"/>
                    <w:rPr>
                      <w:rFonts w:hint="default"/>
                      <w:color w:val="000000" w:themeColor="text1"/>
                      <w:highlight w:val="none"/>
                      <w14:textFill>
                        <w14:solidFill>
                          <w14:schemeClr w14:val="tx1"/>
                        </w14:solidFill>
                      </w14:textFill>
                    </w:rPr>
                  </w:pPr>
                </w:p>
              </w:tc>
              <w:tc>
                <w:tcPr>
                  <w:tcW w:w="1247" w:type="pct"/>
                  <w:noWrap/>
                  <w:vAlign w:val="center"/>
                </w:tcPr>
                <w:p w14:paraId="50FA749F">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1L-5</w:t>
                  </w:r>
                </w:p>
              </w:tc>
              <w:tc>
                <w:tcPr>
                  <w:tcW w:w="1317" w:type="pct"/>
                  <w:noWrap/>
                  <w:vAlign w:val="center"/>
                </w:tcPr>
                <w:p w14:paraId="3F20FBE1">
                  <w:pPr>
                    <w:pStyle w:val="101"/>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792" w:type="pct"/>
                  <w:noWrap/>
                  <w:vAlign w:val="center"/>
                </w:tcPr>
                <w:p w14:paraId="0A6F34A5">
                  <w:pPr>
                    <w:pStyle w:val="101"/>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未超标</w:t>
                  </w:r>
                </w:p>
              </w:tc>
            </w:tr>
          </w:tbl>
          <w:p w14:paraId="7D7F0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监测结果标明，TSP </w:t>
            </w:r>
            <w:r>
              <w:rPr>
                <w:rFonts w:hint="default"/>
                <w:color w:val="000000" w:themeColor="text1"/>
                <w:highlight w:val="none"/>
                <w14:textFill>
                  <w14:solidFill>
                    <w14:schemeClr w14:val="tx1"/>
                  </w14:solidFill>
                </w14:textFill>
              </w:rPr>
              <w:t>24h平均值满足《环境空气质量标准》（GB3095-2012）二级标准限值要求；硫化氢满足《环境影响评价技术导则 大气环境》（HJ2.2-2018）附录D限值要求。</w:t>
            </w:r>
          </w:p>
          <w:p w14:paraId="21DBE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snapToGrid w:val="0"/>
                <w:color w:val="000000" w:themeColor="text1"/>
                <w:highlight w:val="none"/>
                <w14:textFill>
                  <w14:solidFill>
                    <w14:schemeClr w14:val="tx1"/>
                  </w14:solidFill>
                </w14:textFill>
              </w:rPr>
            </w:pPr>
            <w:r>
              <w:rPr>
                <w:rFonts w:hint="eastAsia"/>
                <w:b/>
                <w:bCs/>
                <w:snapToGrid w:val="0"/>
                <w:color w:val="000000" w:themeColor="text1"/>
                <w:highlight w:val="none"/>
                <w14:textFill>
                  <w14:solidFill>
                    <w14:schemeClr w14:val="tx1"/>
                  </w14:solidFill>
                </w14:textFill>
              </w:rPr>
              <w:t>2、声环境质量现状</w:t>
            </w:r>
          </w:p>
          <w:p w14:paraId="5A022BDC">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厂界外周边50米范围内无声环境保护目标，根据《建设项目环境影响报告表编制技术指南（污染影响类）（试行）》要求，可不开展噪声补充监测。</w:t>
            </w:r>
          </w:p>
          <w:p w14:paraId="004FD7C0">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本次引用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焦化公司巴彦淖尔焦化厂环境委托监测项目无组织废气、噪声（三季度）检测报告》(NMH24002000106281209)</w:t>
            </w:r>
            <w:r>
              <w:rPr>
                <w:rFonts w:hint="eastAsia"/>
                <w:color w:val="000000" w:themeColor="text1"/>
                <w:highlight w:val="none"/>
                <w14:textFill>
                  <w14:solidFill>
                    <w14:schemeClr w14:val="tx1"/>
                  </w14:solidFill>
                </w14:textFill>
              </w:rPr>
              <w:t>，监测单位为</w:t>
            </w:r>
            <w:r>
              <w:rPr>
                <w:rFonts w:hint="eastAsia"/>
                <w:color w:val="000000" w:themeColor="text1"/>
                <w:highlight w:val="none"/>
                <w:lang w:val="en-US" w:eastAsia="zh-CN"/>
                <w14:textFill>
                  <w14:solidFill>
                    <w14:schemeClr w14:val="tx1"/>
                  </w14:solidFill>
                </w14:textFill>
              </w:rPr>
              <w:t>国检测试控股集团内蒙古京诚检测有限公司</w:t>
            </w:r>
            <w:r>
              <w:rPr>
                <w:rFonts w:hint="eastAsia"/>
                <w:color w:val="000000" w:themeColor="text1"/>
                <w:highlight w:val="none"/>
                <w14:textFill>
                  <w14:solidFill>
                    <w14:schemeClr w14:val="tx1"/>
                  </w14:solidFill>
                </w14:textFill>
              </w:rPr>
              <w:t>，监测时间为202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月，在</w:t>
            </w:r>
            <w:r>
              <w:rPr>
                <w:rFonts w:hint="eastAsia"/>
                <w:color w:val="000000" w:themeColor="text1"/>
                <w:highlight w:val="none"/>
                <w:lang w:val="en-US" w:eastAsia="zh-CN"/>
                <w14:textFill>
                  <w14:solidFill>
                    <w14:schemeClr w14:val="tx1"/>
                  </w14:solidFill>
                </w14:textFill>
              </w:rPr>
              <w:t>项目区</w:t>
            </w:r>
            <w:r>
              <w:rPr>
                <w:rFonts w:hint="eastAsia"/>
                <w:color w:val="000000" w:themeColor="text1"/>
                <w:highlight w:val="none"/>
                <w14:textFill>
                  <w14:solidFill>
                    <w14:schemeClr w14:val="tx1"/>
                  </w14:solidFill>
                </w14:textFill>
              </w:rPr>
              <w:t>厂界设置了4</w:t>
            </w:r>
            <w:r>
              <w:rPr>
                <w:rFonts w:hint="default"/>
                <w:color w:val="000000" w:themeColor="text1"/>
                <w:highlight w:val="none"/>
                <w14:textFill>
                  <w14:solidFill>
                    <w14:schemeClr w14:val="tx1"/>
                  </w14:solidFill>
                </w14:textFill>
              </w:rPr>
              <w:t>个监测点位，昼间、夜间各监测1次。</w:t>
            </w:r>
            <w:r>
              <w:rPr>
                <w:rFonts w:hint="eastAsia"/>
                <w:color w:val="000000" w:themeColor="text1"/>
                <w:highlight w:val="none"/>
                <w14:textFill>
                  <w14:solidFill>
                    <w14:schemeClr w14:val="tx1"/>
                  </w14:solidFill>
                </w14:textFill>
              </w:rPr>
              <w:t>噪声监测结果如下：</w:t>
            </w:r>
          </w:p>
          <w:p w14:paraId="51E5C8F1">
            <w:pPr>
              <w:keepNext w:val="0"/>
              <w:keepLines w:val="0"/>
              <w:suppressLineNumbers w:val="0"/>
              <w:spacing w:before="0" w:beforeAutospacing="0" w:after="0" w:afterAutospacing="0" w:line="240" w:lineRule="auto"/>
              <w:ind w:left="0" w:right="0" w:firstLine="422"/>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 xml:space="preserve">      噪声监测结果           单位：dB（A）</w:t>
            </w:r>
          </w:p>
          <w:p w14:paraId="05244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056505" cy="2081530"/>
                  <wp:effectExtent l="0" t="0" r="10795" b="139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056505" cy="2081530"/>
                          </a:xfrm>
                          <a:prstGeom prst="rect">
                            <a:avLst/>
                          </a:prstGeom>
                          <a:noFill/>
                          <a:ln>
                            <a:noFill/>
                          </a:ln>
                        </pic:spPr>
                      </pic:pic>
                    </a:graphicData>
                  </a:graphic>
                </wp:inline>
              </w:drawing>
            </w:r>
          </w:p>
          <w:p w14:paraId="3B875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监测结果表明，</w:t>
            </w:r>
            <w:bookmarkStart w:id="1" w:name="OLE_LINK24"/>
            <w:bookmarkStart w:id="2" w:name="OLE_LINK31"/>
            <w:r>
              <w:rPr>
                <w:rFonts w:hint="eastAsia"/>
                <w:color w:val="000000" w:themeColor="text1"/>
                <w:highlight w:val="none"/>
                <w14:textFill>
                  <w14:solidFill>
                    <w14:schemeClr w14:val="tx1"/>
                  </w14:solidFill>
                </w14:textFill>
              </w:rPr>
              <w:t>各监测点昼夜、夜间噪声均满足《工业企业厂界环境噪声排放标准》（GB12348-2008）3类标准。</w:t>
            </w:r>
            <w:bookmarkEnd w:id="1"/>
            <w:bookmarkEnd w:id="2"/>
          </w:p>
          <w:p w14:paraId="08FE9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snapToGrid w:val="0"/>
                <w:color w:val="000000" w:themeColor="text1"/>
                <w:highlight w:val="none"/>
                <w14:textFill>
                  <w14:solidFill>
                    <w14:schemeClr w14:val="tx1"/>
                  </w14:solidFill>
                </w14:textFill>
              </w:rPr>
            </w:pPr>
            <w:r>
              <w:rPr>
                <w:rFonts w:hint="eastAsia"/>
                <w:b/>
                <w:bCs/>
                <w:snapToGrid w:val="0"/>
                <w:color w:val="000000" w:themeColor="text1"/>
                <w:highlight w:val="none"/>
                <w14:textFill>
                  <w14:solidFill>
                    <w14:schemeClr w14:val="tx1"/>
                  </w14:solidFill>
                </w14:textFill>
              </w:rPr>
              <w:t>3、生态环境</w:t>
            </w:r>
          </w:p>
          <w:p w14:paraId="253FC208">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本</w:t>
            </w:r>
            <w:r>
              <w:rPr>
                <w:rFonts w:hint="default"/>
                <w:snapToGrid w:val="0"/>
                <w:color w:val="000000" w:themeColor="text1"/>
                <w:highlight w:val="none"/>
                <w14:textFill>
                  <w14:solidFill>
                    <w14:schemeClr w14:val="tx1"/>
                  </w14:solidFill>
                </w14:textFill>
              </w:rPr>
              <w:t>项目</w:t>
            </w:r>
            <w:r>
              <w:rPr>
                <w:rFonts w:hint="eastAsia"/>
                <w:snapToGrid w:val="0"/>
                <w:color w:val="000000" w:themeColor="text1"/>
                <w:highlight w:val="none"/>
                <w14:textFill>
                  <w14:solidFill>
                    <w14:schemeClr w14:val="tx1"/>
                  </w14:solidFill>
                </w14:textFill>
              </w:rPr>
              <w:t>位于甘其毛都口岸加工园区神华巴彦淖尔能源有限责任公司焦化厂厂区</w:t>
            </w:r>
            <w:r>
              <w:rPr>
                <w:rFonts w:hint="default"/>
                <w:snapToGrid w:val="0"/>
                <w:color w:val="000000" w:themeColor="text1"/>
                <w:highlight w:val="none"/>
                <w14:textFill>
                  <w14:solidFill>
                    <w14:schemeClr w14:val="tx1"/>
                  </w14:solidFill>
                </w14:textFill>
              </w:rPr>
              <w:t>，不属于产业园区外建设项目新增用地且用地范围内无生态环境保护</w:t>
            </w:r>
            <w:r>
              <w:rPr>
                <w:rFonts w:hint="default"/>
                <w:color w:val="000000" w:themeColor="text1"/>
                <w:highlight w:val="none"/>
                <w14:textFill>
                  <w14:solidFill>
                    <w14:schemeClr w14:val="tx1"/>
                  </w14:solidFill>
                </w14:textFill>
              </w:rPr>
              <w:t>目标，因此，本次评价不进行生态现状调查。</w:t>
            </w:r>
          </w:p>
          <w:p w14:paraId="6CD71BE4">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4、地下水、土壤环境</w:t>
            </w:r>
          </w:p>
          <w:p w14:paraId="71E8378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建设项目环境影响报告表编制技术指南（污染影响类）（试行）》，原则上不开展环境质量现状调查。建设项目存在土壤、地下水环境污染途径的，应结合污染源、保护目标分布情况开展现状调查以留作背景值。</w:t>
            </w:r>
          </w:p>
          <w:p w14:paraId="3C876477">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根据现场踏勘及对周围环境的了解，本项目引用《国能巴彦淖尔煤化工有限责任公司年产 120 万吨捣固焦及综合利用项目(变更)环境影响报告书》中项目区附近一口监测水井及土壤监测数据，监测点的选取从监测时间及监测点位位置等方面均符合</w:t>
            </w:r>
            <w:r>
              <w:rPr>
                <w:rFonts w:hint="default"/>
                <w:color w:val="000000" w:themeColor="text1"/>
                <w:highlight w:val="none"/>
                <w14:textFill>
                  <w14:solidFill>
                    <w14:schemeClr w14:val="tx1"/>
                  </w14:solidFill>
                </w14:textFill>
              </w:rPr>
              <w:t>《建设项目环境影响报告表编制技术指南（污染影响类）（试行）》</w:t>
            </w:r>
            <w:r>
              <w:rPr>
                <w:rFonts w:hint="eastAsia"/>
                <w:color w:val="000000" w:themeColor="text1"/>
                <w:highlight w:val="none"/>
                <w:lang w:val="en-US" w:eastAsia="zh-CN"/>
                <w14:textFill>
                  <w14:solidFill>
                    <w14:schemeClr w14:val="tx1"/>
                  </w14:solidFill>
                </w14:textFill>
              </w:rPr>
              <w:t>中相关要求。</w:t>
            </w:r>
          </w:p>
          <w:p w14:paraId="389A4B71">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监测点信息见下表。</w:t>
            </w:r>
          </w:p>
          <w:p w14:paraId="3B18F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4</w:t>
            </w:r>
            <w:r>
              <w:rPr>
                <w:rFonts w:hint="eastAsia"/>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地下水及土壤</w:t>
            </w:r>
            <w:r>
              <w:rPr>
                <w:rFonts w:hint="eastAsia"/>
                <w:b/>
                <w:bCs/>
                <w:color w:val="000000" w:themeColor="text1"/>
                <w:sz w:val="21"/>
                <w:szCs w:val="21"/>
                <w:highlight w:val="none"/>
                <w14:textFill>
                  <w14:solidFill>
                    <w14:schemeClr w14:val="tx1"/>
                  </w14:solidFill>
                </w14:textFill>
              </w:rPr>
              <w:t>监测</w:t>
            </w:r>
            <w:r>
              <w:rPr>
                <w:rFonts w:hint="eastAsia"/>
                <w:b/>
                <w:bCs/>
                <w:color w:val="000000" w:themeColor="text1"/>
                <w:sz w:val="21"/>
                <w:szCs w:val="21"/>
                <w:highlight w:val="none"/>
                <w:lang w:val="en-US" w:eastAsia="zh-CN"/>
                <w14:textFill>
                  <w14:solidFill>
                    <w14:schemeClr w14:val="tx1"/>
                  </w14:solidFill>
                </w14:textFill>
              </w:rPr>
              <w:t>点位信息图</w:t>
            </w:r>
          </w:p>
          <w:tbl>
            <w:tblPr>
              <w:tblStyle w:val="2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233"/>
              <w:gridCol w:w="914"/>
              <w:gridCol w:w="1159"/>
              <w:gridCol w:w="3074"/>
            </w:tblGrid>
            <w:tr w14:paraId="7B5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94" w:type="dxa"/>
                  <w:vAlign w:val="center"/>
                </w:tcPr>
                <w:p w14:paraId="1ED85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环境要素</w:t>
                  </w:r>
                </w:p>
              </w:tc>
              <w:tc>
                <w:tcPr>
                  <w:tcW w:w="1233" w:type="dxa"/>
                  <w:vAlign w:val="center"/>
                </w:tcPr>
                <w:p w14:paraId="6F7C9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与项目区位置关系</w:t>
                  </w:r>
                </w:p>
              </w:tc>
              <w:tc>
                <w:tcPr>
                  <w:tcW w:w="914" w:type="dxa"/>
                  <w:vAlign w:val="center"/>
                </w:tcPr>
                <w:p w14:paraId="00002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距离m</w:t>
                  </w:r>
                </w:p>
              </w:tc>
              <w:tc>
                <w:tcPr>
                  <w:tcW w:w="1159" w:type="dxa"/>
                  <w:vAlign w:val="center"/>
                </w:tcPr>
                <w:p w14:paraId="47CF9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监测时间</w:t>
                  </w:r>
                </w:p>
              </w:tc>
              <w:tc>
                <w:tcPr>
                  <w:tcW w:w="3074" w:type="dxa"/>
                  <w:vAlign w:val="center"/>
                </w:tcPr>
                <w:p w14:paraId="1BC17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监测因子</w:t>
                  </w:r>
                </w:p>
              </w:tc>
            </w:tr>
            <w:tr w14:paraId="6BBF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14:paraId="0A960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地下水</w:t>
                  </w:r>
                </w:p>
              </w:tc>
              <w:tc>
                <w:tcPr>
                  <w:tcW w:w="1233" w:type="dxa"/>
                  <w:vAlign w:val="center"/>
                </w:tcPr>
                <w:p w14:paraId="59467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N（项目区上游）</w:t>
                  </w:r>
                </w:p>
              </w:tc>
              <w:tc>
                <w:tcPr>
                  <w:tcW w:w="914" w:type="dxa"/>
                  <w:vAlign w:val="center"/>
                </w:tcPr>
                <w:p w14:paraId="63B1F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30</w:t>
                  </w:r>
                </w:p>
              </w:tc>
              <w:tc>
                <w:tcPr>
                  <w:tcW w:w="1159" w:type="dxa"/>
                  <w:vAlign w:val="center"/>
                </w:tcPr>
                <w:p w14:paraId="13E7E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2024.1</w:t>
                  </w:r>
                </w:p>
              </w:tc>
              <w:tc>
                <w:tcPr>
                  <w:tcW w:w="3074" w:type="dxa"/>
                  <w:vAlign w:val="center"/>
                </w:tcPr>
                <w:p w14:paraId="2A0CF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vertAlign w:val="baseline"/>
                      <w14:textFill>
                        <w14:solidFill>
                          <w14:schemeClr w14:val="tx1"/>
                        </w14:solidFill>
                      </w14:textFill>
                    </w:rPr>
                    <w:t>钾、钠、钙、镁、碳酸根、重碳酸根、pH、氨氮、硝酸盐、亚硝酸盐、挥发酚类、氰化物、砷、汞、铬(六价)、总硬度、铅、氟、镉、铁、锰、铜、锌、溶解性总固体、耗氧量、硫酸盐、氯化物、硫化物、菌落总数、总大肠菌群、石油类、氰化物、苯、萘、苯并(a)芘、甲醇。</w:t>
                  </w:r>
                </w:p>
              </w:tc>
            </w:tr>
            <w:tr w14:paraId="3F48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14:paraId="512EE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土壤</w:t>
                  </w:r>
                </w:p>
              </w:tc>
              <w:tc>
                <w:tcPr>
                  <w:tcW w:w="1233" w:type="dxa"/>
                  <w:vAlign w:val="center"/>
                </w:tcPr>
                <w:p w14:paraId="4C4EA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NE</w:t>
                  </w:r>
                </w:p>
              </w:tc>
              <w:tc>
                <w:tcPr>
                  <w:tcW w:w="914" w:type="dxa"/>
                  <w:vAlign w:val="center"/>
                </w:tcPr>
                <w:p w14:paraId="33461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360</w:t>
                  </w:r>
                </w:p>
              </w:tc>
              <w:tc>
                <w:tcPr>
                  <w:tcW w:w="1159" w:type="dxa"/>
                  <w:vAlign w:val="center"/>
                </w:tcPr>
                <w:p w14:paraId="37049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2024.1</w:t>
                  </w:r>
                </w:p>
              </w:tc>
              <w:tc>
                <w:tcPr>
                  <w:tcW w:w="3074" w:type="dxa"/>
                  <w:vAlign w:val="center"/>
                </w:tcPr>
                <w:p w14:paraId="23DD4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vertAlign w:val="baseline"/>
                      <w14:textFill>
                        <w14:solidFill>
                          <w14:schemeClr w14:val="tx1"/>
                        </w14:solidFill>
                      </w14:textFill>
                    </w:rPr>
                    <w:t>《土壤环境质量 农用地土壤污染风险管控标准(试行)》+特征因子(苯并[a]芘、石油烃、苯、萘、酚类、氰化物、甲醇)</w:t>
                  </w:r>
                </w:p>
              </w:tc>
            </w:tr>
          </w:tbl>
          <w:p w14:paraId="3F947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462280</wp:posOffset>
                      </wp:positionH>
                      <wp:positionV relativeFrom="paragraph">
                        <wp:posOffset>83185</wp:posOffset>
                      </wp:positionV>
                      <wp:extent cx="3267710" cy="2850515"/>
                      <wp:effectExtent l="12700" t="12700" r="15240" b="13335"/>
                      <wp:wrapNone/>
                      <wp:docPr id="13" name="组合 13"/>
                      <wp:cNvGraphicFramePr/>
                      <a:graphic xmlns:a="http://schemas.openxmlformats.org/drawingml/2006/main">
                        <a:graphicData uri="http://schemas.microsoft.com/office/word/2010/wordprocessingGroup">
                          <wpg:wgp>
                            <wpg:cNvGrpSpPr/>
                            <wpg:grpSpPr>
                              <a:xfrm>
                                <a:off x="0" y="0"/>
                                <a:ext cx="3267710" cy="2850515"/>
                                <a:chOff x="3376" y="371800"/>
                                <a:chExt cx="5146" cy="4489"/>
                              </a:xfrm>
                            </wpg:grpSpPr>
                            <wps:wsp>
                              <wps:cNvPr id="106" name="椭圆 106"/>
                              <wps:cNvSpPr/>
                              <wps:spPr>
                                <a:xfrm>
                                  <a:off x="5870" y="373053"/>
                                  <a:ext cx="57" cy="57"/>
                                </a:xfrm>
                                <a:prstGeom prst="ellipse">
                                  <a:avLst/>
                                </a:prstGeom>
                                <a:solidFill>
                                  <a:srgbClr val="FF0000"/>
                                </a:solidFill>
                                <a:ln w="3175">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矩形 107"/>
                              <wps:cNvSpPr/>
                              <wps:spPr>
                                <a:xfrm>
                                  <a:off x="5866" y="372963"/>
                                  <a:ext cx="57" cy="57"/>
                                </a:xfrm>
                                <a:prstGeom prst="rect">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等腰三角形 120"/>
                              <wps:cNvSpPr/>
                              <wps:spPr>
                                <a:xfrm>
                                  <a:off x="6066" y="372633"/>
                                  <a:ext cx="113" cy="57"/>
                                </a:xfrm>
                                <a:prstGeom prst="triangl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矩形标注 121"/>
                              <wps:cNvSpPr/>
                              <wps:spPr>
                                <a:xfrm>
                                  <a:off x="4307" y="373493"/>
                                  <a:ext cx="1180" cy="504"/>
                                </a:xfrm>
                                <a:prstGeom prst="wedgeRectCallout">
                                  <a:avLst>
                                    <a:gd name="adj1" fmla="val 84576"/>
                                    <a:gd name="adj2" fmla="val -12460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CFE22E">
                                    <w:pPr>
                                      <w:ind w:left="0" w:leftChars="0" w:firstLine="0" w:firstLineChars="0"/>
                                      <w:jc w:val="center"/>
                                      <w:rPr>
                                        <w:rFonts w:hint="default"/>
                                        <w:b/>
                                        <w:bCs/>
                                        <w:color w:val="FF0000"/>
                                        <w:lang w:val="en-US" w:eastAsia="zh-CN"/>
                                      </w:rPr>
                                    </w:pPr>
                                    <w:r>
                                      <w:rPr>
                                        <w:rFonts w:hint="eastAsia"/>
                                        <w:b/>
                                        <w:bCs/>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标注 122"/>
                              <wps:cNvSpPr/>
                              <wps:spPr>
                                <a:xfrm>
                                  <a:off x="3376" y="372207"/>
                                  <a:ext cx="1661" cy="504"/>
                                </a:xfrm>
                                <a:prstGeom prst="wedgeRectCallout">
                                  <a:avLst>
                                    <a:gd name="adj1" fmla="val 102679"/>
                                    <a:gd name="adj2" fmla="val 100595"/>
                                  </a:avLst>
                                </a:prstGeom>
                                <a:no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0EC604">
                                    <w:pPr>
                                      <w:ind w:left="0" w:leftChars="0" w:firstLine="0" w:firstLineChars="0"/>
                                      <w:jc w:val="center"/>
                                      <w:rPr>
                                        <w:rFonts w:hint="default"/>
                                        <w:b/>
                                        <w:bCs/>
                                        <w:color w:val="FF0000"/>
                                        <w:lang w:val="en-US" w:eastAsia="zh-CN"/>
                                      </w:rPr>
                                    </w:pPr>
                                    <w:r>
                                      <w:rPr>
                                        <w:rFonts w:hint="eastAsia"/>
                                        <w:b/>
                                        <w:bCs/>
                                        <w:color w:val="00B0F0"/>
                                        <w:lang w:val="en-US" w:eastAsia="zh-CN"/>
                                      </w:rPr>
                                      <w:t>地下水点位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标注 123"/>
                              <wps:cNvSpPr/>
                              <wps:spPr>
                                <a:xfrm>
                                  <a:off x="6430" y="371800"/>
                                  <a:ext cx="1661" cy="504"/>
                                </a:xfrm>
                                <a:prstGeom prst="wedgeRectCallout">
                                  <a:avLst>
                                    <a:gd name="adj1" fmla="val -66917"/>
                                    <a:gd name="adj2" fmla="val 117658"/>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B9ED8C3">
                                    <w:pPr>
                                      <w:ind w:left="0" w:leftChars="0" w:firstLine="0" w:firstLineChars="0"/>
                                      <w:jc w:val="center"/>
                                      <w:rPr>
                                        <w:rFonts w:hint="default"/>
                                        <w:b/>
                                        <w:bCs/>
                                        <w:color w:val="FFFF00"/>
                                        <w:lang w:val="en-US" w:eastAsia="zh-CN"/>
                                      </w:rPr>
                                    </w:pPr>
                                    <w:r>
                                      <w:rPr>
                                        <w:rFonts w:hint="eastAsia"/>
                                        <w:b/>
                                        <w:bCs/>
                                        <w:color w:val="FFFF00"/>
                                        <w:lang w:val="en-US" w:eastAsia="zh-CN"/>
                                      </w:rPr>
                                      <w:t>土壤点位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箭头连接符 2"/>
                              <wps:cNvCnPr/>
                              <wps:spPr>
                                <a:xfrm flipH="1">
                                  <a:off x="6276" y="374695"/>
                                  <a:ext cx="485" cy="662"/>
                                </a:xfrm>
                                <a:prstGeom prst="straightConnector1">
                                  <a:avLst/>
                                </a:prstGeom>
                                <a:ln>
                                  <a:solidFill>
                                    <a:srgbClr val="00B0F0"/>
                                  </a:solidFill>
                                  <a:tailEnd type="triangle" w="sm" len="lg"/>
                                </a:ln>
                              </wps:spPr>
                              <wps:style>
                                <a:lnRef idx="2">
                                  <a:schemeClr val="accent1"/>
                                </a:lnRef>
                                <a:fillRef idx="0">
                                  <a:srgbClr val="FFFFFF"/>
                                </a:fillRef>
                                <a:effectRef idx="0">
                                  <a:srgbClr val="FFFFFF"/>
                                </a:effectRef>
                                <a:fontRef idx="minor">
                                  <a:schemeClr val="tx1"/>
                                </a:fontRef>
                              </wps:style>
                              <wps:bodyPr/>
                            </wps:wsp>
                            <wps:wsp>
                              <wps:cNvPr id="6" name="直接箭头连接符 6"/>
                              <wps:cNvCnPr/>
                              <wps:spPr>
                                <a:xfrm flipH="1">
                                  <a:off x="6276" y="375119"/>
                                  <a:ext cx="485" cy="700"/>
                                </a:xfrm>
                                <a:prstGeom prst="straightConnector1">
                                  <a:avLst/>
                                </a:prstGeom>
                                <a:ln>
                                  <a:solidFill>
                                    <a:srgbClr val="00B0F0"/>
                                  </a:solidFill>
                                  <a:tailEnd type="triangle" w="sm" len="lg"/>
                                </a:ln>
                              </wps:spPr>
                              <wps:style>
                                <a:lnRef idx="2">
                                  <a:schemeClr val="accent1"/>
                                </a:lnRef>
                                <a:fillRef idx="0">
                                  <a:srgbClr val="FFFFFF"/>
                                </a:fillRef>
                                <a:effectRef idx="0">
                                  <a:srgbClr val="FFFFFF"/>
                                </a:effectRef>
                                <a:fontRef idx="minor">
                                  <a:schemeClr val="tx1"/>
                                </a:fontRef>
                              </wps:style>
                              <wps:bodyPr/>
                            </wps:wsp>
                            <wps:wsp>
                              <wps:cNvPr id="7" name="直接箭头连接符 7"/>
                              <wps:cNvCnPr/>
                              <wps:spPr>
                                <a:xfrm flipH="1">
                                  <a:off x="6288" y="375593"/>
                                  <a:ext cx="485" cy="696"/>
                                </a:xfrm>
                                <a:prstGeom prst="straightConnector1">
                                  <a:avLst/>
                                </a:prstGeom>
                                <a:ln>
                                  <a:solidFill>
                                    <a:srgbClr val="00B0F0"/>
                                  </a:solidFill>
                                  <a:tailEnd type="triangle" w="sm" len="lg"/>
                                </a:ln>
                              </wps:spPr>
                              <wps:style>
                                <a:lnRef idx="2">
                                  <a:schemeClr val="accent1"/>
                                </a:lnRef>
                                <a:fillRef idx="0">
                                  <a:srgbClr val="FFFFFF"/>
                                </a:fillRef>
                                <a:effectRef idx="0">
                                  <a:srgbClr val="FFFFFF"/>
                                </a:effectRef>
                                <a:fontRef idx="minor">
                                  <a:schemeClr val="tx1"/>
                                </a:fontRef>
                              </wps:style>
                              <wps:bodyPr/>
                            </wps:wsp>
                            <wps:wsp>
                              <wps:cNvPr id="12" name="矩形标注 12"/>
                              <wps:cNvSpPr/>
                              <wps:spPr>
                                <a:xfrm>
                                  <a:off x="6861" y="373707"/>
                                  <a:ext cx="1661" cy="504"/>
                                </a:xfrm>
                                <a:prstGeom prst="wedgeRectCallout">
                                  <a:avLst>
                                    <a:gd name="adj1" fmla="val -52227"/>
                                    <a:gd name="adj2" fmla="val 144047"/>
                                  </a:avLst>
                                </a:prstGeom>
                                <a:no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00F82C4">
                                    <w:pPr>
                                      <w:ind w:left="0" w:leftChars="0" w:firstLine="0" w:firstLineChars="0"/>
                                      <w:jc w:val="center"/>
                                      <w:rPr>
                                        <w:rFonts w:hint="default"/>
                                        <w:b/>
                                        <w:bCs/>
                                        <w:color w:val="FF0000"/>
                                        <w:lang w:val="en-US" w:eastAsia="zh-CN"/>
                                      </w:rPr>
                                    </w:pPr>
                                    <w:r>
                                      <w:rPr>
                                        <w:rFonts w:hint="eastAsia"/>
                                        <w:b/>
                                        <w:bCs/>
                                        <w:color w:val="00B0F0"/>
                                        <w:lang w:val="en-US" w:eastAsia="zh-CN"/>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4pt;margin-top:6.55pt;height:224.45pt;width:257.3pt;z-index:251670528;mso-width-relative:page;mso-height-relative:page;" coordorigin="3376,371800" coordsize="5146,4489" o:gfxdata="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Fi3&#10;687ZAAAACQEAAA8AAAAAAAAAAQAgAAAAIgAAAGRycy9kb3ducmV2LnhtbFBLAQIUABQAAAAIAIdO&#10;4kB13zpgeQUAAH4fAAAOAAAAAAAAAAEAIAAAACgBAABkcnMvZTJvRG9jLnhtbFBLBQYAAAAABgAG&#10;AFkBAAATCQAAAAA=&#10;">
                      <o:lock v:ext="edit" aspectratio="f"/>
                      <v:shape id="_x0000_s1026" o:spid="_x0000_s1026" o:spt="3" type="#_x0000_t3" style="position:absolute;left:5870;top:373053;height:57;width:57;v-text-anchor:middle;" fillcolor="#FF0000" filled="t" stroked="t" coordsize="21600,21600" o:gfxdata="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gO6QtwAAANwAAAAP&#10;AAAAAAAAAAEAIAAAACIAAABkcnMvZG93bnJldi54bWxQSwECFAAUAAAACACHTuJAMy8FnjsAAAA5&#10;AAAAEAAAAAAAAAABACAAAAAGAQAAZHJzL3NoYXBleG1sLnhtbFBLBQYAAAAABgAGAFsBAACwAwAA&#10;AAA=&#10;">
                        <v:fill on="t" focussize="0,0"/>
                        <v:stroke weight="0.25pt" color="#FFFFFF [3212]" joinstyle="round"/>
                        <v:imagedata o:title=""/>
                        <o:lock v:ext="edit" aspectratio="f"/>
                      </v:shape>
                      <v:rect id="_x0000_s1026" o:spid="_x0000_s1026" o:spt="1" style="position:absolute;left:5866;top:372963;height:57;width:57;v-text-anchor:middle;" fillcolor="#00B0F0" filled="t" stroked="t" coordsize="21600,21600" o:gfxdata="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QBam8AAAA&#10;3AAAAA8AAAAAAAAAAQAgAAAAIgAAAGRycy9kb3ducmV2LnhtbFBLAQIUABQAAAAIAIdO4kAzLwWe&#10;OwAAADkAAAAQAAAAAAAAAAEAIAAAAAsBAABkcnMvc2hhcGV4bWwueG1sUEsFBgAAAAAGAAYAWwEA&#10;ALUDAAAAAA==&#10;">
                        <v:fill on="t" focussize="0,0"/>
                        <v:stroke weight="2pt" color="#00B0F0 [2404]" joinstyle="round"/>
                        <v:imagedata o:title=""/>
                        <o:lock v:ext="edit" aspectratio="f"/>
                      </v:rect>
                      <v:shape id="_x0000_s1026" o:spid="_x0000_s1026" o:spt="5" type="#_x0000_t5" style="position:absolute;left:6066;top:372633;height:57;width:113;v-text-anchor:middle;" fillcolor="#FFFF00" filled="t" stroked="t" coordsize="21600,21600" o:gfxdata="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OOu/&#10;AAAA3AAAAA8AAAAAAAAAAQAgAAAAIgAAAGRycy9kb3ducmV2LnhtbFBLAQIUABQAAAAIAIdO4kAz&#10;LwWeOwAAADkAAAAQAAAAAAAAAAEAIAAAAA4BAABkcnMvc2hhcGV4bWwueG1sUEsFBgAAAAAGAAYA&#10;WwEAALgDAAAAAA==&#10;" adj="10800">
                        <v:fill on="t" focussize="0,0"/>
                        <v:stroke weight="2pt" color="#FFFF00 [2404]" joinstyle="round"/>
                        <v:imagedata o:title=""/>
                        <o:lock v:ext="edit" aspectratio="f"/>
                      </v:shape>
                      <v:shape id="_x0000_s1026" o:spid="_x0000_s1026" o:spt="61" type="#_x0000_t61" style="position:absolute;left:4307;top:373493;height:504;width:1180;v-text-anchor:middle;" filled="f" stroked="t" coordsize="21600,21600" o:gfxdata="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QXtugAAANwA&#10;AAAPAAAAAAAAAAEAIAAAACIAAABkcnMvZG93bnJldi54bWxQSwECFAAUAAAACACHTuJAMy8FnjsA&#10;AAA5AAAAEAAAAAAAAAABACAAAAAJAQAAZHJzL3NoYXBleG1sLnhtbFBLBQYAAAAABgAGAFsBAACz&#10;AwAAAAA=&#10;" adj="29068,-16114">
                        <v:fill on="f" focussize="0,0"/>
                        <v:stroke weight="2pt" color="#FF0000 [2404]" joinstyle="round"/>
                        <v:imagedata o:title=""/>
                        <o:lock v:ext="edit" aspectratio="f"/>
                        <v:textbox>
                          <w:txbxContent>
                            <w:p w14:paraId="2BCFE22E">
                              <w:pPr>
                                <w:ind w:left="0" w:leftChars="0" w:firstLine="0" w:firstLineChars="0"/>
                                <w:jc w:val="center"/>
                                <w:rPr>
                                  <w:rFonts w:hint="default"/>
                                  <w:b/>
                                  <w:bCs/>
                                  <w:color w:val="FF0000"/>
                                  <w:lang w:val="en-US" w:eastAsia="zh-CN"/>
                                </w:rPr>
                              </w:pPr>
                              <w:r>
                                <w:rPr>
                                  <w:rFonts w:hint="eastAsia"/>
                                  <w:b/>
                                  <w:bCs/>
                                  <w:color w:val="FF0000"/>
                                  <w:lang w:val="en-US" w:eastAsia="zh-CN"/>
                                </w:rPr>
                                <w:t>项目区</w:t>
                              </w:r>
                            </w:p>
                          </w:txbxContent>
                        </v:textbox>
                      </v:shape>
                      <v:shape id="_x0000_s1026" o:spid="_x0000_s1026" o:spt="61" type="#_x0000_t61" style="position:absolute;left:3376;top:372207;height:504;width:1661;v-text-anchor:middle;" filled="f" stroked="t" coordsize="21600,21600" o:gfxdata="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MAEL4A&#10;AADcAAAADwAAAAAAAAABACAAAAAiAAAAZHJzL2Rvd25yZXYueG1sUEsBAhQAFAAAAAgAh07iQDMv&#10;BZ47AAAAOQAAABAAAAAAAAAAAQAgAAAADQEAAGRycy9zaGFwZXhtbC54bWxQSwUGAAAAAAYABgBb&#10;AQAAtwMAAAAA&#10;" adj="32979,32529">
                        <v:fill on="f" focussize="0,0"/>
                        <v:stroke weight="2pt" color="#00B0F0 [2404]" joinstyle="round"/>
                        <v:imagedata o:title=""/>
                        <o:lock v:ext="edit" aspectratio="f"/>
                        <v:textbox>
                          <w:txbxContent>
                            <w:p w14:paraId="5A0EC604">
                              <w:pPr>
                                <w:ind w:left="0" w:leftChars="0" w:firstLine="0" w:firstLineChars="0"/>
                                <w:jc w:val="center"/>
                                <w:rPr>
                                  <w:rFonts w:hint="default"/>
                                  <w:b/>
                                  <w:bCs/>
                                  <w:color w:val="FF0000"/>
                                  <w:lang w:val="en-US" w:eastAsia="zh-CN"/>
                                </w:rPr>
                              </w:pPr>
                              <w:r>
                                <w:rPr>
                                  <w:rFonts w:hint="eastAsia"/>
                                  <w:b/>
                                  <w:bCs/>
                                  <w:color w:val="00B0F0"/>
                                  <w:lang w:val="en-US" w:eastAsia="zh-CN"/>
                                </w:rPr>
                                <w:t>地下水点位</w:t>
                              </w:r>
                            </w:p>
                          </w:txbxContent>
                        </v:textbox>
                      </v:shape>
                      <v:shape id="_x0000_s1026" o:spid="_x0000_s1026" o:spt="61" type="#_x0000_t61" style="position:absolute;left:6430;top:371800;height:504;width:1661;v-text-anchor:middle;" filled="f" stroked="t" coordsize="21600,21600" o:gfxdata="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w/68AAAA&#10;3AAAAA8AAAAAAAAAAQAgAAAAIgAAAGRycy9kb3ducmV2LnhtbFBLAQIUABQAAAAIAIdO4kAzLwWe&#10;OwAAADkAAAAQAAAAAAAAAAEAIAAAAAsBAABkcnMvc2hhcGV4bWwueG1sUEsFBgAAAAAGAAYAWwEA&#10;ALUDAAAAAA==&#10;" adj="-3654,36214">
                        <v:fill on="f" focussize="0,0"/>
                        <v:stroke weight="2pt" color="#FFFF00 [2404]" joinstyle="round"/>
                        <v:imagedata o:title=""/>
                        <o:lock v:ext="edit" aspectratio="f"/>
                        <v:textbox>
                          <w:txbxContent>
                            <w:p w14:paraId="4B9ED8C3">
                              <w:pPr>
                                <w:ind w:left="0" w:leftChars="0" w:firstLine="0" w:firstLineChars="0"/>
                                <w:jc w:val="center"/>
                                <w:rPr>
                                  <w:rFonts w:hint="default"/>
                                  <w:b/>
                                  <w:bCs/>
                                  <w:color w:val="FFFF00"/>
                                  <w:lang w:val="en-US" w:eastAsia="zh-CN"/>
                                </w:rPr>
                              </w:pPr>
                              <w:r>
                                <w:rPr>
                                  <w:rFonts w:hint="eastAsia"/>
                                  <w:b/>
                                  <w:bCs/>
                                  <w:color w:val="FFFF00"/>
                                  <w:lang w:val="en-US" w:eastAsia="zh-CN"/>
                                </w:rPr>
                                <w:t>土壤点位</w:t>
                              </w:r>
                            </w:p>
                          </w:txbxContent>
                        </v:textbox>
                      </v:shape>
                      <v:shape id="_x0000_s1026" o:spid="_x0000_s1026" o:spt="32" type="#_x0000_t32" style="position:absolute;left:6276;top:374695;flip:x;height:662;width:485;" filled="f" stroked="t" coordsize="21600,21600" o:gfxdata="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fJuugAAANoA&#10;AAAPAAAAAAAAAAEAIAAAACIAAABkcnMvZG93bnJldi54bWxQSwECFAAUAAAACACHTuJAMy8FnjsA&#10;AAA5AAAAEAAAAAAAAAABACAAAAAJAQAAZHJzL3NoYXBleG1sLnhtbFBLBQYAAAAABgAGAFsBAACz&#10;AwAAAAA=&#10;">
                        <v:fill on="f" focussize="0,0"/>
                        <v:stroke weight="2pt" color="#00B0F0 [3204]" joinstyle="round" endarrow="block" endarrowwidth="narrow" endarrowlength="long"/>
                        <v:imagedata o:title=""/>
                        <o:lock v:ext="edit" aspectratio="f"/>
                      </v:shape>
                      <v:shape id="_x0000_s1026" o:spid="_x0000_s1026" o:spt="32" type="#_x0000_t32" style="position:absolute;left:6276;top:375119;flip:x;height:700;width:485;" filled="f" stroked="t" coordsize="21600,21600" o:gfxdata="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IvRtugAAANoA&#10;AAAPAAAAAAAAAAEAIAAAACIAAABkcnMvZG93bnJldi54bWxQSwECFAAUAAAACACHTuJAMy8FnjsA&#10;AAA5AAAAEAAAAAAAAAABACAAAAAJAQAAZHJzL3NoYXBleG1sLnhtbFBLBQYAAAAABgAGAFsBAACz&#10;AwAAAAA=&#10;">
                        <v:fill on="f" focussize="0,0"/>
                        <v:stroke weight="2pt" color="#00B0F0 [3204]" joinstyle="round" endarrow="block" endarrowwidth="narrow" endarrowlength="long"/>
                        <v:imagedata o:title=""/>
                        <o:lock v:ext="edit" aspectratio="f"/>
                      </v:shape>
                      <v:shape id="_x0000_s1026" o:spid="_x0000_s1026" o:spt="32" type="#_x0000_t32" style="position:absolute;left:6288;top:375593;flip:x;height:696;width:485;" filled="f" stroked="t" coordsize="21600,21600" o:gfxdata="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uUfa8AAAA&#10;2gAAAA8AAAAAAAAAAQAgAAAAIgAAAGRycy9kb3ducmV2LnhtbFBLAQIUABQAAAAIAIdO4kAzLwWe&#10;OwAAADkAAAAQAAAAAAAAAAEAIAAAAAsBAABkcnMvc2hhcGV4bWwueG1sUEsFBgAAAAAGAAYAWwEA&#10;ALUDAAAAAA==&#10;">
                        <v:fill on="f" focussize="0,0"/>
                        <v:stroke weight="2pt" color="#00B0F0 [3204]" joinstyle="round" endarrow="block" endarrowwidth="narrow" endarrowlength="long"/>
                        <v:imagedata o:title=""/>
                        <o:lock v:ext="edit" aspectratio="f"/>
                      </v:shape>
                      <v:shape id="_x0000_s1026" o:spid="_x0000_s1026" o:spt="61" type="#_x0000_t61" style="position:absolute;left:6861;top:373707;height:504;width:1661;v-text-anchor:middle;" filled="f" stroked="t" coordsize="21600,21600" o:gfxdata="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I7Q65AAAA2wAA&#10;AA8AAAAAAAAAAQAgAAAAIgAAAGRycy9kb3ducmV2LnhtbFBLAQIUABQAAAAIAIdO4kAzLwWeOwAA&#10;ADkAAAAQAAAAAAAAAAEAIAAAAAgBAABkcnMvc2hhcGV4bWwueG1sUEsFBgAAAAAGAAYAWwEAALID&#10;AAAAAA==&#10;" adj="-481,41914">
                        <v:fill on="f" focussize="0,0"/>
                        <v:stroke weight="2pt" color="#00B0F0 [2404]" joinstyle="round"/>
                        <v:imagedata o:title=""/>
                        <o:lock v:ext="edit" aspectratio="f"/>
                        <v:textbox>
                          <w:txbxContent>
                            <w:p w14:paraId="000F82C4">
                              <w:pPr>
                                <w:ind w:left="0" w:leftChars="0" w:firstLine="0" w:firstLineChars="0"/>
                                <w:jc w:val="center"/>
                                <w:rPr>
                                  <w:rFonts w:hint="default"/>
                                  <w:b/>
                                  <w:bCs/>
                                  <w:color w:val="FF0000"/>
                                  <w:lang w:val="en-US" w:eastAsia="zh-CN"/>
                                </w:rPr>
                              </w:pPr>
                              <w:r>
                                <w:rPr>
                                  <w:rFonts w:hint="eastAsia"/>
                                  <w:b/>
                                  <w:bCs/>
                                  <w:color w:val="00B0F0"/>
                                  <w:lang w:val="en-US" w:eastAsia="zh-CN"/>
                                </w:rPr>
                                <w:t>地下水流向</w:t>
                              </w:r>
                            </w:p>
                          </w:txbxContent>
                        </v:textbox>
                      </v:shape>
                    </v:group>
                  </w:pict>
                </mc:Fallback>
              </mc:AlternateContent>
            </w:r>
            <w:r>
              <w:rPr>
                <w:rFonts w:hint="default"/>
                <w:color w:val="000000" w:themeColor="text1"/>
                <w14:textFill>
                  <w14:solidFill>
                    <w14:schemeClr w14:val="tx1"/>
                  </w14:solidFill>
                </w14:textFill>
              </w:rPr>
              <w:drawing>
                <wp:inline distT="0" distB="0" distL="114300" distR="114300">
                  <wp:extent cx="5058410" cy="4453255"/>
                  <wp:effectExtent l="0" t="0" r="8890" b="444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22"/>
                          <a:stretch>
                            <a:fillRect/>
                          </a:stretch>
                        </pic:blipFill>
                        <pic:spPr>
                          <a:xfrm>
                            <a:off x="0" y="0"/>
                            <a:ext cx="5058410" cy="4453255"/>
                          </a:xfrm>
                          <a:prstGeom prst="rect">
                            <a:avLst/>
                          </a:prstGeom>
                          <a:noFill/>
                          <a:ln>
                            <a:noFill/>
                          </a:ln>
                        </pic:spPr>
                      </pic:pic>
                    </a:graphicData>
                  </a:graphic>
                </wp:inline>
              </w:drawing>
            </w:r>
          </w:p>
          <w:p w14:paraId="3E26D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地下水及土壤监测点位示意图</w:t>
            </w:r>
          </w:p>
          <w:p w14:paraId="40147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监测结果如下。</w:t>
            </w:r>
          </w:p>
          <w:p w14:paraId="77896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5</w:t>
            </w:r>
            <w:r>
              <w:rPr>
                <w:rFonts w:hint="eastAsia"/>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地下水</w:t>
            </w:r>
            <w:r>
              <w:rPr>
                <w:rFonts w:hint="eastAsia"/>
                <w:b/>
                <w:bCs/>
                <w:color w:val="000000" w:themeColor="text1"/>
                <w:sz w:val="21"/>
                <w:szCs w:val="21"/>
                <w:highlight w:val="none"/>
                <w14:textFill>
                  <w14:solidFill>
                    <w14:schemeClr w14:val="tx1"/>
                  </w14:solidFill>
                </w14:textFill>
              </w:rPr>
              <w:t>监测</w:t>
            </w:r>
            <w:r>
              <w:rPr>
                <w:rFonts w:hint="eastAsia"/>
                <w:b/>
                <w:bCs/>
                <w:color w:val="000000" w:themeColor="text1"/>
                <w:sz w:val="21"/>
                <w:szCs w:val="21"/>
                <w:highlight w:val="none"/>
                <w:lang w:val="en-US" w:eastAsia="zh-CN"/>
                <w14:textFill>
                  <w14:solidFill>
                    <w14:schemeClr w14:val="tx1"/>
                  </w14:solidFill>
                </w14:textFill>
              </w:rPr>
              <w:t>结果（单位：mg/l）</w:t>
            </w:r>
          </w:p>
          <w:tbl>
            <w:tblPr>
              <w:tblStyle w:val="29"/>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037"/>
              <w:gridCol w:w="1980"/>
              <w:gridCol w:w="1947"/>
            </w:tblGrid>
            <w:tr w14:paraId="51C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AE2E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监测项目</w:t>
                  </w:r>
                </w:p>
              </w:tc>
              <w:tc>
                <w:tcPr>
                  <w:tcW w:w="2037" w:type="dxa"/>
                  <w:vAlign w:val="center"/>
                </w:tcPr>
                <w:p w14:paraId="42FBF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监测数据</w:t>
                  </w:r>
                </w:p>
              </w:tc>
              <w:tc>
                <w:tcPr>
                  <w:tcW w:w="1980" w:type="dxa"/>
                  <w:vAlign w:val="center"/>
                </w:tcPr>
                <w:p w14:paraId="34DB6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质量标准</w:t>
                  </w:r>
                </w:p>
              </w:tc>
              <w:tc>
                <w:tcPr>
                  <w:tcW w:w="1947" w:type="dxa"/>
                  <w:vAlign w:val="center"/>
                </w:tcPr>
                <w:p w14:paraId="57611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标准指数</w:t>
                  </w:r>
                </w:p>
              </w:tc>
            </w:tr>
            <w:tr w14:paraId="3DA7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B8E4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钾</w:t>
                  </w:r>
                </w:p>
              </w:tc>
              <w:tc>
                <w:tcPr>
                  <w:tcW w:w="2037" w:type="dxa"/>
                  <w:vAlign w:val="center"/>
                </w:tcPr>
                <w:p w14:paraId="33FD1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9.92</w:t>
                  </w:r>
                </w:p>
              </w:tc>
              <w:tc>
                <w:tcPr>
                  <w:tcW w:w="1980" w:type="dxa"/>
                  <w:vAlign w:val="center"/>
                </w:tcPr>
                <w:p w14:paraId="3C4E0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50A8E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r>
            <w:tr w14:paraId="4016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76E6A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钠</w:t>
                  </w:r>
                </w:p>
              </w:tc>
              <w:tc>
                <w:tcPr>
                  <w:tcW w:w="2037" w:type="dxa"/>
                  <w:vAlign w:val="center"/>
                </w:tcPr>
                <w:p w14:paraId="72FEB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152</w:t>
                  </w:r>
                </w:p>
              </w:tc>
              <w:tc>
                <w:tcPr>
                  <w:tcW w:w="1980" w:type="dxa"/>
                  <w:vAlign w:val="center"/>
                </w:tcPr>
                <w:p w14:paraId="68194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200</w:t>
                  </w:r>
                </w:p>
              </w:tc>
              <w:tc>
                <w:tcPr>
                  <w:tcW w:w="1947" w:type="dxa"/>
                  <w:vAlign w:val="center"/>
                </w:tcPr>
                <w:p w14:paraId="702D1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0.76</w:t>
                  </w:r>
                </w:p>
              </w:tc>
            </w:tr>
            <w:tr w14:paraId="2263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1CE5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钙</w:t>
                  </w:r>
                </w:p>
              </w:tc>
              <w:tc>
                <w:tcPr>
                  <w:tcW w:w="2037" w:type="dxa"/>
                  <w:vAlign w:val="center"/>
                </w:tcPr>
                <w:p w14:paraId="2D48F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46.2</w:t>
                  </w:r>
                </w:p>
              </w:tc>
              <w:tc>
                <w:tcPr>
                  <w:tcW w:w="1980" w:type="dxa"/>
                  <w:vAlign w:val="center"/>
                </w:tcPr>
                <w:p w14:paraId="42A09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6E902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2044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5C67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镁</w:t>
                  </w:r>
                </w:p>
              </w:tc>
              <w:tc>
                <w:tcPr>
                  <w:tcW w:w="2037" w:type="dxa"/>
                  <w:vAlign w:val="center"/>
                </w:tcPr>
                <w:p w14:paraId="0C99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42.2</w:t>
                  </w:r>
                </w:p>
              </w:tc>
              <w:tc>
                <w:tcPr>
                  <w:tcW w:w="1980" w:type="dxa"/>
                  <w:vAlign w:val="center"/>
                </w:tcPr>
                <w:p w14:paraId="10351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44322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1AC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7ABB1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重碳酸盐</w:t>
                  </w:r>
                </w:p>
              </w:tc>
              <w:tc>
                <w:tcPr>
                  <w:tcW w:w="2037" w:type="dxa"/>
                  <w:vAlign w:val="center"/>
                </w:tcPr>
                <w:p w14:paraId="318DA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281</w:t>
                  </w:r>
                </w:p>
              </w:tc>
              <w:tc>
                <w:tcPr>
                  <w:tcW w:w="1980" w:type="dxa"/>
                  <w:vAlign w:val="center"/>
                </w:tcPr>
                <w:p w14:paraId="7CEFB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42BC0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B75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C169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pH值</w:t>
                  </w:r>
                </w:p>
              </w:tc>
              <w:tc>
                <w:tcPr>
                  <w:tcW w:w="2037" w:type="dxa"/>
                  <w:vAlign w:val="center"/>
                </w:tcPr>
                <w:p w14:paraId="30F8C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7.7</w:t>
                  </w:r>
                </w:p>
              </w:tc>
              <w:tc>
                <w:tcPr>
                  <w:tcW w:w="1980" w:type="dxa"/>
                  <w:vAlign w:val="center"/>
                </w:tcPr>
                <w:p w14:paraId="11215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6.5-8.5</w:t>
                  </w:r>
                </w:p>
              </w:tc>
              <w:tc>
                <w:tcPr>
                  <w:tcW w:w="1947" w:type="dxa"/>
                  <w:vAlign w:val="center"/>
                </w:tcPr>
                <w:p w14:paraId="1E10A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0.47</w:t>
                  </w:r>
                </w:p>
              </w:tc>
            </w:tr>
            <w:tr w14:paraId="4AA4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3782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总硬度</w:t>
                  </w:r>
                </w:p>
              </w:tc>
              <w:tc>
                <w:tcPr>
                  <w:tcW w:w="2037" w:type="dxa"/>
                  <w:vAlign w:val="center"/>
                </w:tcPr>
                <w:p w14:paraId="2D285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310</w:t>
                  </w:r>
                </w:p>
              </w:tc>
              <w:tc>
                <w:tcPr>
                  <w:tcW w:w="1980" w:type="dxa"/>
                  <w:vAlign w:val="center"/>
                </w:tcPr>
                <w:p w14:paraId="055A3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450</w:t>
                  </w:r>
                </w:p>
              </w:tc>
              <w:tc>
                <w:tcPr>
                  <w:tcW w:w="1947" w:type="dxa"/>
                  <w:vAlign w:val="center"/>
                </w:tcPr>
                <w:p w14:paraId="2B66A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0.6</w:t>
                  </w:r>
                </w:p>
              </w:tc>
            </w:tr>
            <w:tr w14:paraId="07B2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DFD0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溶解性总固体</w:t>
                  </w:r>
                </w:p>
              </w:tc>
              <w:tc>
                <w:tcPr>
                  <w:tcW w:w="2037" w:type="dxa"/>
                  <w:vAlign w:val="center"/>
                </w:tcPr>
                <w:p w14:paraId="71967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825</w:t>
                  </w:r>
                </w:p>
              </w:tc>
              <w:tc>
                <w:tcPr>
                  <w:tcW w:w="1980" w:type="dxa"/>
                  <w:vAlign w:val="center"/>
                </w:tcPr>
                <w:p w14:paraId="33DC4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1000</w:t>
                  </w:r>
                </w:p>
              </w:tc>
              <w:tc>
                <w:tcPr>
                  <w:tcW w:w="1947" w:type="dxa"/>
                  <w:vAlign w:val="center"/>
                </w:tcPr>
                <w:p w14:paraId="613E0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0.83</w:t>
                  </w:r>
                </w:p>
              </w:tc>
            </w:tr>
            <w:tr w14:paraId="7783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B599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氟化物</w:t>
                  </w:r>
                </w:p>
              </w:tc>
              <w:tc>
                <w:tcPr>
                  <w:tcW w:w="2037" w:type="dxa"/>
                  <w:vAlign w:val="center"/>
                </w:tcPr>
                <w:p w14:paraId="1075F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0.823</w:t>
                  </w:r>
                </w:p>
              </w:tc>
              <w:tc>
                <w:tcPr>
                  <w:tcW w:w="1980" w:type="dxa"/>
                  <w:vAlign w:val="center"/>
                </w:tcPr>
                <w:p w14:paraId="4B1AF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w:t>
                  </w:r>
                </w:p>
              </w:tc>
              <w:tc>
                <w:tcPr>
                  <w:tcW w:w="1947" w:type="dxa"/>
                  <w:vAlign w:val="center"/>
                </w:tcPr>
                <w:p w14:paraId="3F855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0.823</w:t>
                  </w:r>
                </w:p>
              </w:tc>
            </w:tr>
            <w:tr w14:paraId="493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FA2B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氨氮</w:t>
                  </w:r>
                </w:p>
              </w:tc>
              <w:tc>
                <w:tcPr>
                  <w:tcW w:w="2037" w:type="dxa"/>
                  <w:vAlign w:val="center"/>
                </w:tcPr>
                <w:p w14:paraId="7455A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0.07</w:t>
                  </w:r>
                </w:p>
              </w:tc>
              <w:tc>
                <w:tcPr>
                  <w:tcW w:w="1980" w:type="dxa"/>
                  <w:vAlign w:val="center"/>
                </w:tcPr>
                <w:p w14:paraId="3BBEF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0.50</w:t>
                  </w:r>
                </w:p>
              </w:tc>
              <w:tc>
                <w:tcPr>
                  <w:tcW w:w="1947" w:type="dxa"/>
                  <w:vAlign w:val="center"/>
                </w:tcPr>
                <w:p w14:paraId="57662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0.14</w:t>
                  </w:r>
                </w:p>
              </w:tc>
            </w:tr>
            <w:tr w14:paraId="66C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4B6B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砷</w:t>
                  </w:r>
                </w:p>
              </w:tc>
              <w:tc>
                <w:tcPr>
                  <w:tcW w:w="2037" w:type="dxa"/>
                  <w:vAlign w:val="center"/>
                </w:tcPr>
                <w:p w14:paraId="0A046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0.002</w:t>
                  </w:r>
                </w:p>
              </w:tc>
              <w:tc>
                <w:tcPr>
                  <w:tcW w:w="1980" w:type="dxa"/>
                  <w:vAlign w:val="center"/>
                </w:tcPr>
                <w:p w14:paraId="16E77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0.01</w:t>
                  </w:r>
                </w:p>
              </w:tc>
              <w:tc>
                <w:tcPr>
                  <w:tcW w:w="1947" w:type="dxa"/>
                  <w:vAlign w:val="center"/>
                </w:tcPr>
                <w:p w14:paraId="7EFA9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0.20</w:t>
                  </w:r>
                </w:p>
              </w:tc>
            </w:tr>
            <w:tr w14:paraId="2EA8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9D8D2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挥发酚</w:t>
                  </w:r>
                </w:p>
              </w:tc>
              <w:tc>
                <w:tcPr>
                  <w:tcW w:w="2037" w:type="dxa"/>
                  <w:vAlign w:val="center"/>
                </w:tcPr>
                <w:p w14:paraId="3E5C0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0.0003L</w:t>
                  </w:r>
                </w:p>
              </w:tc>
              <w:tc>
                <w:tcPr>
                  <w:tcW w:w="1980" w:type="dxa"/>
                  <w:vAlign w:val="center"/>
                </w:tcPr>
                <w:p w14:paraId="62262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0.002</w:t>
                  </w:r>
                </w:p>
              </w:tc>
              <w:tc>
                <w:tcPr>
                  <w:tcW w:w="1947" w:type="dxa"/>
                  <w:vAlign w:val="center"/>
                </w:tcPr>
                <w:p w14:paraId="66141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CE3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C7DD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亚硝酸盐氮</w:t>
                  </w:r>
                </w:p>
              </w:tc>
              <w:tc>
                <w:tcPr>
                  <w:tcW w:w="2037" w:type="dxa"/>
                  <w:vAlign w:val="center"/>
                </w:tcPr>
                <w:p w14:paraId="7550F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0.001L</w:t>
                  </w:r>
                </w:p>
              </w:tc>
              <w:tc>
                <w:tcPr>
                  <w:tcW w:w="1980" w:type="dxa"/>
                  <w:vAlign w:val="center"/>
                </w:tcPr>
                <w:p w14:paraId="43374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7864E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6891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DA56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硝酸盐氮</w:t>
                  </w:r>
                </w:p>
              </w:tc>
              <w:tc>
                <w:tcPr>
                  <w:tcW w:w="2037" w:type="dxa"/>
                  <w:vAlign w:val="center"/>
                </w:tcPr>
                <w:p w14:paraId="754DF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1.81</w:t>
                  </w:r>
                </w:p>
              </w:tc>
              <w:tc>
                <w:tcPr>
                  <w:tcW w:w="1980" w:type="dxa"/>
                  <w:vAlign w:val="center"/>
                </w:tcPr>
                <w:p w14:paraId="13CEC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20.0</w:t>
                  </w:r>
                </w:p>
              </w:tc>
              <w:tc>
                <w:tcPr>
                  <w:tcW w:w="1947" w:type="dxa"/>
                  <w:vAlign w:val="center"/>
                </w:tcPr>
                <w:p w14:paraId="49765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0.09</w:t>
                  </w:r>
                </w:p>
              </w:tc>
            </w:tr>
            <w:tr w14:paraId="5607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6B3D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铅</w:t>
                  </w:r>
                </w:p>
              </w:tc>
              <w:tc>
                <w:tcPr>
                  <w:tcW w:w="2037" w:type="dxa"/>
                  <w:vAlign w:val="center"/>
                </w:tcPr>
                <w:p w14:paraId="0EB47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1×10</w:t>
                  </w:r>
                  <w:r>
                    <w:rPr>
                      <w:rFonts w:hint="eastAsia"/>
                      <w:color w:val="000000" w:themeColor="text1"/>
                      <w:sz w:val="21"/>
                      <w:szCs w:val="21"/>
                      <w:highlight w:val="none"/>
                      <w:vertAlign w:val="superscript"/>
                      <w:lang w:val="en-US" w:eastAsia="zh-CN"/>
                      <w14:textFill>
                        <w14:solidFill>
                          <w14:schemeClr w14:val="tx1"/>
                        </w14:solidFill>
                      </w14:textFill>
                    </w:rPr>
                    <w:t>-3</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7D910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0.01</w:t>
                  </w:r>
                </w:p>
              </w:tc>
              <w:tc>
                <w:tcPr>
                  <w:tcW w:w="1947" w:type="dxa"/>
                  <w:vAlign w:val="center"/>
                </w:tcPr>
                <w:p w14:paraId="78C6D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D46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5C09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氰化物</w:t>
                  </w:r>
                </w:p>
              </w:tc>
              <w:tc>
                <w:tcPr>
                  <w:tcW w:w="2037" w:type="dxa"/>
                  <w:vAlign w:val="center"/>
                </w:tcPr>
                <w:p w14:paraId="3AA30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0.002L</w:t>
                  </w:r>
                </w:p>
              </w:tc>
              <w:tc>
                <w:tcPr>
                  <w:tcW w:w="1980" w:type="dxa"/>
                  <w:vAlign w:val="center"/>
                </w:tcPr>
                <w:p w14:paraId="532BC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0.05</w:t>
                  </w:r>
                </w:p>
              </w:tc>
              <w:tc>
                <w:tcPr>
                  <w:tcW w:w="1947" w:type="dxa"/>
                  <w:vAlign w:val="center"/>
                </w:tcPr>
                <w:p w14:paraId="10784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7D7D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A0C9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耗氧量</w:t>
                  </w:r>
                </w:p>
              </w:tc>
              <w:tc>
                <w:tcPr>
                  <w:tcW w:w="2037" w:type="dxa"/>
                  <w:vAlign w:val="center"/>
                </w:tcPr>
                <w:p w14:paraId="5A642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1.27</w:t>
                  </w:r>
                </w:p>
              </w:tc>
              <w:tc>
                <w:tcPr>
                  <w:tcW w:w="1980" w:type="dxa"/>
                  <w:vAlign w:val="center"/>
                </w:tcPr>
                <w:p w14:paraId="5DCBC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3.0</w:t>
                  </w:r>
                </w:p>
              </w:tc>
              <w:tc>
                <w:tcPr>
                  <w:tcW w:w="1947" w:type="dxa"/>
                  <w:vAlign w:val="center"/>
                </w:tcPr>
                <w:p w14:paraId="43F37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0.42</w:t>
                  </w:r>
                </w:p>
              </w:tc>
            </w:tr>
            <w:tr w14:paraId="5D35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C160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汞</w:t>
                  </w:r>
                </w:p>
              </w:tc>
              <w:tc>
                <w:tcPr>
                  <w:tcW w:w="2037" w:type="dxa"/>
                  <w:vAlign w:val="center"/>
                </w:tcPr>
                <w:p w14:paraId="167B9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0.04</w:t>
                  </w:r>
                  <w:r>
                    <w:rPr>
                      <w:rFonts w:hint="default"/>
                      <w:color w:val="000000" w:themeColor="text1"/>
                      <w:sz w:val="21"/>
                      <w:szCs w:val="21"/>
                      <w:highlight w:val="none"/>
                      <w:vertAlign w:val="baseline"/>
                      <w:lang w:val="en-US" w:eastAsia="zh-CN"/>
                      <w14:textFill>
                        <w14:solidFill>
                          <w14:schemeClr w14:val="tx1"/>
                        </w14:solidFill>
                      </w14:textFill>
                    </w:rPr>
                    <w:t>×10</w:t>
                  </w:r>
                  <w:r>
                    <w:rPr>
                      <w:rFonts w:hint="eastAsia"/>
                      <w:color w:val="000000" w:themeColor="text1"/>
                      <w:sz w:val="21"/>
                      <w:szCs w:val="21"/>
                      <w:highlight w:val="none"/>
                      <w:vertAlign w:val="superscript"/>
                      <w:lang w:val="en-US" w:eastAsia="zh-CN"/>
                      <w14:textFill>
                        <w14:solidFill>
                          <w14:schemeClr w14:val="tx1"/>
                        </w14:solidFill>
                      </w14:textFill>
                    </w:rPr>
                    <w:t>-3</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2872D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0.001</w:t>
                  </w:r>
                </w:p>
              </w:tc>
              <w:tc>
                <w:tcPr>
                  <w:tcW w:w="1947" w:type="dxa"/>
                  <w:vAlign w:val="center"/>
                </w:tcPr>
                <w:p w14:paraId="5A942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092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0976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镉</w:t>
                  </w:r>
                </w:p>
              </w:tc>
              <w:tc>
                <w:tcPr>
                  <w:tcW w:w="2037" w:type="dxa"/>
                  <w:vAlign w:val="center"/>
                </w:tcPr>
                <w:p w14:paraId="2B323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w:t>
                  </w:r>
                  <w:r>
                    <w:rPr>
                      <w:rFonts w:hint="default"/>
                      <w:color w:val="000000" w:themeColor="text1"/>
                      <w:sz w:val="21"/>
                      <w:szCs w:val="21"/>
                      <w:highlight w:val="none"/>
                      <w:vertAlign w:val="baseline"/>
                      <w:lang w:val="en-US" w:eastAsia="zh-CN"/>
                      <w14:textFill>
                        <w14:solidFill>
                          <w14:schemeClr w14:val="tx1"/>
                        </w14:solidFill>
                      </w14:textFill>
                    </w:rPr>
                    <w:t>×10</w:t>
                  </w:r>
                  <w:r>
                    <w:rPr>
                      <w:rFonts w:hint="eastAsia"/>
                      <w:color w:val="000000" w:themeColor="text1"/>
                      <w:sz w:val="21"/>
                      <w:szCs w:val="21"/>
                      <w:highlight w:val="none"/>
                      <w:vertAlign w:val="superscript"/>
                      <w:lang w:val="en-US" w:eastAsia="zh-CN"/>
                      <w14:textFill>
                        <w14:solidFill>
                          <w14:schemeClr w14:val="tx1"/>
                        </w14:solidFill>
                      </w14:textFill>
                    </w:rPr>
                    <w:t>-4</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30996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0.005</w:t>
                  </w:r>
                </w:p>
              </w:tc>
              <w:tc>
                <w:tcPr>
                  <w:tcW w:w="1947" w:type="dxa"/>
                  <w:vAlign w:val="center"/>
                </w:tcPr>
                <w:p w14:paraId="127D0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E97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DFA9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铁</w:t>
                  </w:r>
                </w:p>
              </w:tc>
              <w:tc>
                <w:tcPr>
                  <w:tcW w:w="2037" w:type="dxa"/>
                  <w:vAlign w:val="center"/>
                </w:tcPr>
                <w:p w14:paraId="54038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0.02L</w:t>
                  </w:r>
                </w:p>
              </w:tc>
              <w:tc>
                <w:tcPr>
                  <w:tcW w:w="1980" w:type="dxa"/>
                  <w:vAlign w:val="center"/>
                </w:tcPr>
                <w:p w14:paraId="353B1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0.3</w:t>
                  </w:r>
                </w:p>
              </w:tc>
              <w:tc>
                <w:tcPr>
                  <w:tcW w:w="1947" w:type="dxa"/>
                  <w:vAlign w:val="center"/>
                </w:tcPr>
                <w:p w14:paraId="758B2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B88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F969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锰</w:t>
                  </w:r>
                </w:p>
              </w:tc>
              <w:tc>
                <w:tcPr>
                  <w:tcW w:w="2037" w:type="dxa"/>
                  <w:vAlign w:val="center"/>
                </w:tcPr>
                <w:p w14:paraId="10AE4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0.004L</w:t>
                  </w:r>
                </w:p>
              </w:tc>
              <w:tc>
                <w:tcPr>
                  <w:tcW w:w="1980" w:type="dxa"/>
                  <w:vAlign w:val="center"/>
                </w:tcPr>
                <w:p w14:paraId="3016E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0.10</w:t>
                  </w:r>
                </w:p>
              </w:tc>
              <w:tc>
                <w:tcPr>
                  <w:tcW w:w="1947" w:type="dxa"/>
                  <w:vAlign w:val="center"/>
                </w:tcPr>
                <w:p w14:paraId="74CB1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F72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12D2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铜</w:t>
                  </w:r>
                </w:p>
              </w:tc>
              <w:tc>
                <w:tcPr>
                  <w:tcW w:w="2037" w:type="dxa"/>
                  <w:vAlign w:val="center"/>
                </w:tcPr>
                <w:p w14:paraId="4A08C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0.006L</w:t>
                  </w:r>
                </w:p>
              </w:tc>
              <w:tc>
                <w:tcPr>
                  <w:tcW w:w="1980" w:type="dxa"/>
                  <w:vAlign w:val="center"/>
                </w:tcPr>
                <w:p w14:paraId="4BBD6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1991A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6D67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3CE3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锌</w:t>
                  </w:r>
                </w:p>
              </w:tc>
              <w:tc>
                <w:tcPr>
                  <w:tcW w:w="2037" w:type="dxa"/>
                  <w:vAlign w:val="center"/>
                </w:tcPr>
                <w:p w14:paraId="46BE5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0.004L</w:t>
                  </w:r>
                </w:p>
              </w:tc>
              <w:tc>
                <w:tcPr>
                  <w:tcW w:w="1980" w:type="dxa"/>
                  <w:vAlign w:val="center"/>
                </w:tcPr>
                <w:p w14:paraId="70909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05D82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825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7323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六价铬</w:t>
                  </w:r>
                </w:p>
              </w:tc>
              <w:tc>
                <w:tcPr>
                  <w:tcW w:w="2037" w:type="dxa"/>
                  <w:vAlign w:val="center"/>
                </w:tcPr>
                <w:p w14:paraId="47021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0.004L</w:t>
                  </w:r>
                </w:p>
              </w:tc>
              <w:tc>
                <w:tcPr>
                  <w:tcW w:w="1980" w:type="dxa"/>
                  <w:vAlign w:val="center"/>
                </w:tcPr>
                <w:p w14:paraId="46883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0.05</w:t>
                  </w:r>
                </w:p>
              </w:tc>
              <w:tc>
                <w:tcPr>
                  <w:tcW w:w="1947" w:type="dxa"/>
                  <w:vAlign w:val="center"/>
                </w:tcPr>
                <w:p w14:paraId="3BDC1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7EDD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B226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总大肠杆菌</w:t>
                  </w:r>
                </w:p>
              </w:tc>
              <w:tc>
                <w:tcPr>
                  <w:tcW w:w="2037" w:type="dxa"/>
                  <w:vAlign w:val="center"/>
                </w:tcPr>
                <w:p w14:paraId="3A3A3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未检出</w:t>
                  </w:r>
                </w:p>
              </w:tc>
              <w:tc>
                <w:tcPr>
                  <w:tcW w:w="1980" w:type="dxa"/>
                  <w:vAlign w:val="center"/>
                </w:tcPr>
                <w:p w14:paraId="42248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3.0</w:t>
                  </w:r>
                </w:p>
              </w:tc>
              <w:tc>
                <w:tcPr>
                  <w:tcW w:w="1947" w:type="dxa"/>
                  <w:vAlign w:val="center"/>
                </w:tcPr>
                <w:p w14:paraId="476DE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270F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EE82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菌落总数</w:t>
                  </w:r>
                </w:p>
              </w:tc>
              <w:tc>
                <w:tcPr>
                  <w:tcW w:w="2037" w:type="dxa"/>
                  <w:vAlign w:val="center"/>
                </w:tcPr>
                <w:p w14:paraId="65810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32</w:t>
                  </w:r>
                </w:p>
              </w:tc>
              <w:tc>
                <w:tcPr>
                  <w:tcW w:w="1980" w:type="dxa"/>
                  <w:vAlign w:val="center"/>
                </w:tcPr>
                <w:p w14:paraId="42FC7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21AD9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0.32</w:t>
                  </w:r>
                </w:p>
              </w:tc>
            </w:tr>
            <w:tr w14:paraId="7DDA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75E06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碳酸盐</w:t>
                  </w:r>
                </w:p>
              </w:tc>
              <w:tc>
                <w:tcPr>
                  <w:tcW w:w="2037" w:type="dxa"/>
                  <w:vAlign w:val="center"/>
                </w:tcPr>
                <w:p w14:paraId="024A2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5L</w:t>
                  </w:r>
                </w:p>
              </w:tc>
              <w:tc>
                <w:tcPr>
                  <w:tcW w:w="1980" w:type="dxa"/>
                  <w:vAlign w:val="center"/>
                </w:tcPr>
                <w:p w14:paraId="46979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13485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000000" w:themeColor="text1"/>
                      <w:sz w:val="21"/>
                      <w:szCs w:val="21"/>
                      <w:highlight w:val="none"/>
                      <w:vertAlign w:val="baseline"/>
                      <w:lang w:val="en-US" w:eastAsia="zh-CN"/>
                      <w14:textFill>
                        <w14:solidFill>
                          <w14:schemeClr w14:val="tx1"/>
                        </w14:solidFill>
                      </w14:textFill>
                    </w:rPr>
                  </w:pPr>
                </w:p>
              </w:tc>
            </w:tr>
            <w:tr w14:paraId="56DE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B4D9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硫化物</w:t>
                  </w:r>
                </w:p>
              </w:tc>
              <w:tc>
                <w:tcPr>
                  <w:tcW w:w="2037" w:type="dxa"/>
                  <w:vAlign w:val="center"/>
                </w:tcPr>
                <w:p w14:paraId="380C8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0.01L</w:t>
                  </w:r>
                </w:p>
              </w:tc>
              <w:tc>
                <w:tcPr>
                  <w:tcW w:w="1980" w:type="dxa"/>
                  <w:vAlign w:val="center"/>
                </w:tcPr>
                <w:p w14:paraId="23696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0.02</w:t>
                  </w:r>
                </w:p>
              </w:tc>
              <w:tc>
                <w:tcPr>
                  <w:tcW w:w="1947" w:type="dxa"/>
                  <w:vAlign w:val="center"/>
                </w:tcPr>
                <w:p w14:paraId="27B7C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0902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0349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石油类</w:t>
                  </w:r>
                </w:p>
              </w:tc>
              <w:tc>
                <w:tcPr>
                  <w:tcW w:w="2037" w:type="dxa"/>
                  <w:vAlign w:val="center"/>
                </w:tcPr>
                <w:p w14:paraId="7E6EF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0.01L</w:t>
                  </w:r>
                </w:p>
              </w:tc>
              <w:tc>
                <w:tcPr>
                  <w:tcW w:w="1980" w:type="dxa"/>
                  <w:vAlign w:val="center"/>
                </w:tcPr>
                <w:p w14:paraId="35DDE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0.05</w:t>
                  </w:r>
                </w:p>
              </w:tc>
              <w:tc>
                <w:tcPr>
                  <w:tcW w:w="1947" w:type="dxa"/>
                  <w:vAlign w:val="center"/>
                </w:tcPr>
                <w:p w14:paraId="32A34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70B3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A43B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苯并[a]芘</w:t>
                  </w:r>
                </w:p>
              </w:tc>
              <w:tc>
                <w:tcPr>
                  <w:tcW w:w="2037" w:type="dxa"/>
                  <w:vAlign w:val="center"/>
                </w:tcPr>
                <w:p w14:paraId="242C0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2.5</w:t>
                  </w:r>
                  <w:r>
                    <w:rPr>
                      <w:rFonts w:hint="default"/>
                      <w:color w:val="000000" w:themeColor="text1"/>
                      <w:sz w:val="21"/>
                      <w:szCs w:val="21"/>
                      <w:highlight w:val="none"/>
                      <w:vertAlign w:val="baseline"/>
                      <w:lang w:val="en-US" w:eastAsia="zh-CN"/>
                      <w14:textFill>
                        <w14:solidFill>
                          <w14:schemeClr w14:val="tx1"/>
                        </w14:solidFill>
                      </w14:textFill>
                    </w:rPr>
                    <w:t>×10</w:t>
                  </w:r>
                  <w:r>
                    <w:rPr>
                      <w:rFonts w:hint="eastAsia"/>
                      <w:color w:val="000000" w:themeColor="text1"/>
                      <w:sz w:val="21"/>
                      <w:szCs w:val="21"/>
                      <w:highlight w:val="none"/>
                      <w:vertAlign w:val="superscript"/>
                      <w:lang w:val="en-US" w:eastAsia="zh-CN"/>
                      <w14:textFill>
                        <w14:solidFill>
                          <w14:schemeClr w14:val="tx1"/>
                        </w14:solidFill>
                      </w14:textFill>
                    </w:rPr>
                    <w:t>-3</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28376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0.01</w:t>
                  </w:r>
                </w:p>
              </w:tc>
              <w:tc>
                <w:tcPr>
                  <w:tcW w:w="1947" w:type="dxa"/>
                  <w:vAlign w:val="center"/>
                </w:tcPr>
                <w:p w14:paraId="2BB38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DB6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392F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硫酸盐</w:t>
                  </w:r>
                </w:p>
              </w:tc>
              <w:tc>
                <w:tcPr>
                  <w:tcW w:w="2037" w:type="dxa"/>
                  <w:vAlign w:val="center"/>
                </w:tcPr>
                <w:p w14:paraId="50C7E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154</w:t>
                  </w:r>
                </w:p>
              </w:tc>
              <w:tc>
                <w:tcPr>
                  <w:tcW w:w="1980" w:type="dxa"/>
                  <w:vAlign w:val="center"/>
                </w:tcPr>
                <w:p w14:paraId="306D8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250</w:t>
                  </w:r>
                </w:p>
              </w:tc>
              <w:tc>
                <w:tcPr>
                  <w:tcW w:w="1947" w:type="dxa"/>
                  <w:vAlign w:val="center"/>
                </w:tcPr>
                <w:p w14:paraId="7A54A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0.62</w:t>
                  </w:r>
                </w:p>
              </w:tc>
            </w:tr>
            <w:tr w14:paraId="5B42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D3AF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氯化物</w:t>
                  </w:r>
                </w:p>
              </w:tc>
              <w:tc>
                <w:tcPr>
                  <w:tcW w:w="2037" w:type="dxa"/>
                  <w:vAlign w:val="center"/>
                </w:tcPr>
                <w:p w14:paraId="49899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216</w:t>
                  </w:r>
                </w:p>
              </w:tc>
              <w:tc>
                <w:tcPr>
                  <w:tcW w:w="1980" w:type="dxa"/>
                  <w:vAlign w:val="center"/>
                </w:tcPr>
                <w:p w14:paraId="45712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250</w:t>
                  </w:r>
                </w:p>
              </w:tc>
              <w:tc>
                <w:tcPr>
                  <w:tcW w:w="1947" w:type="dxa"/>
                  <w:vAlign w:val="center"/>
                </w:tcPr>
                <w:p w14:paraId="1961F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0.82</w:t>
                  </w:r>
                </w:p>
              </w:tc>
            </w:tr>
            <w:tr w14:paraId="3ABC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A8CE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苯</w:t>
                  </w:r>
                </w:p>
              </w:tc>
              <w:tc>
                <w:tcPr>
                  <w:tcW w:w="2037" w:type="dxa"/>
                  <w:vAlign w:val="center"/>
                </w:tcPr>
                <w:p w14:paraId="317F4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1.4</w:t>
                  </w:r>
                  <w:r>
                    <w:rPr>
                      <w:rFonts w:hint="default"/>
                      <w:color w:val="000000" w:themeColor="text1"/>
                      <w:sz w:val="21"/>
                      <w:szCs w:val="21"/>
                      <w:highlight w:val="none"/>
                      <w:vertAlign w:val="baseline"/>
                      <w:lang w:val="en-US" w:eastAsia="zh-CN"/>
                      <w14:textFill>
                        <w14:solidFill>
                          <w14:schemeClr w14:val="tx1"/>
                        </w14:solidFill>
                      </w14:textFill>
                    </w:rPr>
                    <w:t>×10</w:t>
                  </w:r>
                  <w:r>
                    <w:rPr>
                      <w:rFonts w:hint="eastAsia"/>
                      <w:color w:val="000000" w:themeColor="text1"/>
                      <w:sz w:val="21"/>
                      <w:szCs w:val="21"/>
                      <w:highlight w:val="none"/>
                      <w:vertAlign w:val="superscript"/>
                      <w:lang w:val="en-US" w:eastAsia="zh-CN"/>
                      <w14:textFill>
                        <w14:solidFill>
                          <w14:schemeClr w14:val="tx1"/>
                        </w14:solidFill>
                      </w14:textFill>
                    </w:rPr>
                    <w:t>-3</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30936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2A19A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6158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443A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萘</w:t>
                  </w:r>
                </w:p>
              </w:tc>
              <w:tc>
                <w:tcPr>
                  <w:tcW w:w="2037" w:type="dxa"/>
                  <w:vAlign w:val="center"/>
                </w:tcPr>
                <w:p w14:paraId="48CE6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w:t>
                  </w:r>
                  <w:r>
                    <w:rPr>
                      <w:rFonts w:hint="default"/>
                      <w:color w:val="000000" w:themeColor="text1"/>
                      <w:sz w:val="21"/>
                      <w:szCs w:val="21"/>
                      <w:highlight w:val="none"/>
                      <w:vertAlign w:val="baseline"/>
                      <w:lang w:val="en-US" w:eastAsia="zh-CN"/>
                      <w14:textFill>
                        <w14:solidFill>
                          <w14:schemeClr w14:val="tx1"/>
                        </w14:solidFill>
                      </w14:textFill>
                    </w:rPr>
                    <w:t>×10</w:t>
                  </w:r>
                  <w:r>
                    <w:rPr>
                      <w:rFonts w:hint="eastAsia"/>
                      <w:color w:val="000000" w:themeColor="text1"/>
                      <w:sz w:val="21"/>
                      <w:szCs w:val="21"/>
                      <w:highlight w:val="none"/>
                      <w:vertAlign w:val="superscript"/>
                      <w:lang w:val="en-US" w:eastAsia="zh-CN"/>
                      <w14:textFill>
                        <w14:solidFill>
                          <w14:schemeClr w14:val="tx1"/>
                        </w14:solidFill>
                      </w14:textFill>
                    </w:rPr>
                    <w:t>-3</w:t>
                  </w:r>
                  <w:r>
                    <w:rPr>
                      <w:rFonts w:hint="default"/>
                      <w:color w:val="000000" w:themeColor="text1"/>
                      <w:sz w:val="21"/>
                      <w:szCs w:val="21"/>
                      <w:highlight w:val="none"/>
                      <w:vertAlign w:val="baseline"/>
                      <w:lang w:val="en-US" w:eastAsia="zh-CN"/>
                      <w14:textFill>
                        <w14:solidFill>
                          <w14:schemeClr w14:val="tx1"/>
                        </w14:solidFill>
                      </w14:textFill>
                    </w:rPr>
                    <w:t>L</w:t>
                  </w:r>
                </w:p>
              </w:tc>
              <w:tc>
                <w:tcPr>
                  <w:tcW w:w="1980" w:type="dxa"/>
                  <w:vAlign w:val="center"/>
                </w:tcPr>
                <w:p w14:paraId="21B65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100</w:t>
                  </w:r>
                </w:p>
              </w:tc>
              <w:tc>
                <w:tcPr>
                  <w:tcW w:w="1947" w:type="dxa"/>
                  <w:vAlign w:val="center"/>
                </w:tcPr>
                <w:p w14:paraId="53B5A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25DB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1556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甲醇</w:t>
                  </w:r>
                </w:p>
              </w:tc>
              <w:tc>
                <w:tcPr>
                  <w:tcW w:w="2037" w:type="dxa"/>
                  <w:vAlign w:val="center"/>
                </w:tcPr>
                <w:p w14:paraId="2F055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0.2L</w:t>
                  </w:r>
                </w:p>
              </w:tc>
              <w:tc>
                <w:tcPr>
                  <w:tcW w:w="1980" w:type="dxa"/>
                  <w:vAlign w:val="center"/>
                </w:tcPr>
                <w:p w14:paraId="029F4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7A0ED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bl>
          <w:p w14:paraId="04A79580">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根据监测结果，监测因子均符合《地下水质量标准》 (GB/T14848- 2017)Ⅲ类标准限值。</w:t>
            </w:r>
          </w:p>
          <w:p w14:paraId="0E279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6</w:t>
            </w:r>
            <w:r>
              <w:rPr>
                <w:rFonts w:hint="eastAsia"/>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土壤</w:t>
            </w:r>
            <w:r>
              <w:rPr>
                <w:rFonts w:hint="eastAsia"/>
                <w:b/>
                <w:bCs/>
                <w:color w:val="000000" w:themeColor="text1"/>
                <w:sz w:val="21"/>
                <w:szCs w:val="21"/>
                <w:highlight w:val="none"/>
                <w14:textFill>
                  <w14:solidFill>
                    <w14:schemeClr w14:val="tx1"/>
                  </w14:solidFill>
                </w14:textFill>
              </w:rPr>
              <w:t>监测</w:t>
            </w:r>
            <w:r>
              <w:rPr>
                <w:rFonts w:hint="eastAsia"/>
                <w:b/>
                <w:bCs/>
                <w:color w:val="000000" w:themeColor="text1"/>
                <w:sz w:val="21"/>
                <w:szCs w:val="21"/>
                <w:highlight w:val="none"/>
                <w:lang w:val="en-US" w:eastAsia="zh-CN"/>
                <w14:textFill>
                  <w14:solidFill>
                    <w14:schemeClr w14:val="tx1"/>
                  </w14:solidFill>
                </w14:textFill>
              </w:rPr>
              <w:t>结果（单位：mg/kg）</w:t>
            </w:r>
          </w:p>
          <w:tbl>
            <w:tblPr>
              <w:tblStyle w:val="29"/>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037"/>
              <w:gridCol w:w="1980"/>
              <w:gridCol w:w="1947"/>
            </w:tblGrid>
            <w:tr w14:paraId="59D6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7724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监测项目</w:t>
                  </w:r>
                </w:p>
              </w:tc>
              <w:tc>
                <w:tcPr>
                  <w:tcW w:w="2037" w:type="dxa"/>
                  <w:vAlign w:val="center"/>
                </w:tcPr>
                <w:p w14:paraId="305ED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监测数据</w:t>
                  </w:r>
                </w:p>
              </w:tc>
              <w:tc>
                <w:tcPr>
                  <w:tcW w:w="1980" w:type="dxa"/>
                  <w:vAlign w:val="center"/>
                </w:tcPr>
                <w:p w14:paraId="46D17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质量标准</w:t>
                  </w:r>
                </w:p>
              </w:tc>
              <w:tc>
                <w:tcPr>
                  <w:tcW w:w="1947" w:type="dxa"/>
                  <w:vAlign w:val="center"/>
                </w:tcPr>
                <w:p w14:paraId="74F21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标准指数</w:t>
                  </w:r>
                </w:p>
              </w:tc>
            </w:tr>
            <w:tr w14:paraId="6399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5308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苯</w:t>
                  </w:r>
                </w:p>
              </w:tc>
              <w:tc>
                <w:tcPr>
                  <w:tcW w:w="2037" w:type="dxa"/>
                  <w:vAlign w:val="center"/>
                </w:tcPr>
                <w:p w14:paraId="61ECA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＜0.0019</w:t>
                  </w:r>
                </w:p>
              </w:tc>
              <w:tc>
                <w:tcPr>
                  <w:tcW w:w="1980" w:type="dxa"/>
                  <w:vAlign w:val="center"/>
                </w:tcPr>
                <w:p w14:paraId="3D262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w:t>
                  </w:r>
                </w:p>
              </w:tc>
              <w:tc>
                <w:tcPr>
                  <w:tcW w:w="1947" w:type="dxa"/>
                  <w:vAlign w:val="center"/>
                </w:tcPr>
                <w:p w14:paraId="0E523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F37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FDD4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萘</w:t>
                  </w:r>
                </w:p>
              </w:tc>
              <w:tc>
                <w:tcPr>
                  <w:tcW w:w="2037" w:type="dxa"/>
                  <w:vAlign w:val="center"/>
                </w:tcPr>
                <w:p w14:paraId="43378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＜0.09</w:t>
                  </w:r>
                </w:p>
              </w:tc>
              <w:tc>
                <w:tcPr>
                  <w:tcW w:w="1980" w:type="dxa"/>
                  <w:vAlign w:val="center"/>
                </w:tcPr>
                <w:p w14:paraId="01277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70</w:t>
                  </w:r>
                </w:p>
              </w:tc>
              <w:tc>
                <w:tcPr>
                  <w:tcW w:w="1947" w:type="dxa"/>
                  <w:vAlign w:val="center"/>
                </w:tcPr>
                <w:p w14:paraId="56895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4FD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6B678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苯并[a]芘</w:t>
                  </w:r>
                </w:p>
              </w:tc>
              <w:tc>
                <w:tcPr>
                  <w:tcW w:w="2037" w:type="dxa"/>
                  <w:vAlign w:val="center"/>
                </w:tcPr>
                <w:p w14:paraId="0E4C9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449E2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1.5</w:t>
                  </w:r>
                </w:p>
              </w:tc>
              <w:tc>
                <w:tcPr>
                  <w:tcW w:w="1947" w:type="dxa"/>
                  <w:vAlign w:val="center"/>
                </w:tcPr>
                <w:p w14:paraId="65F4A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42DB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EC93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石油烃</w:t>
                  </w:r>
                </w:p>
              </w:tc>
              <w:tc>
                <w:tcPr>
                  <w:tcW w:w="2037" w:type="dxa"/>
                  <w:vMerge w:val="restart"/>
                  <w:vAlign w:val="center"/>
                </w:tcPr>
                <w:p w14:paraId="5981F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w:t>
                  </w:r>
                </w:p>
              </w:tc>
              <w:tc>
                <w:tcPr>
                  <w:tcW w:w="1980" w:type="dxa"/>
                  <w:vAlign w:val="center"/>
                </w:tcPr>
                <w:p w14:paraId="5F440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4500</w:t>
                  </w:r>
                </w:p>
              </w:tc>
              <w:tc>
                <w:tcPr>
                  <w:tcW w:w="1947" w:type="dxa"/>
                  <w:vAlign w:val="center"/>
                </w:tcPr>
                <w:p w14:paraId="145CC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665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279F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（C</w:t>
                  </w:r>
                  <w:r>
                    <w:rPr>
                      <w:rFonts w:hint="eastAsia"/>
                      <w:color w:val="000000" w:themeColor="text1"/>
                      <w:sz w:val="21"/>
                      <w:szCs w:val="21"/>
                      <w:highlight w:val="none"/>
                      <w:vertAlign w:val="sub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w:t>
                  </w:r>
                  <w:r>
                    <w:rPr>
                      <w:rFonts w:hint="eastAsia"/>
                      <w:color w:val="000000" w:themeColor="text1"/>
                      <w:sz w:val="21"/>
                      <w:szCs w:val="21"/>
                      <w:highlight w:val="none"/>
                      <w:vertAlign w:val="subscript"/>
                      <w:lang w:val="en-US" w:eastAsia="zh-CN"/>
                      <w14:textFill>
                        <w14:solidFill>
                          <w14:schemeClr w14:val="tx1"/>
                        </w14:solidFill>
                      </w14:textFill>
                    </w:rPr>
                    <w:t>40</w:t>
                  </w:r>
                  <w:r>
                    <w:rPr>
                      <w:rFonts w:hint="eastAsia"/>
                      <w:color w:val="000000" w:themeColor="text1"/>
                      <w:sz w:val="21"/>
                      <w:szCs w:val="21"/>
                      <w:highlight w:val="none"/>
                      <w:vertAlign w:val="baseline"/>
                      <w:lang w:val="en-US" w:eastAsia="zh-CN"/>
                      <w14:textFill>
                        <w14:solidFill>
                          <w14:schemeClr w14:val="tx1"/>
                        </w14:solidFill>
                      </w14:textFill>
                    </w:rPr>
                    <w:t>)</w:t>
                  </w:r>
                </w:p>
              </w:tc>
              <w:tc>
                <w:tcPr>
                  <w:tcW w:w="2037" w:type="dxa"/>
                  <w:vMerge w:val="continue"/>
                  <w:vAlign w:val="center"/>
                </w:tcPr>
                <w:p w14:paraId="4F2D5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p>
              </w:tc>
              <w:tc>
                <w:tcPr>
                  <w:tcW w:w="1980" w:type="dxa"/>
                  <w:vAlign w:val="center"/>
                </w:tcPr>
                <w:p w14:paraId="24322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1FC15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3D64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0C99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苯酚</w:t>
                  </w:r>
                </w:p>
              </w:tc>
              <w:tc>
                <w:tcPr>
                  <w:tcW w:w="2037" w:type="dxa"/>
                  <w:vAlign w:val="center"/>
                </w:tcPr>
                <w:p w14:paraId="2266D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57BAE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135</w:t>
                  </w:r>
                </w:p>
              </w:tc>
              <w:tc>
                <w:tcPr>
                  <w:tcW w:w="1947" w:type="dxa"/>
                  <w:vAlign w:val="center"/>
                </w:tcPr>
                <w:p w14:paraId="02F37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0E7B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5FF1D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氰化物</w:t>
                  </w:r>
                </w:p>
              </w:tc>
              <w:tc>
                <w:tcPr>
                  <w:tcW w:w="2037" w:type="dxa"/>
                  <w:vAlign w:val="center"/>
                </w:tcPr>
                <w:p w14:paraId="5B809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＜0.04</w:t>
                  </w:r>
                </w:p>
              </w:tc>
              <w:tc>
                <w:tcPr>
                  <w:tcW w:w="1980" w:type="dxa"/>
                  <w:vAlign w:val="center"/>
                </w:tcPr>
                <w:p w14:paraId="4EF9D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366A2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2341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7414D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default" w:eastAsia="宋体"/>
                      <w:color w:val="000000" w:themeColor="text1"/>
                      <w:sz w:val="21"/>
                      <w:szCs w:val="21"/>
                      <w:highlight w:val="none"/>
                      <w:vertAlign w:val="baseline"/>
                      <w:lang w:val="en-US" w:eastAsia="zh-CN"/>
                      <w14:textFill>
                        <w14:solidFill>
                          <w14:schemeClr w14:val="tx1"/>
                        </w14:solidFill>
                      </w14:textFill>
                    </w:rPr>
                    <w:t>2-甲基苯酚</w:t>
                  </w:r>
                </w:p>
              </w:tc>
              <w:tc>
                <w:tcPr>
                  <w:tcW w:w="2037" w:type="dxa"/>
                  <w:vAlign w:val="center"/>
                </w:tcPr>
                <w:p w14:paraId="1E1B5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4E38D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7CA09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04EC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7ACA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eastAsia="宋体"/>
                      <w:color w:val="000000" w:themeColor="text1"/>
                      <w:sz w:val="21"/>
                      <w:szCs w:val="21"/>
                      <w:highlight w:val="none"/>
                      <w:vertAlign w:val="baseline"/>
                      <w:lang w:val="en-US" w:eastAsia="zh-CN"/>
                      <w14:textFill>
                        <w14:solidFill>
                          <w14:schemeClr w14:val="tx1"/>
                        </w14:solidFill>
                      </w14:textFill>
                    </w:rPr>
                    <w:t>4-甲基苯酚</w:t>
                  </w:r>
                </w:p>
              </w:tc>
              <w:tc>
                <w:tcPr>
                  <w:tcW w:w="2037" w:type="dxa"/>
                  <w:vAlign w:val="center"/>
                </w:tcPr>
                <w:p w14:paraId="5A4394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35C5E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030CD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050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4235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eastAsia="宋体"/>
                      <w:color w:val="000000" w:themeColor="text1"/>
                      <w:sz w:val="21"/>
                      <w:szCs w:val="21"/>
                      <w:highlight w:val="none"/>
                      <w:vertAlign w:val="baseline"/>
                      <w:lang w:val="en-US" w:eastAsia="zh-CN"/>
                      <w14:textFill>
                        <w14:solidFill>
                          <w14:schemeClr w14:val="tx1"/>
                        </w14:solidFill>
                      </w14:textFill>
                    </w:rPr>
                    <w:t>2-硝基苯酚</w:t>
                  </w:r>
                </w:p>
              </w:tc>
              <w:tc>
                <w:tcPr>
                  <w:tcW w:w="2037" w:type="dxa"/>
                  <w:vAlign w:val="center"/>
                </w:tcPr>
                <w:p w14:paraId="63522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＜0.2</w:t>
                  </w:r>
                </w:p>
              </w:tc>
              <w:tc>
                <w:tcPr>
                  <w:tcW w:w="1980" w:type="dxa"/>
                  <w:vAlign w:val="center"/>
                </w:tcPr>
                <w:p w14:paraId="40E25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74567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6572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C7C3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eastAsia="宋体"/>
                      <w:color w:val="000000" w:themeColor="text1"/>
                      <w:sz w:val="21"/>
                      <w:szCs w:val="21"/>
                      <w:highlight w:val="none"/>
                      <w:vertAlign w:val="baseline"/>
                      <w:lang w:val="en-US" w:eastAsia="zh-CN"/>
                      <w14:textFill>
                        <w14:solidFill>
                          <w14:schemeClr w14:val="tx1"/>
                        </w14:solidFill>
                      </w14:textFill>
                    </w:rPr>
                    <w:t>2 ,4-二甲基苯酚</w:t>
                  </w:r>
                </w:p>
              </w:tc>
              <w:tc>
                <w:tcPr>
                  <w:tcW w:w="2037" w:type="dxa"/>
                  <w:vAlign w:val="center"/>
                </w:tcPr>
                <w:p w14:paraId="25138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＜0.09</w:t>
                  </w:r>
                </w:p>
              </w:tc>
              <w:tc>
                <w:tcPr>
                  <w:tcW w:w="1980" w:type="dxa"/>
                  <w:vAlign w:val="center"/>
                </w:tcPr>
                <w:p w14:paraId="0287A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52F68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4EDC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426C1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2 ,4-二氯苯酚</w:t>
                  </w:r>
                </w:p>
              </w:tc>
              <w:tc>
                <w:tcPr>
                  <w:tcW w:w="2037" w:type="dxa"/>
                  <w:vAlign w:val="center"/>
                </w:tcPr>
                <w:p w14:paraId="6753D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＜0.07</w:t>
                  </w:r>
                </w:p>
              </w:tc>
              <w:tc>
                <w:tcPr>
                  <w:tcW w:w="1980" w:type="dxa"/>
                  <w:vAlign w:val="center"/>
                </w:tcPr>
                <w:p w14:paraId="5B2F0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0A96E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7C0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D95F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4-氯-3-甲基苯酚</w:t>
                  </w:r>
                </w:p>
              </w:tc>
              <w:tc>
                <w:tcPr>
                  <w:tcW w:w="2037" w:type="dxa"/>
                  <w:vAlign w:val="center"/>
                </w:tcPr>
                <w:p w14:paraId="6251C6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＜0.06</w:t>
                  </w:r>
                </w:p>
              </w:tc>
              <w:tc>
                <w:tcPr>
                  <w:tcW w:w="1980" w:type="dxa"/>
                  <w:vAlign w:val="center"/>
                </w:tcPr>
                <w:p w14:paraId="0B0E5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21409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03D4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3A14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2,4,6-三氯苯酚</w:t>
                  </w:r>
                </w:p>
              </w:tc>
              <w:tc>
                <w:tcPr>
                  <w:tcW w:w="2037" w:type="dxa"/>
                  <w:vAlign w:val="center"/>
                </w:tcPr>
                <w:p w14:paraId="4E3D1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1F43A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4B67C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A25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AD62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2,4,5-三氯苯酚</w:t>
                  </w:r>
                </w:p>
              </w:tc>
              <w:tc>
                <w:tcPr>
                  <w:tcW w:w="2037" w:type="dxa"/>
                  <w:vAlign w:val="center"/>
                </w:tcPr>
                <w:p w14:paraId="5B4FC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35E04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133A4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114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DD6F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2 ,4-二硝基苯酚</w:t>
                  </w:r>
                </w:p>
              </w:tc>
              <w:tc>
                <w:tcPr>
                  <w:tcW w:w="2037" w:type="dxa"/>
                  <w:vAlign w:val="center"/>
                </w:tcPr>
                <w:p w14:paraId="6ABD5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3F98A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7BD85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1984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0517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4-硝基苯酚</w:t>
                  </w:r>
                </w:p>
              </w:tc>
              <w:tc>
                <w:tcPr>
                  <w:tcW w:w="2037" w:type="dxa"/>
                  <w:vAlign w:val="center"/>
                </w:tcPr>
                <w:p w14:paraId="55E06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＜0.09</w:t>
                  </w:r>
                </w:p>
              </w:tc>
              <w:tc>
                <w:tcPr>
                  <w:tcW w:w="1980" w:type="dxa"/>
                  <w:vAlign w:val="center"/>
                </w:tcPr>
                <w:p w14:paraId="266CB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20F5D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4023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97FA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4,6-二硝基-2-甲基苯酚</w:t>
                  </w:r>
                </w:p>
              </w:tc>
              <w:tc>
                <w:tcPr>
                  <w:tcW w:w="2037" w:type="dxa"/>
                  <w:vAlign w:val="center"/>
                </w:tcPr>
                <w:p w14:paraId="20B86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w:t>
                  </w:r>
                </w:p>
              </w:tc>
              <w:tc>
                <w:tcPr>
                  <w:tcW w:w="1980" w:type="dxa"/>
                  <w:vAlign w:val="center"/>
                </w:tcPr>
                <w:p w14:paraId="101E3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4953E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77C4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3900CE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2 ,4 ,6-三溴苯酚(替代物)</w:t>
                  </w:r>
                </w:p>
              </w:tc>
              <w:tc>
                <w:tcPr>
                  <w:tcW w:w="2037" w:type="dxa"/>
                  <w:vAlign w:val="center"/>
                </w:tcPr>
                <w:p w14:paraId="6DDB8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＜0.2</w:t>
                  </w:r>
                </w:p>
              </w:tc>
              <w:tc>
                <w:tcPr>
                  <w:tcW w:w="1980" w:type="dxa"/>
                  <w:vAlign w:val="center"/>
                </w:tcPr>
                <w:p w14:paraId="66397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06482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r w14:paraId="5C2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7AE95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五氯苯酚</w:t>
                  </w:r>
                </w:p>
              </w:tc>
              <w:tc>
                <w:tcPr>
                  <w:tcW w:w="2037" w:type="dxa"/>
                  <w:vAlign w:val="center"/>
                </w:tcPr>
                <w:p w14:paraId="17141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＜0.2</w:t>
                  </w:r>
                </w:p>
              </w:tc>
              <w:tc>
                <w:tcPr>
                  <w:tcW w:w="1980" w:type="dxa"/>
                  <w:vAlign w:val="center"/>
                </w:tcPr>
                <w:p w14:paraId="57BE6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c>
                <w:tcPr>
                  <w:tcW w:w="1947" w:type="dxa"/>
                  <w:vAlign w:val="center"/>
                </w:tcPr>
                <w:p w14:paraId="36C69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w:t>
                  </w:r>
                </w:p>
              </w:tc>
            </w:tr>
          </w:tbl>
          <w:p w14:paraId="1C7B0167">
            <w:pPr>
              <w:keepNext w:val="0"/>
              <w:keepLines w:val="0"/>
              <w:suppressLineNumbers w:val="0"/>
              <w:spacing w:before="0" w:beforeAutospacing="0" w:after="0" w:afterAutospacing="0"/>
              <w:ind w:left="0" w:right="0" w:firstLine="48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根据监测结果，监测结果均低于《土壤环境质量 农用地土壤污染风险管控标准(试行)》筛选值标准，同时监测结果的标准指数均远小于 1，说明区内土壤环境较好。</w:t>
            </w:r>
          </w:p>
        </w:tc>
      </w:tr>
      <w:tr w14:paraId="42A99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ign w:val="center"/>
          </w:tcPr>
          <w:p w14:paraId="6CA29FBC">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w:t>
            </w:r>
          </w:p>
          <w:p w14:paraId="5A9F44B1">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境</w:t>
            </w:r>
          </w:p>
          <w:p w14:paraId="437BBD5F">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保</w:t>
            </w:r>
          </w:p>
          <w:p w14:paraId="74BCE03C">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护</w:t>
            </w:r>
          </w:p>
          <w:p w14:paraId="7FDB7F7F">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目</w:t>
            </w:r>
          </w:p>
          <w:p w14:paraId="0A3A28A1">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标</w:t>
            </w:r>
          </w:p>
        </w:tc>
        <w:tc>
          <w:tcPr>
            <w:tcW w:w="8190" w:type="dxa"/>
            <w:noWrap/>
            <w:vAlign w:val="center"/>
          </w:tcPr>
          <w:p w14:paraId="5D2C9253">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snapToGrid w:val="0"/>
                <w:color w:val="000000" w:themeColor="text1"/>
                <w:szCs w:val="24"/>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hint="default" w:ascii="Times New Roman" w:hAnsi="Times New Roman"/>
                <w:color w:val="000000" w:themeColor="text1"/>
                <w:highlight w:val="none"/>
                <w14:textFill>
                  <w14:solidFill>
                    <w14:schemeClr w14:val="tx1"/>
                  </w14:solidFill>
                </w14:textFill>
              </w:rPr>
              <w:t>大气环境：本</w:t>
            </w:r>
            <w:r>
              <w:rPr>
                <w:rFonts w:hint="default" w:ascii="Times New Roman" w:hAnsi="Times New Roman"/>
                <w:snapToGrid w:val="0"/>
                <w:color w:val="000000" w:themeColor="text1"/>
                <w:szCs w:val="24"/>
                <w:highlight w:val="none"/>
                <w14:textFill>
                  <w14:solidFill>
                    <w14:schemeClr w14:val="tx1"/>
                  </w14:solidFill>
                </w14:textFill>
              </w:rPr>
              <w:t>项目</w:t>
            </w:r>
            <w:r>
              <w:rPr>
                <w:rFonts w:hint="default" w:ascii="Times New Roman" w:hAnsi="Times New Roman"/>
                <w:color w:val="000000" w:themeColor="text1"/>
                <w:highlight w:val="none"/>
                <w14:textFill>
                  <w14:solidFill>
                    <w14:schemeClr w14:val="tx1"/>
                  </w14:solidFill>
                </w14:textFill>
              </w:rPr>
              <w:t>位于</w:t>
            </w:r>
            <w:r>
              <w:rPr>
                <w:rFonts w:hint="default"/>
                <w:color w:val="000000" w:themeColor="text1"/>
                <w:highlight w:val="none"/>
                <w14:textFill>
                  <w14:solidFill>
                    <w14:schemeClr w14:val="tx1"/>
                  </w14:solidFill>
                </w14:textFill>
              </w:rPr>
              <w:t>甘其毛都口岸加工园区神华巴彦淖尔能源有限责任公司焦化厂厂区</w:t>
            </w:r>
            <w:r>
              <w:rPr>
                <w:rFonts w:hint="eastAsia"/>
                <w:color w:val="000000" w:themeColor="text1"/>
                <w:highlight w:val="none"/>
                <w:lang w:val="en-US" w:eastAsia="zh-CN"/>
                <w14:textFill>
                  <w14:solidFill>
                    <w14:schemeClr w14:val="tx1"/>
                  </w14:solidFill>
                </w14:textFill>
              </w:rPr>
              <w:t>内</w:t>
            </w:r>
            <w:r>
              <w:rPr>
                <w:rFonts w:hint="default" w:ascii="Times New Roman" w:hAnsi="Times New Roman"/>
                <w:snapToGrid w:val="0"/>
                <w:color w:val="000000" w:themeColor="text1"/>
                <w:szCs w:val="24"/>
                <w:highlight w:val="none"/>
                <w14:textFill>
                  <w14:solidFill>
                    <w14:schemeClr w14:val="tx1"/>
                  </w14:solidFill>
                </w14:textFill>
              </w:rPr>
              <w:t>，厂界外500m范围内不存在自然保护区、风景名胜区、文化区和农村地区中人群较集中的区域等保护目标。</w:t>
            </w:r>
          </w:p>
          <w:p w14:paraId="7D640233">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snapToGrid w:val="0"/>
                <w:color w:val="000000" w:themeColor="text1"/>
                <w:szCs w:val="24"/>
                <w:highlight w:val="none"/>
                <w14:textFill>
                  <w14:solidFill>
                    <w14:schemeClr w14:val="tx1"/>
                  </w14:solidFill>
                </w14:textFill>
              </w:rPr>
            </w:pPr>
            <w:r>
              <w:rPr>
                <w:rFonts w:hint="default" w:ascii="Times New Roman" w:hAnsi="Times New Roman"/>
                <w:snapToGrid w:val="0"/>
                <w:color w:val="000000" w:themeColor="text1"/>
                <w:szCs w:val="24"/>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hint="default" w:ascii="Times New Roman" w:hAnsi="Times New Roman"/>
                <w:snapToGrid w:val="0"/>
                <w:color w:val="000000" w:themeColor="text1"/>
                <w:szCs w:val="24"/>
                <w:highlight w:val="none"/>
                <w14:textFill>
                  <w14:solidFill>
                    <w14:schemeClr w14:val="tx1"/>
                  </w14:solidFill>
                </w14:textFill>
              </w:rPr>
              <w:t>声环境：本项目厂界外50m范围内不存在声环境敏感目标。</w:t>
            </w:r>
          </w:p>
          <w:p w14:paraId="61D7295A">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snapToGrid w:val="0"/>
                <w:color w:val="000000" w:themeColor="text1"/>
                <w:szCs w:val="24"/>
                <w:highlight w:val="none"/>
                <w14:textFill>
                  <w14:solidFill>
                    <w14:schemeClr w14:val="tx1"/>
                  </w14:solidFill>
                </w14:textFill>
              </w:rPr>
            </w:pPr>
            <w:r>
              <w:rPr>
                <w:rFonts w:hint="default" w:ascii="Times New Roman" w:hAnsi="Times New Roman"/>
                <w:snapToGrid w:val="0"/>
                <w:color w:val="000000" w:themeColor="text1"/>
                <w:szCs w:val="24"/>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w:t>
            </w:r>
            <w:r>
              <w:rPr>
                <w:rFonts w:hint="default" w:ascii="Times New Roman" w:hAnsi="Times New Roman"/>
                <w:snapToGrid w:val="0"/>
                <w:color w:val="000000" w:themeColor="text1"/>
                <w:szCs w:val="24"/>
                <w:highlight w:val="none"/>
                <w14:textFill>
                  <w14:solidFill>
                    <w14:schemeClr w14:val="tx1"/>
                  </w14:solidFill>
                </w14:textFill>
              </w:rPr>
              <w:t>地下水环境：本项目厂界外500m范围内不存在地下水集中式饮用水水源和蒸汽、矿泉水、温泉等地下水环境敏感目标。</w:t>
            </w:r>
          </w:p>
          <w:p w14:paraId="779FA8C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snapToGrid w:val="0"/>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w:t>
            </w:r>
            <w:r>
              <w:rPr>
                <w:rFonts w:hint="default"/>
                <w:snapToGrid w:val="0"/>
                <w:color w:val="000000" w:themeColor="text1"/>
                <w:highlight w:val="none"/>
                <w14:textFill>
                  <w14:solidFill>
                    <w14:schemeClr w14:val="tx1"/>
                  </w14:solidFill>
                </w14:textFill>
              </w:rPr>
              <w:t>项目在园区内建设，不属于产业园区外建设项目，无生态环境保护目标。</w:t>
            </w:r>
          </w:p>
        </w:tc>
      </w:tr>
      <w:tr w14:paraId="6BC86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tcMar>
              <w:left w:w="28" w:type="dxa"/>
              <w:right w:w="28" w:type="dxa"/>
            </w:tcMar>
            <w:vAlign w:val="center"/>
          </w:tcPr>
          <w:p w14:paraId="70FFFE8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w:t>
            </w:r>
          </w:p>
          <w:p w14:paraId="324EDF27">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染</w:t>
            </w:r>
          </w:p>
          <w:p w14:paraId="345D0AB2">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w:t>
            </w:r>
          </w:p>
          <w:p w14:paraId="3BF70533">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排</w:t>
            </w:r>
          </w:p>
          <w:p w14:paraId="32361772">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w:t>
            </w:r>
          </w:p>
          <w:p w14:paraId="2A35CAF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w:t>
            </w:r>
          </w:p>
          <w:p w14:paraId="3B547DBB">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w:t>
            </w:r>
          </w:p>
          <w:p w14:paraId="5DF53B4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标</w:t>
            </w:r>
          </w:p>
          <w:p w14:paraId="3778638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190" w:type="dxa"/>
            <w:noWrap/>
            <w:vAlign w:val="center"/>
          </w:tcPr>
          <w:p w14:paraId="14F356DB">
            <w:pPr>
              <w:pStyle w:val="24"/>
              <w:keepNext w:val="0"/>
              <w:keepLines w:val="0"/>
              <w:numPr>
                <w:ilvl w:val="0"/>
                <w:numId w:val="7"/>
              </w:numPr>
              <w:suppressLineNumbers w:val="0"/>
              <w:spacing w:before="0" w:beforeAutospacing="0" w:after="0" w:afterAutospacing="0"/>
              <w:ind w:left="0" w:right="0" w:firstLine="482"/>
              <w:jc w:val="both"/>
              <w:outlineLvl w:val="0"/>
              <w:rPr>
                <w:rFonts w:hint="default" w:ascii="Times New Roman" w:hAnsi="Times New Roman"/>
                <w:b/>
                <w:bCs/>
                <w:snapToGrid w:val="0"/>
                <w:color w:val="000000" w:themeColor="text1"/>
                <w:szCs w:val="24"/>
                <w:highlight w:val="none"/>
                <w14:textFill>
                  <w14:solidFill>
                    <w14:schemeClr w14:val="tx1"/>
                  </w14:solidFill>
                </w14:textFill>
              </w:rPr>
            </w:pPr>
            <w:r>
              <w:rPr>
                <w:rFonts w:hint="eastAsia" w:ascii="Times New Roman" w:hAnsi="Times New Roman"/>
                <w:b/>
                <w:bCs/>
                <w:snapToGrid w:val="0"/>
                <w:color w:val="000000" w:themeColor="text1"/>
                <w:szCs w:val="24"/>
                <w:highlight w:val="none"/>
                <w14:textFill>
                  <w14:solidFill>
                    <w14:schemeClr w14:val="tx1"/>
                  </w14:solidFill>
                </w14:textFill>
              </w:rPr>
              <w:t>废气排放标准</w:t>
            </w:r>
          </w:p>
          <w:p w14:paraId="120B7A4A">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snapToGrid w:val="0"/>
                <w:color w:val="000000" w:themeColor="text1"/>
                <w:szCs w:val="24"/>
                <w:highlight w:val="none"/>
                <w14:textFill>
                  <w14:solidFill>
                    <w14:schemeClr w14:val="tx1"/>
                  </w14:solidFill>
                </w14:textFill>
              </w:rPr>
            </w:pPr>
            <w:r>
              <w:rPr>
                <w:rFonts w:hint="default" w:ascii="Times New Roman" w:hAnsi="Times New Roman"/>
                <w:snapToGrid w:val="0"/>
                <w:color w:val="000000" w:themeColor="text1"/>
                <w:szCs w:val="24"/>
                <w:highlight w:val="none"/>
                <w14:textFill>
                  <w14:solidFill>
                    <w14:schemeClr w14:val="tx1"/>
                  </w14:solidFill>
                </w14:textFill>
              </w:rPr>
              <w:t>本项目运营期废气主要为</w:t>
            </w:r>
            <w:r>
              <w:rPr>
                <w:rFonts w:hint="eastAsia" w:ascii="Times New Roman" w:hAnsi="Times New Roman"/>
                <w:snapToGrid w:val="0"/>
                <w:color w:val="000000" w:themeColor="text1"/>
                <w:szCs w:val="24"/>
                <w:highlight w:val="none"/>
                <w14:textFill>
                  <w14:solidFill>
                    <w14:schemeClr w14:val="tx1"/>
                  </w14:solidFill>
                </w14:textFill>
              </w:rPr>
              <w:t>物料装卸时</w:t>
            </w:r>
            <w:r>
              <w:rPr>
                <w:rFonts w:hint="eastAsia" w:ascii="Times New Roman" w:hAnsi="Times New Roman"/>
                <w:snapToGrid w:val="0"/>
                <w:color w:val="000000" w:themeColor="text1"/>
                <w:szCs w:val="24"/>
                <w:highlight w:val="none"/>
                <w:lang w:val="en-US" w:eastAsia="zh-CN"/>
                <w14:textFill>
                  <w14:solidFill>
                    <w14:schemeClr w14:val="tx1"/>
                  </w14:solidFill>
                </w14:textFill>
              </w:rPr>
              <w:t>产生的颗粒物</w:t>
            </w:r>
            <w:r>
              <w:rPr>
                <w:rFonts w:hint="eastAsia" w:ascii="Times New Roman" w:hAnsi="Times New Roman"/>
                <w:snapToGrid w:val="0"/>
                <w:color w:val="000000" w:themeColor="text1"/>
                <w:szCs w:val="24"/>
                <w:highlight w:val="none"/>
                <w14:textFill>
                  <w14:solidFill>
                    <w14:schemeClr w14:val="tx1"/>
                  </w14:solidFill>
                </w14:textFill>
              </w:rPr>
              <w:t>和</w:t>
            </w:r>
            <w:r>
              <w:rPr>
                <w:rFonts w:hint="eastAsia" w:ascii="Times New Roman" w:hAnsi="Times New Roman"/>
                <w:snapToGrid w:val="0"/>
                <w:color w:val="000000" w:themeColor="text1"/>
                <w:szCs w:val="24"/>
                <w:highlight w:val="none"/>
                <w:lang w:val="en-US" w:eastAsia="zh-CN"/>
                <w14:textFill>
                  <w14:solidFill>
                    <w14:schemeClr w14:val="tx1"/>
                  </w14:solidFill>
                </w14:textFill>
              </w:rPr>
              <w:t>物料堆存过程产生的少量硫化氢，厂界颗粒物及硫化氢均执行《炼焦化学工业污染物排放标准》(GB16171-2012)中表7现有和新建炼焦炉炉顶及企业边界大气污染物浓度限值。</w:t>
            </w:r>
            <w:r>
              <w:rPr>
                <w:rFonts w:hint="default" w:ascii="Times New Roman" w:hAnsi="Times New Roman"/>
                <w:snapToGrid w:val="0"/>
                <w:color w:val="000000" w:themeColor="text1"/>
                <w:szCs w:val="24"/>
                <w:highlight w:val="none"/>
                <w14:textFill>
                  <w14:solidFill>
                    <w14:schemeClr w14:val="tx1"/>
                  </w14:solidFill>
                </w14:textFill>
              </w:rPr>
              <w:t>具体标准限值见下表。</w:t>
            </w:r>
          </w:p>
          <w:p w14:paraId="5807731B">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rFonts w:hint="eastAsia"/>
                <w:b/>
                <w:bCs/>
                <w:color w:val="000000" w:themeColor="text1"/>
                <w:sz w:val="21"/>
                <w:szCs w:val="21"/>
                <w:highlight w:val="none"/>
                <w:lang w:val="en-US" w:eastAsia="zh-CN"/>
                <w14:textFill>
                  <w14:solidFill>
                    <w14:schemeClr w14:val="tx1"/>
                  </w14:solidFill>
                </w14:textFill>
              </w:rPr>
              <w:t xml:space="preserve">7 </w:t>
            </w:r>
            <w:r>
              <w:rPr>
                <w:rFonts w:hint="eastAsia" w:ascii="宋体" w:hAnsi="宋体" w:eastAsia="宋体" w:cs="宋体"/>
                <w:b/>
                <w:bCs/>
                <w:color w:val="000000" w:themeColor="text1"/>
                <w:kern w:val="0"/>
                <w:sz w:val="21"/>
                <w:szCs w:val="21"/>
                <w:highlight w:val="none"/>
                <w14:textFill>
                  <w14:solidFill>
                    <w14:schemeClr w14:val="tx1"/>
                  </w14:solidFill>
                </w14:textFill>
              </w:rPr>
              <w:t>《炼焦化学工业污染物排放标准》(GB16171-2012)</w:t>
            </w:r>
            <w:r>
              <w:rPr>
                <w:rFonts w:hint="default"/>
                <w:b/>
                <w:bCs/>
                <w:color w:val="000000" w:themeColor="text1"/>
                <w:sz w:val="21"/>
                <w:szCs w:val="21"/>
                <w:highlight w:val="none"/>
                <w14:textFill>
                  <w14:solidFill>
                    <w14:schemeClr w14:val="tx1"/>
                  </w14:solidFill>
                </w14:textFill>
              </w:rPr>
              <w:t xml:space="preserve">    单位：mg/m</w:t>
            </w:r>
            <w:r>
              <w:rPr>
                <w:rFonts w:hint="default"/>
                <w:b/>
                <w:bCs/>
                <w:color w:val="000000" w:themeColor="text1"/>
                <w:sz w:val="21"/>
                <w:szCs w:val="21"/>
                <w:highlight w:val="none"/>
                <w:vertAlign w:val="superscript"/>
                <w14:textFill>
                  <w14:solidFill>
                    <w14:schemeClr w14:val="tx1"/>
                  </w14:solidFill>
                </w14:textFill>
              </w:rPr>
              <w:t>3</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901"/>
              <w:gridCol w:w="1901"/>
              <w:gridCol w:w="2500"/>
            </w:tblGrid>
            <w:tr w14:paraId="4B231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33" w:type="pct"/>
                  <w:tcBorders>
                    <w:tl2br w:val="nil"/>
                    <w:tr2bl w:val="nil"/>
                  </w:tcBorders>
                  <w:vAlign w:val="center"/>
                </w:tcPr>
                <w:p w14:paraId="4E968BD2">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default" w:eastAsia="Times New Roman"/>
                      <w:b/>
                      <w:bCs/>
                      <w:color w:val="000000" w:themeColor="text1"/>
                      <w:spacing w:val="2"/>
                      <w:szCs w:val="21"/>
                      <w:highlight w:val="none"/>
                      <w14:textFill>
                        <w14:solidFill>
                          <w14:schemeClr w14:val="tx1"/>
                        </w14:solidFill>
                      </w14:textFill>
                    </w:rPr>
                  </w:pPr>
                  <w:r>
                    <w:rPr>
                      <w:rFonts w:hint="default" w:eastAsia="Times New Roman"/>
                      <w:b/>
                      <w:bCs/>
                      <w:color w:val="000000" w:themeColor="text1"/>
                      <w:spacing w:val="2"/>
                      <w:szCs w:val="21"/>
                      <w:highlight w:val="none"/>
                      <w14:textFill>
                        <w14:solidFill>
                          <w14:schemeClr w14:val="tx1"/>
                        </w14:solidFill>
                      </w14:textFill>
                    </w:rPr>
                    <w:t>污染物项目</w:t>
                  </w:r>
                </w:p>
              </w:tc>
              <w:tc>
                <w:tcPr>
                  <w:tcW w:w="1196" w:type="pct"/>
                  <w:tcBorders>
                    <w:tl2br w:val="nil"/>
                    <w:tr2bl w:val="nil"/>
                  </w:tcBorders>
                  <w:vAlign w:val="center"/>
                </w:tcPr>
                <w:p w14:paraId="1A25F0C3">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eastAsia" w:eastAsia="宋体"/>
                      <w:b/>
                      <w:bCs/>
                      <w:color w:val="000000" w:themeColor="text1"/>
                      <w:spacing w:val="2"/>
                      <w:szCs w:val="21"/>
                      <w:highlight w:val="none"/>
                      <w:lang w:eastAsia="zh-CN"/>
                      <w14:textFill>
                        <w14:solidFill>
                          <w14:schemeClr w14:val="tx1"/>
                        </w14:solidFill>
                      </w14:textFill>
                    </w:rPr>
                  </w:pPr>
                  <w:r>
                    <w:rPr>
                      <w:rFonts w:hint="eastAsia" w:eastAsia="宋体"/>
                      <w:b/>
                      <w:bCs/>
                      <w:color w:val="000000" w:themeColor="text1"/>
                      <w:spacing w:val="2"/>
                      <w:szCs w:val="21"/>
                      <w:highlight w:val="none"/>
                      <w:lang w:val="en-US" w:eastAsia="zh-CN"/>
                      <w14:textFill>
                        <w14:solidFill>
                          <w14:schemeClr w14:val="tx1"/>
                        </w14:solidFill>
                      </w14:textFill>
                    </w:rPr>
                    <w:t>颗粒物</w:t>
                  </w:r>
                </w:p>
              </w:tc>
              <w:tc>
                <w:tcPr>
                  <w:tcW w:w="1196" w:type="pct"/>
                  <w:tcBorders>
                    <w:tl2br w:val="nil"/>
                    <w:tr2bl w:val="nil"/>
                  </w:tcBorders>
                  <w:vAlign w:val="center"/>
                </w:tcPr>
                <w:p w14:paraId="4FB535EF">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eastAsia" w:eastAsia="宋体"/>
                      <w:b/>
                      <w:bCs/>
                      <w:color w:val="000000" w:themeColor="text1"/>
                      <w:spacing w:val="2"/>
                      <w:szCs w:val="21"/>
                      <w:highlight w:val="none"/>
                      <w:lang w:eastAsia="zh-CN"/>
                      <w14:textFill>
                        <w14:solidFill>
                          <w14:schemeClr w14:val="tx1"/>
                        </w14:solidFill>
                      </w14:textFill>
                    </w:rPr>
                  </w:pPr>
                  <w:r>
                    <w:rPr>
                      <w:rFonts w:hint="eastAsia" w:eastAsia="宋体"/>
                      <w:b/>
                      <w:bCs/>
                      <w:color w:val="000000" w:themeColor="text1"/>
                      <w:spacing w:val="2"/>
                      <w:szCs w:val="21"/>
                      <w:highlight w:val="none"/>
                      <w:lang w:val="en-US" w:eastAsia="zh-CN"/>
                      <w14:textFill>
                        <w14:solidFill>
                          <w14:schemeClr w14:val="tx1"/>
                        </w14:solidFill>
                      </w14:textFill>
                    </w:rPr>
                    <w:t>硫化氢</w:t>
                  </w:r>
                </w:p>
              </w:tc>
              <w:tc>
                <w:tcPr>
                  <w:tcW w:w="1573" w:type="pct"/>
                  <w:tcBorders>
                    <w:tl2br w:val="nil"/>
                    <w:tr2bl w:val="nil"/>
                  </w:tcBorders>
                  <w:vAlign w:val="center"/>
                </w:tcPr>
                <w:p w14:paraId="7E1B0CB1">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default" w:eastAsia="Times New Roman"/>
                      <w:b/>
                      <w:bCs/>
                      <w:color w:val="000000" w:themeColor="text1"/>
                      <w:spacing w:val="2"/>
                      <w:szCs w:val="21"/>
                      <w:highlight w:val="none"/>
                      <w14:textFill>
                        <w14:solidFill>
                          <w14:schemeClr w14:val="tx1"/>
                        </w14:solidFill>
                      </w14:textFill>
                    </w:rPr>
                  </w:pPr>
                  <w:r>
                    <w:rPr>
                      <w:rFonts w:hint="default" w:eastAsia="Times New Roman"/>
                      <w:b/>
                      <w:bCs/>
                      <w:color w:val="000000" w:themeColor="text1"/>
                      <w:spacing w:val="2"/>
                      <w:szCs w:val="21"/>
                      <w:highlight w:val="none"/>
                      <w14:textFill>
                        <w14:solidFill>
                          <w14:schemeClr w14:val="tx1"/>
                        </w14:solidFill>
                      </w14:textFill>
                    </w:rPr>
                    <w:t>排放监控位置</w:t>
                  </w:r>
                </w:p>
              </w:tc>
            </w:tr>
            <w:tr w14:paraId="7E5AA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3" w:type="pct"/>
                  <w:tcBorders>
                    <w:tl2br w:val="nil"/>
                    <w:tr2bl w:val="nil"/>
                  </w:tcBorders>
                  <w:vAlign w:val="center"/>
                </w:tcPr>
                <w:p w14:paraId="03FD9691">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default" w:eastAsia="宋体"/>
                      <w:color w:val="000000" w:themeColor="text1"/>
                      <w:spacing w:val="2"/>
                      <w:szCs w:val="21"/>
                      <w:highlight w:val="none"/>
                      <w:lang w:val="en-US" w:eastAsia="zh-CN"/>
                      <w14:textFill>
                        <w14:solidFill>
                          <w14:schemeClr w14:val="tx1"/>
                        </w14:solidFill>
                      </w14:textFill>
                    </w:rPr>
                  </w:pPr>
                  <w:r>
                    <w:rPr>
                      <w:rFonts w:hint="eastAsia" w:eastAsia="宋体"/>
                      <w:color w:val="000000" w:themeColor="text1"/>
                      <w:spacing w:val="2"/>
                      <w:szCs w:val="21"/>
                      <w:highlight w:val="none"/>
                      <w:lang w:val="en-US" w:eastAsia="zh-CN"/>
                      <w14:textFill>
                        <w14:solidFill>
                          <w14:schemeClr w14:val="tx1"/>
                        </w14:solidFill>
                      </w14:textFill>
                    </w:rPr>
                    <w:t>浓度限制</w:t>
                  </w:r>
                </w:p>
              </w:tc>
              <w:tc>
                <w:tcPr>
                  <w:tcW w:w="1196" w:type="pct"/>
                  <w:tcBorders>
                    <w:tl2br w:val="nil"/>
                    <w:tr2bl w:val="nil"/>
                  </w:tcBorders>
                  <w:vAlign w:val="center"/>
                </w:tcPr>
                <w:p w14:paraId="744F5B6C">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default" w:eastAsia="宋体"/>
                      <w:color w:val="000000" w:themeColor="text1"/>
                      <w:spacing w:val="2"/>
                      <w:szCs w:val="21"/>
                      <w:highlight w:val="none"/>
                      <w:lang w:val="en-US" w:eastAsia="zh-CN"/>
                      <w14:textFill>
                        <w14:solidFill>
                          <w14:schemeClr w14:val="tx1"/>
                        </w14:solidFill>
                      </w14:textFill>
                    </w:rPr>
                  </w:pPr>
                  <w:r>
                    <w:rPr>
                      <w:rFonts w:hint="eastAsia" w:eastAsia="宋体"/>
                      <w:color w:val="000000" w:themeColor="text1"/>
                      <w:spacing w:val="2"/>
                      <w:szCs w:val="21"/>
                      <w:highlight w:val="none"/>
                      <w:lang w:val="en-US" w:eastAsia="zh-CN"/>
                      <w14:textFill>
                        <w14:solidFill>
                          <w14:schemeClr w14:val="tx1"/>
                        </w14:solidFill>
                      </w14:textFill>
                    </w:rPr>
                    <w:t>1.0</w:t>
                  </w:r>
                </w:p>
              </w:tc>
              <w:tc>
                <w:tcPr>
                  <w:tcW w:w="1196" w:type="pct"/>
                  <w:tcBorders>
                    <w:tl2br w:val="nil"/>
                    <w:tr2bl w:val="nil"/>
                  </w:tcBorders>
                  <w:vAlign w:val="center"/>
                </w:tcPr>
                <w:p w14:paraId="4B45E47F">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default" w:eastAsia="宋体"/>
                      <w:color w:val="000000" w:themeColor="text1"/>
                      <w:spacing w:val="2"/>
                      <w:szCs w:val="21"/>
                      <w:highlight w:val="none"/>
                      <w:lang w:val="en-US" w:eastAsia="zh-CN"/>
                      <w14:textFill>
                        <w14:solidFill>
                          <w14:schemeClr w14:val="tx1"/>
                        </w14:solidFill>
                      </w14:textFill>
                    </w:rPr>
                  </w:pPr>
                  <w:r>
                    <w:rPr>
                      <w:rFonts w:hint="eastAsia" w:eastAsia="宋体"/>
                      <w:color w:val="000000" w:themeColor="text1"/>
                      <w:spacing w:val="2"/>
                      <w:szCs w:val="21"/>
                      <w:highlight w:val="none"/>
                      <w:lang w:val="en-US" w:eastAsia="zh-CN"/>
                      <w14:textFill>
                        <w14:solidFill>
                          <w14:schemeClr w14:val="tx1"/>
                        </w14:solidFill>
                      </w14:textFill>
                    </w:rPr>
                    <w:t>0.01</w:t>
                  </w:r>
                </w:p>
              </w:tc>
              <w:tc>
                <w:tcPr>
                  <w:tcW w:w="1573" w:type="pct"/>
                  <w:tcBorders>
                    <w:tl2br w:val="nil"/>
                    <w:tr2bl w:val="nil"/>
                  </w:tcBorders>
                  <w:vAlign w:val="center"/>
                </w:tcPr>
                <w:p w14:paraId="52FFA374">
                  <w:pPr>
                    <w:pStyle w:val="27"/>
                    <w:keepNext w:val="0"/>
                    <w:keepLines w:val="0"/>
                    <w:suppressLineNumbers w:val="0"/>
                    <w:tabs>
                      <w:tab w:val="left" w:pos="0"/>
                    </w:tabs>
                    <w:spacing w:before="0" w:beforeAutospacing="0" w:after="0" w:afterAutospacing="0" w:line="240" w:lineRule="auto"/>
                    <w:ind w:left="0" w:leftChars="0" w:right="0" w:firstLine="0" w:firstLineChars="0"/>
                    <w:jc w:val="center"/>
                    <w:rPr>
                      <w:rFonts w:hint="eastAsia" w:eastAsia="宋体"/>
                      <w:color w:val="000000" w:themeColor="text1"/>
                      <w:spacing w:val="2"/>
                      <w:szCs w:val="21"/>
                      <w:highlight w:val="none"/>
                      <w:lang w:eastAsia="zh-CN"/>
                      <w14:textFill>
                        <w14:solidFill>
                          <w14:schemeClr w14:val="tx1"/>
                        </w14:solidFill>
                      </w14:textFill>
                    </w:rPr>
                  </w:pPr>
                  <w:r>
                    <w:rPr>
                      <w:rFonts w:hint="eastAsia" w:eastAsia="宋体"/>
                      <w:color w:val="000000" w:themeColor="text1"/>
                      <w:spacing w:val="2"/>
                      <w:szCs w:val="21"/>
                      <w:highlight w:val="none"/>
                      <w:lang w:val="en-US" w:eastAsia="zh-CN"/>
                      <w14:textFill>
                        <w14:solidFill>
                          <w14:schemeClr w14:val="tx1"/>
                        </w14:solidFill>
                      </w14:textFill>
                    </w:rPr>
                    <w:t>厂界</w:t>
                  </w:r>
                </w:p>
              </w:tc>
            </w:tr>
          </w:tbl>
          <w:p w14:paraId="450BC5D1">
            <w:pPr>
              <w:pStyle w:val="24"/>
              <w:keepNext w:val="0"/>
              <w:keepLines w:val="0"/>
              <w:numPr>
                <w:ilvl w:val="0"/>
                <w:numId w:val="7"/>
              </w:numPr>
              <w:suppressLineNumbers w:val="0"/>
              <w:spacing w:before="0" w:beforeAutospacing="0" w:after="0" w:afterAutospacing="0"/>
              <w:ind w:left="0" w:right="0" w:firstLine="482"/>
              <w:jc w:val="both"/>
              <w:outlineLvl w:val="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噪声排放标准</w:t>
            </w:r>
          </w:p>
          <w:p w14:paraId="0B16AC74">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项目噪声排放执行《工业企业厂界环境噪声排放标准》（GB 12348-2008）中3类标准限值见表：</w:t>
            </w:r>
          </w:p>
          <w:p w14:paraId="2709E1A0">
            <w:pPr>
              <w:pStyle w:val="24"/>
              <w:keepNext w:val="0"/>
              <w:keepLines w:val="0"/>
              <w:suppressLineNumbers w:val="0"/>
              <w:spacing w:before="0" w:beforeAutospacing="0" w:after="0" w:afterAutospacing="0"/>
              <w:ind w:left="0" w:right="0" w:firstLine="422"/>
              <w:jc w:val="center"/>
              <w:outlineLvl w:val="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表3-</w:t>
            </w:r>
            <w:r>
              <w:rPr>
                <w:rFonts w:hint="eastAsia" w:ascii="Times New Roman" w:hAnsi="Times New Roman"/>
                <w:b/>
                <w:bCs/>
                <w:color w:val="000000" w:themeColor="text1"/>
                <w:sz w:val="21"/>
                <w:szCs w:val="21"/>
                <w:highlight w:val="none"/>
                <w:lang w:val="en-US" w:eastAsia="zh-CN"/>
                <w14:textFill>
                  <w14:solidFill>
                    <w14:schemeClr w14:val="tx1"/>
                  </w14:solidFill>
                </w14:textFill>
              </w:rPr>
              <w:t xml:space="preserve">8 </w:t>
            </w:r>
            <w:r>
              <w:rPr>
                <w:rFonts w:hint="default" w:ascii="Times New Roman" w:hAnsi="Times New Roman"/>
                <w:b/>
                <w:bCs/>
                <w:color w:val="000000" w:themeColor="text1"/>
                <w:sz w:val="21"/>
                <w:szCs w:val="21"/>
                <w:highlight w:val="none"/>
                <w14:textFill>
                  <w14:solidFill>
                    <w14:schemeClr w14:val="tx1"/>
                  </w14:solidFill>
                </w14:textFill>
              </w:rPr>
              <w:t>《工业企业厂界环境噪声排放标准》（GB 12348-2008）</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2647"/>
              <w:gridCol w:w="2649"/>
            </w:tblGrid>
            <w:tr w14:paraId="6BFDF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tcBorders>
                    <w:tl2br w:val="nil"/>
                    <w:tr2bl w:val="nil"/>
                  </w:tcBorders>
                  <w:vAlign w:val="center"/>
                </w:tcPr>
                <w:p w14:paraId="290350D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声环境功能区类别</w:t>
                  </w:r>
                </w:p>
              </w:tc>
              <w:tc>
                <w:tcPr>
                  <w:tcW w:w="3334" w:type="pct"/>
                  <w:gridSpan w:val="2"/>
                  <w:tcBorders>
                    <w:tl2br w:val="nil"/>
                    <w:tr2bl w:val="nil"/>
                  </w:tcBorders>
                  <w:vAlign w:val="center"/>
                </w:tcPr>
                <w:p w14:paraId="7577836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时段</w:t>
                  </w:r>
                </w:p>
              </w:tc>
            </w:tr>
            <w:tr w14:paraId="4C5E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tcBorders>
                    <w:tl2br w:val="nil"/>
                    <w:tr2bl w:val="nil"/>
                  </w:tcBorders>
                  <w:vAlign w:val="center"/>
                </w:tcPr>
                <w:p w14:paraId="17476D3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1666" w:type="pct"/>
                  <w:tcBorders>
                    <w:tl2br w:val="nil"/>
                    <w:tr2bl w:val="nil"/>
                  </w:tcBorders>
                  <w:vAlign w:val="center"/>
                </w:tcPr>
                <w:p w14:paraId="5E0BEEF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1667" w:type="pct"/>
                  <w:tcBorders>
                    <w:tl2br w:val="nil"/>
                    <w:tr2bl w:val="nil"/>
                  </w:tcBorders>
                  <w:vAlign w:val="center"/>
                </w:tcPr>
                <w:p w14:paraId="5FBA80B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r>
            <w:tr w14:paraId="6165E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vAlign w:val="center"/>
                </w:tcPr>
                <w:p w14:paraId="6745B53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3</w:t>
                  </w:r>
                </w:p>
              </w:tc>
              <w:tc>
                <w:tcPr>
                  <w:tcW w:w="1666" w:type="pct"/>
                  <w:tcBorders>
                    <w:tl2br w:val="nil"/>
                    <w:tr2bl w:val="nil"/>
                  </w:tcBorders>
                  <w:vAlign w:val="center"/>
                </w:tcPr>
                <w:p w14:paraId="76B7591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65dB（A）</w:t>
                  </w:r>
                </w:p>
              </w:tc>
              <w:tc>
                <w:tcPr>
                  <w:tcW w:w="1667" w:type="pct"/>
                  <w:tcBorders>
                    <w:tl2br w:val="nil"/>
                    <w:tr2bl w:val="nil"/>
                  </w:tcBorders>
                  <w:vAlign w:val="center"/>
                </w:tcPr>
                <w:p w14:paraId="0D5D35D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55dB（A）</w:t>
                  </w:r>
                </w:p>
              </w:tc>
            </w:tr>
          </w:tbl>
          <w:p w14:paraId="5CCECCBC">
            <w:pPr>
              <w:pStyle w:val="24"/>
              <w:keepNext w:val="0"/>
              <w:keepLines w:val="0"/>
              <w:suppressLineNumbers w:val="0"/>
              <w:spacing w:before="0" w:beforeAutospacing="0" w:after="0" w:afterAutospacing="0"/>
              <w:ind w:left="0" w:right="0" w:firstLine="480"/>
              <w:jc w:val="both"/>
              <w:outlineLvl w:val="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项目施工期噪声排放执行《建筑施工场界环境噪声排放标准》（GB12523-2011)，噪声限值见下表</w:t>
            </w:r>
          </w:p>
          <w:p w14:paraId="37AE9564">
            <w:pPr>
              <w:pStyle w:val="24"/>
              <w:keepNext w:val="0"/>
              <w:keepLines w:val="0"/>
              <w:suppressLineNumbers w:val="0"/>
              <w:spacing w:before="0" w:beforeAutospacing="0" w:after="0" w:afterAutospacing="0"/>
              <w:ind w:left="0" w:right="0" w:firstLine="422"/>
              <w:jc w:val="center"/>
              <w:outlineLvl w:val="0"/>
              <w:rPr>
                <w:rFonts w:hint="default" w:ascii="Times New Roman" w:hAnsi="Times New Roman"/>
                <w:b/>
                <w:bCs/>
                <w:color w:val="000000" w:themeColor="text1"/>
                <w:sz w:val="21"/>
                <w:szCs w:val="2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表3-</w:t>
            </w:r>
            <w:r>
              <w:rPr>
                <w:rFonts w:hint="eastAsia" w:ascii="Times New Roman" w:hAnsi="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b/>
                <w:bCs/>
                <w:color w:val="000000" w:themeColor="text1"/>
                <w:sz w:val="21"/>
                <w:szCs w:val="21"/>
                <w:highlight w:val="none"/>
                <w14:textFill>
                  <w14:solidFill>
                    <w14:schemeClr w14:val="tx1"/>
                  </w14:solidFill>
                </w14:textFill>
              </w:rPr>
              <w:t xml:space="preserve">  《建筑施工场界环境噪声排放标准》（GB12523-2011)</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2646"/>
              <w:gridCol w:w="2648"/>
            </w:tblGrid>
            <w:tr w14:paraId="1A6E9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66" w:type="pct"/>
                  <w:tcBorders>
                    <w:tl2br w:val="nil"/>
                    <w:tr2bl w:val="nil"/>
                  </w:tcBorders>
                  <w:vAlign w:val="center"/>
                </w:tcPr>
                <w:p w14:paraId="329B654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单位</w:t>
                  </w:r>
                </w:p>
              </w:tc>
              <w:tc>
                <w:tcPr>
                  <w:tcW w:w="1666" w:type="pct"/>
                  <w:tcBorders>
                    <w:tl2br w:val="nil"/>
                    <w:tr2bl w:val="nil"/>
                  </w:tcBorders>
                  <w:vAlign w:val="center"/>
                </w:tcPr>
                <w:p w14:paraId="2246D5D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1667" w:type="pct"/>
                  <w:tcBorders>
                    <w:tl2br w:val="nil"/>
                    <w:tr2bl w:val="nil"/>
                  </w:tcBorders>
                  <w:vAlign w:val="center"/>
                </w:tcPr>
                <w:p w14:paraId="5324302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r>
            <w:tr w14:paraId="1DDFD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666" w:type="pct"/>
                  <w:tcBorders>
                    <w:tl2br w:val="nil"/>
                    <w:tr2bl w:val="nil"/>
                  </w:tcBorders>
                  <w:vAlign w:val="center"/>
                </w:tcPr>
                <w:p w14:paraId="6B6F1D6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dB（A）</w:t>
                  </w:r>
                </w:p>
              </w:tc>
              <w:tc>
                <w:tcPr>
                  <w:tcW w:w="1666" w:type="pct"/>
                  <w:tcBorders>
                    <w:tl2br w:val="nil"/>
                    <w:tr2bl w:val="nil"/>
                  </w:tcBorders>
                  <w:vAlign w:val="center"/>
                </w:tcPr>
                <w:p w14:paraId="499C780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70</w:t>
                  </w:r>
                </w:p>
              </w:tc>
              <w:tc>
                <w:tcPr>
                  <w:tcW w:w="1667" w:type="pct"/>
                  <w:tcBorders>
                    <w:tl2br w:val="nil"/>
                    <w:tr2bl w:val="nil"/>
                  </w:tcBorders>
                  <w:vAlign w:val="center"/>
                </w:tcPr>
                <w:p w14:paraId="74653BE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55</w:t>
                  </w:r>
                </w:p>
              </w:tc>
            </w:tr>
          </w:tbl>
          <w:p w14:paraId="7BD4410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p>
        </w:tc>
      </w:tr>
      <w:tr w14:paraId="21E8E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ign w:val="center"/>
          </w:tcPr>
          <w:p w14:paraId="5B5D03D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w:t>
            </w:r>
          </w:p>
          <w:p w14:paraId="73515946">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量</w:t>
            </w:r>
          </w:p>
          <w:p w14:paraId="28D5AE29">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w:t>
            </w:r>
          </w:p>
          <w:p w14:paraId="37F9A18C">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w:t>
            </w:r>
          </w:p>
          <w:p w14:paraId="004FB9E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指</w:t>
            </w:r>
          </w:p>
          <w:p w14:paraId="54566DB9">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标</w:t>
            </w:r>
          </w:p>
        </w:tc>
        <w:tc>
          <w:tcPr>
            <w:tcW w:w="8190" w:type="dxa"/>
            <w:noWrap/>
            <w:vAlign w:val="center"/>
          </w:tcPr>
          <w:p w14:paraId="33ED2084">
            <w:pPr>
              <w:keepNext w:val="0"/>
              <w:keepLines w:val="0"/>
              <w:suppressLineNumbers w:val="0"/>
              <w:spacing w:before="0" w:beforeAutospacing="0" w:after="0" w:afterAutospacing="0"/>
              <w:ind w:left="0" w:right="0" w:firstLine="480"/>
              <w:rPr>
                <w:rFonts w:hint="default" w:ascii="宋体" w:hAnsi="宋体" w:cs="宋体"/>
                <w:color w:val="000000" w:themeColor="text1"/>
                <w:kern w:val="0"/>
                <w:szCs w:val="21"/>
                <w:highlight w:val="none"/>
                <w14:textFill>
                  <w14:solidFill>
                    <w14:schemeClr w14:val="tx1"/>
                  </w14:solidFill>
                </w14:textFill>
              </w:rPr>
            </w:pPr>
            <w:r>
              <w:rPr>
                <w:rFonts w:hint="default"/>
                <w:color w:val="000000" w:themeColor="text1"/>
                <w:highlight w:val="none"/>
                <w14:textFill>
                  <w14:solidFill>
                    <w14:schemeClr w14:val="tx1"/>
                  </w14:solidFill>
                </w14:textFill>
              </w:rPr>
              <w:t>国家要求实行排放总量，质量双控计划管理的污染物有化学需氧量、氨氮、二氧化硫、氮氧化物、挥发性有机物等5项污染物作为约束性指标进行考核。</w:t>
            </w:r>
            <w:r>
              <w:rPr>
                <w:rFonts w:hint="eastAsia"/>
                <w:color w:val="000000" w:themeColor="text1"/>
                <w:highlight w:val="none"/>
                <w14:textFill>
                  <w14:solidFill>
                    <w14:schemeClr w14:val="tx1"/>
                  </w14:solidFill>
                </w14:textFill>
              </w:rPr>
              <w:t>本项目废气不涉及</w:t>
            </w:r>
            <w:r>
              <w:rPr>
                <w:rFonts w:hint="eastAsia"/>
                <w:color w:val="000000" w:themeColor="text1"/>
                <w:highlight w:val="none"/>
                <w:lang w:val="en-US" w:eastAsia="zh-CN"/>
                <w14:textFill>
                  <w14:solidFill>
                    <w14:schemeClr w14:val="tx1"/>
                  </w14:solidFill>
                </w14:textFill>
              </w:rPr>
              <w:t>总量申请污染物</w:t>
            </w:r>
            <w:r>
              <w:rPr>
                <w:rFonts w:hint="eastAsia"/>
                <w:color w:val="000000" w:themeColor="text1"/>
                <w:highlight w:val="none"/>
                <w14:textFill>
                  <w14:solidFill>
                    <w14:schemeClr w14:val="tx1"/>
                  </w14:solidFill>
                </w14:textFill>
              </w:rPr>
              <w:t>，故不申请总量。</w:t>
            </w:r>
          </w:p>
        </w:tc>
      </w:tr>
    </w:tbl>
    <w:p w14:paraId="103F0815">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50"/>
      </w:tblGrid>
      <w:tr w14:paraId="53B37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1" w:hRule="atLeast"/>
          <w:jc w:val="center"/>
        </w:trPr>
        <w:tc>
          <w:tcPr>
            <w:tcW w:w="746" w:type="dxa"/>
            <w:noWrap/>
            <w:tcMar>
              <w:left w:w="28" w:type="dxa"/>
              <w:right w:w="28" w:type="dxa"/>
            </w:tcMar>
            <w:vAlign w:val="center"/>
          </w:tcPr>
          <w:p w14:paraId="70609DA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施</w:t>
            </w:r>
          </w:p>
          <w:p w14:paraId="78B3B0A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工</w:t>
            </w:r>
          </w:p>
          <w:p w14:paraId="150786D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w:t>
            </w:r>
          </w:p>
          <w:p w14:paraId="51F54EC6">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环</w:t>
            </w:r>
          </w:p>
          <w:p w14:paraId="78F759DE">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w:t>
            </w:r>
          </w:p>
          <w:p w14:paraId="00C8B1A6">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w:t>
            </w:r>
          </w:p>
          <w:p w14:paraId="0F6AAAC7">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护</w:t>
            </w:r>
          </w:p>
          <w:p w14:paraId="6AA27A9C">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w:t>
            </w:r>
          </w:p>
          <w:p w14:paraId="6BA4B322">
            <w:pPr>
              <w:keepNext w:val="0"/>
              <w:keepLines w:val="0"/>
              <w:suppressLineNumbers w:val="0"/>
              <w:adjustRightInd w:val="0"/>
              <w:snapToGrid w:val="0"/>
              <w:spacing w:before="0" w:beforeAutospacing="0" w:after="0" w:afterAutospacing="0"/>
              <w:ind w:left="0" w:right="0" w:firstLine="0" w:firstLineChars="0"/>
              <w:jc w:val="center"/>
              <w:rPr>
                <w:rFonts w:hint="default"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施</w:t>
            </w:r>
          </w:p>
        </w:tc>
        <w:tc>
          <w:tcPr>
            <w:tcW w:w="8150" w:type="dxa"/>
            <w:noWrap/>
            <w:vAlign w:val="center"/>
          </w:tcPr>
          <w:p w14:paraId="6E09FC75">
            <w:pPr>
              <w:pStyle w:val="93"/>
              <w:keepNext w:val="0"/>
              <w:keepLines w:val="0"/>
              <w:widowControl/>
              <w:suppressLineNumbers w:val="0"/>
              <w:spacing w:before="0" w:beforeAutospacing="0" w:after="0" w:afterAutospacing="0"/>
              <w:ind w:left="0" w:right="0" w:firstLine="482"/>
              <w:rPr>
                <w:rFonts w:hint="default"/>
                <w:b/>
                <w:color w:val="000000" w:themeColor="text1"/>
                <w:szCs w:val="20"/>
                <w:highlight w:val="none"/>
                <w14:textFill>
                  <w14:solidFill>
                    <w14:schemeClr w14:val="tx1"/>
                  </w14:solidFill>
                </w14:textFill>
              </w:rPr>
            </w:pPr>
            <w:r>
              <w:rPr>
                <w:rFonts w:hint="default"/>
                <w:b/>
                <w:color w:val="000000" w:themeColor="text1"/>
                <w:szCs w:val="20"/>
                <w:highlight w:val="none"/>
                <w14:textFill>
                  <w14:solidFill>
                    <w14:schemeClr w14:val="tx1"/>
                  </w14:solidFill>
                </w14:textFill>
              </w:rPr>
              <w:t>1</w:t>
            </w:r>
            <w:r>
              <w:rPr>
                <w:rFonts w:hint="eastAsia"/>
                <w:b/>
                <w:color w:val="000000" w:themeColor="text1"/>
                <w:szCs w:val="20"/>
                <w:highlight w:val="none"/>
                <w14:textFill>
                  <w14:solidFill>
                    <w14:schemeClr w14:val="tx1"/>
                  </w14:solidFill>
                </w14:textFill>
              </w:rPr>
              <w:t>、施工期废气治理措施</w:t>
            </w:r>
          </w:p>
          <w:p w14:paraId="355A1DA4">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项目工程施工期间大气污染源主要为施工扬尘、施工机械和运输车辆尾气等。施工期大气污染源均主要为无组织排放形式。</w:t>
            </w:r>
          </w:p>
          <w:p w14:paraId="4CBE1973">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（1）施工扬尘</w:t>
            </w:r>
          </w:p>
          <w:p w14:paraId="3122521B">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default"/>
                <w:color w:val="000000" w:themeColor="text1"/>
                <w:kern w:val="0"/>
                <w:szCs w:val="20"/>
                <w:highlight w:val="none"/>
                <w14:textFill>
                  <w14:solidFill>
                    <w14:schemeClr w14:val="tx1"/>
                  </w14:solidFill>
                </w14:textFill>
              </w:rPr>
              <w:t>为把建设项目施工期的扬尘污染降到最低，针对施工阶段提出如下防治措施：</w:t>
            </w:r>
          </w:p>
          <w:p w14:paraId="3A94662E">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①施工现场周边设置围挡，高2.5m，施工场地应定时洒水降尘，噪声源尽量远离南面的村庄，减轻对该村庄的影响。</w:t>
            </w:r>
          </w:p>
          <w:p w14:paraId="44C567DC">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②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14:paraId="3D78B32D">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③建筑垃圾的防尘管理措施。施工过程中使用水泥、石灰、砂石、涂料、铺装材料等易产生扬尘的建筑材料，应采取密封存储</w:t>
            </w:r>
            <w:r>
              <w:rPr>
                <w:rFonts w:hint="eastAsia"/>
                <w:color w:val="000000" w:themeColor="text1"/>
                <w:kern w:val="0"/>
                <w:szCs w:val="20"/>
                <w:highlight w:val="none"/>
                <w:lang w:eastAsia="zh-CN"/>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并在施工场地周边</w:t>
            </w:r>
            <w:r>
              <w:rPr>
                <w:rFonts w:hint="eastAsia"/>
                <w:color w:val="000000" w:themeColor="text1"/>
                <w:kern w:val="0"/>
                <w:szCs w:val="20"/>
                <w:highlight w:val="none"/>
                <w14:textFill>
                  <w14:solidFill>
                    <w14:schemeClr w14:val="tx1"/>
                  </w14:solidFill>
                </w14:textFill>
              </w:rPr>
              <w:t>设置围挡或堆砌围墙剂；</w:t>
            </w:r>
            <w:r>
              <w:rPr>
                <w:rFonts w:hint="eastAsia"/>
                <w:color w:val="000000" w:themeColor="text1"/>
                <w:kern w:val="0"/>
                <w:szCs w:val="20"/>
                <w:highlight w:val="none"/>
                <w:lang w:val="en-US" w:eastAsia="zh-CN"/>
                <w14:textFill>
                  <w14:solidFill>
                    <w14:schemeClr w14:val="tx1"/>
                  </w14:solidFill>
                </w14:textFill>
              </w:rPr>
              <w:t>物料堆存过程</w:t>
            </w:r>
            <w:r>
              <w:rPr>
                <w:rFonts w:hint="eastAsia"/>
                <w:color w:val="000000" w:themeColor="text1"/>
                <w:kern w:val="0"/>
                <w:szCs w:val="20"/>
                <w:highlight w:val="none"/>
                <w14:textFill>
                  <w14:solidFill>
                    <w14:schemeClr w14:val="tx1"/>
                  </w14:solidFill>
                </w14:textFill>
              </w:rPr>
              <w:t>采用防尘布苫盖</w:t>
            </w:r>
            <w:r>
              <w:rPr>
                <w:rFonts w:hint="eastAsia"/>
                <w:color w:val="000000" w:themeColor="text1"/>
                <w:kern w:val="0"/>
                <w:szCs w:val="20"/>
                <w:highlight w:val="none"/>
                <w:lang w:val="en-US" w:eastAsia="zh-CN"/>
                <w14:textFill>
                  <w14:solidFill>
                    <w14:schemeClr w14:val="tx1"/>
                  </w14:solidFill>
                </w14:textFill>
              </w:rPr>
              <w:t>等</w:t>
            </w:r>
            <w:r>
              <w:rPr>
                <w:rFonts w:hint="eastAsia"/>
                <w:color w:val="000000" w:themeColor="text1"/>
                <w:kern w:val="0"/>
                <w:szCs w:val="20"/>
                <w:highlight w:val="none"/>
                <w14:textFill>
                  <w14:solidFill>
                    <w14:schemeClr w14:val="tx1"/>
                  </w14:solidFill>
                </w14:textFill>
              </w:rPr>
              <w:t>措施。</w:t>
            </w:r>
          </w:p>
          <w:p w14:paraId="34C1DFAC">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④进出工地的物料、渣土、垃圾运输车辆，应尽可能采用密闭车斗，并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14:paraId="25C8070C">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⑤施工工地道路防尘措施。施工期间，施工工地内及工地出口至铺装道路间的车行道路</w:t>
            </w:r>
            <w:r>
              <w:rPr>
                <w:rFonts w:hint="eastAsia"/>
                <w:color w:val="000000" w:themeColor="text1"/>
                <w:kern w:val="0"/>
                <w:szCs w:val="20"/>
                <w:highlight w:val="none"/>
                <w:lang w:val="en-US" w:eastAsia="zh-CN"/>
                <w14:textFill>
                  <w14:solidFill>
                    <w14:schemeClr w14:val="tx1"/>
                  </w14:solidFill>
                </w14:textFill>
              </w:rPr>
              <w:t>为硬化路面</w:t>
            </w:r>
            <w:r>
              <w:rPr>
                <w:rFonts w:hint="eastAsia"/>
                <w:color w:val="000000" w:themeColor="text1"/>
                <w:kern w:val="0"/>
                <w:szCs w:val="20"/>
                <w:highlight w:val="none"/>
                <w14:textFill>
                  <w14:solidFill>
                    <w14:schemeClr w14:val="tx1"/>
                  </w14:solidFill>
                </w14:textFill>
              </w:rPr>
              <w:t>，并辅以洒水措施</w:t>
            </w:r>
            <w:r>
              <w:rPr>
                <w:rFonts w:hint="eastAsia"/>
                <w:color w:val="000000" w:themeColor="text1"/>
                <w:kern w:val="0"/>
                <w:szCs w:val="20"/>
                <w:highlight w:val="none"/>
                <w:lang w:eastAsia="zh-CN"/>
                <w14:textFill>
                  <w14:solidFill>
                    <w14:schemeClr w14:val="tx1"/>
                  </w14:solidFill>
                </w14:textFill>
              </w:rPr>
              <w:t>，</w:t>
            </w:r>
            <w:r>
              <w:rPr>
                <w:rFonts w:hint="eastAsia"/>
                <w:color w:val="000000" w:themeColor="text1"/>
                <w:kern w:val="0"/>
                <w:szCs w:val="20"/>
                <w:highlight w:val="none"/>
                <w14:textFill>
                  <w14:solidFill>
                    <w14:schemeClr w14:val="tx1"/>
                  </w14:solidFill>
                </w14:textFill>
              </w:rPr>
              <w:t>保持路面清洁，防止机动车扬尘。</w:t>
            </w:r>
          </w:p>
          <w:p w14:paraId="4E705A69">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⑥施工工地道路积尘清洁措施。可采用吸尘或水冲洗的方法清洁施工工地道路积尘，不得在未实施洒水等抑尘措施情况下进行直接清扫。</w:t>
            </w:r>
          </w:p>
          <w:p w14:paraId="5B61AE6A">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⑦施工工地内部裸地防尘措施。施工期间，对于工地内裸露地面，应采取覆盖防尘布或防尘网</w:t>
            </w:r>
            <w:r>
              <w:rPr>
                <w:rFonts w:hint="eastAsia"/>
                <w:color w:val="000000" w:themeColor="text1"/>
                <w:kern w:val="0"/>
                <w:szCs w:val="20"/>
                <w:highlight w:val="none"/>
                <w:lang w:val="en-US" w:eastAsia="zh-CN"/>
                <w14:textFill>
                  <w14:solidFill>
                    <w14:schemeClr w14:val="tx1"/>
                  </w14:solidFill>
                </w14:textFill>
              </w:rPr>
              <w:t>并定期洒水抑尘</w:t>
            </w:r>
            <w:r>
              <w:rPr>
                <w:rFonts w:hint="eastAsia"/>
                <w:color w:val="000000" w:themeColor="text1"/>
                <w:kern w:val="0"/>
                <w:szCs w:val="20"/>
                <w:highlight w:val="none"/>
                <w14:textFill>
                  <w14:solidFill>
                    <w14:schemeClr w14:val="tx1"/>
                  </w14:solidFill>
                </w14:textFill>
              </w:rPr>
              <w:t>。</w:t>
            </w:r>
          </w:p>
          <w:p w14:paraId="4928EC50">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⑧临时堆土场防尘措施。加强回填土方堆放场的管理，制定土方表面压实、定期喷水、覆盖（采用防尘网和防尘布覆盖）等措施；不需要的弃渣应及时运走，不宜长时间堆积。</w:t>
            </w:r>
          </w:p>
          <w:p w14:paraId="5DEB7598">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⑨施工结束后，应及时对施工占用场地</w:t>
            </w:r>
            <w:r>
              <w:rPr>
                <w:rFonts w:hint="eastAsia"/>
                <w:color w:val="000000" w:themeColor="text1"/>
                <w:kern w:val="0"/>
                <w:szCs w:val="20"/>
                <w:highlight w:val="none"/>
                <w:lang w:val="en-US" w:eastAsia="zh-CN"/>
                <w14:textFill>
                  <w14:solidFill>
                    <w14:schemeClr w14:val="tx1"/>
                  </w14:solidFill>
                </w14:textFill>
              </w:rPr>
              <w:t>进行场地平整</w:t>
            </w:r>
            <w:r>
              <w:rPr>
                <w:rFonts w:hint="eastAsia"/>
                <w:color w:val="000000" w:themeColor="text1"/>
                <w:kern w:val="0"/>
                <w:szCs w:val="20"/>
                <w:highlight w:val="none"/>
                <w14:textFill>
                  <w14:solidFill>
                    <w14:schemeClr w14:val="tx1"/>
                  </w14:solidFill>
                </w14:textFill>
              </w:rPr>
              <w:t>。</w:t>
            </w:r>
          </w:p>
          <w:p w14:paraId="1E9CFF98">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default"/>
                <w:color w:val="000000" w:themeColor="text1"/>
                <w:kern w:val="0"/>
                <w:szCs w:val="20"/>
                <w:highlight w:val="none"/>
                <w14:textFill>
                  <w14:solidFill>
                    <w14:schemeClr w14:val="tx1"/>
                  </w14:solidFill>
                </w14:textFill>
              </w:rPr>
              <w:t>通过采取以上措施后，工地扬尘量可减少70%～80%，满足《大气污染物综合排放标准》（GB16297-1996）无组织排放监控浓度限值的要求。另外，施工产生的扬尘属短期污染，其影响将随施工行为的结束而结束。因此，在采取严格的防尘措施后，施工期扬尘的影响将大大地降低，其对环境及周边的敏感点的影响也将随施工的结束而消失。</w:t>
            </w:r>
          </w:p>
          <w:p w14:paraId="37AF25CA">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（2）施工机械和运输车辆尾气</w:t>
            </w:r>
          </w:p>
          <w:p w14:paraId="6CA52E52">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施工期运输车辆及施工机械设备所排放的尾气中含有CO、NOx、</w:t>
            </w:r>
            <w:r>
              <w:rPr>
                <w:rFonts w:hint="default"/>
                <w:color w:val="000000" w:themeColor="text1"/>
                <w:kern w:val="0"/>
                <w:szCs w:val="20"/>
                <w:highlight w:val="none"/>
                <w:lang w:val="zh-CN"/>
                <w14:textFill>
                  <w14:solidFill>
                    <w14:schemeClr w14:val="tx1"/>
                  </w14:solidFill>
                </w14:textFill>
              </w:rPr>
              <w:t>碳氢化合物</w:t>
            </w:r>
            <w:r>
              <w:rPr>
                <w:rFonts w:hint="eastAsia"/>
                <w:color w:val="000000" w:themeColor="text1"/>
                <w:kern w:val="0"/>
                <w:szCs w:val="20"/>
                <w:highlight w:val="none"/>
                <w14:textFill>
                  <w14:solidFill>
                    <w14:schemeClr w14:val="tx1"/>
                  </w14:solidFill>
                </w14:textFill>
              </w:rPr>
              <w:t>等污染物，会对空气环境造成一定的影响。但这种污染是间歇性、流动性的，且排放量不大，其对环境的影响随着施工的完成而消失。施工单位须使用污染物排放符合国家标准的运输车辆和施工机械设备，定期对车辆设备进行维护保养，使其始终处于良好的工作状态，严禁使用报废车辆，以减小尾气排放对周边环境空气的影响。</w:t>
            </w:r>
            <w:r>
              <w:rPr>
                <w:rFonts w:hint="default"/>
                <w:color w:val="000000" w:themeColor="text1"/>
                <w:kern w:val="0"/>
                <w:szCs w:val="20"/>
                <w:highlight w:val="none"/>
                <w14:textFill>
                  <w14:solidFill>
                    <w14:schemeClr w14:val="tx1"/>
                  </w14:solidFill>
                </w14:textFill>
              </w:rPr>
              <w:t>在采取以上措施后，施工机械废气对局部区域环境影响较小。</w:t>
            </w:r>
          </w:p>
          <w:p w14:paraId="110B031C">
            <w:pPr>
              <w:pStyle w:val="93"/>
              <w:keepNext w:val="0"/>
              <w:keepLines w:val="0"/>
              <w:widowControl/>
              <w:suppressLineNumbers w:val="0"/>
              <w:spacing w:before="0" w:beforeAutospacing="0" w:after="0" w:afterAutospacing="0"/>
              <w:ind w:left="0" w:right="0" w:firstLine="482"/>
              <w:rPr>
                <w:rFonts w:hint="default"/>
                <w:b/>
                <w:color w:val="000000" w:themeColor="text1"/>
                <w:szCs w:val="20"/>
                <w:highlight w:val="none"/>
                <w14:textFill>
                  <w14:solidFill>
                    <w14:schemeClr w14:val="tx1"/>
                  </w14:solidFill>
                </w14:textFill>
              </w:rPr>
            </w:pPr>
            <w:r>
              <w:rPr>
                <w:rFonts w:hint="eastAsia"/>
                <w:b/>
                <w:color w:val="000000" w:themeColor="text1"/>
                <w:szCs w:val="20"/>
                <w:highlight w:val="none"/>
                <w14:textFill>
                  <w14:solidFill>
                    <w14:schemeClr w14:val="tx1"/>
                  </w14:solidFill>
                </w14:textFill>
              </w:rPr>
              <w:t>2、施工期</w:t>
            </w:r>
            <w:r>
              <w:rPr>
                <w:rFonts w:hint="default"/>
                <w:b/>
                <w:color w:val="000000" w:themeColor="text1"/>
                <w:szCs w:val="20"/>
                <w:highlight w:val="none"/>
                <w14:textFill>
                  <w14:solidFill>
                    <w14:schemeClr w14:val="tx1"/>
                  </w14:solidFill>
                </w14:textFill>
              </w:rPr>
              <w:t>废水</w:t>
            </w:r>
            <w:r>
              <w:rPr>
                <w:rFonts w:hint="eastAsia"/>
                <w:b/>
                <w:color w:val="000000" w:themeColor="text1"/>
                <w:szCs w:val="20"/>
                <w:highlight w:val="none"/>
                <w14:textFill>
                  <w14:solidFill>
                    <w14:schemeClr w14:val="tx1"/>
                  </w14:solidFill>
                </w14:textFill>
              </w:rPr>
              <w:t>治理措施</w:t>
            </w:r>
          </w:p>
          <w:p w14:paraId="02EC4133">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default"/>
                <w:color w:val="000000" w:themeColor="text1"/>
                <w:kern w:val="0"/>
                <w:szCs w:val="20"/>
                <w:highlight w:val="none"/>
                <w14:textFill>
                  <w14:solidFill>
                    <w14:schemeClr w14:val="tx1"/>
                  </w14:solidFill>
                </w14:textFill>
              </w:rPr>
              <w:t>主要由建筑施工废水和施工人员生活污水两部分组成。</w:t>
            </w:r>
          </w:p>
          <w:p w14:paraId="267D5A2A">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default"/>
                <w:color w:val="000000" w:themeColor="text1"/>
                <w:highlight w:val="none"/>
                <w14:textFill>
                  <w14:solidFill>
                    <w14:schemeClr w14:val="tx1"/>
                  </w14:solidFill>
                </w14:textFill>
              </w:rPr>
              <w:t>施工期</w:t>
            </w:r>
            <w:r>
              <w:rPr>
                <w:rFonts w:hint="default"/>
                <w:color w:val="000000" w:themeColor="text1"/>
                <w:kern w:val="0"/>
                <w:szCs w:val="20"/>
                <w:highlight w:val="none"/>
                <w14:textFill>
                  <w14:solidFill>
                    <w14:schemeClr w14:val="tx1"/>
                  </w14:solidFill>
                </w14:textFill>
              </w:rPr>
              <w:t>建筑施工废水</w:t>
            </w:r>
            <w:r>
              <w:rPr>
                <w:rFonts w:hint="eastAsia"/>
                <w:color w:val="000000" w:themeColor="text1"/>
                <w:kern w:val="0"/>
                <w:szCs w:val="20"/>
                <w:highlight w:val="none"/>
                <w14:textFill>
                  <w14:solidFill>
                    <w14:schemeClr w14:val="tx1"/>
                  </w14:solidFill>
                </w14:textFill>
              </w:rPr>
              <w:t>含有一定量的泥沙</w:t>
            </w:r>
            <w:r>
              <w:rPr>
                <w:rFonts w:hint="default"/>
                <w:color w:val="000000" w:themeColor="text1"/>
                <w:kern w:val="0"/>
                <w:szCs w:val="20"/>
                <w:highlight w:val="none"/>
                <w14:textFill>
                  <w14:solidFill>
                    <w14:schemeClr w14:val="tx1"/>
                  </w14:solidFill>
                </w14:textFill>
              </w:rPr>
              <w:t>，通过设置沉淀池对废水集中收集处理后用于施工场地降尘，不随意排放，不会污染地下水及地表水。</w:t>
            </w:r>
          </w:p>
          <w:p w14:paraId="2A48345B">
            <w:pPr>
              <w:keepNext w:val="0"/>
              <w:keepLines w:val="0"/>
              <w:widowControl/>
              <w:suppressLineNumbers w:val="0"/>
              <w:snapToGrid w:val="0"/>
              <w:spacing w:before="0" w:beforeAutospacing="0" w:after="0" w:afterAutospacing="0" w:line="500" w:lineRule="exact"/>
              <w:ind w:left="0" w:right="0" w:firstLine="480"/>
              <w:rPr>
                <w:rFonts w:hint="default"/>
                <w:color w:val="000000" w:themeColor="text1"/>
                <w:kern w:val="0"/>
                <w:szCs w:val="20"/>
                <w:highlight w:val="none"/>
                <w14:textFill>
                  <w14:solidFill>
                    <w14:schemeClr w14:val="tx1"/>
                  </w14:solidFill>
                </w14:textFill>
              </w:rPr>
            </w:pPr>
            <w:r>
              <w:rPr>
                <w:rFonts w:hint="eastAsia"/>
                <w:color w:val="000000" w:themeColor="text1"/>
                <w:kern w:val="0"/>
                <w:szCs w:val="20"/>
                <w:highlight w:val="none"/>
                <w14:textFill>
                  <w14:solidFill>
                    <w14:schemeClr w14:val="tx1"/>
                  </w14:solidFill>
                </w14:textFill>
              </w:rPr>
              <w:t>施工期的生活污水依托</w:t>
            </w:r>
            <w:r>
              <w:rPr>
                <w:rFonts w:hint="default"/>
                <w:color w:val="000000" w:themeColor="text1"/>
                <w:highlight w:val="none"/>
                <w14:textFill>
                  <w14:solidFill>
                    <w14:schemeClr w14:val="tx1"/>
                  </w14:solidFill>
                </w14:textFill>
              </w:rPr>
              <w:t>厂区原有生活污水管道</w:t>
            </w:r>
            <w:r>
              <w:rPr>
                <w:rFonts w:hint="eastAsia"/>
                <w:color w:val="000000" w:themeColor="text1"/>
                <w:highlight w:val="none"/>
                <w14:textFill>
                  <w14:solidFill>
                    <w14:schemeClr w14:val="tx1"/>
                  </w14:solidFill>
                </w14:textFill>
              </w:rPr>
              <w:t>排入厂内</w:t>
            </w:r>
            <w:r>
              <w:rPr>
                <w:rFonts w:hint="eastAsia"/>
                <w:color w:val="000000" w:themeColor="text1"/>
                <w:kern w:val="0"/>
                <w:szCs w:val="20"/>
                <w:highlight w:val="none"/>
                <w14:textFill>
                  <w14:solidFill>
                    <w14:schemeClr w14:val="tx1"/>
                  </w14:solidFill>
                </w14:textFill>
              </w:rPr>
              <w:t>污水处理站处理。</w:t>
            </w:r>
          </w:p>
          <w:p w14:paraId="44AEA36F">
            <w:pPr>
              <w:keepNext w:val="0"/>
              <w:keepLines w:val="0"/>
              <w:suppressLineNumbers w:val="0"/>
              <w:snapToGrid w:val="0"/>
              <w:spacing w:before="0" w:beforeAutospacing="0" w:after="0" w:afterAutospacing="0" w:line="460" w:lineRule="exact"/>
              <w:ind w:left="0" w:right="0" w:firstLine="480"/>
              <w:rPr>
                <w:rFonts w:hint="default"/>
                <w:color w:val="000000" w:themeColor="text1"/>
                <w:highlight w:val="none"/>
                <w14:textFill>
                  <w14:solidFill>
                    <w14:schemeClr w14:val="tx1"/>
                  </w14:solidFill>
                </w14:textFill>
              </w:rPr>
            </w:pPr>
            <w:r>
              <w:rPr>
                <w:rFonts w:hint="default"/>
                <w:color w:val="000000" w:themeColor="text1"/>
                <w:kern w:val="0"/>
                <w:szCs w:val="20"/>
                <w:highlight w:val="none"/>
                <w14:textFill>
                  <w14:solidFill>
                    <w14:schemeClr w14:val="tx1"/>
                  </w14:solidFill>
                </w14:textFill>
              </w:rPr>
              <w:t>通过采取以上防护措施，施工期废水对周围环境影响很小。</w:t>
            </w:r>
          </w:p>
          <w:p w14:paraId="30F4E6DF">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3、施工噪声环境保护措施</w:t>
            </w:r>
          </w:p>
          <w:p w14:paraId="2D4736C5">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14:textFill>
                  <w14:solidFill>
                    <w14:schemeClr w14:val="tx1"/>
                  </w14:solidFill>
                </w14:textFill>
              </w:rPr>
              <w:t>本项目施工期主要污染因素是装修和设备安装时产生的噪声。</w:t>
            </w:r>
            <w:r>
              <w:rPr>
                <w:rFonts w:hint="default"/>
                <w:color w:val="000000" w:themeColor="text1"/>
                <w:highlight w:val="none"/>
                <w:lang w:val="zh-CN"/>
                <w14:textFill>
                  <w14:solidFill>
                    <w14:schemeClr w14:val="tx1"/>
                  </w14:solidFill>
                </w14:textFill>
              </w:rPr>
              <w:t>为了减轻对周围声环境的影响，本工程采取以下降噪措施：</w:t>
            </w:r>
          </w:p>
          <w:p w14:paraId="7DB6A83D">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强噪声机械的降噪措施</w:t>
            </w:r>
          </w:p>
          <w:p w14:paraId="61917A7C">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①推行清洁生产，必须采用低噪声的施工机械和先进的施工技术，以达到控制噪声的目的。对环境噪声污染严重的落后施工机械和施工方式实行淘汰制度。本项目在施工中采用低噪声新技术，使噪声污染在施工中得到控制。</w:t>
            </w:r>
          </w:p>
          <w:p w14:paraId="62801BE6">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②由于机械设备会因松动部件的振动或消音器的损坏而增加其工作时的声级，因此对动力机械设备应进行定期的维修、养护。闲置不用的设备应立即关闭，对位置相对固定的机械设备。</w:t>
            </w:r>
          </w:p>
          <w:p w14:paraId="4799D1A8">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③在施工机械设备与基础或连接部位之间采用弹簧减震、橡胶减震、管道减震、阻尼减震技术，可减少动量，降低噪声。</w:t>
            </w:r>
          </w:p>
          <w:p w14:paraId="0B35D730">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④合理布局施工场地，按照有关规定，每个施工段对作业区设置围挡，尤其是与建筑轮廓线距离较近的敏感目标，围挡要适当增加高度。</w:t>
            </w:r>
          </w:p>
          <w:p w14:paraId="1118E940">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⑤加强施工现场的噪声监测：按《建筑施工场界环境噪声排放标准》</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GB12523-2011</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实施施工期场界噪声监测，发现有超过施工场界噪声限值标准的，立即对现场超标因素进行整改。</w:t>
            </w:r>
          </w:p>
          <w:p w14:paraId="59981511">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控制作业时间</w:t>
            </w:r>
          </w:p>
          <w:p w14:paraId="43F6CE1D">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①作业时间控制在晚间作业不超过22时，早晨作业不早于6时。</w:t>
            </w:r>
          </w:p>
          <w:p w14:paraId="14A21484">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②特殊情况确需连续作业或夜间作业的，要采取有效措施降噪，事先做好周边群众工作，并报主管部门备案后施工。</w:t>
            </w:r>
          </w:p>
          <w:p w14:paraId="4D1D4177">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人为噪声控制</w:t>
            </w:r>
          </w:p>
          <w:p w14:paraId="3CDD33E5">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①提倡文明施工，建立健全控制人为噪声的管理制度，增强施工人员的环保意识，提高防止噪声扰民的自觉性，减少人为噪声污染。</w:t>
            </w:r>
          </w:p>
          <w:p w14:paraId="765C2DA7">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②在施工现场以及宿舍，禁止大声喧哗吵闹、高声唱歌或敲击工具等。</w:t>
            </w:r>
          </w:p>
          <w:p w14:paraId="612AC45F">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③作业中搬运物件，必须轻拿轻放，钢铁件堆放不发出大的声响，严禁抛掷物件而造成噪声。</w:t>
            </w:r>
          </w:p>
          <w:p w14:paraId="2B881494">
            <w:pPr>
              <w:keepNext w:val="0"/>
              <w:keepLines w:val="0"/>
              <w:suppressLineNumbers w:val="0"/>
              <w:spacing w:before="0" w:beforeAutospacing="0" w:after="0" w:afterAutospacing="0"/>
              <w:ind w:left="0" w:right="0" w:firstLine="48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通过采取以上措施，施工噪声可满足《建筑施工场界环境噪声排放标准》</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GB12523-2011</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要求，避免其对周围声环境产生影响，同时，施工期的影响是暂时的，随着施工期的结束而消失。</w:t>
            </w:r>
          </w:p>
          <w:p w14:paraId="10248E20">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4、施工固体废物环境保护措施</w:t>
            </w:r>
          </w:p>
          <w:p w14:paraId="17FCD304">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default"/>
                <w:color w:val="000000" w:themeColor="text1"/>
                <w:highlight w:val="none"/>
                <w14:textFill>
                  <w14:solidFill>
                    <w14:schemeClr w14:val="tx1"/>
                  </w14:solidFill>
                </w14:textFill>
              </w:rPr>
              <w:t>施工期</w:t>
            </w:r>
            <w:r>
              <w:rPr>
                <w:rFonts w:hint="eastAsia"/>
                <w:color w:val="000000" w:themeColor="text1"/>
                <w:highlight w:val="none"/>
                <w14:textFill>
                  <w14:solidFill>
                    <w14:schemeClr w14:val="tx1"/>
                  </w14:solidFill>
                </w14:textFill>
              </w:rPr>
              <w:t>设置临时垃圾箱对生活垃圾妥善安排收集，由当地环卫部门集中处理</w:t>
            </w:r>
            <w:r>
              <w:rPr>
                <w:rFonts w:hint="default"/>
                <w:color w:val="000000" w:themeColor="text1"/>
                <w:highlight w:val="none"/>
                <w14:textFill>
                  <w14:solidFill>
                    <w14:schemeClr w14:val="tx1"/>
                  </w14:solidFill>
                </w14:textFill>
              </w:rPr>
              <w:t>。</w:t>
            </w:r>
          </w:p>
          <w:p w14:paraId="3A520C88">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default"/>
                <w:color w:val="000000" w:themeColor="text1"/>
                <w:highlight w:val="none"/>
                <w14:textFill>
                  <w14:solidFill>
                    <w14:schemeClr w14:val="tx1"/>
                  </w14:solidFill>
                </w14:textFill>
              </w:rPr>
              <w:t>施工期产生的可回收废料如钢筋弯头、废木板、包装袋等由施工单位回收利用，以免造成环境污染和物资浪费。</w:t>
            </w:r>
          </w:p>
          <w:p w14:paraId="6B696449">
            <w:pPr>
              <w:keepNext w:val="0"/>
              <w:keepLines w:val="0"/>
              <w:suppressLineNumbers w:val="0"/>
              <w:adjustRightInd w:val="0"/>
              <w:snapToGrid w:val="0"/>
              <w:spacing w:before="0" w:beforeAutospacing="0" w:after="0" w:afterAutospacing="0"/>
              <w:ind w:left="0" w:right="0" w:firstLine="480"/>
              <w:rPr>
                <w:rFonts w:hint="default" w:ascii="宋体" w:hAnsi="宋体" w:cs="宋体"/>
                <w:bCs/>
                <w:color w:val="000000" w:themeColor="text1"/>
                <w:spacing w:val="-10"/>
                <w:highlight w:val="none"/>
                <w14:textFill>
                  <w14:solidFill>
                    <w14:schemeClr w14:val="tx1"/>
                  </w14:solidFill>
                </w14:textFill>
              </w:rPr>
            </w:pPr>
            <w:r>
              <w:rPr>
                <w:rFonts w:hint="default"/>
                <w:color w:val="000000" w:themeColor="text1"/>
                <w:highlight w:val="none"/>
                <w14:textFill>
                  <w14:solidFill>
                    <w14:schemeClr w14:val="tx1"/>
                  </w14:solidFill>
                </w14:textFill>
              </w:rPr>
              <w:t>只要严格按照上述措施，加强管理，对各类固体废物分类收集，合理处置，施工期固体废物对环境的影响较小。</w:t>
            </w:r>
          </w:p>
        </w:tc>
      </w:tr>
      <w:tr w14:paraId="1FA73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8" w:hRule="atLeast"/>
          <w:jc w:val="center"/>
        </w:trPr>
        <w:tc>
          <w:tcPr>
            <w:tcW w:w="746" w:type="dxa"/>
            <w:noWrap/>
            <w:tcMar>
              <w:left w:w="28" w:type="dxa"/>
              <w:right w:w="28" w:type="dxa"/>
            </w:tcMar>
            <w:vAlign w:val="center"/>
          </w:tcPr>
          <w:p w14:paraId="534482E2">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w:t>
            </w:r>
          </w:p>
          <w:p w14:paraId="674B4C5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营</w:t>
            </w:r>
          </w:p>
          <w:p w14:paraId="2C13A7CD">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w:t>
            </w:r>
          </w:p>
          <w:p w14:paraId="0A2121C4">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环</w:t>
            </w:r>
          </w:p>
          <w:p w14:paraId="5022B9FF">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w:t>
            </w:r>
          </w:p>
          <w:p w14:paraId="63BC489A">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影</w:t>
            </w:r>
          </w:p>
          <w:p w14:paraId="647E01D2">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响</w:t>
            </w:r>
          </w:p>
          <w:p w14:paraId="5C7BE5E0">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和</w:t>
            </w:r>
          </w:p>
          <w:p w14:paraId="4ED93715">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w:t>
            </w:r>
          </w:p>
          <w:p w14:paraId="19E559E7">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护</w:t>
            </w:r>
          </w:p>
          <w:p w14:paraId="1CD86A87">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w:t>
            </w:r>
          </w:p>
          <w:p w14:paraId="1320966F">
            <w:pPr>
              <w:keepNext w:val="0"/>
              <w:keepLines w:val="0"/>
              <w:suppressLineNumbers w:val="0"/>
              <w:adjustRightInd w:val="0"/>
              <w:snapToGrid w:val="0"/>
              <w:spacing w:before="0" w:beforeAutospacing="0" w:after="0" w:afterAutospacing="0"/>
              <w:ind w:left="0" w:right="0" w:firstLine="0" w:firstLineChars="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施</w:t>
            </w:r>
          </w:p>
        </w:tc>
        <w:tc>
          <w:tcPr>
            <w:tcW w:w="8150" w:type="dxa"/>
            <w:noWrap/>
            <w:vAlign w:val="center"/>
          </w:tcPr>
          <w:p w14:paraId="47783EA0">
            <w:pPr>
              <w:keepNext w:val="0"/>
              <w:keepLines w:val="0"/>
              <w:suppressLineNumbers w:val="0"/>
              <w:adjustRightInd w:val="0"/>
              <w:snapToGrid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1、废气</w:t>
            </w:r>
          </w:p>
          <w:p w14:paraId="0B1CDC84">
            <w:pPr>
              <w:keepNext w:val="0"/>
              <w:keepLines w:val="0"/>
              <w:suppressLineNumbers w:val="0"/>
              <w:adjustRightInd w:val="0"/>
              <w:snapToGrid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根据工程分析及上述污染源产污分析，作业过程主要为装卸料过程产生的颗粒物及物料堆放过程少量硫化氢逸散。</w:t>
            </w:r>
          </w:p>
          <w:p w14:paraId="01B09E47">
            <w:pPr>
              <w:keepNext w:val="0"/>
              <w:keepLines w:val="0"/>
              <w:suppressLineNumbers w:val="0"/>
              <w:adjustRightInd w:val="0"/>
              <w:snapToGrid w:val="0"/>
              <w:spacing w:before="0" w:beforeAutospacing="0" w:after="0" w:afterAutospacing="0"/>
              <w:ind w:left="0" w:right="0"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颗粒物</w:t>
            </w:r>
          </w:p>
          <w:p w14:paraId="00CDBC41">
            <w:pPr>
              <w:keepNext w:val="0"/>
              <w:keepLines w:val="0"/>
              <w:suppressLineNumbers w:val="0"/>
              <w:adjustRightInd w:val="0"/>
              <w:snapToGrid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运送到乙类库的硫磺均为自然固化后的物料，盛装于无盖铁箱内，整体呈现板结大块状，因此装、卸料过程产生量较少。根据</w:t>
            </w:r>
            <w:r>
              <w:rPr>
                <w:rFonts w:hint="default"/>
                <w:color w:val="000000" w:themeColor="text1"/>
                <w:highlight w:val="none"/>
                <w14:textFill>
                  <w14:solidFill>
                    <w14:schemeClr w14:val="tx1"/>
                  </w14:solidFill>
                </w14:textFill>
              </w:rPr>
              <w:t>《逸散性工业粉尘控制技术》</w:t>
            </w:r>
            <w:r>
              <w:rPr>
                <w:rFonts w:hint="eastAsia"/>
                <w:color w:val="000000" w:themeColor="text1"/>
                <w:highlight w:val="none"/>
                <w:lang w:val="en-US" w:eastAsia="zh-CN"/>
                <w14:textFill>
                  <w14:solidFill>
                    <w14:schemeClr w14:val="tx1"/>
                  </w14:solidFill>
                </w14:textFill>
              </w:rPr>
              <w:t>表1-13 物料运输和转运的排放因子核算，类比焦炭系数为0.0115~0.065kg/t，本项目仅考虑装、卸料，不考虑运输，且物料整体为块状，产尘量本身较小，系数取0.02kg/t，本项目年拉运硫磺量为2545t/a，则产尘量为0.0509t/a，产生后在仓库内通过重力沉降80%，其余通过轴流风机排放，排放的颗粒物量为0.01t/a。</w:t>
            </w:r>
          </w:p>
          <w:p w14:paraId="36135CC9">
            <w:pPr>
              <w:keepNext w:val="0"/>
              <w:keepLines w:val="0"/>
              <w:suppressLineNumbers w:val="0"/>
              <w:adjustRightInd w:val="0"/>
              <w:snapToGrid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综上，本项目年排放颗粒物总量为0.01t/a（0.001g/h）。</w:t>
            </w:r>
          </w:p>
          <w:p w14:paraId="18957BC1">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lang w:val="en-US"/>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2）硫化氢</w:t>
            </w:r>
          </w:p>
          <w:p w14:paraId="52189745">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本项目贮存的硫磺产生于</w:t>
            </w:r>
            <w:r>
              <w:rPr>
                <w:rFonts w:hint="eastAsia"/>
                <w:bCs/>
                <w:color w:val="000000" w:themeColor="text1"/>
                <w:highlight w:val="none"/>
                <w:lang w:val="en-US" w:eastAsia="zh-CN"/>
                <w14:textFill>
                  <w14:solidFill>
                    <w14:schemeClr w14:val="tx1"/>
                  </w14:solidFill>
                </w14:textFill>
              </w:rPr>
              <w:t>焦化厂煤气净化工序脱硫单元，贮存过程可能涉及</w:t>
            </w:r>
            <w:r>
              <w:rPr>
                <w:rFonts w:hint="eastAsia"/>
                <w:color w:val="000000" w:themeColor="text1"/>
                <w:highlight w:val="none"/>
                <w:lang w:val="en-US" w:eastAsia="zh-CN"/>
                <w14:textFill>
                  <w14:solidFill>
                    <w14:schemeClr w14:val="tx1"/>
                  </w14:solidFill>
                </w14:textFill>
              </w:rPr>
              <w:t>硫磺本身在脱硫过程残留的少量硫化氢的排放。结合生产过程中脱硫再生过程，大部分硫存在于硫磺中被脱除，处理后煤气中含量≤0.02g/Nm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，残存于硫磺中的硫化氢含量很低，但无法量化分析，因此本次评价作为污染因子考虑，并纳入后续厂界例行监测计划。产生的少量硫化氢通过库房设置的轴流风机抽出逸散至外环境空气中。</w:t>
            </w:r>
          </w:p>
          <w:p w14:paraId="4E942603">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综上所述，本项目</w:t>
            </w:r>
            <w:r>
              <w:rPr>
                <w:rFonts w:hint="eastAsia"/>
                <w:color w:val="000000" w:themeColor="text1"/>
                <w:highlight w:val="none"/>
                <w:lang w:val="en-US" w:eastAsia="zh-CN"/>
                <w14:textFill>
                  <w14:solidFill>
                    <w14:schemeClr w14:val="tx1"/>
                  </w14:solidFill>
                </w14:textFill>
              </w:rPr>
              <w:t>可量化考量的污染物统计排放情况见下表</w:t>
            </w:r>
            <w:r>
              <w:rPr>
                <w:rFonts w:hint="eastAsia"/>
                <w:color w:val="000000" w:themeColor="text1"/>
                <w:highlight w:val="none"/>
                <w14:textFill>
                  <w14:solidFill>
                    <w14:schemeClr w14:val="tx1"/>
                  </w14:solidFill>
                </w14:textFill>
              </w:rPr>
              <w:t>。</w:t>
            </w:r>
          </w:p>
          <w:p w14:paraId="26D283D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0"/>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表4-1  废气排放量一览表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65"/>
              <w:gridCol w:w="975"/>
              <w:gridCol w:w="1065"/>
              <w:gridCol w:w="4006"/>
            </w:tblGrid>
            <w:tr w14:paraId="3A64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01" w:type="pct"/>
                  <w:noWrap/>
                  <w:tcMar>
                    <w:left w:w="0" w:type="dxa"/>
                    <w:right w:w="0" w:type="dxa"/>
                  </w:tcMar>
                  <w:vAlign w:val="center"/>
                </w:tcPr>
                <w:p w14:paraId="6FAA344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物质</w:t>
                  </w:r>
                </w:p>
              </w:tc>
              <w:tc>
                <w:tcPr>
                  <w:tcW w:w="673" w:type="pct"/>
                  <w:noWrap/>
                  <w:vAlign w:val="center"/>
                </w:tcPr>
                <w:p w14:paraId="40F5125B">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产生量</w:t>
                  </w:r>
                  <w:r>
                    <w:rPr>
                      <w:rFonts w:hint="eastAsia" w:ascii="Times New Roman" w:hAnsi="Times New Roman"/>
                      <w:b/>
                      <w:bCs/>
                      <w:color w:val="000000" w:themeColor="text1"/>
                      <w:sz w:val="21"/>
                      <w:szCs w:val="21"/>
                      <w:highlight w:val="none"/>
                      <w14:textFill>
                        <w14:solidFill>
                          <w14:schemeClr w14:val="tx1"/>
                        </w14:solidFill>
                      </w14:textFill>
                    </w:rPr>
                    <w:t>t/a</w:t>
                  </w:r>
                </w:p>
              </w:tc>
              <w:tc>
                <w:tcPr>
                  <w:tcW w:w="616" w:type="pct"/>
                  <w:noWrap/>
                  <w:vAlign w:val="center"/>
                </w:tcPr>
                <w:p w14:paraId="24753C08">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处理量</w:t>
                  </w:r>
                  <w:r>
                    <w:rPr>
                      <w:rFonts w:hint="eastAsia" w:ascii="Times New Roman" w:hAnsi="Times New Roman"/>
                      <w:b/>
                      <w:bCs/>
                      <w:color w:val="000000" w:themeColor="text1"/>
                      <w:sz w:val="21"/>
                      <w:szCs w:val="21"/>
                      <w:highlight w:val="none"/>
                      <w14:textFill>
                        <w14:solidFill>
                          <w14:schemeClr w14:val="tx1"/>
                        </w14:solidFill>
                      </w14:textFill>
                    </w:rPr>
                    <w:t>t/a</w:t>
                  </w:r>
                </w:p>
              </w:tc>
              <w:tc>
                <w:tcPr>
                  <w:tcW w:w="673" w:type="pct"/>
                  <w:noWrap/>
                  <w:vAlign w:val="center"/>
                </w:tcPr>
                <w:p w14:paraId="3323E741">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排放量</w:t>
                  </w:r>
                  <w:r>
                    <w:rPr>
                      <w:rFonts w:hint="eastAsia" w:ascii="Times New Roman" w:hAnsi="Times New Roman"/>
                      <w:b/>
                      <w:bCs/>
                      <w:color w:val="000000" w:themeColor="text1"/>
                      <w:sz w:val="21"/>
                      <w:szCs w:val="21"/>
                      <w:highlight w:val="none"/>
                      <w14:textFill>
                        <w14:solidFill>
                          <w14:schemeClr w14:val="tx1"/>
                        </w14:solidFill>
                      </w14:textFill>
                    </w:rPr>
                    <w:t>t/a</w:t>
                  </w:r>
                </w:p>
              </w:tc>
              <w:tc>
                <w:tcPr>
                  <w:tcW w:w="2534" w:type="pct"/>
                  <w:noWrap/>
                  <w:vAlign w:val="center"/>
                </w:tcPr>
                <w:p w14:paraId="77E21536">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处理措施</w:t>
                  </w:r>
                </w:p>
              </w:tc>
            </w:tr>
            <w:tr w14:paraId="75E77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01" w:type="pct"/>
                  <w:noWrap/>
                  <w:tcMar>
                    <w:left w:w="0" w:type="dxa"/>
                    <w:right w:w="0" w:type="dxa"/>
                  </w:tcMar>
                  <w:vAlign w:val="center"/>
                </w:tcPr>
                <w:p w14:paraId="179A29FA">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颗粒物</w:t>
                  </w:r>
                </w:p>
              </w:tc>
              <w:tc>
                <w:tcPr>
                  <w:tcW w:w="673" w:type="pct"/>
                  <w:noWrap/>
                  <w:vAlign w:val="center"/>
                </w:tcPr>
                <w:p w14:paraId="1DB1CCE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0.0509</w:t>
                  </w:r>
                </w:p>
              </w:tc>
              <w:tc>
                <w:tcPr>
                  <w:tcW w:w="616" w:type="pct"/>
                  <w:noWrap/>
                  <w:vAlign w:val="center"/>
                </w:tcPr>
                <w:p w14:paraId="6390F76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0.040</w:t>
                  </w:r>
                </w:p>
              </w:tc>
              <w:tc>
                <w:tcPr>
                  <w:tcW w:w="673" w:type="pct"/>
                  <w:noWrap/>
                  <w:vAlign w:val="center"/>
                </w:tcPr>
                <w:p w14:paraId="0E7A6BA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0.01</w:t>
                  </w:r>
                </w:p>
              </w:tc>
              <w:tc>
                <w:tcPr>
                  <w:tcW w:w="2534" w:type="pct"/>
                  <w:noWrap/>
                  <w:vAlign w:val="center"/>
                </w:tcPr>
                <w:p w14:paraId="519F94D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库房内重点沉降80%，其余通过轴流风机排放</w:t>
                  </w:r>
                </w:p>
              </w:tc>
            </w:tr>
          </w:tbl>
          <w:p w14:paraId="76CDB7C8">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（3）废气治理措施</w:t>
            </w:r>
          </w:p>
          <w:p w14:paraId="54A7E884">
            <w:pPr>
              <w:keepNext w:val="0"/>
              <w:keepLines w:val="0"/>
              <w:suppressLineNumbers w:val="0"/>
              <w:adjustRightInd w:val="0"/>
              <w:snapToGrid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只产生</w:t>
            </w:r>
            <w:r>
              <w:rPr>
                <w:rFonts w:hint="eastAsia"/>
                <w:color w:val="000000" w:themeColor="text1"/>
                <w:highlight w:val="none"/>
                <w:lang w:val="en-US" w:eastAsia="zh-CN"/>
                <w14:textFill>
                  <w14:solidFill>
                    <w14:schemeClr w14:val="tx1"/>
                  </w14:solidFill>
                </w14:textFill>
              </w:rPr>
              <w:t>少量颗粒物和硫化氢气体排放，经分析，排放量较小，均通过库房设置的两台轴流风机排出。</w:t>
            </w:r>
          </w:p>
          <w:p w14:paraId="5D7E4154">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Style w:val="33"/>
                <w:rFonts w:hint="eastAsia"/>
                <w:color w:val="000000" w:themeColor="text1"/>
                <w:kern w:val="0"/>
                <w:sz w:val="24"/>
                <w:highlight w:val="none"/>
                <w14:textFill>
                  <w14:solidFill>
                    <w14:schemeClr w14:val="tx1"/>
                  </w14:solidFill>
                </w14:textFill>
              </w:rPr>
              <w:t>根据《排污许可证申请与核发技术规范</w:t>
            </w:r>
            <w:r>
              <w:rPr>
                <w:rStyle w:val="33"/>
                <w:rFonts w:hint="eastAsia"/>
                <w:color w:val="000000" w:themeColor="text1"/>
                <w:kern w:val="0"/>
                <w:sz w:val="24"/>
                <w:highlight w:val="none"/>
                <w:lang w:val="en-US" w:eastAsia="zh-CN"/>
                <w14:textFill>
                  <w14:solidFill>
                    <w14:schemeClr w14:val="tx1"/>
                  </w14:solidFill>
                </w14:textFill>
              </w:rPr>
              <w:t xml:space="preserve"> 炼焦化学工业</w:t>
            </w:r>
            <w:r>
              <w:rPr>
                <w:rStyle w:val="33"/>
                <w:rFonts w:hint="eastAsia"/>
                <w:color w:val="000000" w:themeColor="text1"/>
                <w:kern w:val="0"/>
                <w:sz w:val="24"/>
                <w:highlight w:val="none"/>
                <w14:textFill>
                  <w14:solidFill>
                    <w14:schemeClr w14:val="tx1"/>
                  </w14:solidFill>
                </w14:textFill>
              </w:rPr>
              <w:t>》（HJ85</w:t>
            </w:r>
            <w:r>
              <w:rPr>
                <w:rStyle w:val="33"/>
                <w:rFonts w:hint="eastAsia"/>
                <w:color w:val="000000" w:themeColor="text1"/>
                <w:kern w:val="0"/>
                <w:sz w:val="24"/>
                <w:highlight w:val="none"/>
                <w:lang w:val="en-US" w:eastAsia="zh-CN"/>
                <w14:textFill>
                  <w14:solidFill>
                    <w14:schemeClr w14:val="tx1"/>
                  </w14:solidFill>
                </w14:textFill>
              </w:rPr>
              <w:t>4</w:t>
            </w:r>
            <w:r>
              <w:rPr>
                <w:rStyle w:val="33"/>
                <w:rFonts w:hint="eastAsia"/>
                <w:color w:val="000000" w:themeColor="text1"/>
                <w:kern w:val="0"/>
                <w:sz w:val="24"/>
                <w:highlight w:val="none"/>
                <w14:textFill>
                  <w14:solidFill>
                    <w14:schemeClr w14:val="tx1"/>
                  </w14:solidFill>
                </w14:textFill>
              </w:rPr>
              <w:t>-2017）6.2.2.3 无组织排放</w:t>
            </w:r>
            <w:r>
              <w:rPr>
                <w:rStyle w:val="33"/>
                <w:rFonts w:hint="eastAsia"/>
                <w:color w:val="000000" w:themeColor="text1"/>
                <w:kern w:val="0"/>
                <w:sz w:val="24"/>
                <w:highlight w:val="none"/>
                <w:lang w:val="en-US" w:eastAsia="zh-CN"/>
                <w14:textFill>
                  <w14:solidFill>
                    <w14:schemeClr w14:val="tx1"/>
                  </w14:solidFill>
                </w14:textFill>
              </w:rPr>
              <w:t>控制</w:t>
            </w:r>
            <w:r>
              <w:rPr>
                <w:rStyle w:val="33"/>
                <w:rFonts w:hint="eastAsia"/>
                <w:color w:val="000000" w:themeColor="text1"/>
                <w:kern w:val="0"/>
                <w:sz w:val="24"/>
                <w:highlight w:val="none"/>
                <w14:textFill>
                  <w14:solidFill>
                    <w14:schemeClr w14:val="tx1"/>
                  </w14:solidFill>
                </w14:textFill>
              </w:rPr>
              <w:t>章节</w:t>
            </w:r>
            <w:r>
              <w:rPr>
                <w:rStyle w:val="33"/>
                <w:rFonts w:hint="eastAsia"/>
                <w:color w:val="000000" w:themeColor="text1"/>
                <w:kern w:val="0"/>
                <w:sz w:val="24"/>
                <w:highlight w:val="none"/>
                <w:lang w:val="en-US" w:eastAsia="zh-CN"/>
                <w14:textFill>
                  <w14:solidFill>
                    <w14:schemeClr w14:val="tx1"/>
                  </w14:solidFill>
                </w14:textFill>
              </w:rPr>
              <w:t>相关</w:t>
            </w:r>
            <w:r>
              <w:rPr>
                <w:rStyle w:val="33"/>
                <w:rFonts w:hint="eastAsia"/>
                <w:color w:val="000000" w:themeColor="text1"/>
                <w:kern w:val="0"/>
                <w:sz w:val="24"/>
                <w:highlight w:val="none"/>
                <w14:textFill>
                  <w14:solidFill>
                    <w14:schemeClr w14:val="tx1"/>
                  </w14:solidFill>
                </w14:textFill>
              </w:rPr>
              <w:t>规定：“</w:t>
            </w:r>
            <w:r>
              <w:rPr>
                <w:rStyle w:val="33"/>
                <w:rFonts w:hint="eastAsia"/>
                <w:color w:val="000000" w:themeColor="text1"/>
                <w:kern w:val="0"/>
                <w:sz w:val="24"/>
                <w:highlight w:val="none"/>
                <w:lang w:val="en-US" w:eastAsia="zh-CN"/>
                <w14:textFill>
                  <w14:solidFill>
                    <w14:schemeClr w14:val="tx1"/>
                  </w14:solidFill>
                </w14:textFill>
              </w:rPr>
              <w:t>采取的主要无组织控制措施主要为密闭装置”，本项目新建的乙类库为密闭库房，可有效降低污染物排放，减少颗粒物外排</w:t>
            </w:r>
            <w:r>
              <w:rPr>
                <w:rFonts w:hint="eastAsia"/>
                <w:color w:val="000000" w:themeColor="text1"/>
                <w:highlight w:val="none"/>
                <w14:textFill>
                  <w14:solidFill>
                    <w14:schemeClr w14:val="tx1"/>
                  </w14:solidFill>
                </w14:textFill>
              </w:rPr>
              <w:t>。项目建设符合相关规范要求。</w:t>
            </w:r>
          </w:p>
          <w:p w14:paraId="631FB622">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default"/>
                <w:color w:val="000000" w:themeColor="text1"/>
                <w:highlight w:val="none"/>
                <w14:textFill>
                  <w14:solidFill>
                    <w14:schemeClr w14:val="tx1"/>
                  </w14:solidFill>
                </w14:textFill>
              </w:rPr>
              <w:t>大气</w:t>
            </w:r>
            <w:r>
              <w:rPr>
                <w:rFonts w:hint="eastAsia"/>
                <w:color w:val="000000" w:themeColor="text1"/>
                <w:highlight w:val="none"/>
                <w14:textFill>
                  <w14:solidFill>
                    <w14:schemeClr w14:val="tx1"/>
                  </w14:solidFill>
                </w14:textFill>
              </w:rPr>
              <w:t>环境监测计划</w:t>
            </w:r>
          </w:p>
          <w:p w14:paraId="619156B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本项目主要是在</w:t>
            </w:r>
            <w:r>
              <w:rPr>
                <w:rFonts w:hint="eastAsia"/>
                <w:snapToGrid w:val="0"/>
                <w:color w:val="000000" w:themeColor="text1"/>
                <w:highlight w:val="none"/>
                <w:lang w:val="en-US" w:eastAsia="zh-CN"/>
                <w14:textFill>
                  <w14:solidFill>
                    <w14:schemeClr w14:val="tx1"/>
                  </w14:solidFill>
                </w14:textFill>
              </w:rPr>
              <w:t>项目</w:t>
            </w:r>
            <w:r>
              <w:rPr>
                <w:rFonts w:hint="eastAsia"/>
                <w:snapToGrid w:val="0"/>
                <w:color w:val="000000" w:themeColor="text1"/>
                <w:highlight w:val="none"/>
                <w14:textFill>
                  <w14:solidFill>
                    <w14:schemeClr w14:val="tx1"/>
                  </w14:solidFill>
                </w14:textFill>
              </w:rPr>
              <w:t>厂区内新建</w:t>
            </w:r>
            <w:r>
              <w:rPr>
                <w:rFonts w:hint="eastAsia"/>
                <w:snapToGrid w:val="0"/>
                <w:color w:val="000000" w:themeColor="text1"/>
                <w:highlight w:val="none"/>
                <w:lang w:val="en-US" w:eastAsia="zh-CN"/>
                <w14:textFill>
                  <w14:solidFill>
                    <w14:schemeClr w14:val="tx1"/>
                  </w14:solidFill>
                </w14:textFill>
              </w:rPr>
              <w:t>乙类库</w:t>
            </w:r>
            <w:r>
              <w:rPr>
                <w:rFonts w:hint="eastAsia"/>
                <w:snapToGrid w:val="0"/>
                <w:color w:val="000000" w:themeColor="text1"/>
                <w:highlight w:val="none"/>
                <w14:textFill>
                  <w14:solidFill>
                    <w14:schemeClr w14:val="tx1"/>
                  </w14:solidFill>
                </w14:textFill>
              </w:rPr>
              <w:t>，主要废气</w:t>
            </w:r>
            <w:r>
              <w:rPr>
                <w:rFonts w:hint="eastAsia"/>
                <w:snapToGrid w:val="0"/>
                <w:color w:val="000000" w:themeColor="text1"/>
                <w:highlight w:val="none"/>
                <w:lang w:val="en-US" w:eastAsia="zh-CN"/>
                <w14:textFill>
                  <w14:solidFill>
                    <w14:schemeClr w14:val="tx1"/>
                  </w14:solidFill>
                </w14:textFill>
              </w:rPr>
              <w:t>例行监测</w:t>
            </w:r>
            <w:r>
              <w:rPr>
                <w:rFonts w:hint="eastAsia"/>
                <w:snapToGrid w:val="0"/>
                <w:color w:val="000000" w:themeColor="text1"/>
                <w:highlight w:val="none"/>
                <w14:textFill>
                  <w14:solidFill>
                    <w14:schemeClr w14:val="tx1"/>
                  </w14:solidFill>
                </w14:textFill>
              </w:rPr>
              <w:t>情况依托厂区现有大厂界例行检测结果核定。</w:t>
            </w:r>
            <w:r>
              <w:rPr>
                <w:rFonts w:hint="eastAsia" w:ascii="Times New Roman" w:hAnsi="Times New Roman"/>
                <w:snapToGrid w:val="0"/>
                <w:color w:val="000000" w:themeColor="text1"/>
                <w:szCs w:val="24"/>
                <w:highlight w:val="none"/>
                <w:lang w:val="en-US" w:eastAsia="zh-CN"/>
                <w14:textFill>
                  <w14:solidFill>
                    <w14:schemeClr w14:val="tx1"/>
                  </w14:solidFill>
                </w14:textFill>
              </w:rPr>
              <w:t>厂界颗粒物及硫化氢均执行《炼焦化学工业污染物排放标准》(GB16171-2012)中表7现有和新建炼焦炉炉顶及企业边界大气污染物浓度限值</w:t>
            </w:r>
            <w:r>
              <w:rPr>
                <w:rFonts w:hint="eastAsia" w:cs="Times New Roman"/>
                <w:color w:val="000000" w:themeColor="text1"/>
                <w:highlight w:val="none"/>
                <w:lang w:val="en-US" w:eastAsia="zh-CN"/>
                <w14:textFill>
                  <w14:solidFill>
                    <w14:schemeClr w14:val="tx1"/>
                  </w14:solidFill>
                </w14:textFill>
              </w:rPr>
              <w:t>。</w:t>
            </w:r>
          </w:p>
          <w:p w14:paraId="28CA4C13">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w:t>
            </w:r>
            <w:r>
              <w:rPr>
                <w:rFonts w:hint="eastAsia" w:eastAsiaTheme="minorEastAsia"/>
                <w:b/>
                <w:bCs/>
                <w:color w:val="000000" w:themeColor="text1"/>
                <w:sz w:val="21"/>
                <w:szCs w:val="21"/>
                <w:highlight w:val="none"/>
                <w:lang w:val="en-US" w:eastAsia="zh-CN"/>
                <w14:textFill>
                  <w14:solidFill>
                    <w14:schemeClr w14:val="tx1"/>
                  </w14:solidFill>
                </w14:textFill>
              </w:rPr>
              <w:t>4-2</w:t>
            </w:r>
            <w:r>
              <w:rPr>
                <w:rFonts w:hint="eastAsia" w:eastAsiaTheme="minorEastAsia"/>
                <w:b/>
                <w:bCs/>
                <w:color w:val="000000" w:themeColor="text1"/>
                <w:sz w:val="21"/>
                <w:szCs w:val="21"/>
                <w:highlight w:val="none"/>
                <w14:textFill>
                  <w14:solidFill>
                    <w14:schemeClr w14:val="tx1"/>
                  </w14:solidFill>
                </w14:textFill>
              </w:rPr>
              <w:t xml:space="preserve">  大气</w:t>
            </w:r>
            <w:r>
              <w:rPr>
                <w:rFonts w:hint="default" w:eastAsiaTheme="minorEastAsia"/>
                <w:b/>
                <w:bCs/>
                <w:color w:val="000000" w:themeColor="text1"/>
                <w:sz w:val="21"/>
                <w:szCs w:val="21"/>
                <w:highlight w:val="none"/>
                <w14:textFill>
                  <w14:solidFill>
                    <w14:schemeClr w14:val="tx1"/>
                  </w14:solidFill>
                </w14:textFill>
              </w:rPr>
              <w:t>环境监测计划</w:t>
            </w:r>
          </w:p>
          <w:tbl>
            <w:tblPr>
              <w:tblStyle w:val="28"/>
              <w:tblW w:w="49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273"/>
              <w:gridCol w:w="1553"/>
              <w:gridCol w:w="1232"/>
              <w:gridCol w:w="1074"/>
              <w:gridCol w:w="2616"/>
            </w:tblGrid>
            <w:tr w14:paraId="04F41FC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16" w:hRule="atLeast"/>
                <w:jc w:val="center"/>
              </w:trPr>
              <w:tc>
                <w:tcPr>
                  <w:tcW w:w="821" w:type="pct"/>
                  <w:vAlign w:val="center"/>
                </w:tcPr>
                <w:p w14:paraId="4004859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污染物名称</w:t>
                  </w:r>
                </w:p>
              </w:tc>
              <w:tc>
                <w:tcPr>
                  <w:tcW w:w="1002" w:type="pct"/>
                  <w:vAlign w:val="center"/>
                </w:tcPr>
                <w:p w14:paraId="0ECD7DA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监测点</w:t>
                  </w:r>
                </w:p>
              </w:tc>
              <w:tc>
                <w:tcPr>
                  <w:tcW w:w="795" w:type="pct"/>
                  <w:vAlign w:val="center"/>
                </w:tcPr>
                <w:p w14:paraId="5F3C5F8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监测项目</w:t>
                  </w:r>
                </w:p>
              </w:tc>
              <w:tc>
                <w:tcPr>
                  <w:tcW w:w="693" w:type="pct"/>
                  <w:vAlign w:val="center"/>
                </w:tcPr>
                <w:p w14:paraId="259D391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监测频次</w:t>
                  </w:r>
                </w:p>
              </w:tc>
              <w:tc>
                <w:tcPr>
                  <w:tcW w:w="1687" w:type="pct"/>
                  <w:vAlign w:val="center"/>
                </w:tcPr>
                <w:p w14:paraId="007D338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备注</w:t>
                  </w:r>
                </w:p>
              </w:tc>
            </w:tr>
            <w:tr w14:paraId="5389A9A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867" w:hRule="atLeast"/>
                <w:jc w:val="center"/>
              </w:trPr>
              <w:tc>
                <w:tcPr>
                  <w:tcW w:w="821" w:type="pct"/>
                  <w:vAlign w:val="center"/>
                </w:tcPr>
                <w:p w14:paraId="3C320E0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大气污染物</w:t>
                  </w:r>
                </w:p>
              </w:tc>
              <w:tc>
                <w:tcPr>
                  <w:tcW w:w="1002" w:type="pct"/>
                  <w:vAlign w:val="center"/>
                </w:tcPr>
                <w:p w14:paraId="4660137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w:t>
                  </w:r>
                  <w:r>
                    <w:rPr>
                      <w:rFonts w:hint="eastAsia" w:ascii="Times New Roman" w:hAnsi="Times New Roman"/>
                      <w:color w:val="000000" w:themeColor="text1"/>
                      <w:sz w:val="21"/>
                      <w:szCs w:val="21"/>
                      <w:highlight w:val="none"/>
                      <w14:textFill>
                        <w14:solidFill>
                          <w14:schemeClr w14:val="tx1"/>
                        </w14:solidFill>
                      </w14:textFill>
                    </w:rPr>
                    <w:t>上风向1个背景点，下风向3个监测点</w:t>
                  </w:r>
                </w:p>
              </w:tc>
              <w:tc>
                <w:tcPr>
                  <w:tcW w:w="795" w:type="pct"/>
                  <w:vAlign w:val="center"/>
                </w:tcPr>
                <w:p w14:paraId="296EE71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lang w:val="en-US"/>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颗粒物、硫化氢</w:t>
                  </w:r>
                </w:p>
              </w:tc>
              <w:tc>
                <w:tcPr>
                  <w:tcW w:w="693" w:type="pct"/>
                  <w:vAlign w:val="center"/>
                </w:tcPr>
                <w:p w14:paraId="375B08A8">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val="en-US"/>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季度</w:t>
                  </w:r>
                </w:p>
              </w:tc>
              <w:tc>
                <w:tcPr>
                  <w:tcW w:w="1687" w:type="pct"/>
                  <w:vAlign w:val="center"/>
                </w:tcPr>
                <w:p w14:paraId="1D1F326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val="en-US" w:eastAsia="zh-CN"/>
                      <w14:textFill>
                        <w14:solidFill>
                          <w14:schemeClr w14:val="tx1"/>
                        </w14:solidFill>
                      </w14:textFill>
                    </w:rPr>
                    <w:t>《炼焦化学工业污染物排放标准》(GB16171-2012)中表7现有和新建炼焦炉炉顶及企业边界大气污染物浓度限值</w:t>
                  </w:r>
                </w:p>
              </w:tc>
            </w:tr>
          </w:tbl>
          <w:p w14:paraId="1C105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000000" w:themeColor="text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注：大气检测可与大厂区例行监测数据同步检测，不再进行重复检测。</w:t>
            </w:r>
          </w:p>
          <w:p w14:paraId="2DBA296F">
            <w:pPr>
              <w:keepNext w:val="0"/>
              <w:keepLines w:val="0"/>
              <w:suppressLineNumbers w:val="0"/>
              <w:adjustRightInd w:val="0"/>
              <w:snapToGrid w:val="0"/>
              <w:spacing w:before="0" w:beforeAutospacing="0" w:after="0" w:afterAutospacing="0"/>
              <w:ind w:left="0" w:right="0" w:firstLine="42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2、废水</w:t>
            </w:r>
          </w:p>
          <w:p w14:paraId="0D273167">
            <w:pPr>
              <w:keepNext w:val="0"/>
              <w:keepLines w:val="0"/>
              <w:suppressLineNumbers w:val="0"/>
              <w:adjustRightInd w:val="0"/>
              <w:snapToGrid w:val="0"/>
              <w:spacing w:before="0" w:beforeAutospacing="0" w:after="0" w:afterAutospacing="0"/>
              <w:ind w:left="0" w:right="0" w:firstLine="480"/>
              <w:jc w:val="left"/>
              <w:rPr>
                <w:rFonts w:hint="eastAsia" w:eastAsia="宋体"/>
                <w:bCs/>
                <w:color w:val="000000" w:themeColor="text1"/>
                <w:highlight w:val="none"/>
                <w:lang w:eastAsia="zh-CN"/>
                <w14:textFill>
                  <w14:solidFill>
                    <w14:schemeClr w14:val="tx1"/>
                  </w14:solidFill>
                </w14:textFill>
              </w:rPr>
            </w:pPr>
            <w:r>
              <w:rPr>
                <w:rFonts w:hint="eastAsia"/>
                <w:bCs/>
                <w:color w:val="000000" w:themeColor="text1"/>
                <w:highlight w:val="none"/>
                <w14:textFill>
                  <w14:solidFill>
                    <w14:schemeClr w14:val="tx1"/>
                  </w14:solidFill>
                </w14:textFill>
              </w:rPr>
              <w:t>本项目为危险化学品储存项目，不产生生产废水，不新增工作人员，所以不产生生活污水。</w:t>
            </w:r>
          </w:p>
          <w:p w14:paraId="549F9524">
            <w:pPr>
              <w:keepNext w:val="0"/>
              <w:keepLines w:val="0"/>
              <w:suppressLineNumbers w:val="0"/>
              <w:adjustRightInd w:val="0"/>
              <w:snapToGrid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3、噪声</w:t>
            </w:r>
          </w:p>
          <w:p w14:paraId="11D45A92">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本项目噪声主要来自于</w:t>
            </w:r>
            <w:r>
              <w:rPr>
                <w:rFonts w:hint="eastAsia"/>
                <w:color w:val="000000" w:themeColor="text1"/>
                <w:highlight w:val="none"/>
                <w:lang w:val="en-US" w:eastAsia="zh-CN"/>
                <w14:textFill>
                  <w14:solidFill>
                    <w14:schemeClr w14:val="tx1"/>
                  </w14:solidFill>
                </w14:textFill>
              </w:rPr>
              <w:t>轴流风机</w:t>
            </w:r>
            <w:r>
              <w:rPr>
                <w:rFonts w:hint="eastAsia"/>
                <w:color w:val="000000" w:themeColor="text1"/>
                <w:highlight w:val="none"/>
                <w14:textFill>
                  <w14:solidFill>
                    <w14:schemeClr w14:val="tx1"/>
                  </w14:solidFill>
                </w14:textFill>
              </w:rPr>
              <w:t>，噪声值约为</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0dB(A)，主要降噪措施为选用低噪声设备。项目噪声值及治理措施具体见下表。</w:t>
            </w:r>
          </w:p>
          <w:p w14:paraId="16470370">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default" w:eastAsiaTheme="minorEastAsia"/>
                <w:b/>
                <w:bCs/>
                <w:color w:val="000000" w:themeColor="text1"/>
                <w:sz w:val="21"/>
                <w:szCs w:val="21"/>
                <w:highlight w:val="none"/>
                <w14:textFill>
                  <w14:solidFill>
                    <w14:schemeClr w14:val="tx1"/>
                  </w14:solidFill>
                </w14:textFill>
              </w:rPr>
              <w:t>表 4-</w:t>
            </w:r>
            <w:r>
              <w:rPr>
                <w:rFonts w:hint="eastAsia" w:eastAsiaTheme="minorEastAsia"/>
                <w:b/>
                <w:bCs/>
                <w:color w:val="000000" w:themeColor="text1"/>
                <w:sz w:val="21"/>
                <w:szCs w:val="21"/>
                <w:highlight w:val="none"/>
                <w:lang w:val="en-US" w:eastAsia="zh-CN"/>
                <w14:textFill>
                  <w14:solidFill>
                    <w14:schemeClr w14:val="tx1"/>
                  </w14:solidFill>
                </w14:textFill>
              </w:rPr>
              <w:t>3</w:t>
            </w:r>
            <w:r>
              <w:rPr>
                <w:rFonts w:hint="default" w:eastAsiaTheme="minorEastAsia"/>
                <w:b/>
                <w:bCs/>
                <w:color w:val="000000" w:themeColor="text1"/>
                <w:sz w:val="21"/>
                <w:szCs w:val="21"/>
                <w:highlight w:val="none"/>
                <w14:textFill>
                  <w14:solidFill>
                    <w14:schemeClr w14:val="tx1"/>
                  </w14:solidFill>
                </w14:textFill>
              </w:rPr>
              <w:t xml:space="preserve"> 建设项目采取治理前后设备噪声值</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2"/>
              <w:gridCol w:w="999"/>
              <w:gridCol w:w="646"/>
              <w:gridCol w:w="525"/>
              <w:gridCol w:w="525"/>
              <w:gridCol w:w="454"/>
              <w:gridCol w:w="706"/>
              <w:gridCol w:w="629"/>
              <w:gridCol w:w="389"/>
              <w:gridCol w:w="646"/>
              <w:gridCol w:w="382"/>
              <w:gridCol w:w="607"/>
              <w:gridCol w:w="631"/>
              <w:gridCol w:w="383"/>
            </w:tblGrid>
            <w:tr w14:paraId="7C6E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dxa"/>
                  <w:vMerge w:val="restart"/>
                  <w:vAlign w:val="center"/>
                </w:tcPr>
                <w:p w14:paraId="3CEF001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声源</w:t>
                  </w:r>
                  <w:r>
                    <w:rPr>
                      <w:rFonts w:hint="default" w:ascii="Times New Roman" w:hAnsi="Times New Roman"/>
                      <w:color w:val="000000" w:themeColor="text1"/>
                      <w:sz w:val="21"/>
                      <w:szCs w:val="21"/>
                      <w:highlight w:val="none"/>
                      <w14:textFill>
                        <w14:solidFill>
                          <w14:schemeClr w14:val="tx1"/>
                        </w14:solidFill>
                      </w14:textFill>
                    </w:rPr>
                    <w:t>名称</w:t>
                  </w:r>
                </w:p>
              </w:tc>
              <w:tc>
                <w:tcPr>
                  <w:tcW w:w="999" w:type="dxa"/>
                  <w:vMerge w:val="restart"/>
                  <w:vAlign w:val="center"/>
                </w:tcPr>
                <w:p w14:paraId="049736D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型号</w:t>
                  </w:r>
                </w:p>
              </w:tc>
              <w:tc>
                <w:tcPr>
                  <w:tcW w:w="646" w:type="dxa"/>
                  <w:vAlign w:val="center"/>
                </w:tcPr>
                <w:p w14:paraId="62F1616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声源声级dB（A）</w:t>
                  </w:r>
                </w:p>
              </w:tc>
              <w:tc>
                <w:tcPr>
                  <w:tcW w:w="525" w:type="dxa"/>
                  <w:vMerge w:val="restart"/>
                  <w:vAlign w:val="center"/>
                </w:tcPr>
                <w:p w14:paraId="6C73DA8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声源控制措施</w:t>
                  </w:r>
                </w:p>
              </w:tc>
              <w:tc>
                <w:tcPr>
                  <w:tcW w:w="1685" w:type="dxa"/>
                  <w:gridSpan w:val="3"/>
                  <w:vAlign w:val="center"/>
                </w:tcPr>
                <w:p w14:paraId="6FB3DE0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空间相对位置</w:t>
                  </w:r>
                </w:p>
              </w:tc>
              <w:tc>
                <w:tcPr>
                  <w:tcW w:w="629" w:type="dxa"/>
                  <w:vMerge w:val="restart"/>
                  <w:vAlign w:val="center"/>
                </w:tcPr>
                <w:p w14:paraId="2886F9C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降噪后声压级dB（A）</w:t>
                  </w:r>
                </w:p>
              </w:tc>
              <w:tc>
                <w:tcPr>
                  <w:tcW w:w="389" w:type="dxa"/>
                  <w:vMerge w:val="restart"/>
                  <w:vAlign w:val="center"/>
                </w:tcPr>
                <w:p w14:paraId="0A344B9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距室内边界距离/m</w:t>
                  </w:r>
                </w:p>
              </w:tc>
              <w:tc>
                <w:tcPr>
                  <w:tcW w:w="646" w:type="dxa"/>
                  <w:vMerge w:val="restart"/>
                  <w:vAlign w:val="center"/>
                </w:tcPr>
                <w:p w14:paraId="40DCFAA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室内边界声级</w:t>
                  </w:r>
                  <w:r>
                    <w:rPr>
                      <w:rFonts w:hint="default" w:ascii="Times New Roman" w:hAnsi="Times New Roman"/>
                      <w:color w:val="000000" w:themeColor="text1"/>
                      <w:sz w:val="21"/>
                      <w:szCs w:val="21"/>
                      <w:highlight w:val="none"/>
                      <w14:textFill>
                        <w14:solidFill>
                          <w14:schemeClr w14:val="tx1"/>
                        </w14:solidFill>
                      </w14:textFill>
                    </w:rPr>
                    <w:t>/dB(A)</w:t>
                  </w:r>
                </w:p>
              </w:tc>
              <w:tc>
                <w:tcPr>
                  <w:tcW w:w="382" w:type="dxa"/>
                  <w:vMerge w:val="restart"/>
                  <w:vAlign w:val="center"/>
                </w:tcPr>
                <w:p w14:paraId="5DCF150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运行时段</w:t>
                  </w:r>
                </w:p>
              </w:tc>
              <w:tc>
                <w:tcPr>
                  <w:tcW w:w="607" w:type="dxa"/>
                  <w:vMerge w:val="restart"/>
                  <w:vAlign w:val="center"/>
                </w:tcPr>
                <w:p w14:paraId="3922767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建筑物插入损失 / dB(A)</w:t>
                  </w:r>
                </w:p>
              </w:tc>
              <w:tc>
                <w:tcPr>
                  <w:tcW w:w="1014" w:type="dxa"/>
                  <w:gridSpan w:val="2"/>
                  <w:vAlign w:val="center"/>
                </w:tcPr>
                <w:p w14:paraId="25ABC40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建筑物外噪声</w:t>
                  </w:r>
                </w:p>
              </w:tc>
            </w:tr>
            <w:tr w14:paraId="02455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82" w:type="dxa"/>
                  <w:vMerge w:val="continue"/>
                  <w:vAlign w:val="center"/>
                </w:tcPr>
                <w:p w14:paraId="2978EA1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999" w:type="dxa"/>
                  <w:vMerge w:val="continue"/>
                  <w:vAlign w:val="center"/>
                </w:tcPr>
                <w:p w14:paraId="18F80C9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646" w:type="dxa"/>
                  <w:vAlign w:val="center"/>
                </w:tcPr>
                <w:p w14:paraId="2172375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声功率级/dB(A)</w:t>
                  </w:r>
                </w:p>
              </w:tc>
              <w:tc>
                <w:tcPr>
                  <w:tcW w:w="525" w:type="dxa"/>
                  <w:vMerge w:val="continue"/>
                  <w:vAlign w:val="center"/>
                </w:tcPr>
                <w:p w14:paraId="6D0B6AD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525" w:type="dxa"/>
                  <w:vAlign w:val="center"/>
                </w:tcPr>
                <w:p w14:paraId="68B599A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X</w:t>
                  </w:r>
                </w:p>
              </w:tc>
              <w:tc>
                <w:tcPr>
                  <w:tcW w:w="454" w:type="dxa"/>
                  <w:vAlign w:val="center"/>
                </w:tcPr>
                <w:p w14:paraId="7A37CAA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Y</w:t>
                  </w:r>
                </w:p>
              </w:tc>
              <w:tc>
                <w:tcPr>
                  <w:tcW w:w="706" w:type="dxa"/>
                  <w:vAlign w:val="center"/>
                </w:tcPr>
                <w:p w14:paraId="4865EA7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Z</w:t>
                  </w:r>
                </w:p>
              </w:tc>
              <w:tc>
                <w:tcPr>
                  <w:tcW w:w="629" w:type="dxa"/>
                  <w:vMerge w:val="continue"/>
                  <w:vAlign w:val="center"/>
                </w:tcPr>
                <w:p w14:paraId="42554E7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389" w:type="dxa"/>
                  <w:vMerge w:val="continue"/>
                  <w:vAlign w:val="center"/>
                </w:tcPr>
                <w:p w14:paraId="3DD3411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646" w:type="dxa"/>
                  <w:vMerge w:val="continue"/>
                  <w:vAlign w:val="center"/>
                </w:tcPr>
                <w:p w14:paraId="515742F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382" w:type="dxa"/>
                  <w:vMerge w:val="continue"/>
                  <w:vAlign w:val="center"/>
                </w:tcPr>
                <w:p w14:paraId="5D5E307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607" w:type="dxa"/>
                  <w:vMerge w:val="continue"/>
                  <w:vAlign w:val="center"/>
                </w:tcPr>
                <w:p w14:paraId="53E3E47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631" w:type="dxa"/>
                  <w:vAlign w:val="center"/>
                </w:tcPr>
                <w:p w14:paraId="36235C7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声压级dB（A）</w:t>
                  </w:r>
                </w:p>
              </w:tc>
              <w:tc>
                <w:tcPr>
                  <w:tcW w:w="383" w:type="dxa"/>
                  <w:vAlign w:val="center"/>
                </w:tcPr>
                <w:p w14:paraId="77909F7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建筑物外距离</w:t>
                  </w:r>
                </w:p>
              </w:tc>
            </w:tr>
            <w:tr w14:paraId="44361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2" w:type="dxa"/>
                  <w:vAlign w:val="center"/>
                </w:tcPr>
                <w:p w14:paraId="69D76A4E">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轴流风机</w:t>
                  </w:r>
                </w:p>
              </w:tc>
              <w:tc>
                <w:tcPr>
                  <w:tcW w:w="999" w:type="dxa"/>
                  <w:vAlign w:val="center"/>
                </w:tcPr>
                <w:p w14:paraId="5F00C24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BFJ-1~2</w:t>
                  </w:r>
                </w:p>
              </w:tc>
              <w:tc>
                <w:tcPr>
                  <w:tcW w:w="646" w:type="dxa"/>
                  <w:vAlign w:val="center"/>
                </w:tcPr>
                <w:p w14:paraId="1555C90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70</w:t>
                  </w:r>
                </w:p>
              </w:tc>
              <w:tc>
                <w:tcPr>
                  <w:tcW w:w="525" w:type="dxa"/>
                  <w:vAlign w:val="center"/>
                </w:tcPr>
                <w:p w14:paraId="3BCAFB5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低噪声设备、距离衰减</w:t>
                  </w:r>
                </w:p>
              </w:tc>
              <w:tc>
                <w:tcPr>
                  <w:tcW w:w="525" w:type="dxa"/>
                  <w:vAlign w:val="center"/>
                </w:tcPr>
                <w:p w14:paraId="334F51F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2876</w:t>
                  </w:r>
                </w:p>
              </w:tc>
              <w:tc>
                <w:tcPr>
                  <w:tcW w:w="454" w:type="dxa"/>
                  <w:vAlign w:val="center"/>
                </w:tcPr>
                <w:p w14:paraId="5D8A5D5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823</w:t>
                  </w:r>
                </w:p>
              </w:tc>
              <w:tc>
                <w:tcPr>
                  <w:tcW w:w="706" w:type="dxa"/>
                  <w:vAlign w:val="center"/>
                </w:tcPr>
                <w:p w14:paraId="6D970C5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10</w:t>
                  </w:r>
                  <w:r>
                    <w:rPr>
                      <w:rFonts w:hint="eastAsia" w:ascii="Times New Roman" w:hAnsi="Times New Roman"/>
                      <w:color w:val="000000" w:themeColor="text1"/>
                      <w:sz w:val="21"/>
                      <w:szCs w:val="21"/>
                      <w:highlight w:val="none"/>
                      <w:lang w:val="en-US" w:eastAsia="zh-CN"/>
                      <w14:textFill>
                        <w14:solidFill>
                          <w14:schemeClr w14:val="tx1"/>
                        </w14:solidFill>
                      </w14:textFill>
                    </w:rPr>
                    <w:t>66</w:t>
                  </w:r>
                </w:p>
              </w:tc>
              <w:tc>
                <w:tcPr>
                  <w:tcW w:w="629" w:type="dxa"/>
                  <w:vAlign w:val="center"/>
                </w:tcPr>
                <w:p w14:paraId="16BA2DA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50</w:t>
                  </w:r>
                </w:p>
              </w:tc>
              <w:tc>
                <w:tcPr>
                  <w:tcW w:w="389" w:type="dxa"/>
                  <w:vAlign w:val="center"/>
                </w:tcPr>
                <w:p w14:paraId="4EE4592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c>
                <w:tcPr>
                  <w:tcW w:w="646" w:type="dxa"/>
                  <w:vAlign w:val="center"/>
                </w:tcPr>
                <w:p w14:paraId="69ECB37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c>
                <w:tcPr>
                  <w:tcW w:w="382" w:type="dxa"/>
                  <w:vAlign w:val="center"/>
                </w:tcPr>
                <w:p w14:paraId="4801D11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24</w:t>
                  </w:r>
                </w:p>
              </w:tc>
              <w:tc>
                <w:tcPr>
                  <w:tcW w:w="607" w:type="dxa"/>
                  <w:vAlign w:val="center"/>
                </w:tcPr>
                <w:p w14:paraId="5E391D0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20</w:t>
                  </w:r>
                </w:p>
              </w:tc>
              <w:tc>
                <w:tcPr>
                  <w:tcW w:w="631" w:type="dxa"/>
                  <w:vAlign w:val="center"/>
                </w:tcPr>
                <w:p w14:paraId="57BE26B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c>
                <w:tcPr>
                  <w:tcW w:w="383" w:type="dxa"/>
                  <w:vAlign w:val="center"/>
                </w:tcPr>
                <w:p w14:paraId="11EF3C3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r>
          </w:tbl>
          <w:p w14:paraId="63133255">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default"/>
                <w:color w:val="000000" w:themeColor="text1"/>
                <w:highlight w:val="none"/>
                <w14:textFill>
                  <w14:solidFill>
                    <w14:schemeClr w14:val="tx1"/>
                  </w14:solidFill>
                </w14:textFill>
              </w:rPr>
              <w:t>声环境影响</w:t>
            </w:r>
            <w:r>
              <w:rPr>
                <w:rFonts w:hint="eastAsia"/>
                <w:color w:val="000000" w:themeColor="text1"/>
                <w:highlight w:val="none"/>
                <w14:textFill>
                  <w14:solidFill>
                    <w14:schemeClr w14:val="tx1"/>
                  </w14:solidFill>
                </w14:textFill>
              </w:rPr>
              <w:t>评价</w:t>
            </w:r>
          </w:p>
          <w:p w14:paraId="78CC39A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根据《环境影响评价技术导则 声环境》（HJ 2.4-2021）的技术要求，在进行噪声预测时，只考虑各噪声源所在厂房围护结构的屏蔽效应、初声源至受声点的距离衰减以及空气吸收等主要衰减因素，各噪声源强只考虑常规降噪措施。预测模式如下：</w:t>
            </w:r>
          </w:p>
          <w:p w14:paraId="45E7133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）室内声源</w:t>
            </w:r>
          </w:p>
          <w:p w14:paraId="7619B04D">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a. </w:t>
            </w:r>
            <w:r>
              <w:rPr>
                <w:rFonts w:hint="eastAsia"/>
                <w:color w:val="000000" w:themeColor="text1"/>
                <w:highlight w:val="none"/>
                <w14:textFill>
                  <w14:solidFill>
                    <w14:schemeClr w14:val="tx1"/>
                  </w14:solidFill>
                </w14:textFill>
              </w:rPr>
              <w:t>首先计算出某个室内靠近围护结构处的倍频带声压级：</w:t>
            </w:r>
          </w:p>
          <w:p w14:paraId="5D0FAAFD">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5" o:spt="75" type="#_x0000_t75" style="height:40.3pt;width:150.45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387DAED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t>Loct</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某个室内声源在靠近围护结构处产生的倍频带声压级；</w:t>
            </w:r>
          </w:p>
          <w:p w14:paraId="26D7B4A7">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Lwoct—</w:t>
            </w:r>
            <w:r>
              <w:rPr>
                <w:rFonts w:hint="eastAsia"/>
                <w:color w:val="000000" w:themeColor="text1"/>
                <w:highlight w:val="none"/>
                <w14:textFill>
                  <w14:solidFill>
                    <w14:schemeClr w14:val="tx1"/>
                  </w14:solidFill>
                </w14:textFill>
              </w:rPr>
              <w:t>某个声源的倍频带声功率级；</w:t>
            </w:r>
          </w:p>
          <w:p w14:paraId="440EEA45">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r1—</w:t>
            </w:r>
            <w:r>
              <w:rPr>
                <w:rFonts w:hint="eastAsia"/>
                <w:color w:val="000000" w:themeColor="text1"/>
                <w:highlight w:val="none"/>
                <w14:textFill>
                  <w14:solidFill>
                    <w14:schemeClr w14:val="tx1"/>
                  </w14:solidFill>
                </w14:textFill>
              </w:rPr>
              <w:t>室内某个声源与靠近结构围护处的距离（</w:t>
            </w:r>
            <w:r>
              <w:rPr>
                <w:rFonts w:hint="default"/>
                <w:color w:val="000000" w:themeColor="text1"/>
                <w:highlight w:val="none"/>
                <w14:textFill>
                  <w14:solidFill>
                    <w14:schemeClr w14:val="tx1"/>
                  </w14:solidFill>
                </w14:textFill>
              </w:rPr>
              <w:t>m</w:t>
            </w:r>
            <w:r>
              <w:rPr>
                <w:rFonts w:hint="eastAsia"/>
                <w:color w:val="000000" w:themeColor="text1"/>
                <w:highlight w:val="none"/>
                <w14:textFill>
                  <w14:solidFill>
                    <w14:schemeClr w14:val="tx1"/>
                  </w14:solidFill>
                </w14:textFill>
              </w:rPr>
              <w:t>）；</w:t>
            </w:r>
          </w:p>
          <w:p w14:paraId="26485D9E">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R—</w:t>
            </w:r>
            <w:r>
              <w:rPr>
                <w:rFonts w:hint="eastAsia"/>
                <w:color w:val="000000" w:themeColor="text1"/>
                <w:highlight w:val="none"/>
                <w14:textFill>
                  <w14:solidFill>
                    <w14:schemeClr w14:val="tx1"/>
                  </w14:solidFill>
                </w14:textFill>
              </w:rPr>
              <w:t>房间常数；</w:t>
            </w:r>
          </w:p>
          <w:p w14:paraId="33E74CA3">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Q—</w:t>
            </w:r>
            <w:r>
              <w:rPr>
                <w:rFonts w:hint="eastAsia"/>
                <w:color w:val="000000" w:themeColor="text1"/>
                <w:highlight w:val="none"/>
                <w14:textFill>
                  <w14:solidFill>
                    <w14:schemeClr w14:val="tx1"/>
                  </w14:solidFill>
                </w14:textFill>
              </w:rPr>
              <w:t>方向性因子。</w:t>
            </w:r>
          </w:p>
          <w:p w14:paraId="75D9537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b. </w:t>
            </w:r>
            <w:r>
              <w:rPr>
                <w:rFonts w:hint="eastAsia"/>
                <w:color w:val="000000" w:themeColor="text1"/>
                <w:highlight w:val="none"/>
                <w14:textFill>
                  <w14:solidFill>
                    <w14:schemeClr w14:val="tx1"/>
                  </w14:solidFill>
                </w14:textFill>
              </w:rPr>
              <w:t>计算出所有室内声源在靠近围护结构处产生的总倍频带声压级：</w:t>
            </w:r>
          </w:p>
          <w:p w14:paraId="690B02A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6" o:spt="75" type="#_x0000_t75" style="height:39.2pt;width:194.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14:paraId="663093C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c. </w:t>
            </w:r>
            <w:r>
              <w:rPr>
                <w:rFonts w:hint="eastAsia"/>
                <w:color w:val="000000" w:themeColor="text1"/>
                <w:highlight w:val="none"/>
                <w14:textFill>
                  <w14:solidFill>
                    <w14:schemeClr w14:val="tx1"/>
                  </w14:solidFill>
                </w14:textFill>
              </w:rPr>
              <w:t>计算出室外靠近围护结构处的声压级：</w:t>
            </w:r>
          </w:p>
          <w:p w14:paraId="4E7A5BD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7" o:spt="75" type="#_x0000_t75" style="height:23.65pt;width:209.5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14:paraId="7E76B8E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d. </w:t>
            </w:r>
            <w:r>
              <w:rPr>
                <w:rFonts w:hint="eastAsia"/>
                <w:color w:val="000000" w:themeColor="text1"/>
                <w:highlight w:val="none"/>
                <w14:textFill>
                  <w14:solidFill>
                    <w14:schemeClr w14:val="tx1"/>
                  </w14:solidFill>
                </w14:textFill>
              </w:rPr>
              <w:t>将室外声级</w:t>
            </w:r>
            <w:r>
              <w:rPr>
                <w:rFonts w:hint="default"/>
                <w:color w:val="000000" w:themeColor="text1"/>
                <w:highlight w:val="none"/>
                <w14:textFill>
                  <w14:solidFill>
                    <w14:schemeClr w14:val="tx1"/>
                  </w14:solidFill>
                </w14:textFill>
              </w:rPr>
              <w:t>Loct</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）和透声面积换算成等效的室外声源，计算出等效声源第</w:t>
            </w:r>
            <w:r>
              <w:rPr>
                <w:rFonts w:hint="default"/>
                <w:color w:val="000000" w:themeColor="text1"/>
                <w:highlight w:val="none"/>
                <w14:textFill>
                  <w14:solidFill>
                    <w14:schemeClr w14:val="tx1"/>
                  </w14:solidFill>
                </w14:textFill>
              </w:rPr>
              <w:t>i</w:t>
            </w:r>
            <w:r>
              <w:rPr>
                <w:rFonts w:hint="eastAsia"/>
                <w:color w:val="000000" w:themeColor="text1"/>
                <w:highlight w:val="none"/>
                <w14:textFill>
                  <w14:solidFill>
                    <w14:schemeClr w14:val="tx1"/>
                  </w14:solidFill>
                </w14:textFill>
              </w:rPr>
              <w:t>个倍频带的声功率级</w:t>
            </w:r>
            <w:r>
              <w:rPr>
                <w:rFonts w:hint="default"/>
                <w:color w:val="000000" w:themeColor="text1"/>
                <w:highlight w:val="none"/>
                <w14:textFill>
                  <w14:solidFill>
                    <w14:schemeClr w14:val="tx1"/>
                  </w14:solidFill>
                </w14:textFill>
              </w:rPr>
              <w:t>Lwoct</w:t>
            </w:r>
            <w:r>
              <w:rPr>
                <w:rFonts w:hint="eastAsia"/>
                <w:color w:val="000000" w:themeColor="text1"/>
                <w:highlight w:val="none"/>
                <w14:textFill>
                  <w14:solidFill>
                    <w14:schemeClr w14:val="tx1"/>
                  </w14:solidFill>
                </w14:textFill>
              </w:rPr>
              <w:t>：</w:t>
            </w:r>
          </w:p>
          <w:p w14:paraId="5648F8F8">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8" o:spt="75" type="#_x0000_t75" style="height:23.65pt;width:168.2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14:paraId="2824E2BE">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透声面积（</w:t>
            </w:r>
            <w:r>
              <w:rPr>
                <w:rFonts w:hint="default"/>
                <w:color w:val="000000" w:themeColor="text1"/>
                <w:highlight w:val="none"/>
                <w14:textFill>
                  <w14:solidFill>
                    <w14:schemeClr w14:val="tx1"/>
                  </w14:solidFill>
                </w14:textFill>
              </w:rPr>
              <w:t>m</w:t>
            </w:r>
            <w:r>
              <w:rPr>
                <w:rFonts w:hint="default"/>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46C6BBD6">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e. </w:t>
            </w:r>
            <w:r>
              <w:rPr>
                <w:rFonts w:hint="eastAsia"/>
                <w:color w:val="000000" w:themeColor="text1"/>
                <w:highlight w:val="none"/>
                <w14:textFill>
                  <w14:solidFill>
                    <w14:schemeClr w14:val="tx1"/>
                  </w14:solidFill>
                </w14:textFill>
              </w:rPr>
              <w:t>等效室外声源的位置为围护结构的位置，其倍频带声功率级为</w:t>
            </w:r>
            <w:r>
              <w:rPr>
                <w:rFonts w:hint="default"/>
                <w:color w:val="000000" w:themeColor="text1"/>
                <w:highlight w:val="none"/>
                <w14:textFill>
                  <w14:solidFill>
                    <w14:schemeClr w14:val="tx1"/>
                  </w14:solidFill>
                </w14:textFill>
              </w:rPr>
              <w:t>Lwoct</w:t>
            </w:r>
            <w:r>
              <w:rPr>
                <w:rFonts w:hint="eastAsia"/>
                <w:color w:val="000000" w:themeColor="text1"/>
                <w:highlight w:val="none"/>
                <w14:textFill>
                  <w14:solidFill>
                    <w14:schemeClr w14:val="tx1"/>
                  </w14:solidFill>
                </w14:textFill>
              </w:rPr>
              <w:t>，由此按室外声源方法计算等效室外声源在预测点产生的声级。</w:t>
            </w:r>
          </w:p>
          <w:p w14:paraId="54744346">
            <w:pPr>
              <w:keepNext w:val="0"/>
              <w:keepLines w:val="0"/>
              <w:suppressLineNumbers w:val="0"/>
              <w:spacing w:before="0" w:beforeAutospacing="0" w:after="0" w:afterAutospacing="0"/>
              <w:ind w:left="0" w:right="0" w:firstLine="480"/>
              <w:rPr>
                <w:rFonts w:hint="default"/>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本项目噪声预测采用EIAProN2021软件，噪声预测结果见表4-4</w:t>
            </w:r>
            <w:r>
              <w:rPr>
                <w:rFonts w:hint="default"/>
                <w:color w:val="000000" w:themeColor="text1"/>
                <w:highlight w:val="none"/>
                <w14:textFill>
                  <w14:solidFill>
                    <w14:schemeClr w14:val="tx1"/>
                  </w14:solidFill>
                </w14:textFill>
              </w:rPr>
              <w:t>。</w:t>
            </w:r>
          </w:p>
          <w:p w14:paraId="7EC3D8B8">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default" w:eastAsiaTheme="minorEastAsia"/>
                <w:b/>
                <w:bCs/>
                <w:color w:val="000000" w:themeColor="text1"/>
                <w:sz w:val="21"/>
                <w:szCs w:val="21"/>
                <w:highlight w:val="none"/>
                <w14:textFill>
                  <w14:solidFill>
                    <w14:schemeClr w14:val="tx1"/>
                  </w14:solidFill>
                </w14:textFill>
              </w:rPr>
              <w:t>表</w:t>
            </w:r>
            <w:r>
              <w:rPr>
                <w:rFonts w:hint="eastAsia" w:eastAsiaTheme="minorEastAsia"/>
                <w:b/>
                <w:bCs/>
                <w:color w:val="000000" w:themeColor="text1"/>
                <w:sz w:val="21"/>
                <w:szCs w:val="21"/>
                <w:highlight w:val="none"/>
                <w14:textFill>
                  <w14:solidFill>
                    <w14:schemeClr w14:val="tx1"/>
                  </w14:solidFill>
                </w14:textFill>
              </w:rPr>
              <w:t>4-</w:t>
            </w:r>
            <w:r>
              <w:rPr>
                <w:rFonts w:hint="eastAsia" w:eastAsiaTheme="minorEastAsia"/>
                <w:b/>
                <w:bCs/>
                <w:color w:val="000000" w:themeColor="text1"/>
                <w:sz w:val="21"/>
                <w:szCs w:val="21"/>
                <w:highlight w:val="none"/>
                <w:lang w:val="en-US" w:eastAsia="zh-CN"/>
                <w14:textFill>
                  <w14:solidFill>
                    <w14:schemeClr w14:val="tx1"/>
                  </w14:solidFill>
                </w14:textFill>
              </w:rPr>
              <w:t>4</w:t>
            </w:r>
            <w:r>
              <w:rPr>
                <w:rFonts w:hint="eastAsia" w:eastAsiaTheme="minorEastAsia"/>
                <w:b/>
                <w:bCs/>
                <w:color w:val="000000" w:themeColor="text1"/>
                <w:sz w:val="21"/>
                <w:szCs w:val="21"/>
                <w:highlight w:val="none"/>
                <w14:textFill>
                  <w14:solidFill>
                    <w14:schemeClr w14:val="tx1"/>
                  </w14:solidFill>
                </w14:textFill>
              </w:rPr>
              <w:t xml:space="preserve"> </w:t>
            </w:r>
            <w:r>
              <w:rPr>
                <w:rFonts w:hint="default" w:eastAsiaTheme="minorEastAsia"/>
                <w:b/>
                <w:bCs/>
                <w:color w:val="000000" w:themeColor="text1"/>
                <w:sz w:val="21"/>
                <w:szCs w:val="21"/>
                <w:highlight w:val="none"/>
                <w14:textFill>
                  <w14:solidFill>
                    <w14:schemeClr w14:val="tx1"/>
                  </w14:solidFill>
                </w14:textFill>
              </w:rPr>
              <w:t xml:space="preserve"> 噪声预测结果  单位: Leq（dB(A</w:t>
            </w:r>
            <w:r>
              <w:rPr>
                <w:rFonts w:hint="eastAsia" w:eastAsiaTheme="minorEastAsia"/>
                <w:b/>
                <w:bCs/>
                <w:color w:val="000000" w:themeColor="text1"/>
                <w:sz w:val="21"/>
                <w:szCs w:val="21"/>
                <w:highlight w:val="none"/>
                <w14:textFill>
                  <w14:solidFill>
                    <w14:schemeClr w14:val="tx1"/>
                  </w14:solidFill>
                </w14:textFill>
              </w:rPr>
              <w:t>）</w:t>
            </w:r>
            <w:r>
              <w:rPr>
                <w:rFonts w:hint="default" w:eastAsiaTheme="minorEastAsia"/>
                <w:b/>
                <w:bCs/>
                <w:color w:val="000000" w:themeColor="text1"/>
                <w:sz w:val="21"/>
                <w:szCs w:val="21"/>
                <w:highlight w:val="none"/>
                <w14:textFill>
                  <w14:solidFill>
                    <w14:schemeClr w14:val="tx1"/>
                  </w14:solidFill>
                </w14:textFill>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23"/>
              <w:gridCol w:w="1055"/>
              <w:gridCol w:w="914"/>
              <w:gridCol w:w="1069"/>
              <w:gridCol w:w="1044"/>
              <w:gridCol w:w="1069"/>
              <w:gridCol w:w="1020"/>
            </w:tblGrid>
            <w:tr w14:paraId="748C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30" w:type="dxa"/>
                  <w:vMerge w:val="restart"/>
                  <w:shd w:val="clear" w:color="auto" w:fill="auto"/>
                  <w:noWrap/>
                  <w:vAlign w:val="center"/>
                </w:tcPr>
                <w:p w14:paraId="1877582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023" w:type="dxa"/>
                  <w:vMerge w:val="restart"/>
                  <w:shd w:val="clear" w:color="auto" w:fill="auto"/>
                  <w:noWrap/>
                  <w:vAlign w:val="center"/>
                </w:tcPr>
                <w:p w14:paraId="5C8F6F6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声环境保护目标名称</w:t>
                  </w:r>
                </w:p>
              </w:tc>
              <w:tc>
                <w:tcPr>
                  <w:tcW w:w="1055" w:type="dxa"/>
                  <w:shd w:val="clear" w:color="auto" w:fill="auto"/>
                  <w:noWrap/>
                  <w:vAlign w:val="center"/>
                </w:tcPr>
                <w:p w14:paraId="77CB62B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噪声标准/dB(A)</w:t>
                  </w:r>
                </w:p>
              </w:tc>
              <w:tc>
                <w:tcPr>
                  <w:tcW w:w="914" w:type="dxa"/>
                  <w:shd w:val="clear" w:color="auto" w:fill="auto"/>
                  <w:noWrap/>
                  <w:vAlign w:val="center"/>
                </w:tcPr>
                <w:p w14:paraId="4990DF8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噪声标准/dB(A)</w:t>
                  </w:r>
                </w:p>
              </w:tc>
              <w:tc>
                <w:tcPr>
                  <w:tcW w:w="1069" w:type="dxa"/>
                  <w:shd w:val="clear" w:color="auto" w:fill="auto"/>
                  <w:noWrap/>
                  <w:vAlign w:val="center"/>
                </w:tcPr>
                <w:p w14:paraId="287CA65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噪声贡献值/dB(A)</w:t>
                  </w:r>
                </w:p>
              </w:tc>
              <w:tc>
                <w:tcPr>
                  <w:tcW w:w="1044" w:type="dxa"/>
                  <w:shd w:val="clear" w:color="auto" w:fill="auto"/>
                  <w:noWrap/>
                  <w:vAlign w:val="center"/>
                </w:tcPr>
                <w:p w14:paraId="6A4B1E5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噪声贡献值/dB(A)</w:t>
                  </w:r>
                </w:p>
              </w:tc>
              <w:tc>
                <w:tcPr>
                  <w:tcW w:w="1069" w:type="dxa"/>
                  <w:shd w:val="clear" w:color="auto" w:fill="auto"/>
                  <w:noWrap/>
                  <w:vAlign w:val="center"/>
                </w:tcPr>
                <w:p w14:paraId="63DDB2C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超标和达标情况/dB(A)</w:t>
                  </w:r>
                </w:p>
              </w:tc>
              <w:tc>
                <w:tcPr>
                  <w:tcW w:w="1020" w:type="dxa"/>
                  <w:shd w:val="clear" w:color="auto" w:fill="auto"/>
                  <w:noWrap/>
                  <w:vAlign w:val="center"/>
                </w:tcPr>
                <w:p w14:paraId="74A08F8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超标和达标情况/dB(A)</w:t>
                  </w:r>
                </w:p>
              </w:tc>
            </w:tr>
            <w:tr w14:paraId="3AA3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0" w:type="dxa"/>
                  <w:vMerge w:val="continue"/>
                  <w:shd w:val="clear" w:color="auto" w:fill="auto"/>
                  <w:noWrap/>
                  <w:vAlign w:val="center"/>
                </w:tcPr>
                <w:p w14:paraId="0AFE1EC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23" w:type="dxa"/>
                  <w:vMerge w:val="continue"/>
                  <w:shd w:val="clear" w:color="auto" w:fill="auto"/>
                  <w:noWrap/>
                  <w:vAlign w:val="center"/>
                </w:tcPr>
                <w:p w14:paraId="4DB1749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55" w:type="dxa"/>
                  <w:shd w:val="clear" w:color="auto" w:fill="auto"/>
                  <w:noWrap/>
                  <w:vAlign w:val="center"/>
                </w:tcPr>
                <w:p w14:paraId="069E90A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914" w:type="dxa"/>
                  <w:shd w:val="clear" w:color="auto" w:fill="auto"/>
                  <w:noWrap/>
                  <w:vAlign w:val="center"/>
                </w:tcPr>
                <w:p w14:paraId="49BE9C9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1069" w:type="dxa"/>
                  <w:shd w:val="clear" w:color="auto" w:fill="auto"/>
                  <w:noWrap/>
                  <w:vAlign w:val="center"/>
                </w:tcPr>
                <w:p w14:paraId="195D4F4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1044" w:type="dxa"/>
                  <w:shd w:val="clear" w:color="auto" w:fill="auto"/>
                  <w:noWrap/>
                  <w:vAlign w:val="center"/>
                </w:tcPr>
                <w:p w14:paraId="58E8100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1069" w:type="dxa"/>
                  <w:shd w:val="clear" w:color="auto" w:fill="auto"/>
                  <w:noWrap/>
                  <w:vAlign w:val="center"/>
                </w:tcPr>
                <w:p w14:paraId="4979070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1020" w:type="dxa"/>
                  <w:shd w:val="clear" w:color="auto" w:fill="auto"/>
                  <w:noWrap/>
                  <w:vAlign w:val="center"/>
                </w:tcPr>
                <w:p w14:paraId="47B4424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r>
            <w:tr w14:paraId="1B39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30" w:type="dxa"/>
                  <w:shd w:val="clear" w:color="auto" w:fill="auto"/>
                  <w:noWrap/>
                  <w:vAlign w:val="center"/>
                </w:tcPr>
                <w:p w14:paraId="2B0AA70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023" w:type="dxa"/>
                  <w:shd w:val="clear" w:color="auto" w:fill="auto"/>
                  <w:noWrap/>
                  <w:vAlign w:val="center"/>
                </w:tcPr>
                <w:p w14:paraId="214973C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北</w:t>
                  </w:r>
                </w:p>
              </w:tc>
              <w:tc>
                <w:tcPr>
                  <w:tcW w:w="1055" w:type="dxa"/>
                  <w:shd w:val="clear" w:color="auto" w:fill="auto"/>
                  <w:noWrap/>
                  <w:vAlign w:val="center"/>
                </w:tcPr>
                <w:p w14:paraId="6BB9F14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914" w:type="dxa"/>
                  <w:shd w:val="clear" w:color="auto" w:fill="auto"/>
                  <w:noWrap/>
                  <w:vAlign w:val="center"/>
                </w:tcPr>
                <w:p w14:paraId="5D77982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069" w:type="dxa"/>
                  <w:shd w:val="clear" w:color="auto" w:fill="auto"/>
                  <w:noWrap/>
                  <w:vAlign w:val="center"/>
                </w:tcPr>
                <w:p w14:paraId="6C01BC2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35.74</w:t>
                  </w:r>
                </w:p>
              </w:tc>
              <w:tc>
                <w:tcPr>
                  <w:tcW w:w="1044" w:type="dxa"/>
                  <w:shd w:val="clear" w:color="auto" w:fill="auto"/>
                  <w:noWrap/>
                  <w:vAlign w:val="center"/>
                </w:tcPr>
                <w:p w14:paraId="45E5B88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35.74</w:t>
                  </w:r>
                </w:p>
              </w:tc>
              <w:tc>
                <w:tcPr>
                  <w:tcW w:w="1069" w:type="dxa"/>
                  <w:shd w:val="clear" w:color="auto" w:fill="auto"/>
                  <w:noWrap/>
                  <w:vAlign w:val="center"/>
                </w:tcPr>
                <w:p w14:paraId="40054A5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1020" w:type="dxa"/>
                  <w:shd w:val="clear" w:color="auto" w:fill="auto"/>
                  <w:noWrap/>
                  <w:vAlign w:val="center"/>
                </w:tcPr>
                <w:p w14:paraId="3D3944A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39B1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0" w:type="dxa"/>
                  <w:shd w:val="clear" w:color="auto" w:fill="auto"/>
                  <w:noWrap/>
                  <w:vAlign w:val="center"/>
                </w:tcPr>
                <w:p w14:paraId="78E727B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023" w:type="dxa"/>
                  <w:shd w:val="clear" w:color="auto" w:fill="auto"/>
                  <w:noWrap/>
                  <w:vAlign w:val="center"/>
                </w:tcPr>
                <w:p w14:paraId="0BFC9EE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东</w:t>
                  </w:r>
                </w:p>
              </w:tc>
              <w:tc>
                <w:tcPr>
                  <w:tcW w:w="1055" w:type="dxa"/>
                  <w:shd w:val="clear" w:color="auto" w:fill="auto"/>
                  <w:noWrap/>
                  <w:vAlign w:val="center"/>
                </w:tcPr>
                <w:p w14:paraId="02275F6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914" w:type="dxa"/>
                  <w:shd w:val="clear" w:color="auto" w:fill="auto"/>
                  <w:noWrap/>
                  <w:vAlign w:val="center"/>
                </w:tcPr>
                <w:p w14:paraId="30528E0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069" w:type="dxa"/>
                  <w:shd w:val="clear" w:color="auto" w:fill="auto"/>
                  <w:noWrap/>
                  <w:vAlign w:val="center"/>
                </w:tcPr>
                <w:p w14:paraId="05C0046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15.23</w:t>
                  </w:r>
                </w:p>
              </w:tc>
              <w:tc>
                <w:tcPr>
                  <w:tcW w:w="1044" w:type="dxa"/>
                  <w:shd w:val="clear" w:color="auto" w:fill="auto"/>
                  <w:noWrap/>
                  <w:vAlign w:val="center"/>
                </w:tcPr>
                <w:p w14:paraId="5830C30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15.23</w:t>
                  </w:r>
                </w:p>
              </w:tc>
              <w:tc>
                <w:tcPr>
                  <w:tcW w:w="1069" w:type="dxa"/>
                  <w:shd w:val="clear" w:color="auto" w:fill="auto"/>
                  <w:noWrap/>
                  <w:vAlign w:val="center"/>
                </w:tcPr>
                <w:p w14:paraId="7D82E67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1020" w:type="dxa"/>
                  <w:shd w:val="clear" w:color="auto" w:fill="auto"/>
                  <w:noWrap/>
                  <w:vAlign w:val="center"/>
                </w:tcPr>
                <w:p w14:paraId="1870447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37CE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30" w:type="dxa"/>
                  <w:shd w:val="clear" w:color="auto" w:fill="auto"/>
                  <w:noWrap/>
                  <w:vAlign w:val="center"/>
                </w:tcPr>
                <w:p w14:paraId="35EAA67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023" w:type="dxa"/>
                  <w:shd w:val="clear" w:color="auto" w:fill="auto"/>
                  <w:noWrap/>
                  <w:vAlign w:val="center"/>
                </w:tcPr>
                <w:p w14:paraId="112E111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w:t>
                  </w:r>
                </w:p>
              </w:tc>
              <w:tc>
                <w:tcPr>
                  <w:tcW w:w="1055" w:type="dxa"/>
                  <w:shd w:val="clear" w:color="auto" w:fill="auto"/>
                  <w:noWrap/>
                  <w:vAlign w:val="center"/>
                </w:tcPr>
                <w:p w14:paraId="30EEB7D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914" w:type="dxa"/>
                  <w:shd w:val="clear" w:color="auto" w:fill="auto"/>
                  <w:noWrap/>
                  <w:vAlign w:val="center"/>
                </w:tcPr>
                <w:p w14:paraId="252A274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069" w:type="dxa"/>
                  <w:shd w:val="clear" w:color="auto" w:fill="auto"/>
                  <w:noWrap/>
                  <w:vAlign w:val="center"/>
                </w:tcPr>
                <w:p w14:paraId="567E7A5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044" w:type="dxa"/>
                  <w:shd w:val="clear" w:color="auto" w:fill="auto"/>
                  <w:noWrap/>
                  <w:vAlign w:val="center"/>
                </w:tcPr>
                <w:p w14:paraId="07EBA3E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069" w:type="dxa"/>
                  <w:shd w:val="clear" w:color="auto" w:fill="auto"/>
                  <w:noWrap/>
                  <w:vAlign w:val="center"/>
                </w:tcPr>
                <w:p w14:paraId="5176A28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1020" w:type="dxa"/>
                  <w:shd w:val="clear" w:color="auto" w:fill="auto"/>
                  <w:noWrap/>
                  <w:vAlign w:val="center"/>
                </w:tcPr>
                <w:p w14:paraId="162FFF2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541C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30" w:type="dxa"/>
                  <w:shd w:val="clear" w:color="auto" w:fill="auto"/>
                  <w:noWrap/>
                  <w:vAlign w:val="center"/>
                </w:tcPr>
                <w:p w14:paraId="39EF8B2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023" w:type="dxa"/>
                  <w:shd w:val="clear" w:color="auto" w:fill="auto"/>
                  <w:noWrap/>
                  <w:vAlign w:val="center"/>
                </w:tcPr>
                <w:p w14:paraId="4917A49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w:t>
                  </w:r>
                </w:p>
              </w:tc>
              <w:tc>
                <w:tcPr>
                  <w:tcW w:w="1055" w:type="dxa"/>
                  <w:shd w:val="clear" w:color="auto" w:fill="auto"/>
                  <w:noWrap/>
                  <w:vAlign w:val="center"/>
                </w:tcPr>
                <w:p w14:paraId="6F20136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914" w:type="dxa"/>
                  <w:shd w:val="clear" w:color="auto" w:fill="auto"/>
                  <w:noWrap/>
                  <w:vAlign w:val="center"/>
                </w:tcPr>
                <w:p w14:paraId="059FE57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069" w:type="dxa"/>
                  <w:shd w:val="clear" w:color="auto" w:fill="auto"/>
                  <w:noWrap/>
                  <w:vAlign w:val="center"/>
                </w:tcPr>
                <w:p w14:paraId="174EF25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14.54</w:t>
                  </w:r>
                </w:p>
              </w:tc>
              <w:tc>
                <w:tcPr>
                  <w:tcW w:w="1044" w:type="dxa"/>
                  <w:shd w:val="clear" w:color="auto" w:fill="auto"/>
                  <w:noWrap/>
                  <w:vAlign w:val="center"/>
                </w:tcPr>
                <w:p w14:paraId="11A3849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14.54</w:t>
                  </w:r>
                </w:p>
              </w:tc>
              <w:tc>
                <w:tcPr>
                  <w:tcW w:w="1069" w:type="dxa"/>
                  <w:shd w:val="clear" w:color="auto" w:fill="auto"/>
                  <w:noWrap/>
                  <w:vAlign w:val="center"/>
                </w:tcPr>
                <w:p w14:paraId="3343516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1020" w:type="dxa"/>
                  <w:shd w:val="clear" w:color="auto" w:fill="auto"/>
                  <w:noWrap/>
                  <w:vAlign w:val="center"/>
                </w:tcPr>
                <w:p w14:paraId="1B2D8CC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14:paraId="656A956A">
            <w:pPr>
              <w:keepNext w:val="0"/>
              <w:keepLines w:val="0"/>
              <w:suppressLineNumbers w:val="0"/>
              <w:adjustRightInd w:val="0"/>
              <w:snapToGrid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由表可知，本项目投入运行后，厂界噪声</w:t>
            </w:r>
            <w:r>
              <w:rPr>
                <w:rFonts w:hint="eastAsia"/>
                <w:color w:val="000000" w:themeColor="text1"/>
                <w:highlight w:val="none"/>
                <w:lang w:val="en-US" w:eastAsia="zh-CN"/>
                <w14:textFill>
                  <w14:solidFill>
                    <w14:schemeClr w14:val="tx1"/>
                  </w14:solidFill>
                </w14:textFill>
              </w:rPr>
              <w:t>贡献</w:t>
            </w:r>
            <w:r>
              <w:rPr>
                <w:rFonts w:hint="default"/>
                <w:color w:val="000000" w:themeColor="text1"/>
                <w:highlight w:val="none"/>
                <w14:textFill>
                  <w14:solidFill>
                    <w14:schemeClr w14:val="tx1"/>
                  </w14:solidFill>
                </w14:textFill>
              </w:rPr>
              <w:t>值满足《工业企业厂界环境噪声排放标准》（GB12348-2008）中3类区昼间65dB（A），夜间55dB（A）的标准限值要求。</w:t>
            </w:r>
          </w:p>
          <w:p w14:paraId="783904E0">
            <w:pPr>
              <w:keepNext w:val="0"/>
              <w:keepLines w:val="0"/>
              <w:suppressLineNumbers w:val="0"/>
              <w:spacing w:before="0" w:beforeAutospacing="0" w:after="0" w:afterAutospacing="0"/>
              <w:ind w:left="0" w:right="0" w:firstLine="480"/>
              <w:rPr>
                <w:rFonts w:hint="default"/>
                <w:b/>
                <w:color w:val="000000" w:themeColor="text1"/>
                <w:highlight w:val="none"/>
                <w:lang w:val="de-DE"/>
                <w14:textFill>
                  <w14:solidFill>
                    <w14:schemeClr w14:val="tx1"/>
                  </w14:solidFill>
                </w14:textFill>
              </w:rPr>
            </w:pPr>
            <w:r>
              <w:rPr>
                <w:rFonts w:hint="eastAsia"/>
                <w:color w:val="000000" w:themeColor="text1"/>
                <w:highlight w:val="none"/>
                <w14:textFill>
                  <w14:solidFill>
                    <w14:schemeClr w14:val="tx1"/>
                  </w14:solidFill>
                </w14:textFill>
              </w:rPr>
              <w:t>（3）噪声</w:t>
            </w:r>
            <w:r>
              <w:rPr>
                <w:rFonts w:hint="default"/>
                <w:color w:val="000000" w:themeColor="text1"/>
                <w:highlight w:val="none"/>
                <w:lang w:val="de-DE"/>
                <w14:textFill>
                  <w14:solidFill>
                    <w14:schemeClr w14:val="tx1"/>
                  </w14:solidFill>
                </w14:textFill>
              </w:rPr>
              <w:t>治理措施</w:t>
            </w:r>
          </w:p>
          <w:p w14:paraId="5142C001">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项目在生产中主要采取的噪声治理措施为：</w:t>
            </w:r>
          </w:p>
          <w:p w14:paraId="3A8BE77D">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default"/>
                <w:color w:val="000000" w:themeColor="text1"/>
                <w:highlight w:val="none"/>
                <w14:textFill>
                  <w14:solidFill>
                    <w14:schemeClr w14:val="tx1"/>
                  </w14:solidFill>
                </w14:textFill>
              </w:rPr>
              <w:t>设计时优先选用低噪声设备，从根本上降低噪声源的源强；</w:t>
            </w:r>
          </w:p>
          <w:p w14:paraId="69CD05CC">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default"/>
                <w:color w:val="000000" w:themeColor="text1"/>
                <w:highlight w:val="none"/>
                <w14:textFill>
                  <w14:solidFill>
                    <w14:schemeClr w14:val="tx1"/>
                  </w14:solidFill>
                </w14:textFill>
              </w:rPr>
              <w:t>所有</w:t>
            </w:r>
            <w:r>
              <w:rPr>
                <w:rFonts w:hint="eastAsia"/>
                <w:color w:val="000000" w:themeColor="text1"/>
                <w:highlight w:val="none"/>
                <w14:textFill>
                  <w14:solidFill>
                    <w14:schemeClr w14:val="tx1"/>
                  </w14:solidFill>
                </w14:textFill>
              </w:rPr>
              <w:t>风机</w:t>
            </w:r>
            <w:r>
              <w:rPr>
                <w:rFonts w:hint="default"/>
                <w:color w:val="000000" w:themeColor="text1"/>
                <w:highlight w:val="none"/>
                <w14:textFill>
                  <w14:solidFill>
                    <w14:schemeClr w14:val="tx1"/>
                  </w14:solidFill>
                </w14:textFill>
              </w:rPr>
              <w:t>设备均布置在</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类库中</w:t>
            </w:r>
            <w:r>
              <w:rPr>
                <w:rFonts w:hint="default"/>
                <w:color w:val="000000" w:themeColor="text1"/>
                <w:highlight w:val="none"/>
                <w14:textFill>
                  <w14:solidFill>
                    <w14:schemeClr w14:val="tx1"/>
                  </w14:solidFill>
                </w14:textFill>
              </w:rPr>
              <w:t>，并采取基础减振措施；</w:t>
            </w:r>
          </w:p>
          <w:p w14:paraId="5B655CB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default"/>
                <w:color w:val="000000" w:themeColor="text1"/>
                <w:highlight w:val="none"/>
                <w14:textFill>
                  <w14:solidFill>
                    <w14:schemeClr w14:val="tx1"/>
                  </w14:solidFill>
                </w14:textFill>
              </w:rPr>
              <w:t>加强设备的维护，确保设备处于良好的运转状态，杜绝因设备不正常运转时产生的高噪声现象。</w:t>
            </w:r>
          </w:p>
          <w:p w14:paraId="1F9D7A6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采取上述措施后，厂界噪声昼夜均能满足《</w:t>
            </w:r>
            <w:r>
              <w:rPr>
                <w:rFonts w:hint="eastAsia"/>
                <w:color w:val="000000" w:themeColor="text1"/>
                <w:highlight w:val="none"/>
                <w14:textFill>
                  <w14:solidFill>
                    <w14:schemeClr w14:val="tx1"/>
                  </w14:solidFill>
                </w14:textFill>
              </w:rPr>
              <w:t>工业企业厂界环境噪声排放标准</w:t>
            </w:r>
            <w:r>
              <w:rPr>
                <w:rFonts w:hint="default"/>
                <w:color w:val="000000" w:themeColor="text1"/>
                <w:highlight w:val="none"/>
                <w14:textFill>
                  <w14:solidFill>
                    <w14:schemeClr w14:val="tx1"/>
                  </w14:solidFill>
                </w14:textFill>
              </w:rPr>
              <w:t>》(GB12348-2008</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3类标准要求。</w:t>
            </w:r>
          </w:p>
          <w:p w14:paraId="3011F32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（4）声环境监测计划</w:t>
            </w:r>
          </w:p>
          <w:p w14:paraId="1B0BD157">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根据《排污许可证申请与核发技术规范 工业噪声》（HJ 1301-2023），</w:t>
            </w:r>
            <w:r>
              <w:rPr>
                <w:rFonts w:hint="eastAsia"/>
                <w:color w:val="000000" w:themeColor="text1"/>
                <w:highlight w:val="none"/>
                <w14:textFill>
                  <w14:solidFill>
                    <w14:schemeClr w14:val="tx1"/>
                  </w14:solidFill>
                </w14:textFill>
              </w:rPr>
              <w:t>噪声</w:t>
            </w:r>
            <w:r>
              <w:rPr>
                <w:rFonts w:hint="default"/>
                <w:color w:val="000000" w:themeColor="text1"/>
                <w:highlight w:val="none"/>
                <w14:textFill>
                  <w14:solidFill>
                    <w14:schemeClr w14:val="tx1"/>
                  </w14:solidFill>
                </w14:textFill>
              </w:rPr>
              <w:t>污染源监测频次详见表</w:t>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w:t>
            </w:r>
          </w:p>
          <w:p w14:paraId="170754DE">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5</w:t>
            </w:r>
            <w:r>
              <w:rPr>
                <w:rFonts w:hint="eastAsia" w:eastAsiaTheme="minorEastAsia"/>
                <w:b/>
                <w:bCs/>
                <w:color w:val="000000" w:themeColor="text1"/>
                <w:sz w:val="21"/>
                <w:szCs w:val="21"/>
                <w:highlight w:val="none"/>
                <w14:textFill>
                  <w14:solidFill>
                    <w14:schemeClr w14:val="tx1"/>
                  </w14:solidFill>
                </w14:textFill>
              </w:rPr>
              <w:t xml:space="preserve">  声</w:t>
            </w:r>
            <w:r>
              <w:rPr>
                <w:rFonts w:hint="default" w:eastAsiaTheme="minorEastAsia"/>
                <w:b/>
                <w:bCs/>
                <w:color w:val="000000" w:themeColor="text1"/>
                <w:sz w:val="21"/>
                <w:szCs w:val="21"/>
                <w:highlight w:val="none"/>
                <w14:textFill>
                  <w14:solidFill>
                    <w14:schemeClr w14:val="tx1"/>
                  </w14:solidFill>
                </w14:textFill>
              </w:rPr>
              <w:t>环境监测计划</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393"/>
              <w:gridCol w:w="1006"/>
              <w:gridCol w:w="1133"/>
              <w:gridCol w:w="1125"/>
              <w:gridCol w:w="3480"/>
            </w:tblGrid>
            <w:tr w14:paraId="4815724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22" w:hRule="atLeast"/>
                <w:jc w:val="center"/>
              </w:trPr>
              <w:tc>
                <w:tcPr>
                  <w:tcW w:w="1393" w:type="dxa"/>
                  <w:vAlign w:val="center"/>
                </w:tcPr>
                <w:p w14:paraId="51B26D6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污染物名称</w:t>
                  </w:r>
                </w:p>
              </w:tc>
              <w:tc>
                <w:tcPr>
                  <w:tcW w:w="1006" w:type="dxa"/>
                  <w:vAlign w:val="center"/>
                </w:tcPr>
                <w:p w14:paraId="171F1DC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监测点</w:t>
                  </w:r>
                </w:p>
              </w:tc>
              <w:tc>
                <w:tcPr>
                  <w:tcW w:w="1133" w:type="dxa"/>
                  <w:vAlign w:val="center"/>
                </w:tcPr>
                <w:p w14:paraId="44B44DD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监测项目</w:t>
                  </w:r>
                </w:p>
              </w:tc>
              <w:tc>
                <w:tcPr>
                  <w:tcW w:w="1125" w:type="dxa"/>
                  <w:vAlign w:val="center"/>
                </w:tcPr>
                <w:p w14:paraId="73FA31A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监测频次</w:t>
                  </w:r>
                </w:p>
              </w:tc>
              <w:tc>
                <w:tcPr>
                  <w:tcW w:w="3480" w:type="dxa"/>
                  <w:vAlign w:val="center"/>
                </w:tcPr>
                <w:p w14:paraId="1988FC3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备注</w:t>
                  </w:r>
                </w:p>
              </w:tc>
            </w:tr>
            <w:tr w14:paraId="76A1D8C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88" w:hRule="atLeast"/>
                <w:jc w:val="center"/>
              </w:trPr>
              <w:tc>
                <w:tcPr>
                  <w:tcW w:w="1393" w:type="dxa"/>
                  <w:vAlign w:val="center"/>
                </w:tcPr>
                <w:p w14:paraId="125194F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噪声</w:t>
                  </w:r>
                </w:p>
              </w:tc>
              <w:tc>
                <w:tcPr>
                  <w:tcW w:w="1006" w:type="dxa"/>
                  <w:vAlign w:val="center"/>
                </w:tcPr>
                <w:p w14:paraId="7A7CBE1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厂界</w:t>
                  </w:r>
                </w:p>
                <w:p w14:paraId="3130ABF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四周</w:t>
                  </w:r>
                </w:p>
              </w:tc>
              <w:tc>
                <w:tcPr>
                  <w:tcW w:w="1133" w:type="dxa"/>
                  <w:vAlign w:val="center"/>
                </w:tcPr>
                <w:p w14:paraId="3A7B74C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等效</w:t>
                  </w:r>
                </w:p>
                <w:p w14:paraId="74D0AFD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A声级</w:t>
                  </w:r>
                </w:p>
              </w:tc>
              <w:tc>
                <w:tcPr>
                  <w:tcW w:w="1125" w:type="dxa"/>
                  <w:vAlign w:val="center"/>
                </w:tcPr>
                <w:p w14:paraId="5C069EF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1次/季度</w:t>
                  </w:r>
                </w:p>
              </w:tc>
              <w:tc>
                <w:tcPr>
                  <w:tcW w:w="3480" w:type="dxa"/>
                  <w:vAlign w:val="center"/>
                </w:tcPr>
                <w:p w14:paraId="573BA1A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《工业企业厂界环境噪声排放标准》（GB12348-2008）3类标准要求</w:t>
                  </w:r>
                </w:p>
              </w:tc>
            </w:tr>
          </w:tbl>
          <w:p w14:paraId="67CE07AC">
            <w:pPr>
              <w:keepNext w:val="0"/>
              <w:keepLines w:val="0"/>
              <w:suppressLineNumbers w:val="0"/>
              <w:adjustRightInd w:val="0"/>
              <w:snapToGrid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4、固废</w:t>
            </w:r>
          </w:p>
          <w:p w14:paraId="7BE15F5E">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本项目仅为危险化学品储存，不产生固废；本项目不新增工作人员，因此，不新增生活垃圾。</w:t>
            </w:r>
          </w:p>
          <w:p w14:paraId="63238F5B">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w:t>
            </w:r>
            <w:r>
              <w:rPr>
                <w:rFonts w:hint="eastAsia"/>
                <w:b/>
                <w:bCs/>
                <w:color w:val="000000" w:themeColor="text1"/>
                <w:highlight w:val="none"/>
                <w14:textFill>
                  <w14:solidFill>
                    <w14:schemeClr w14:val="tx1"/>
                  </w14:solidFill>
                </w14:textFill>
              </w:rPr>
              <w:t>、</w:t>
            </w:r>
            <w:r>
              <w:rPr>
                <w:rFonts w:hint="default"/>
                <w:b/>
                <w:bCs/>
                <w:color w:val="000000" w:themeColor="text1"/>
                <w:highlight w:val="none"/>
                <w14:textFill>
                  <w14:solidFill>
                    <w14:schemeClr w14:val="tx1"/>
                  </w14:solidFill>
                </w14:textFill>
              </w:rPr>
              <w:t>地下水、土壤环境影响分析</w:t>
            </w:r>
          </w:p>
          <w:p w14:paraId="6AAEF8BF">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按照“源头控制、分区控制、污染监控、应急响应”的主动与被动防渗相结合的防渗原则，在做好防止和减少“跑、冒、滴、漏”等源头防污措施；本次评价要求新建</w:t>
            </w:r>
            <w:r>
              <w:rPr>
                <w:rFonts w:hint="eastAsia"/>
                <w:color w:val="000000" w:themeColor="text1"/>
                <w:highlight w:val="none"/>
                <w:lang w:val="en-US" w:eastAsia="zh-CN"/>
                <w14:textFill>
                  <w14:solidFill>
                    <w14:schemeClr w14:val="tx1"/>
                  </w14:solidFill>
                </w14:textFill>
              </w:rPr>
              <w:t>乙类库</w:t>
            </w:r>
            <w:r>
              <w:rPr>
                <w:rFonts w:hint="eastAsia"/>
                <w:color w:val="000000" w:themeColor="text1"/>
                <w:highlight w:val="none"/>
                <w14:textFill>
                  <w14:solidFill>
                    <w14:schemeClr w14:val="tx1"/>
                  </w14:solidFill>
                </w14:textFill>
              </w:rPr>
              <w:t>均为重点防渗区。</w:t>
            </w:r>
          </w:p>
          <w:p w14:paraId="60DD06E4">
            <w:pPr>
              <w:keepNext w:val="0"/>
              <w:keepLines w:val="0"/>
              <w:suppressLineNumbers w:val="0"/>
              <w:spacing w:before="0" w:beforeAutospacing="0" w:after="0" w:afterAutospacing="0"/>
              <w:ind w:left="0" w:right="0" w:firstLine="480"/>
              <w:rPr>
                <w:rFonts w:hint="default"/>
                <w:bCs/>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乙类</w:t>
            </w:r>
            <w:r>
              <w:rPr>
                <w:rFonts w:hint="eastAsia" w:cs="宋体" w:asciiTheme="minorEastAsia" w:hAnsiTheme="minorEastAsia" w:eastAsiaTheme="minorEastAsia"/>
                <w:color w:val="000000" w:themeColor="text1"/>
                <w:kern w:val="0"/>
                <w:highlight w:val="none"/>
                <w14:textFill>
                  <w14:solidFill>
                    <w14:schemeClr w14:val="tx1"/>
                  </w14:solidFill>
                </w14:textFill>
              </w:rPr>
              <w:t>库存储的</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仅为</w:t>
            </w:r>
            <w:r>
              <w:rPr>
                <w:rFonts w:hint="eastAsia"/>
                <w:bCs/>
                <w:color w:val="000000" w:themeColor="text1"/>
                <w:highlight w:val="none"/>
                <w:lang w:val="en-US" w:eastAsia="zh-CN"/>
                <w14:textFill>
                  <w14:solidFill>
                    <w14:schemeClr w14:val="tx1"/>
                  </w14:solidFill>
                </w14:textFill>
              </w:rPr>
              <w:t>焦化厂煤气净化工序脱硫单元产生的硫磺</w:t>
            </w:r>
            <w:r>
              <w:rPr>
                <w:rFonts w:hint="eastAsia" w:cs="宋体" w:asciiTheme="minorEastAsia" w:hAnsiTheme="minorEastAsia" w:eastAsiaTheme="minorEastAsia"/>
                <w:color w:val="000000" w:themeColor="text1"/>
                <w:kern w:val="0"/>
                <w:highlight w:val="none"/>
                <w14:textFill>
                  <w14:solidFill>
                    <w14:schemeClr w14:val="tx1"/>
                  </w14:solidFill>
                </w14:textFill>
              </w:rPr>
              <w:t>，</w:t>
            </w:r>
            <w:r>
              <w:rPr>
                <w:rFonts w:hint="eastAsia" w:cs="宋体" w:asciiTheme="minorEastAsia" w:hAnsiTheme="minorEastAsia" w:eastAsiaTheme="minorEastAsia"/>
                <w:color w:val="000000" w:themeColor="text1"/>
                <w:kern w:val="0"/>
                <w:highlight w:val="none"/>
                <w:lang w:val="en-US" w:eastAsia="zh-CN"/>
                <w14:textFill>
                  <w14:solidFill>
                    <w14:schemeClr w14:val="tx1"/>
                  </w14:solidFill>
                </w14:textFill>
              </w:rPr>
              <w:t>该项目</w:t>
            </w:r>
            <w:r>
              <w:rPr>
                <w:rFonts w:hint="eastAsia"/>
                <w:bCs/>
                <w:color w:val="000000" w:themeColor="text1"/>
                <w:highlight w:val="none"/>
                <w:lang w:val="en-US" w:eastAsia="zh-CN"/>
                <w14:textFill>
                  <w14:solidFill>
                    <w14:schemeClr w14:val="tx1"/>
                  </w14:solidFill>
                </w14:textFill>
              </w:rPr>
              <w:t>焦化厂煤气净化工序脱硫单元产生的硫磺作为副产品，产品质量符合中国标准 GB2449-92中的合格品标准。结合《固体废物鉴别标准 通则》（GB34330-2017）中5.2章节要求：利用固体废物生产的产物同时满足下述条件的，不作为固体废物管理，按照相应的产品管理（按照5.1条进行利用或处置的除外）：a）符合国家、地方制定或行业通行的被替代原料生产的产品质量标准；b）符合相关国家污染物排放（控制）标准或技术规范要求，包括该产物生产过程中排放到环境中的有害物质限值和该产物中有害物质的含量限值；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c）有稳定、合理的市场需求。本项目硫磺标准符合 GB2449-92中的合格品标准、硫磺本身为烟气净化过程产生的，排放的污染物满足相关标准限值、且本项目定期外售给绵竹市盛星瑞商贸有限公司，有稳定、合理的市场需求。综上，本项目不作为固体废物管理，按照相应的产品管理。</w:t>
            </w:r>
          </w:p>
          <w:p w14:paraId="0213A97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分区防控要求见表</w:t>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w:t>
            </w:r>
          </w:p>
          <w:p w14:paraId="62DA132B">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 xml:space="preserve">6 </w:t>
            </w:r>
            <w:r>
              <w:rPr>
                <w:rFonts w:hint="eastAsia" w:eastAsiaTheme="minorEastAsia"/>
                <w:b/>
                <w:bCs/>
                <w:color w:val="000000" w:themeColor="text1"/>
                <w:sz w:val="21"/>
                <w:szCs w:val="21"/>
                <w:highlight w:val="none"/>
                <w14:textFill>
                  <w14:solidFill>
                    <w14:schemeClr w14:val="tx1"/>
                  </w14:solidFill>
                </w14:textFill>
              </w:rPr>
              <w:t>项目分区防控要求</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35"/>
              <w:gridCol w:w="1298"/>
              <w:gridCol w:w="5368"/>
            </w:tblGrid>
            <w:tr w14:paraId="5D10D0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781" w:type="pct"/>
                  <w:tcBorders>
                    <w:top w:val="single" w:color="auto" w:sz="12" w:space="0"/>
                    <w:left w:val="single" w:color="auto" w:sz="12" w:space="0"/>
                    <w:bottom w:val="single" w:color="auto" w:sz="2" w:space="0"/>
                    <w:right w:val="single" w:color="auto" w:sz="2" w:space="0"/>
                  </w:tcBorders>
                  <w:vAlign w:val="center"/>
                </w:tcPr>
                <w:p w14:paraId="462AE6E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名称</w:t>
                  </w:r>
                </w:p>
              </w:tc>
              <w:tc>
                <w:tcPr>
                  <w:tcW w:w="821" w:type="pct"/>
                  <w:tcBorders>
                    <w:top w:val="single" w:color="auto" w:sz="12" w:space="0"/>
                    <w:left w:val="single" w:color="auto" w:sz="2" w:space="0"/>
                    <w:bottom w:val="single" w:color="auto" w:sz="2" w:space="0"/>
                    <w:right w:val="single" w:color="auto" w:sz="2" w:space="0"/>
                  </w:tcBorders>
                  <w:vAlign w:val="center"/>
                </w:tcPr>
                <w:p w14:paraId="51867F7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防渗分区</w:t>
                  </w:r>
                </w:p>
              </w:tc>
              <w:tc>
                <w:tcPr>
                  <w:tcW w:w="3397" w:type="pct"/>
                  <w:tcBorders>
                    <w:top w:val="single" w:color="auto" w:sz="12" w:space="0"/>
                    <w:left w:val="single" w:color="auto" w:sz="2" w:space="0"/>
                    <w:bottom w:val="single" w:color="auto" w:sz="2" w:space="0"/>
                    <w:right w:val="single" w:color="auto" w:sz="12" w:space="0"/>
                  </w:tcBorders>
                  <w:vAlign w:val="center"/>
                </w:tcPr>
                <w:p w14:paraId="06F73AC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防渗技术要求</w:t>
                  </w:r>
                </w:p>
              </w:tc>
            </w:tr>
            <w:tr w14:paraId="74962A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81" w:type="pct"/>
                  <w:vMerge w:val="restart"/>
                  <w:tcBorders>
                    <w:top w:val="single" w:color="auto" w:sz="2" w:space="0"/>
                    <w:left w:val="single" w:color="auto" w:sz="12" w:space="0"/>
                    <w:right w:val="single" w:color="auto" w:sz="2" w:space="0"/>
                  </w:tcBorders>
                  <w:vAlign w:val="center"/>
                </w:tcPr>
                <w:p w14:paraId="0B31174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w:t>
                  </w:r>
                </w:p>
              </w:tc>
              <w:tc>
                <w:tcPr>
                  <w:tcW w:w="821" w:type="pct"/>
                  <w:vMerge w:val="restart"/>
                  <w:tcBorders>
                    <w:top w:val="single" w:color="auto" w:sz="2" w:space="0"/>
                    <w:left w:val="single" w:color="auto" w:sz="2" w:space="0"/>
                    <w:right w:val="single" w:color="auto" w:sz="2" w:space="0"/>
                  </w:tcBorders>
                  <w:vAlign w:val="center"/>
                </w:tcPr>
                <w:p w14:paraId="187139D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重点防渗区</w:t>
                  </w:r>
                </w:p>
              </w:tc>
              <w:tc>
                <w:tcPr>
                  <w:tcW w:w="3397" w:type="pct"/>
                  <w:tcBorders>
                    <w:top w:val="single" w:color="auto" w:sz="2" w:space="0"/>
                    <w:left w:val="single" w:color="auto" w:sz="2" w:space="0"/>
                    <w:bottom w:val="single" w:color="auto" w:sz="2" w:space="0"/>
                    <w:right w:val="single" w:color="auto" w:sz="12" w:space="0"/>
                  </w:tcBorders>
                  <w:vAlign w:val="center"/>
                </w:tcPr>
                <w:p w14:paraId="0555ABDE">
                  <w:pPr>
                    <w:pStyle w:val="24"/>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设置</w:t>
                  </w:r>
                  <w:r>
                    <w:rPr>
                      <w:rFonts w:hint="eastAsia"/>
                      <w:color w:val="000000" w:themeColor="text1"/>
                      <w:sz w:val="21"/>
                      <w:szCs w:val="21"/>
                      <w:highlight w:val="none"/>
                      <w14:textFill>
                        <w14:solidFill>
                          <w14:schemeClr w14:val="tx1"/>
                        </w14:solidFill>
                      </w14:textFill>
                    </w:rPr>
                    <w:t>防溢流门槛</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vertAlign w:val="baseline"/>
                      <w:lang w:val="en-US" w:eastAsia="zh-CN"/>
                      <w14:textFill>
                        <w14:solidFill>
                          <w14:schemeClr w14:val="tx1"/>
                        </w14:solidFill>
                      </w14:textFill>
                    </w:rPr>
                    <w:t>乙类库地面及墙裙采用耐酸砖，主要结构如下：1、20厚花岗石板用环氧胶泥铺砌，缝宽3~；2、6~8厚环氧胶泥结合层；3、1.5厚树脂玻璃钢（隔离层）；4、20厚DS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r>
            <w:tr w14:paraId="0E3F2C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81" w:type="pct"/>
                  <w:vMerge w:val="continue"/>
                  <w:tcBorders>
                    <w:left w:val="single" w:color="auto" w:sz="12" w:space="0"/>
                    <w:bottom w:val="single" w:color="auto" w:sz="2" w:space="0"/>
                    <w:right w:val="single" w:color="auto" w:sz="2" w:space="0"/>
                  </w:tcBorders>
                  <w:vAlign w:val="center"/>
                </w:tcPr>
                <w:p w14:paraId="43C0296A">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821" w:type="pct"/>
                  <w:vMerge w:val="continue"/>
                  <w:tcBorders>
                    <w:left w:val="single" w:color="auto" w:sz="2" w:space="0"/>
                    <w:right w:val="single" w:color="auto" w:sz="2" w:space="0"/>
                  </w:tcBorders>
                  <w:vAlign w:val="center"/>
                </w:tcPr>
                <w:p w14:paraId="3752F45E">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highlight w:val="none"/>
                      <w14:textFill>
                        <w14:solidFill>
                          <w14:schemeClr w14:val="tx1"/>
                        </w14:solidFill>
                      </w14:textFill>
                    </w:rPr>
                  </w:pPr>
                </w:p>
              </w:tc>
              <w:tc>
                <w:tcPr>
                  <w:tcW w:w="3397" w:type="pct"/>
                  <w:tcBorders>
                    <w:top w:val="single" w:color="auto" w:sz="2" w:space="0"/>
                    <w:left w:val="single" w:color="auto" w:sz="2" w:space="0"/>
                    <w:bottom w:val="single" w:color="auto" w:sz="2" w:space="0"/>
                    <w:right w:val="single" w:color="auto" w:sz="12" w:space="0"/>
                  </w:tcBorders>
                  <w:vAlign w:val="center"/>
                </w:tcPr>
                <w:p w14:paraId="715125B1">
                  <w:pPr>
                    <w:pStyle w:val="24"/>
                    <w:keepNext w:val="0"/>
                    <w:keepLines w:val="0"/>
                    <w:suppressLineNumbers w:val="0"/>
                    <w:spacing w:before="0" w:beforeAutospacing="0" w:after="0" w:afterAutospacing="0" w:line="240" w:lineRule="auto"/>
                    <w:ind w:left="0" w:right="0"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仓库内坡度整体从北向南有1%的坡度设计，并在东侧、西侧及南侧布设导流槽，深度为0.2m，并在仓库东南角设有一个事故池，事故池容积为0.64m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vertAlign w:val="baseline"/>
                      <w:lang w:val="en-US" w:eastAsia="zh-CN"/>
                      <w14:textFill>
                        <w14:solidFill>
                          <w14:schemeClr w14:val="tx1"/>
                        </w14:solidFill>
                      </w14:textFill>
                    </w:rPr>
                    <w:t>（0.8m×0.8m×1m），用于收集事故状态下的废液。导流渠及事故池建设范围采用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r>
          </w:tbl>
          <w:p w14:paraId="7FFB8FAD">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综上所述，</w:t>
            </w:r>
            <w:r>
              <w:rPr>
                <w:rFonts w:hint="eastAsia"/>
                <w:color w:val="000000" w:themeColor="text1"/>
                <w:highlight w:val="none"/>
                <w:lang w:val="en-US" w:eastAsia="zh-CN"/>
                <w14:textFill>
                  <w14:solidFill>
                    <w14:schemeClr w14:val="tx1"/>
                  </w14:solidFill>
                </w14:textFill>
              </w:rPr>
              <w:t>本项目乙类库的建设渗透系数均＜10</w:t>
            </w:r>
            <w:r>
              <w:rPr>
                <w:rFonts w:hint="eastAsia"/>
                <w:color w:val="000000" w:themeColor="text1"/>
                <w:highlight w:val="none"/>
                <w:vertAlign w:val="superscript"/>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cm/s，均为重点防渗区，在</w:t>
            </w:r>
            <w:r>
              <w:rPr>
                <w:rFonts w:hint="default"/>
                <w:color w:val="000000" w:themeColor="text1"/>
                <w:highlight w:val="none"/>
                <w14:textFill>
                  <w14:solidFill>
                    <w14:schemeClr w14:val="tx1"/>
                  </w14:solidFill>
                </w14:textFill>
              </w:rPr>
              <w:t>采取以上措施后，本项目对地下水、土壤环境影响较小。</w:t>
            </w:r>
            <w:r>
              <w:rPr>
                <w:rFonts w:hint="eastAsia"/>
                <w:color w:val="000000" w:themeColor="text1"/>
                <w:highlight w:val="none"/>
                <w:lang w:val="en-US" w:eastAsia="zh-CN"/>
                <w14:textFill>
                  <w14:solidFill>
                    <w14:schemeClr w14:val="tx1"/>
                  </w14:solidFill>
                </w14:textFill>
              </w:rPr>
              <w:t>本项目拟在下游设置一个地下水及土壤例行监控点，地下水利用厂区内现有水井，位于项目区下游，土壤监测点布设于乙类库下游，监测方案见下表。</w:t>
            </w:r>
          </w:p>
          <w:p w14:paraId="478966B4">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lang w:val="en-US" w:eastAsia="zh-CN"/>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 xml:space="preserve">7 </w:t>
            </w:r>
            <w:r>
              <w:rPr>
                <w:rFonts w:hint="eastAsia" w:eastAsiaTheme="minorEastAsia"/>
                <w:b/>
                <w:bCs/>
                <w:color w:val="000000" w:themeColor="text1"/>
                <w:sz w:val="21"/>
                <w:szCs w:val="21"/>
                <w:highlight w:val="none"/>
                <w14:textFill>
                  <w14:solidFill>
                    <w14:schemeClr w14:val="tx1"/>
                  </w14:solidFill>
                </w14:textFill>
              </w:rPr>
              <w:t>项目</w:t>
            </w:r>
            <w:r>
              <w:rPr>
                <w:rFonts w:hint="eastAsia" w:eastAsiaTheme="minorEastAsia"/>
                <w:b/>
                <w:bCs/>
                <w:color w:val="000000" w:themeColor="text1"/>
                <w:sz w:val="21"/>
                <w:szCs w:val="21"/>
                <w:highlight w:val="none"/>
                <w:lang w:val="en-US" w:eastAsia="zh-CN"/>
                <w14:textFill>
                  <w14:solidFill>
                    <w14:schemeClr w14:val="tx1"/>
                  </w14:solidFill>
                </w14:textFill>
              </w:rPr>
              <w:t>土壤及地下水例行监测方案</w:t>
            </w:r>
          </w:p>
          <w:tbl>
            <w:tblPr>
              <w:tblStyle w:val="29"/>
              <w:tblW w:w="7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22"/>
              <w:gridCol w:w="1312"/>
              <w:gridCol w:w="3853"/>
              <w:gridCol w:w="1096"/>
            </w:tblGrid>
            <w:tr w14:paraId="6B17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dxa"/>
                  <w:vAlign w:val="center"/>
                </w:tcPr>
                <w:p w14:paraId="6CCE6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序号</w:t>
                  </w:r>
                </w:p>
              </w:tc>
              <w:tc>
                <w:tcPr>
                  <w:tcW w:w="1022" w:type="dxa"/>
                  <w:vAlign w:val="center"/>
                </w:tcPr>
                <w:p w14:paraId="0ABCF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类别</w:t>
                  </w:r>
                </w:p>
              </w:tc>
              <w:tc>
                <w:tcPr>
                  <w:tcW w:w="1312" w:type="dxa"/>
                  <w:vAlign w:val="center"/>
                </w:tcPr>
                <w:p w14:paraId="7859B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监测点位</w:t>
                  </w:r>
                </w:p>
              </w:tc>
              <w:tc>
                <w:tcPr>
                  <w:tcW w:w="3853" w:type="dxa"/>
                  <w:vAlign w:val="center"/>
                </w:tcPr>
                <w:p w14:paraId="683E9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监测因子</w:t>
                  </w:r>
                </w:p>
              </w:tc>
              <w:tc>
                <w:tcPr>
                  <w:tcW w:w="1096" w:type="dxa"/>
                  <w:vAlign w:val="center"/>
                </w:tcPr>
                <w:p w14:paraId="3D66A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监测频次</w:t>
                  </w:r>
                </w:p>
              </w:tc>
            </w:tr>
            <w:tr w14:paraId="597D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C9E3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w:t>
                  </w:r>
                </w:p>
              </w:tc>
              <w:tc>
                <w:tcPr>
                  <w:tcW w:w="1022" w:type="dxa"/>
                  <w:vAlign w:val="center"/>
                </w:tcPr>
                <w:p w14:paraId="51F31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地下水</w:t>
                  </w:r>
                </w:p>
              </w:tc>
              <w:tc>
                <w:tcPr>
                  <w:tcW w:w="1312" w:type="dxa"/>
                  <w:vAlign w:val="center"/>
                </w:tcPr>
                <w:p w14:paraId="13584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S（下游）</w:t>
                  </w:r>
                </w:p>
              </w:tc>
              <w:tc>
                <w:tcPr>
                  <w:tcW w:w="3853" w:type="dxa"/>
                  <w:vAlign w:val="center"/>
                </w:tcPr>
                <w:p w14:paraId="70383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pH、总硬度、溶解性总固体、硫酸盐、氯化物、铁、铜、锌、挥发酚、高锰酸盐指数、硝酸盐、亚硝酸盐、氨氮、氟化物、氰化物、汞、砷、镉、六价铬、铅、镍、硫化物、总铬、多环芳烃、苯、甲苯、二甲苯等</w:t>
                  </w:r>
                </w:p>
              </w:tc>
              <w:tc>
                <w:tcPr>
                  <w:tcW w:w="1096" w:type="dxa"/>
                  <w:vAlign w:val="center"/>
                </w:tcPr>
                <w:p w14:paraId="5831E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1次/年</w:t>
                  </w:r>
                </w:p>
              </w:tc>
            </w:tr>
            <w:tr w14:paraId="016C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32C2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w:t>
                  </w:r>
                </w:p>
              </w:tc>
              <w:tc>
                <w:tcPr>
                  <w:tcW w:w="1022" w:type="dxa"/>
                  <w:vAlign w:val="center"/>
                </w:tcPr>
                <w:p w14:paraId="5E5DD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土壤</w:t>
                  </w:r>
                </w:p>
              </w:tc>
              <w:tc>
                <w:tcPr>
                  <w:tcW w:w="1312" w:type="dxa"/>
                  <w:vAlign w:val="center"/>
                </w:tcPr>
                <w:p w14:paraId="4B319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S（下游）</w:t>
                  </w:r>
                </w:p>
              </w:tc>
              <w:tc>
                <w:tcPr>
                  <w:tcW w:w="3853" w:type="dxa"/>
                  <w:vAlign w:val="center"/>
                </w:tcPr>
                <w:p w14:paraId="234FF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pH、阳离子交换量、镉、汞、砷、铜、铅、铬、锌、镍、多环芳烃、苯、甲苯、二甲苯等</w:t>
                  </w:r>
                </w:p>
              </w:tc>
              <w:tc>
                <w:tcPr>
                  <w:tcW w:w="1096" w:type="dxa"/>
                  <w:vAlign w:val="center"/>
                </w:tcPr>
                <w:p w14:paraId="3768C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1次/年</w:t>
                  </w:r>
                </w:p>
              </w:tc>
            </w:tr>
          </w:tbl>
          <w:p w14:paraId="3C3E8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注：地下水检测可与大厂区例行监测数据同步检测，不再进行重复检测。</w:t>
            </w:r>
          </w:p>
          <w:p w14:paraId="3D0E1337">
            <w:pPr>
              <w:keepNext w:val="0"/>
              <w:keepLines w:val="0"/>
              <w:suppressLineNumbers w:val="0"/>
              <w:spacing w:before="0" w:beforeAutospacing="0" w:after="0" w:afterAutospacing="0"/>
              <w:ind w:left="0" w:right="0" w:firstLine="482"/>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w:t>
            </w:r>
            <w:r>
              <w:rPr>
                <w:rFonts w:hint="default"/>
                <w:b/>
                <w:bCs/>
                <w:color w:val="000000" w:themeColor="text1"/>
                <w:highlight w:val="none"/>
                <w14:textFill>
                  <w14:solidFill>
                    <w14:schemeClr w14:val="tx1"/>
                  </w14:solidFill>
                </w14:textFill>
              </w:rPr>
              <w:t>环境风险环境影响分析</w:t>
            </w:r>
          </w:p>
          <w:p w14:paraId="0D0128AF">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（1）风险调查</w:t>
            </w:r>
          </w:p>
          <w:p w14:paraId="7A5D1657">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根据《建设项目环境风险评价技术导则》（HJ169-2018）本项目所涉及的危险物质主要有</w:t>
            </w:r>
            <w:r>
              <w:rPr>
                <w:rFonts w:hint="eastAsia"/>
                <w:color w:val="000000" w:themeColor="text1"/>
                <w:highlight w:val="none"/>
                <w:lang w:val="en-US" w:eastAsia="zh-CN"/>
                <w14:textFill>
                  <w14:solidFill>
                    <w14:schemeClr w14:val="tx1"/>
                  </w14:solidFill>
                </w14:textFill>
              </w:rPr>
              <w:t>硫磺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硫磺最大暂存量为70t，硫含量按99%核算，则硫最大暂存量为69.3t＞10t，项目风险物质与临界量的比值情况见下表。</w:t>
            </w:r>
          </w:p>
          <w:p w14:paraId="7A439401">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8</w:t>
            </w:r>
            <w:r>
              <w:rPr>
                <w:rFonts w:hint="eastAsia" w:eastAsiaTheme="minorEastAsia"/>
                <w:b/>
                <w:bCs/>
                <w:color w:val="000000" w:themeColor="text1"/>
                <w:sz w:val="21"/>
                <w:szCs w:val="21"/>
                <w:highlight w:val="none"/>
                <w14:textFill>
                  <w14:solidFill>
                    <w14:schemeClr w14:val="tx1"/>
                  </w14:solidFill>
                </w14:textFill>
              </w:rPr>
              <w:t xml:space="preserve">   本项目危险物质</w:t>
            </w:r>
            <w:r>
              <w:rPr>
                <w:rFonts w:hint="default" w:eastAsiaTheme="minorEastAsia"/>
                <w:b/>
                <w:bCs/>
                <w:color w:val="000000" w:themeColor="text1"/>
                <w:sz w:val="21"/>
                <w:szCs w:val="21"/>
                <w:highlight w:val="none"/>
                <w14:textFill>
                  <w14:solidFill>
                    <w14:schemeClr w14:val="tx1"/>
                  </w14:solidFill>
                </w14:textFill>
              </w:rPr>
              <w:t>与临界量比值一览表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390"/>
              <w:gridCol w:w="1585"/>
              <w:gridCol w:w="1585"/>
              <w:gridCol w:w="1586"/>
            </w:tblGrid>
            <w:tr w14:paraId="42B3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40" w:type="dxa"/>
                  <w:vAlign w:val="center"/>
                </w:tcPr>
                <w:p w14:paraId="48C629C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独立单元名称</w:t>
                  </w:r>
                </w:p>
              </w:tc>
              <w:tc>
                <w:tcPr>
                  <w:tcW w:w="1437" w:type="dxa"/>
                  <w:vAlign w:val="center"/>
                </w:tcPr>
                <w:p w14:paraId="07F8E42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物质名称</w:t>
                  </w:r>
                </w:p>
              </w:tc>
              <w:tc>
                <w:tcPr>
                  <w:tcW w:w="1640" w:type="dxa"/>
                  <w:vAlign w:val="center"/>
                </w:tcPr>
                <w:p w14:paraId="59AE345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最大储存量(t)</w:t>
                  </w:r>
                </w:p>
              </w:tc>
              <w:tc>
                <w:tcPr>
                  <w:tcW w:w="1640" w:type="dxa"/>
                  <w:vAlign w:val="center"/>
                </w:tcPr>
                <w:p w14:paraId="6450DBB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临界量Q（t）</w:t>
                  </w:r>
                </w:p>
              </w:tc>
              <w:tc>
                <w:tcPr>
                  <w:tcW w:w="1640" w:type="dxa"/>
                  <w:vAlign w:val="center"/>
                </w:tcPr>
                <w:p w14:paraId="703A2DE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Qi/Q</w:t>
                  </w:r>
                </w:p>
              </w:tc>
            </w:tr>
            <w:tr w14:paraId="45DA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40" w:type="dxa"/>
                  <w:vAlign w:val="center"/>
                </w:tcPr>
                <w:p w14:paraId="6354EFE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w:t>
                  </w:r>
                </w:p>
              </w:tc>
              <w:tc>
                <w:tcPr>
                  <w:tcW w:w="1437" w:type="dxa"/>
                  <w:vAlign w:val="center"/>
                </w:tcPr>
                <w:p w14:paraId="79A406A0">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w:t>
                  </w:r>
                </w:p>
              </w:tc>
              <w:tc>
                <w:tcPr>
                  <w:tcW w:w="1640" w:type="dxa"/>
                  <w:vAlign w:val="center"/>
                </w:tcPr>
                <w:p w14:paraId="2EC06A8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69.3</w:t>
                  </w:r>
                  <w:r>
                    <w:rPr>
                      <w:rFonts w:hint="default" w:ascii="Calibri" w:hAnsi="Calibri" w:cs="Calibri"/>
                      <w:color w:val="000000" w:themeColor="text1"/>
                      <w:sz w:val="21"/>
                      <w:szCs w:val="21"/>
                      <w:highlight w:val="none"/>
                      <w:vertAlign w:val="superscript"/>
                      <w:lang w:val="en-US" w:eastAsia="zh-CN"/>
                      <w14:textFill>
                        <w14:solidFill>
                          <w14:schemeClr w14:val="tx1"/>
                        </w14:solidFill>
                      </w14:textFill>
                    </w:rPr>
                    <w:t>①</w:t>
                  </w:r>
                </w:p>
              </w:tc>
              <w:tc>
                <w:tcPr>
                  <w:tcW w:w="1640" w:type="dxa"/>
                  <w:vAlign w:val="center"/>
                </w:tcPr>
                <w:p w14:paraId="6A54666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10</w:t>
                  </w:r>
                </w:p>
              </w:tc>
              <w:tc>
                <w:tcPr>
                  <w:tcW w:w="1640" w:type="dxa"/>
                  <w:vAlign w:val="center"/>
                </w:tcPr>
                <w:p w14:paraId="4F0D930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6.93</w:t>
                  </w:r>
                </w:p>
              </w:tc>
            </w:tr>
          </w:tbl>
          <w:p w14:paraId="1DDD8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注：</w:t>
            </w:r>
            <w:r>
              <w:rPr>
                <w:rFonts w:hint="default" w:ascii="Calibri" w:hAnsi="Calibri" w:cs="Calibri"/>
                <w:color w:val="000000" w:themeColor="text1"/>
                <w:sz w:val="21"/>
                <w:szCs w:val="21"/>
                <w:highlight w:val="none"/>
                <w:lang w:val="en-US" w:eastAsia="zh-CN"/>
                <w14:textFill>
                  <w14:solidFill>
                    <w14:schemeClr w14:val="tx1"/>
                  </w14:solidFill>
                </w14:textFill>
              </w:rPr>
              <w:t>①硫磺最大暂存量为70t，硫含量按99%核算，则硫最大暂存量为69.3t</w:t>
            </w:r>
            <w:r>
              <w:rPr>
                <w:rFonts w:hint="eastAsia" w:ascii="Calibri" w:hAnsi="Calibri" w:cs="Calibri"/>
                <w:color w:val="000000" w:themeColor="text1"/>
                <w:sz w:val="21"/>
                <w:szCs w:val="21"/>
                <w:highlight w:val="none"/>
                <w:lang w:val="en-US" w:eastAsia="zh-CN"/>
                <w14:textFill>
                  <w14:solidFill>
                    <w14:schemeClr w14:val="tx1"/>
                  </w14:solidFill>
                </w14:textFill>
              </w:rPr>
              <w:t>。</w:t>
            </w:r>
          </w:p>
          <w:p w14:paraId="6782AA32">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本项目Q=</w:t>
            </w:r>
            <w:r>
              <w:rPr>
                <w:rFonts w:hint="eastAsia"/>
                <w:color w:val="000000" w:themeColor="text1"/>
                <w:highlight w:val="none"/>
                <w:lang w:val="en-US" w:eastAsia="zh-CN"/>
                <w14:textFill>
                  <w14:solidFill>
                    <w14:schemeClr w14:val="tx1"/>
                  </w14:solidFill>
                </w14:textFill>
              </w:rPr>
              <w:t>6.93</w:t>
            </w:r>
            <w:r>
              <w:rPr>
                <w:rFonts w:hint="eastAsia"/>
                <w:color w:val="000000" w:themeColor="text1"/>
                <w:highlight w:val="none"/>
                <w14:textFill>
                  <w14:solidFill>
                    <w14:schemeClr w14:val="tx1"/>
                  </w14:solidFill>
                </w14:textFill>
              </w:rPr>
              <w:t>，属于1≤Q＜10，本次评价已按照要求编制环境风险专项评价，详见环境风险专项评价。</w:t>
            </w:r>
          </w:p>
          <w:p w14:paraId="46224251">
            <w:pPr>
              <w:keepNext w:val="0"/>
              <w:keepLines w:val="0"/>
              <w:numPr>
                <w:ilvl w:val="0"/>
                <w:numId w:val="0"/>
              </w:numPr>
              <w:suppressLineNumbers w:val="0"/>
              <w:spacing w:before="0" w:beforeAutospacing="0" w:after="0" w:afterAutospacing="0"/>
              <w:ind w:left="0" w:leftChars="0" w:right="0" w:rightChars="0" w:firstLine="480" w:firstLineChars="200"/>
              <w:rPr>
                <w:rFonts w:hint="eastAsia"/>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eastAsia"/>
                <w:color w:val="000000" w:themeColor="text1"/>
                <w:highlight w:val="none"/>
                <w14:textFill>
                  <w14:solidFill>
                    <w14:schemeClr w14:val="tx1"/>
                  </w14:solidFill>
                </w14:textFill>
              </w:rPr>
              <w:t>环境风险及防范措施</w:t>
            </w:r>
          </w:p>
          <w:p w14:paraId="7DFDDE42">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highlight w:val="none"/>
                <w14:textFill>
                  <w14:solidFill>
                    <w14:schemeClr w14:val="tx1"/>
                  </w14:solidFill>
                </w14:textFill>
              </w:rPr>
              <w:t>配套建设消防栓、气体灭火器、消防手报、有毒气体探测装置、烟感、温感探头、应急照明、安全出口标识等。</w:t>
            </w:r>
            <w:r>
              <w:rPr>
                <w:rFonts w:hint="eastAsia"/>
                <w:color w:val="000000" w:themeColor="text1"/>
                <w:highlight w:val="none"/>
                <w:lang w:val="en-US" w:eastAsia="zh-CN"/>
                <w14:textFill>
                  <w14:solidFill>
                    <w14:schemeClr w14:val="tx1"/>
                  </w14:solidFill>
                </w14:textFill>
              </w:rPr>
              <w:t>危险化学品仓库、储存场应根据危险化学品性质设计相应的防火、防爆、防腐、泄压、通风、调节温度、防潮、防雨等设施，并应配备通讯报警装置和工作人员防护物品。</w:t>
            </w:r>
          </w:p>
          <w:p w14:paraId="660DBDE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②对于</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类库的设计需按照相关规定管理执行；</w:t>
            </w:r>
          </w:p>
          <w:p w14:paraId="332C49A4">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③要求完善消防及灭火</w:t>
            </w:r>
            <w:r>
              <w:rPr>
                <w:rFonts w:hint="eastAsia"/>
                <w:color w:val="000000" w:themeColor="text1"/>
                <w:highlight w:val="none"/>
                <w:lang w:val="en-US" w:eastAsia="zh-CN"/>
                <w14:textFill>
                  <w14:solidFill>
                    <w14:schemeClr w14:val="tx1"/>
                  </w14:solidFill>
                </w14:textFill>
              </w:rPr>
              <w:t>防爆</w:t>
            </w:r>
            <w:r>
              <w:rPr>
                <w:rFonts w:hint="eastAsia"/>
                <w:color w:val="000000" w:themeColor="text1"/>
                <w:highlight w:val="none"/>
                <w14:textFill>
                  <w14:solidFill>
                    <w14:schemeClr w14:val="tx1"/>
                  </w14:solidFill>
                </w14:textFill>
              </w:rPr>
              <w:t>系统；</w:t>
            </w:r>
          </w:p>
          <w:p w14:paraId="7F316041">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④加强员工教育培训，熟练掌握泄漏时应采取的个人防护措施及应急处置措施，加强巡检，发现隐患及时排除；</w:t>
            </w:r>
          </w:p>
          <w:p w14:paraId="7354D8AC">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化学品运输必须使用专用的且经相关部门批准的符合安全规定的运载工具，并对运输车辆进行经常性维护和检查，防患于未然。</w:t>
            </w:r>
          </w:p>
          <w:p w14:paraId="7D63FAA8">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highlight w:val="none"/>
                <w:lang w:val="en-US" w:eastAsia="zh-CN"/>
                <w14:textFill>
                  <w14:solidFill>
                    <w14:schemeClr w14:val="tx1"/>
                  </w14:solidFill>
                </w14:textFill>
              </w:rPr>
              <w:t>储运人员必须经上岗培训，定期考核通过后方能上岗。</w:t>
            </w:r>
          </w:p>
          <w:p w14:paraId="14E1160E">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⑦</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运输、装卸、转运化学品应采取必要的防护措施。</w:t>
            </w:r>
          </w:p>
          <w:p w14:paraId="44ABE04D">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⑧</w:t>
            </w:r>
            <w:r>
              <w:rPr>
                <w:rFonts w:hint="default"/>
                <w:color w:val="000000" w:themeColor="text1"/>
                <w:sz w:val="24"/>
                <w:highlight w:val="none"/>
                <w14:textFill>
                  <w14:solidFill>
                    <w14:schemeClr w14:val="tx1"/>
                  </w14:solidFill>
                </w14:textFill>
              </w:rPr>
              <w:t>危险化学品贮存过程中应加强管理工作：加强危险化学品管理，建立危险化学品</w:t>
            </w:r>
            <w:r>
              <w:rPr>
                <w:rFonts w:hint="eastAsia"/>
                <w:color w:val="000000" w:themeColor="text1"/>
                <w:sz w:val="24"/>
                <w:highlight w:val="none"/>
                <w:lang w:val="en-US" w:eastAsia="zh-CN"/>
                <w14:textFill>
                  <w14:solidFill>
                    <w14:schemeClr w14:val="tx1"/>
                  </w14:solidFill>
                </w14:textFill>
              </w:rPr>
              <w:t>入库、出库</w:t>
            </w:r>
            <w:r>
              <w:rPr>
                <w:rFonts w:hint="default"/>
                <w:color w:val="000000" w:themeColor="text1"/>
                <w:sz w:val="24"/>
                <w:highlight w:val="none"/>
                <w14:textFill>
                  <w14:solidFill>
                    <w14:schemeClr w14:val="tx1"/>
                  </w14:solidFill>
                </w14:textFill>
              </w:rPr>
              <w:t>登记制度，记录危险化学品种类和数量，并存档备查；根据危险化学品性能，分区分类存放，各类危险化学品不得与禁忌物料混合存放。</w:t>
            </w:r>
          </w:p>
          <w:p w14:paraId="0F7F4E9D">
            <w:pPr>
              <w:keepNext w:val="0"/>
              <w:keepLines w:val="0"/>
              <w:suppressLineNumbers w:val="0"/>
              <w:spacing w:before="0" w:beforeAutospacing="0" w:after="0" w:afterAutospacing="0"/>
              <w:ind w:left="0" w:right="0" w:firstLine="480"/>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一旦发生事故情况需进行应急监测。具体内容</w:t>
            </w:r>
            <w:r>
              <w:rPr>
                <w:rFonts w:hint="eastAsia"/>
                <w:color w:val="000000" w:themeColor="text1"/>
                <w:highlight w:val="none"/>
                <w14:textFill>
                  <w14:solidFill>
                    <w14:schemeClr w14:val="tx1"/>
                  </w14:solidFill>
                </w14:textFill>
              </w:rPr>
              <w:t>详见环境风险专项评价</w:t>
            </w:r>
            <w:r>
              <w:rPr>
                <w:rFonts w:hint="eastAsia"/>
                <w:color w:val="000000" w:themeColor="text1"/>
                <w:highlight w:val="none"/>
                <w:lang w:eastAsia="zh-CN"/>
                <w14:textFill>
                  <w14:solidFill>
                    <w14:schemeClr w14:val="tx1"/>
                  </w14:solidFill>
                </w14:textFill>
              </w:rPr>
              <w:t>。</w:t>
            </w:r>
          </w:p>
          <w:p w14:paraId="48DFEA12">
            <w:pPr>
              <w:keepNext w:val="0"/>
              <w:keepLines w:val="0"/>
              <w:suppressLineNumbers w:val="0"/>
              <w:spacing w:before="0" w:beforeAutospacing="0" w:after="0" w:afterAutospacing="0"/>
              <w:ind w:left="0" w:right="0" w:firstLine="482"/>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8、环保投资、例行监测及竣工环保验收要求</w:t>
            </w:r>
          </w:p>
          <w:p w14:paraId="70D18D98">
            <w:pPr>
              <w:keepNext w:val="0"/>
              <w:keepLines w:val="0"/>
              <w:suppressLineNumbers w:val="0"/>
              <w:tabs>
                <w:tab w:val="left" w:pos="349"/>
              </w:tabs>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8.1 环保投资</w:t>
            </w:r>
          </w:p>
          <w:p w14:paraId="36D09C3B">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本项目环保投资情况见下表。</w:t>
            </w:r>
          </w:p>
          <w:p w14:paraId="0CC206D7">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9</w:t>
            </w:r>
            <w:r>
              <w:rPr>
                <w:rFonts w:hint="eastAsia" w:eastAsiaTheme="minorEastAsia"/>
                <w:b/>
                <w:bCs/>
                <w:color w:val="000000" w:themeColor="text1"/>
                <w:sz w:val="21"/>
                <w:szCs w:val="21"/>
                <w:highlight w:val="none"/>
                <w14:textFill>
                  <w14:solidFill>
                    <w14:schemeClr w14:val="tx1"/>
                  </w14:solidFill>
                </w14:textFill>
              </w:rPr>
              <w:t xml:space="preserve">   本项目</w:t>
            </w:r>
            <w:r>
              <w:rPr>
                <w:rFonts w:hint="eastAsia" w:eastAsiaTheme="minorEastAsia"/>
                <w:b/>
                <w:bCs/>
                <w:color w:val="000000" w:themeColor="text1"/>
                <w:sz w:val="21"/>
                <w:szCs w:val="21"/>
                <w:highlight w:val="none"/>
                <w:lang w:val="en-US" w:eastAsia="zh-CN"/>
                <w14:textFill>
                  <w14:solidFill>
                    <w14:schemeClr w14:val="tx1"/>
                  </w14:solidFill>
                </w14:textFill>
              </w:rPr>
              <w:t>环保投资</w:t>
            </w:r>
            <w:r>
              <w:rPr>
                <w:rFonts w:hint="default" w:eastAsiaTheme="minorEastAsia"/>
                <w:b/>
                <w:bCs/>
                <w:color w:val="000000" w:themeColor="text1"/>
                <w:sz w:val="21"/>
                <w:szCs w:val="21"/>
                <w:highlight w:val="none"/>
                <w14:textFill>
                  <w14:solidFill>
                    <w14:schemeClr w14:val="tx1"/>
                  </w14:solidFill>
                </w14:textFill>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688"/>
              <w:gridCol w:w="2197"/>
              <w:gridCol w:w="626"/>
              <w:gridCol w:w="945"/>
            </w:tblGrid>
            <w:tr w14:paraId="098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5" w:type="pct"/>
                  <w:noWrap w:val="0"/>
                  <w:tcMar>
                    <w:left w:w="0" w:type="dxa"/>
                    <w:right w:w="0" w:type="dxa"/>
                  </w:tcMar>
                  <w:vAlign w:val="center"/>
                </w:tcPr>
                <w:p w14:paraId="37C2B65C">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bookmarkStart w:id="3" w:name="OLE_LINK12"/>
                  <w:bookmarkStart w:id="4" w:name="OLE_LINK8"/>
                  <w:r>
                    <w:rPr>
                      <w:rFonts w:hint="default"/>
                      <w:color w:val="000000" w:themeColor="text1"/>
                      <w:sz w:val="21"/>
                      <w:szCs w:val="21"/>
                      <w14:textFill>
                        <w14:solidFill>
                          <w14:schemeClr w14:val="tx1"/>
                        </w14:solidFill>
                      </w14:textFill>
                    </w:rPr>
                    <w:t>序号</w:t>
                  </w:r>
                </w:p>
              </w:tc>
              <w:tc>
                <w:tcPr>
                  <w:tcW w:w="2327" w:type="pct"/>
                  <w:noWrap w:val="0"/>
                  <w:tcMar>
                    <w:left w:w="0" w:type="dxa"/>
                    <w:right w:w="0" w:type="dxa"/>
                  </w:tcMar>
                  <w:vAlign w:val="center"/>
                </w:tcPr>
                <w:p w14:paraId="29320EE9">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环保措施</w:t>
                  </w:r>
                </w:p>
              </w:tc>
              <w:tc>
                <w:tcPr>
                  <w:tcW w:w="1386" w:type="pct"/>
                  <w:noWrap w:val="0"/>
                  <w:tcMar>
                    <w:left w:w="0" w:type="dxa"/>
                    <w:right w:w="0" w:type="dxa"/>
                  </w:tcMar>
                  <w:vAlign w:val="center"/>
                </w:tcPr>
                <w:p w14:paraId="77DEDF5A">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治理效果</w:t>
                  </w:r>
                </w:p>
              </w:tc>
              <w:tc>
                <w:tcPr>
                  <w:tcW w:w="395" w:type="pct"/>
                  <w:noWrap w:val="0"/>
                  <w:tcMar>
                    <w:left w:w="0" w:type="dxa"/>
                    <w:right w:w="0" w:type="dxa"/>
                  </w:tcMar>
                  <w:vAlign w:val="center"/>
                </w:tcPr>
                <w:p w14:paraId="53B46EC6">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投资</w:t>
                  </w:r>
                </w:p>
              </w:tc>
              <w:tc>
                <w:tcPr>
                  <w:tcW w:w="596" w:type="pct"/>
                  <w:noWrap w:val="0"/>
                  <w:tcMar>
                    <w:left w:w="0" w:type="dxa"/>
                    <w:right w:w="0" w:type="dxa"/>
                  </w:tcMar>
                  <w:vAlign w:val="center"/>
                </w:tcPr>
                <w:p w14:paraId="05D54BA8">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备注</w:t>
                  </w:r>
                </w:p>
              </w:tc>
            </w:tr>
            <w:tr w14:paraId="7FF5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95" w:type="pct"/>
                  <w:noWrap w:val="0"/>
                  <w:tcMar>
                    <w:left w:w="0" w:type="dxa"/>
                    <w:right w:w="0" w:type="dxa"/>
                  </w:tcMar>
                  <w:vAlign w:val="center"/>
                </w:tcPr>
                <w:p w14:paraId="3D1DE650">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一</w:t>
                  </w:r>
                </w:p>
              </w:tc>
              <w:tc>
                <w:tcPr>
                  <w:tcW w:w="2327" w:type="pct"/>
                  <w:noWrap w:val="0"/>
                  <w:tcMar>
                    <w:left w:w="0" w:type="dxa"/>
                    <w:right w:w="0" w:type="dxa"/>
                  </w:tcMar>
                  <w:vAlign w:val="center"/>
                </w:tcPr>
                <w:p w14:paraId="70FBDAFD">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ottom"/>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大气环境防治措施</w:t>
                  </w:r>
                </w:p>
              </w:tc>
              <w:tc>
                <w:tcPr>
                  <w:tcW w:w="1386" w:type="pct"/>
                  <w:noWrap w:val="0"/>
                  <w:tcMar>
                    <w:left w:w="0" w:type="dxa"/>
                    <w:right w:w="0" w:type="dxa"/>
                  </w:tcMar>
                  <w:vAlign w:val="center"/>
                </w:tcPr>
                <w:p w14:paraId="1694FC1D">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c>
                <w:tcPr>
                  <w:tcW w:w="395" w:type="pct"/>
                  <w:noWrap w:val="0"/>
                  <w:tcMar>
                    <w:left w:w="0" w:type="dxa"/>
                    <w:right w:w="0" w:type="dxa"/>
                  </w:tcMar>
                  <w:vAlign w:val="center"/>
                </w:tcPr>
                <w:p w14:paraId="65643316">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c>
                <w:tcPr>
                  <w:tcW w:w="596" w:type="pct"/>
                  <w:noWrap w:val="0"/>
                  <w:tcMar>
                    <w:left w:w="0" w:type="dxa"/>
                    <w:right w:w="0" w:type="dxa"/>
                  </w:tcMar>
                  <w:vAlign w:val="center"/>
                </w:tcPr>
                <w:p w14:paraId="2810881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194C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1ACD03B3">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p>
              </w:tc>
              <w:tc>
                <w:tcPr>
                  <w:tcW w:w="2327" w:type="pct"/>
                  <w:noWrap w:val="0"/>
                  <w:tcMar>
                    <w:left w:w="0" w:type="dxa"/>
                    <w:right w:w="0" w:type="dxa"/>
                  </w:tcMar>
                  <w:vAlign w:val="center"/>
                </w:tcPr>
                <w:p w14:paraId="0D8BEB54">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轴流风机</w:t>
                  </w:r>
                </w:p>
              </w:tc>
              <w:tc>
                <w:tcPr>
                  <w:tcW w:w="1386" w:type="pct"/>
                  <w:noWrap w:val="0"/>
                  <w:tcMar>
                    <w:left w:w="0" w:type="dxa"/>
                    <w:right w:w="0" w:type="dxa"/>
                  </w:tcMar>
                  <w:vAlign w:val="center"/>
                </w:tcPr>
                <w:p w14:paraId="6617A846">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厂界污染物达标</w:t>
                  </w:r>
                </w:p>
              </w:tc>
              <w:tc>
                <w:tcPr>
                  <w:tcW w:w="395" w:type="pct"/>
                  <w:noWrap w:val="0"/>
                  <w:tcMar>
                    <w:left w:w="0" w:type="dxa"/>
                    <w:right w:w="0" w:type="dxa"/>
                  </w:tcMar>
                  <w:vAlign w:val="center"/>
                </w:tcPr>
                <w:p w14:paraId="7574D096">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596" w:type="pct"/>
                  <w:noWrap w:val="0"/>
                  <w:tcMar>
                    <w:left w:w="0" w:type="dxa"/>
                    <w:right w:w="0" w:type="dxa"/>
                  </w:tcMar>
                  <w:vAlign w:val="center"/>
                </w:tcPr>
                <w:p w14:paraId="7BAFB7EF">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493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02E0E900">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二</w:t>
                  </w:r>
                </w:p>
              </w:tc>
              <w:tc>
                <w:tcPr>
                  <w:tcW w:w="2327" w:type="pct"/>
                  <w:noWrap w:val="0"/>
                  <w:tcMar>
                    <w:left w:w="0" w:type="dxa"/>
                    <w:right w:w="0" w:type="dxa"/>
                  </w:tcMar>
                  <w:vAlign w:val="center"/>
                </w:tcPr>
                <w:p w14:paraId="01D45C8A">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废水污染防治措施</w:t>
                  </w:r>
                </w:p>
              </w:tc>
              <w:tc>
                <w:tcPr>
                  <w:tcW w:w="1386" w:type="pct"/>
                  <w:noWrap w:val="0"/>
                  <w:tcMar>
                    <w:left w:w="0" w:type="dxa"/>
                    <w:right w:w="0" w:type="dxa"/>
                  </w:tcMar>
                  <w:vAlign w:val="center"/>
                </w:tcPr>
                <w:p w14:paraId="1948050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395" w:type="pct"/>
                  <w:noWrap w:val="0"/>
                  <w:tcMar>
                    <w:left w:w="0" w:type="dxa"/>
                    <w:right w:w="0" w:type="dxa"/>
                  </w:tcMar>
                  <w:vAlign w:val="center"/>
                </w:tcPr>
                <w:p w14:paraId="71CDC974">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596" w:type="pct"/>
                  <w:noWrap w:val="0"/>
                  <w:tcMar>
                    <w:left w:w="0" w:type="dxa"/>
                    <w:right w:w="0" w:type="dxa"/>
                  </w:tcMar>
                  <w:vAlign w:val="center"/>
                </w:tcPr>
                <w:p w14:paraId="10A192BF">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r>
            <w:tr w14:paraId="6F08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0598C790">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327" w:type="pct"/>
                  <w:noWrap w:val="0"/>
                  <w:tcMar>
                    <w:left w:w="0" w:type="dxa"/>
                    <w:right w:w="0" w:type="dxa"/>
                  </w:tcMar>
                  <w:vAlign w:val="center"/>
                </w:tcPr>
                <w:p w14:paraId="71133273">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地面及墙裙防渗</w:t>
                  </w:r>
                </w:p>
              </w:tc>
              <w:tc>
                <w:tcPr>
                  <w:tcW w:w="1386" w:type="pct"/>
                  <w:noWrap w:val="0"/>
                  <w:tcMar>
                    <w:left w:w="0" w:type="dxa"/>
                    <w:right w:w="0" w:type="dxa"/>
                  </w:tcMar>
                  <w:vAlign w:val="center"/>
                </w:tcPr>
                <w:p w14:paraId="56C39BF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重点防渗，</w:t>
                  </w:r>
                  <w:r>
                    <w:rPr>
                      <w:rFonts w:hint="eastAsia"/>
                      <w:color w:val="000000" w:themeColor="text1"/>
                      <w:sz w:val="21"/>
                      <w:szCs w:val="21"/>
                      <w:highlight w:val="none"/>
                      <w:vertAlign w:val="baseline"/>
                      <w:lang w:val="en-US" w:eastAsia="zh-CN"/>
                      <w14:textFill>
                        <w14:solidFill>
                          <w14:schemeClr w14:val="tx1"/>
                        </w14:solidFill>
                      </w14:textFill>
                    </w:rPr>
                    <w:t>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c>
                <w:tcPr>
                  <w:tcW w:w="395" w:type="pct"/>
                  <w:noWrap w:val="0"/>
                  <w:tcMar>
                    <w:left w:w="0" w:type="dxa"/>
                    <w:right w:w="0" w:type="dxa"/>
                  </w:tcMar>
                  <w:vAlign w:val="center"/>
                </w:tcPr>
                <w:p w14:paraId="2D5FCC5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596" w:type="pct"/>
                  <w:noWrap w:val="0"/>
                  <w:tcMar>
                    <w:left w:w="0" w:type="dxa"/>
                    <w:right w:w="0" w:type="dxa"/>
                  </w:tcMar>
                  <w:vAlign w:val="center"/>
                </w:tcPr>
                <w:p w14:paraId="6364ABC5">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687D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1F542031">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327" w:type="pct"/>
                  <w:noWrap w:val="0"/>
                  <w:tcMar>
                    <w:left w:w="0" w:type="dxa"/>
                    <w:right w:w="0" w:type="dxa"/>
                  </w:tcMar>
                  <w:vAlign w:val="center"/>
                </w:tcPr>
                <w:p w14:paraId="4E965288">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导流渠及</w:t>
                  </w:r>
                  <w:r>
                    <w:rPr>
                      <w:rFonts w:hint="eastAsia"/>
                      <w:color w:val="000000" w:themeColor="text1"/>
                      <w:sz w:val="21"/>
                      <w:szCs w:val="21"/>
                      <w14:textFill>
                        <w14:solidFill>
                          <w14:schemeClr w14:val="tx1"/>
                        </w14:solidFill>
                      </w14:textFill>
                    </w:rPr>
                    <w:t>事故池，总容积</w:t>
                  </w:r>
                  <w:r>
                    <w:rPr>
                      <w:rFonts w:hint="eastAsia"/>
                      <w:color w:val="000000" w:themeColor="text1"/>
                      <w:sz w:val="21"/>
                      <w:szCs w:val="21"/>
                      <w:lang w:val="en-US" w:eastAsia="zh-CN"/>
                      <w14:textFill>
                        <w14:solidFill>
                          <w14:schemeClr w14:val="tx1"/>
                        </w14:solidFill>
                      </w14:textFill>
                    </w:rPr>
                    <w:t>0.62</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p>
              </w:tc>
              <w:tc>
                <w:tcPr>
                  <w:tcW w:w="1386" w:type="pct"/>
                  <w:noWrap w:val="0"/>
                  <w:tcMar>
                    <w:left w:w="0" w:type="dxa"/>
                    <w:right w:w="0" w:type="dxa"/>
                  </w:tcMar>
                  <w:vAlign w:val="center"/>
                </w:tcPr>
                <w:p w14:paraId="2B64934A">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防止渗滤液外排</w:t>
                  </w:r>
                </w:p>
              </w:tc>
              <w:tc>
                <w:tcPr>
                  <w:tcW w:w="395" w:type="pct"/>
                  <w:noWrap w:val="0"/>
                  <w:tcMar>
                    <w:left w:w="0" w:type="dxa"/>
                    <w:right w:w="0" w:type="dxa"/>
                  </w:tcMar>
                  <w:vAlign w:val="center"/>
                </w:tcPr>
                <w:p w14:paraId="0DE849E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96" w:type="pct"/>
                  <w:noWrap w:val="0"/>
                  <w:tcMar>
                    <w:left w:w="0" w:type="dxa"/>
                    <w:right w:w="0" w:type="dxa"/>
                  </w:tcMar>
                  <w:vAlign w:val="center"/>
                </w:tcPr>
                <w:p w14:paraId="34F671E3">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主体投资</w:t>
                  </w:r>
                </w:p>
              </w:tc>
            </w:tr>
            <w:tr w14:paraId="632F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7F5B406D">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三</w:t>
                  </w:r>
                </w:p>
              </w:tc>
              <w:tc>
                <w:tcPr>
                  <w:tcW w:w="2327" w:type="pct"/>
                  <w:noWrap w:val="0"/>
                  <w:tcMar>
                    <w:left w:w="0" w:type="dxa"/>
                    <w:right w:w="0" w:type="dxa"/>
                  </w:tcMar>
                  <w:vAlign w:val="center"/>
                </w:tcPr>
                <w:p w14:paraId="574B9C33">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噪声防治措施</w:t>
                  </w:r>
                </w:p>
              </w:tc>
              <w:tc>
                <w:tcPr>
                  <w:tcW w:w="1386" w:type="pct"/>
                  <w:noWrap w:val="0"/>
                  <w:tcMar>
                    <w:left w:w="0" w:type="dxa"/>
                    <w:right w:w="0" w:type="dxa"/>
                  </w:tcMar>
                  <w:vAlign w:val="center"/>
                </w:tcPr>
                <w:p w14:paraId="42C4FDBE">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395" w:type="pct"/>
                  <w:noWrap w:val="0"/>
                  <w:tcMar>
                    <w:left w:w="0" w:type="dxa"/>
                    <w:right w:w="0" w:type="dxa"/>
                  </w:tcMar>
                  <w:vAlign w:val="center"/>
                </w:tcPr>
                <w:p w14:paraId="14736C01">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596" w:type="pct"/>
                  <w:noWrap w:val="0"/>
                  <w:tcMar>
                    <w:left w:w="0" w:type="dxa"/>
                    <w:right w:w="0" w:type="dxa"/>
                  </w:tcMar>
                  <w:vAlign w:val="center"/>
                </w:tcPr>
                <w:p w14:paraId="13C3B211">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r>
            <w:tr w14:paraId="39E6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54BF5A59">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p>
              </w:tc>
              <w:tc>
                <w:tcPr>
                  <w:tcW w:w="2327" w:type="pct"/>
                  <w:noWrap w:val="0"/>
                  <w:tcMar>
                    <w:left w:w="0" w:type="dxa"/>
                    <w:right w:w="0" w:type="dxa"/>
                  </w:tcMar>
                  <w:vAlign w:val="center"/>
                </w:tcPr>
                <w:p w14:paraId="6CA4EFF8">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基座减振、软连接等</w:t>
                  </w:r>
                </w:p>
              </w:tc>
              <w:tc>
                <w:tcPr>
                  <w:tcW w:w="1386" w:type="pct"/>
                  <w:noWrap w:val="0"/>
                  <w:tcMar>
                    <w:left w:w="0" w:type="dxa"/>
                    <w:right w:w="0" w:type="dxa"/>
                  </w:tcMar>
                  <w:vAlign w:val="center"/>
                </w:tcPr>
                <w:p w14:paraId="108CBD55">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达标排放</w:t>
                  </w:r>
                </w:p>
              </w:tc>
              <w:tc>
                <w:tcPr>
                  <w:tcW w:w="395" w:type="pct"/>
                  <w:noWrap w:val="0"/>
                  <w:tcMar>
                    <w:left w:w="0" w:type="dxa"/>
                    <w:right w:w="0" w:type="dxa"/>
                  </w:tcMar>
                  <w:vAlign w:val="center"/>
                </w:tcPr>
                <w:p w14:paraId="2B4F7B6C">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w:t>
                  </w:r>
                </w:p>
              </w:tc>
              <w:tc>
                <w:tcPr>
                  <w:tcW w:w="596" w:type="pct"/>
                  <w:noWrap w:val="0"/>
                  <w:tcMar>
                    <w:left w:w="0" w:type="dxa"/>
                    <w:right w:w="0" w:type="dxa"/>
                  </w:tcMar>
                  <w:vAlign w:val="center"/>
                </w:tcPr>
                <w:p w14:paraId="62CDB935">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3006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38DB68C2">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eastAsia"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四</w:t>
                  </w:r>
                </w:p>
              </w:tc>
              <w:tc>
                <w:tcPr>
                  <w:tcW w:w="2327" w:type="pct"/>
                  <w:noWrap w:val="0"/>
                  <w:tcMar>
                    <w:left w:w="0" w:type="dxa"/>
                    <w:right w:w="0" w:type="dxa"/>
                  </w:tcMar>
                  <w:vAlign w:val="center"/>
                </w:tcPr>
                <w:p w14:paraId="0FC0783D">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其他</w:t>
                  </w:r>
                </w:p>
              </w:tc>
              <w:tc>
                <w:tcPr>
                  <w:tcW w:w="1386" w:type="pct"/>
                  <w:noWrap w:val="0"/>
                  <w:tcMar>
                    <w:left w:w="0" w:type="dxa"/>
                    <w:right w:w="0" w:type="dxa"/>
                  </w:tcMar>
                  <w:vAlign w:val="center"/>
                </w:tcPr>
                <w:p w14:paraId="639E1EF4">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395" w:type="pct"/>
                  <w:noWrap w:val="0"/>
                  <w:tcMar>
                    <w:left w:w="0" w:type="dxa"/>
                    <w:right w:w="0" w:type="dxa"/>
                  </w:tcMar>
                  <w:vAlign w:val="center"/>
                </w:tcPr>
                <w:p w14:paraId="124222EA">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c>
                <w:tcPr>
                  <w:tcW w:w="596" w:type="pct"/>
                  <w:noWrap w:val="0"/>
                  <w:tcMar>
                    <w:left w:w="0" w:type="dxa"/>
                    <w:right w:w="0" w:type="dxa"/>
                  </w:tcMar>
                  <w:vAlign w:val="center"/>
                </w:tcPr>
                <w:p w14:paraId="32257D69">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b/>
                      <w:color w:val="000000" w:themeColor="text1"/>
                      <w:sz w:val="21"/>
                      <w:szCs w:val="21"/>
                      <w14:textFill>
                        <w14:solidFill>
                          <w14:schemeClr w14:val="tx1"/>
                        </w14:solidFill>
                      </w14:textFill>
                    </w:rPr>
                  </w:pPr>
                </w:p>
              </w:tc>
            </w:tr>
            <w:tr w14:paraId="3531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4F6122A1">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327" w:type="pct"/>
                  <w:noWrap w:val="0"/>
                  <w:tcMar>
                    <w:left w:w="0" w:type="dxa"/>
                    <w:right w:w="0" w:type="dxa"/>
                  </w:tcMar>
                  <w:vAlign w:val="center"/>
                </w:tcPr>
                <w:p w14:paraId="68D26BAB">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风险防范措施及应急预案备案</w:t>
                  </w:r>
                </w:p>
              </w:tc>
              <w:tc>
                <w:tcPr>
                  <w:tcW w:w="1386" w:type="pct"/>
                  <w:noWrap w:val="0"/>
                  <w:tcMar>
                    <w:left w:w="0" w:type="dxa"/>
                    <w:right w:w="0" w:type="dxa"/>
                  </w:tcMar>
                  <w:vAlign w:val="center"/>
                </w:tcPr>
                <w:p w14:paraId="4ED18D5F">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5" w:type="pct"/>
                  <w:noWrap w:val="0"/>
                  <w:tcMar>
                    <w:left w:w="0" w:type="dxa"/>
                    <w:right w:w="0" w:type="dxa"/>
                  </w:tcMar>
                  <w:vAlign w:val="center"/>
                </w:tcPr>
                <w:p w14:paraId="5D8D1C01">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596" w:type="pct"/>
                  <w:noWrap w:val="0"/>
                  <w:tcMar>
                    <w:left w:w="0" w:type="dxa"/>
                    <w:right w:w="0" w:type="dxa"/>
                  </w:tcMar>
                  <w:vAlign w:val="center"/>
                </w:tcPr>
                <w:p w14:paraId="2B03A676">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14A8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 w:type="pct"/>
                  <w:noWrap w:val="0"/>
                  <w:tcMar>
                    <w:left w:w="0" w:type="dxa"/>
                    <w:right w:w="0" w:type="dxa"/>
                  </w:tcMar>
                  <w:vAlign w:val="center"/>
                </w:tcPr>
                <w:p w14:paraId="7DE39062">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327" w:type="pct"/>
                  <w:noWrap w:val="0"/>
                  <w:tcMar>
                    <w:left w:w="0" w:type="dxa"/>
                    <w:right w:w="0" w:type="dxa"/>
                  </w:tcMar>
                  <w:vAlign w:val="center"/>
                </w:tcPr>
                <w:p w14:paraId="70ABBA7F">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跟踪监测</w:t>
                  </w:r>
                </w:p>
              </w:tc>
              <w:tc>
                <w:tcPr>
                  <w:tcW w:w="1386" w:type="pct"/>
                  <w:noWrap w:val="0"/>
                  <w:tcMar>
                    <w:left w:w="0" w:type="dxa"/>
                    <w:right w:w="0" w:type="dxa"/>
                  </w:tcMar>
                  <w:vAlign w:val="center"/>
                </w:tcPr>
                <w:p w14:paraId="3140F8E4">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5" w:type="pct"/>
                  <w:noWrap w:val="0"/>
                  <w:tcMar>
                    <w:left w:w="0" w:type="dxa"/>
                    <w:right w:w="0" w:type="dxa"/>
                  </w:tcMar>
                  <w:vAlign w:val="center"/>
                </w:tcPr>
                <w:p w14:paraId="0FD1F50F">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96" w:type="pct"/>
                  <w:noWrap w:val="0"/>
                  <w:tcMar>
                    <w:left w:w="0" w:type="dxa"/>
                    <w:right w:w="0" w:type="dxa"/>
                  </w:tcMar>
                  <w:vAlign w:val="center"/>
                </w:tcPr>
                <w:p w14:paraId="6DE604AA">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29CF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95" w:type="pct"/>
                  <w:noWrap w:val="0"/>
                  <w:tcMar>
                    <w:left w:w="0" w:type="dxa"/>
                    <w:right w:w="0" w:type="dxa"/>
                  </w:tcMar>
                  <w:vAlign w:val="center"/>
                </w:tcPr>
                <w:p w14:paraId="1028D286">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p>
              </w:tc>
              <w:tc>
                <w:tcPr>
                  <w:tcW w:w="2327" w:type="pct"/>
                  <w:noWrap w:val="0"/>
                  <w:tcMar>
                    <w:left w:w="0" w:type="dxa"/>
                    <w:right w:w="0" w:type="dxa"/>
                  </w:tcMar>
                  <w:vAlign w:val="center"/>
                </w:tcPr>
                <w:p w14:paraId="09FC49F7">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排污口规范化建设</w:t>
                  </w:r>
                </w:p>
              </w:tc>
              <w:tc>
                <w:tcPr>
                  <w:tcW w:w="1386" w:type="pct"/>
                  <w:noWrap w:val="0"/>
                  <w:tcMar>
                    <w:left w:w="0" w:type="dxa"/>
                    <w:right w:w="0" w:type="dxa"/>
                  </w:tcMar>
                  <w:vAlign w:val="center"/>
                </w:tcPr>
                <w:p w14:paraId="7EA73AA5">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5" w:type="pct"/>
                  <w:noWrap w:val="0"/>
                  <w:tcMar>
                    <w:left w:w="0" w:type="dxa"/>
                    <w:right w:w="0" w:type="dxa"/>
                  </w:tcMar>
                  <w:vAlign w:val="center"/>
                </w:tcPr>
                <w:p w14:paraId="22FE039D">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96" w:type="pct"/>
                  <w:noWrap w:val="0"/>
                  <w:tcMar>
                    <w:left w:w="0" w:type="dxa"/>
                    <w:right w:w="0" w:type="dxa"/>
                  </w:tcMar>
                  <w:vAlign w:val="center"/>
                </w:tcPr>
                <w:p w14:paraId="5B9BA580">
                  <w:pPr>
                    <w:pStyle w:val="5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p>
              </w:tc>
            </w:tr>
            <w:tr w14:paraId="6F21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08" w:type="pct"/>
                  <w:gridSpan w:val="3"/>
                  <w:noWrap w:val="0"/>
                  <w:tcMar>
                    <w:left w:w="0" w:type="dxa"/>
                    <w:right w:w="0" w:type="dxa"/>
                  </w:tcMar>
                  <w:vAlign w:val="center"/>
                </w:tcPr>
                <w:p w14:paraId="53802150">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合计</w:t>
                  </w:r>
                </w:p>
              </w:tc>
              <w:tc>
                <w:tcPr>
                  <w:tcW w:w="395" w:type="pct"/>
                  <w:noWrap w:val="0"/>
                  <w:tcMar>
                    <w:left w:w="0" w:type="dxa"/>
                    <w:right w:w="0" w:type="dxa"/>
                  </w:tcMar>
                  <w:vAlign w:val="center"/>
                </w:tcPr>
                <w:p w14:paraId="78609059">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18.6</w:t>
                  </w:r>
                </w:p>
              </w:tc>
              <w:tc>
                <w:tcPr>
                  <w:tcW w:w="596" w:type="pct"/>
                  <w:noWrap w:val="0"/>
                  <w:tcMar>
                    <w:left w:w="0" w:type="dxa"/>
                    <w:right w:w="0" w:type="dxa"/>
                  </w:tcMar>
                  <w:vAlign w:val="center"/>
                </w:tcPr>
                <w:p w14:paraId="66D0C20E">
                  <w:pPr>
                    <w:pStyle w:val="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color w:val="000000" w:themeColor="text1"/>
                      <w:sz w:val="21"/>
                      <w:szCs w:val="21"/>
                      <w14:textFill>
                        <w14:solidFill>
                          <w14:schemeClr w14:val="tx1"/>
                        </w14:solidFill>
                      </w14:textFill>
                    </w:rPr>
                  </w:pPr>
                </w:p>
              </w:tc>
            </w:tr>
            <w:bookmarkEnd w:id="3"/>
            <w:bookmarkEnd w:id="4"/>
          </w:tbl>
          <w:p w14:paraId="75E431B3">
            <w:pPr>
              <w:keepNext w:val="0"/>
              <w:keepLines w:val="0"/>
              <w:suppressLineNumbers w:val="0"/>
              <w:tabs>
                <w:tab w:val="left" w:pos="349"/>
              </w:tabs>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8.2 例行监测</w:t>
            </w:r>
          </w:p>
          <w:p w14:paraId="4288BDAF">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本项目例行监测情况见下表。</w:t>
            </w:r>
          </w:p>
          <w:p w14:paraId="6FA7E8A4">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10</w:t>
            </w:r>
            <w:r>
              <w:rPr>
                <w:rFonts w:hint="eastAsia" w:eastAsiaTheme="minorEastAsia"/>
                <w:b/>
                <w:bCs/>
                <w:color w:val="000000" w:themeColor="text1"/>
                <w:sz w:val="21"/>
                <w:szCs w:val="21"/>
                <w:highlight w:val="none"/>
                <w14:textFill>
                  <w14:solidFill>
                    <w14:schemeClr w14:val="tx1"/>
                  </w14:solidFill>
                </w14:textFill>
              </w:rPr>
              <w:t xml:space="preserve">   本项目</w:t>
            </w:r>
            <w:r>
              <w:rPr>
                <w:rFonts w:hint="eastAsia" w:eastAsiaTheme="minorEastAsia"/>
                <w:b/>
                <w:bCs/>
                <w:color w:val="000000" w:themeColor="text1"/>
                <w:sz w:val="21"/>
                <w:szCs w:val="21"/>
                <w:highlight w:val="none"/>
                <w:lang w:val="en-US" w:eastAsia="zh-CN"/>
                <w14:textFill>
                  <w14:solidFill>
                    <w14:schemeClr w14:val="tx1"/>
                  </w14:solidFill>
                </w14:textFill>
              </w:rPr>
              <w:t>污染物例行监测情况</w:t>
            </w:r>
            <w:r>
              <w:rPr>
                <w:rFonts w:hint="default" w:eastAsiaTheme="minorEastAsia"/>
                <w:b/>
                <w:bCs/>
                <w:color w:val="000000" w:themeColor="text1"/>
                <w:sz w:val="21"/>
                <w:szCs w:val="21"/>
                <w:highlight w:val="none"/>
                <w14:textFill>
                  <w14:solidFill>
                    <w14:schemeClr w14:val="tx1"/>
                  </w14:solidFill>
                </w14:textFill>
              </w:rPr>
              <w:t>一览表</w:t>
            </w:r>
          </w:p>
          <w:tbl>
            <w:tblPr>
              <w:tblStyle w:val="28"/>
              <w:tblW w:w="49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273"/>
              <w:gridCol w:w="1553"/>
              <w:gridCol w:w="1232"/>
              <w:gridCol w:w="1074"/>
              <w:gridCol w:w="2616"/>
            </w:tblGrid>
            <w:tr w14:paraId="61A58F0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16" w:hRule="atLeast"/>
                <w:jc w:val="center"/>
              </w:trPr>
              <w:tc>
                <w:tcPr>
                  <w:tcW w:w="821" w:type="pct"/>
                  <w:vAlign w:val="center"/>
                </w:tcPr>
                <w:p w14:paraId="58D54B8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污染物名称</w:t>
                  </w:r>
                </w:p>
              </w:tc>
              <w:tc>
                <w:tcPr>
                  <w:tcW w:w="1002" w:type="pct"/>
                  <w:vAlign w:val="center"/>
                </w:tcPr>
                <w:p w14:paraId="4969C0F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监测点</w:t>
                  </w:r>
                </w:p>
              </w:tc>
              <w:tc>
                <w:tcPr>
                  <w:tcW w:w="795" w:type="pct"/>
                  <w:vAlign w:val="center"/>
                </w:tcPr>
                <w:p w14:paraId="469D622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监测项目</w:t>
                  </w:r>
                </w:p>
              </w:tc>
              <w:tc>
                <w:tcPr>
                  <w:tcW w:w="693" w:type="pct"/>
                  <w:vAlign w:val="center"/>
                </w:tcPr>
                <w:p w14:paraId="7F13DCD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监测频次</w:t>
                  </w:r>
                </w:p>
              </w:tc>
              <w:tc>
                <w:tcPr>
                  <w:tcW w:w="1688" w:type="pct"/>
                  <w:vAlign w:val="center"/>
                </w:tcPr>
                <w:p w14:paraId="76C3A5F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备注</w:t>
                  </w:r>
                </w:p>
              </w:tc>
            </w:tr>
            <w:tr w14:paraId="5557277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867" w:hRule="atLeast"/>
                <w:jc w:val="center"/>
              </w:trPr>
              <w:tc>
                <w:tcPr>
                  <w:tcW w:w="821" w:type="pct"/>
                  <w:vAlign w:val="center"/>
                </w:tcPr>
                <w:p w14:paraId="0F33648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大气污染物</w:t>
                  </w:r>
                </w:p>
              </w:tc>
              <w:tc>
                <w:tcPr>
                  <w:tcW w:w="1002" w:type="pct"/>
                  <w:vAlign w:val="center"/>
                </w:tcPr>
                <w:p w14:paraId="2263838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w:t>
                  </w:r>
                  <w:r>
                    <w:rPr>
                      <w:rFonts w:hint="eastAsia" w:ascii="Times New Roman" w:hAnsi="Times New Roman"/>
                      <w:color w:val="000000" w:themeColor="text1"/>
                      <w:sz w:val="21"/>
                      <w:szCs w:val="21"/>
                      <w:highlight w:val="none"/>
                      <w14:textFill>
                        <w14:solidFill>
                          <w14:schemeClr w14:val="tx1"/>
                        </w14:solidFill>
                      </w14:textFill>
                    </w:rPr>
                    <w:t>上风向1个背景点，下风向3个监测点</w:t>
                  </w:r>
                </w:p>
              </w:tc>
              <w:tc>
                <w:tcPr>
                  <w:tcW w:w="795" w:type="pct"/>
                  <w:vAlign w:val="center"/>
                </w:tcPr>
                <w:p w14:paraId="607CA91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lang w:val="en-US"/>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颗粒物、硫化氢</w:t>
                  </w:r>
                </w:p>
              </w:tc>
              <w:tc>
                <w:tcPr>
                  <w:tcW w:w="693" w:type="pct"/>
                  <w:vAlign w:val="center"/>
                </w:tcPr>
                <w:p w14:paraId="76C68321">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val="en-US"/>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季度</w:t>
                  </w:r>
                </w:p>
              </w:tc>
              <w:tc>
                <w:tcPr>
                  <w:tcW w:w="1688" w:type="pct"/>
                  <w:vAlign w:val="center"/>
                </w:tcPr>
                <w:p w14:paraId="083C3CA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val="en-US" w:eastAsia="zh-CN"/>
                      <w14:textFill>
                        <w14:solidFill>
                          <w14:schemeClr w14:val="tx1"/>
                        </w14:solidFill>
                      </w14:textFill>
                    </w:rPr>
                    <w:t>《炼焦化学工业污染物排放标准》(GB16171-2012)中表7现有和新建炼焦炉炉顶及企业边界大气污染物浓度限值</w:t>
                  </w:r>
                </w:p>
              </w:tc>
            </w:tr>
            <w:tr w14:paraId="60675C2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867" w:hRule="atLeast"/>
                <w:jc w:val="center"/>
              </w:trPr>
              <w:tc>
                <w:tcPr>
                  <w:tcW w:w="821" w:type="pct"/>
                  <w:vAlign w:val="center"/>
                </w:tcPr>
                <w:p w14:paraId="49C11C5D">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噪声</w:t>
                  </w:r>
                </w:p>
              </w:tc>
              <w:tc>
                <w:tcPr>
                  <w:tcW w:w="1002" w:type="pct"/>
                  <w:vAlign w:val="center"/>
                </w:tcPr>
                <w:p w14:paraId="73FE3EA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厂界</w:t>
                  </w:r>
                </w:p>
                <w:p w14:paraId="2DA36E2C">
                  <w:pPr>
                    <w:pStyle w:val="2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四周</w:t>
                  </w:r>
                </w:p>
              </w:tc>
              <w:tc>
                <w:tcPr>
                  <w:tcW w:w="795" w:type="pct"/>
                  <w:vAlign w:val="center"/>
                </w:tcPr>
                <w:p w14:paraId="271E627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等效</w:t>
                  </w:r>
                </w:p>
                <w:p w14:paraId="55D985A7">
                  <w:pPr>
                    <w:pStyle w:val="2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A声级</w:t>
                  </w:r>
                </w:p>
              </w:tc>
              <w:tc>
                <w:tcPr>
                  <w:tcW w:w="693" w:type="pct"/>
                  <w:vAlign w:val="center"/>
                </w:tcPr>
                <w:p w14:paraId="6FE3E95C">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1次/季度</w:t>
                  </w:r>
                </w:p>
              </w:tc>
              <w:tc>
                <w:tcPr>
                  <w:tcW w:w="1688" w:type="pct"/>
                  <w:vAlign w:val="center"/>
                </w:tcPr>
                <w:p w14:paraId="7F8082A8">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《工业企业厂界环境噪声排放标准》（GB12348-2008）3类标准要求</w:t>
                  </w:r>
                </w:p>
              </w:tc>
            </w:tr>
            <w:tr w14:paraId="5FF127E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867" w:hRule="atLeast"/>
                <w:jc w:val="center"/>
              </w:trPr>
              <w:tc>
                <w:tcPr>
                  <w:tcW w:w="821" w:type="pct"/>
                  <w:vAlign w:val="center"/>
                </w:tcPr>
                <w:p w14:paraId="45437AEB">
                  <w:pPr>
                    <w:pStyle w:val="2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地下水</w:t>
                  </w:r>
                </w:p>
              </w:tc>
              <w:tc>
                <w:tcPr>
                  <w:tcW w:w="1002" w:type="pct"/>
                  <w:vAlign w:val="center"/>
                </w:tcPr>
                <w:p w14:paraId="77055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S（下游）</w:t>
                  </w:r>
                </w:p>
              </w:tc>
              <w:tc>
                <w:tcPr>
                  <w:tcW w:w="795" w:type="pct"/>
                  <w:vAlign w:val="center"/>
                </w:tcPr>
                <w:p w14:paraId="5170A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pH、总硬度、溶解性总固体、硫酸盐、氯化物、铁、铜、锌、挥发酚、高锰酸盐指数、硝酸盐、亚硝酸盐、氨氮、氟化物、氰化物、汞、砷、镉、六价铬、铅、镍、硫化物、总铬、多环芳烃、苯、甲苯、二甲苯等</w:t>
                  </w:r>
                </w:p>
              </w:tc>
              <w:tc>
                <w:tcPr>
                  <w:tcW w:w="693" w:type="pct"/>
                  <w:vAlign w:val="center"/>
                </w:tcPr>
                <w:p w14:paraId="24D83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1次/年</w:t>
                  </w:r>
                </w:p>
              </w:tc>
              <w:tc>
                <w:tcPr>
                  <w:tcW w:w="1688" w:type="pct"/>
                  <w:vAlign w:val="center"/>
                </w:tcPr>
                <w:p w14:paraId="41B8DF42">
                  <w:pPr>
                    <w:pStyle w:val="2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《地下水质量标准》 (GB/T14848- 2017)Ⅲ类标准限值</w:t>
                  </w:r>
                </w:p>
              </w:tc>
            </w:tr>
            <w:tr w14:paraId="7C95F6B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867" w:hRule="atLeast"/>
                <w:jc w:val="center"/>
              </w:trPr>
              <w:tc>
                <w:tcPr>
                  <w:tcW w:w="821" w:type="pct"/>
                  <w:vAlign w:val="center"/>
                </w:tcPr>
                <w:p w14:paraId="3D2450C1">
                  <w:pPr>
                    <w:pStyle w:val="2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土壤</w:t>
                  </w:r>
                </w:p>
              </w:tc>
              <w:tc>
                <w:tcPr>
                  <w:tcW w:w="1002" w:type="pct"/>
                  <w:vAlign w:val="center"/>
                </w:tcPr>
                <w:p w14:paraId="6C105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S（下游）</w:t>
                  </w:r>
                </w:p>
              </w:tc>
              <w:tc>
                <w:tcPr>
                  <w:tcW w:w="795" w:type="pct"/>
                  <w:vAlign w:val="center"/>
                </w:tcPr>
                <w:p w14:paraId="174CB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pH、阳离子交换量、镉、汞、砷、铜、铅、铬、锌、镍、多环芳烃、苯、甲苯、二甲苯等</w:t>
                  </w:r>
                </w:p>
              </w:tc>
              <w:tc>
                <w:tcPr>
                  <w:tcW w:w="693" w:type="pct"/>
                  <w:vAlign w:val="center"/>
                </w:tcPr>
                <w:p w14:paraId="1887D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1次/年</w:t>
                  </w:r>
                </w:p>
              </w:tc>
              <w:tc>
                <w:tcPr>
                  <w:tcW w:w="1688" w:type="pct"/>
                  <w:vAlign w:val="center"/>
                </w:tcPr>
                <w:p w14:paraId="325DBF42">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《土壤环境质量 建设用地土壤污染风险管控标准（试行）》（GB36600-2018）第二类用地筛选值</w:t>
                  </w:r>
                </w:p>
              </w:tc>
            </w:tr>
          </w:tbl>
          <w:p w14:paraId="21B60ED7">
            <w:pPr>
              <w:keepNext w:val="0"/>
              <w:keepLines w:val="0"/>
              <w:suppressLineNumbers w:val="0"/>
              <w:tabs>
                <w:tab w:val="left" w:pos="349"/>
              </w:tabs>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8.3 竣工环保验收</w:t>
            </w:r>
          </w:p>
          <w:p w14:paraId="291A2708">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本项目竣工环保验收情况见下表。</w:t>
            </w:r>
          </w:p>
          <w:p w14:paraId="54D86B27">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表4-</w:t>
            </w:r>
            <w:r>
              <w:rPr>
                <w:rFonts w:hint="eastAsia" w:eastAsiaTheme="minorEastAsia"/>
                <w:b/>
                <w:bCs/>
                <w:color w:val="000000" w:themeColor="text1"/>
                <w:sz w:val="21"/>
                <w:szCs w:val="21"/>
                <w:highlight w:val="none"/>
                <w:lang w:val="en-US" w:eastAsia="zh-CN"/>
                <w14:textFill>
                  <w14:solidFill>
                    <w14:schemeClr w14:val="tx1"/>
                  </w14:solidFill>
                </w14:textFill>
              </w:rPr>
              <w:t>11</w:t>
            </w:r>
            <w:r>
              <w:rPr>
                <w:rFonts w:hint="eastAsia" w:eastAsiaTheme="minorEastAsia"/>
                <w:b/>
                <w:bCs/>
                <w:color w:val="000000" w:themeColor="text1"/>
                <w:sz w:val="21"/>
                <w:szCs w:val="21"/>
                <w:highlight w:val="none"/>
                <w14:textFill>
                  <w14:solidFill>
                    <w14:schemeClr w14:val="tx1"/>
                  </w14:solidFill>
                </w14:textFill>
              </w:rPr>
              <w:t xml:space="preserve">   本项目</w:t>
            </w:r>
            <w:r>
              <w:rPr>
                <w:rFonts w:hint="eastAsia" w:eastAsiaTheme="minorEastAsia"/>
                <w:b/>
                <w:bCs/>
                <w:color w:val="000000" w:themeColor="text1"/>
                <w:sz w:val="21"/>
                <w:szCs w:val="21"/>
                <w:highlight w:val="none"/>
                <w:lang w:val="en-US" w:eastAsia="zh-CN"/>
                <w14:textFill>
                  <w14:solidFill>
                    <w14:schemeClr w14:val="tx1"/>
                  </w14:solidFill>
                </w14:textFill>
              </w:rPr>
              <w:t>竣工环保验收情况</w:t>
            </w:r>
            <w:r>
              <w:rPr>
                <w:rFonts w:hint="default" w:eastAsiaTheme="minorEastAsia"/>
                <w:b/>
                <w:bCs/>
                <w:color w:val="000000" w:themeColor="text1"/>
                <w:sz w:val="21"/>
                <w:szCs w:val="21"/>
                <w:highlight w:val="none"/>
                <w14:textFill>
                  <w14:solidFill>
                    <w14:schemeClr w14:val="tx1"/>
                  </w14:solidFill>
                </w14:textFill>
              </w:rPr>
              <w:t>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1440"/>
              <w:gridCol w:w="2419"/>
              <w:gridCol w:w="1776"/>
              <w:gridCol w:w="1926"/>
            </w:tblGrid>
            <w:tr w14:paraId="46D7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37" w:type="pct"/>
                  <w:gridSpan w:val="2"/>
                  <w:noWrap w:val="0"/>
                  <w:vAlign w:val="center"/>
                </w:tcPr>
                <w:p w14:paraId="5C9C956D">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类 别</w:t>
                  </w:r>
                </w:p>
              </w:tc>
              <w:tc>
                <w:tcPr>
                  <w:tcW w:w="1526" w:type="pct"/>
                  <w:noWrap w:val="0"/>
                  <w:vAlign w:val="center"/>
                </w:tcPr>
                <w:p w14:paraId="0A3D5EE3">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治理措施</w:t>
                  </w:r>
                </w:p>
              </w:tc>
              <w:tc>
                <w:tcPr>
                  <w:tcW w:w="1120" w:type="pct"/>
                  <w:noWrap w:val="0"/>
                  <w:vAlign w:val="center"/>
                </w:tcPr>
                <w:p w14:paraId="37A02B96">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验收内容</w:t>
                  </w:r>
                </w:p>
              </w:tc>
              <w:tc>
                <w:tcPr>
                  <w:tcW w:w="1215" w:type="pct"/>
                  <w:noWrap w:val="0"/>
                  <w:vAlign w:val="center"/>
                </w:tcPr>
                <w:p w14:paraId="30E40F5B">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验收标准</w:t>
                  </w:r>
                </w:p>
              </w:tc>
            </w:tr>
            <w:tr w14:paraId="4BF6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 w:type="pct"/>
                  <w:noWrap w:val="0"/>
                  <w:vAlign w:val="center"/>
                </w:tcPr>
                <w:p w14:paraId="7A47EC1D">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w:t>
                  </w:r>
                </w:p>
                <w:p w14:paraId="44E728F8">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气</w:t>
                  </w:r>
                </w:p>
              </w:tc>
              <w:tc>
                <w:tcPr>
                  <w:tcW w:w="908" w:type="pct"/>
                  <w:noWrap w:val="0"/>
                  <w:vAlign w:val="center"/>
                </w:tcPr>
                <w:p w14:paraId="12F13D2C">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硫磺装卸粉尘及微量硫化氢</w:t>
                  </w:r>
                </w:p>
              </w:tc>
              <w:tc>
                <w:tcPr>
                  <w:tcW w:w="1526" w:type="pct"/>
                  <w:noWrap w:val="0"/>
                  <w:vAlign w:val="center"/>
                </w:tcPr>
                <w:p w14:paraId="4DC93B59">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封闭车间，加设2台轴流风机</w:t>
                  </w:r>
                </w:p>
              </w:tc>
              <w:tc>
                <w:tcPr>
                  <w:tcW w:w="1120" w:type="pct"/>
                  <w:noWrap w:val="0"/>
                  <w:vAlign w:val="center"/>
                </w:tcPr>
                <w:p w14:paraId="45ECCB8C">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封闭车间，加设2台轴流风机</w:t>
                  </w:r>
                </w:p>
              </w:tc>
              <w:tc>
                <w:tcPr>
                  <w:tcW w:w="1215" w:type="pct"/>
                  <w:noWrap w:val="0"/>
                  <w:vAlign w:val="center"/>
                </w:tcPr>
                <w:p w14:paraId="0485C93A">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68" w:leftChars="-70" w:right="-168" w:rightChars="-70" w:firstLine="0" w:firstLineChars="0"/>
                    <w:jc w:val="center"/>
                    <w:textAlignment w:val="auto"/>
                    <w:rPr>
                      <w:rFonts w:hint="default"/>
                      <w:color w:val="000000" w:themeColor="text1"/>
                      <w:sz w:val="21"/>
                      <w:szCs w:val="21"/>
                      <w14:textFill>
                        <w14:solidFill>
                          <w14:schemeClr w14:val="tx1"/>
                        </w14:solidFill>
                      </w14:textFill>
                    </w:rPr>
                  </w:pPr>
                  <w:r>
                    <w:rPr>
                      <w:rFonts w:hint="default" w:ascii="Times New Roman" w:hAnsi="Times New Roman"/>
                      <w:color w:val="000000" w:themeColor="text1"/>
                      <w:sz w:val="21"/>
                      <w:szCs w:val="21"/>
                      <w:highlight w:val="none"/>
                      <w:lang w:val="en-US" w:eastAsia="zh-CN"/>
                      <w14:textFill>
                        <w14:solidFill>
                          <w14:schemeClr w14:val="tx1"/>
                        </w14:solidFill>
                      </w14:textFill>
                    </w:rPr>
                    <w:t>《炼焦化学工业污染物排放标准》(GB16171-2012)中表7现有和新建炼焦炉炉顶及企业边界大气污染物浓度限值</w:t>
                  </w:r>
                </w:p>
              </w:tc>
            </w:tr>
            <w:tr w14:paraId="126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29" w:type="pct"/>
                  <w:noWrap w:val="0"/>
                  <w:vAlign w:val="center"/>
                </w:tcPr>
                <w:p w14:paraId="4F7E5526">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噪</w:t>
                  </w:r>
                </w:p>
                <w:p w14:paraId="12A993E2">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声</w:t>
                  </w:r>
                </w:p>
              </w:tc>
              <w:tc>
                <w:tcPr>
                  <w:tcW w:w="908" w:type="pct"/>
                  <w:noWrap w:val="0"/>
                  <w:vAlign w:val="center"/>
                </w:tcPr>
                <w:p w14:paraId="4BF7E800">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生产设备</w:t>
                  </w:r>
                </w:p>
              </w:tc>
              <w:tc>
                <w:tcPr>
                  <w:tcW w:w="1526" w:type="pct"/>
                  <w:noWrap w:val="0"/>
                  <w:vAlign w:val="center"/>
                </w:tcPr>
                <w:p w14:paraId="04D128CB">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低噪音设备</w:t>
                  </w:r>
                </w:p>
              </w:tc>
              <w:tc>
                <w:tcPr>
                  <w:tcW w:w="1120" w:type="pct"/>
                  <w:noWrap w:val="0"/>
                  <w:vAlign w:val="center"/>
                </w:tcPr>
                <w:p w14:paraId="1948C88D">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215" w:type="pct"/>
                  <w:noWrap w:val="0"/>
                  <w:vAlign w:val="center"/>
                </w:tcPr>
                <w:p w14:paraId="0D67C2D8">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68" w:leftChars="-70" w:right="-168" w:rightChars="-7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14:textFill>
                        <w14:solidFill>
                          <w14:schemeClr w14:val="tx1"/>
                        </w14:solidFill>
                      </w14:textFill>
                    </w:rPr>
                    <w:t>3类</w:t>
                  </w:r>
                </w:p>
              </w:tc>
            </w:tr>
            <w:tr w14:paraId="5937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gridSpan w:val="2"/>
                  <w:noWrap w:val="0"/>
                  <w:vAlign w:val="center"/>
                </w:tcPr>
                <w:p w14:paraId="7177B03E">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环境风险</w:t>
                  </w:r>
                </w:p>
              </w:tc>
              <w:tc>
                <w:tcPr>
                  <w:tcW w:w="2647" w:type="pct"/>
                  <w:gridSpan w:val="2"/>
                  <w:noWrap w:val="0"/>
                  <w:vAlign w:val="center"/>
                </w:tcPr>
                <w:p w14:paraId="0D114DED">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事故池</w:t>
                  </w:r>
                  <w:r>
                    <w:rPr>
                      <w:rFonts w:hint="eastAsia"/>
                      <w:color w:val="000000" w:themeColor="text1"/>
                      <w:sz w:val="21"/>
                      <w:szCs w:val="21"/>
                      <w:lang w:val="en-US" w:eastAsia="zh-CN"/>
                      <w14:textFill>
                        <w14:solidFill>
                          <w14:schemeClr w14:val="tx1"/>
                        </w14:solidFill>
                      </w14:textFill>
                    </w:rPr>
                    <w:t>1</w:t>
                  </w:r>
                  <w:r>
                    <w:rPr>
                      <w:rFonts w:hint="default"/>
                      <w:color w:val="000000" w:themeColor="text1"/>
                      <w:sz w:val="21"/>
                      <w:szCs w:val="21"/>
                      <w14:textFill>
                        <w14:solidFill>
                          <w14:schemeClr w14:val="tx1"/>
                        </w14:solidFill>
                      </w14:textFill>
                    </w:rPr>
                    <w:t>座，</w:t>
                  </w:r>
                  <w:r>
                    <w:rPr>
                      <w:rFonts w:hint="eastAsia"/>
                      <w:color w:val="000000" w:themeColor="text1"/>
                      <w:sz w:val="21"/>
                      <w:szCs w:val="21"/>
                      <w14:textFill>
                        <w14:solidFill>
                          <w14:schemeClr w14:val="tx1"/>
                        </w14:solidFill>
                      </w14:textFill>
                    </w:rPr>
                    <w:t>总</w:t>
                  </w:r>
                  <w:r>
                    <w:rPr>
                      <w:rFonts w:hint="default"/>
                      <w:color w:val="000000" w:themeColor="text1"/>
                      <w:sz w:val="21"/>
                      <w:szCs w:val="21"/>
                      <w14:textFill>
                        <w14:solidFill>
                          <w14:schemeClr w14:val="tx1"/>
                        </w14:solidFill>
                      </w14:textFill>
                    </w:rPr>
                    <w:t>容积</w:t>
                  </w:r>
                  <w:r>
                    <w:rPr>
                      <w:rFonts w:hint="eastAsia"/>
                      <w:color w:val="000000" w:themeColor="text1"/>
                      <w:sz w:val="21"/>
                      <w:szCs w:val="21"/>
                      <w:lang w:val="en-US" w:eastAsia="zh-CN"/>
                      <w14:textFill>
                        <w14:solidFill>
                          <w14:schemeClr w14:val="tx1"/>
                        </w14:solidFill>
                      </w14:textFill>
                    </w:rPr>
                    <w:t>0.62</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风险防范措施及应急预案备案</w:t>
                  </w:r>
                </w:p>
              </w:tc>
              <w:tc>
                <w:tcPr>
                  <w:tcW w:w="1215" w:type="pct"/>
                  <w:noWrap w:val="0"/>
                  <w:vAlign w:val="center"/>
                </w:tcPr>
                <w:p w14:paraId="6C52E654">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降低环境风险</w:t>
                  </w:r>
                </w:p>
              </w:tc>
            </w:tr>
            <w:tr w14:paraId="08B9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gridSpan w:val="2"/>
                  <w:noWrap w:val="0"/>
                  <w:vAlign w:val="center"/>
                </w:tcPr>
                <w:p w14:paraId="6F6D2D9B">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防渗工程</w:t>
                  </w:r>
                </w:p>
              </w:tc>
              <w:tc>
                <w:tcPr>
                  <w:tcW w:w="2647" w:type="pct"/>
                  <w:gridSpan w:val="2"/>
                  <w:noWrap w:val="0"/>
                  <w:vAlign w:val="center"/>
                </w:tcPr>
                <w:p w14:paraId="49D149E5">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设置</w:t>
                  </w:r>
                  <w:r>
                    <w:rPr>
                      <w:rFonts w:hint="eastAsia"/>
                      <w:color w:val="000000" w:themeColor="text1"/>
                      <w:sz w:val="21"/>
                      <w:szCs w:val="21"/>
                      <w:highlight w:val="none"/>
                      <w14:textFill>
                        <w14:solidFill>
                          <w14:schemeClr w14:val="tx1"/>
                        </w14:solidFill>
                      </w14:textFill>
                    </w:rPr>
                    <w:t>防溢流门槛</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vertAlign w:val="baseline"/>
                      <w:lang w:val="en-US" w:eastAsia="zh-CN"/>
                      <w14:textFill>
                        <w14:solidFill>
                          <w14:schemeClr w14:val="tx1"/>
                        </w14:solidFill>
                      </w14:textFill>
                    </w:rPr>
                    <w:t>乙类库地面及墙裙采用耐酸砖，主要结构如下：1、20厚花岗石板用环氧胶泥铺砌，缝宽3~；2、6~8厚环氧胶泥结合层；3、1.5厚树脂玻璃钢（隔离层）；4、20厚DS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cm/s。仓库内坡度整体从北向南有1%的坡度设计，并在东侧、西侧及南侧布设导流槽，深度为0.2m，并在仓库东南角设有一个事故池，事故池容积为0.64m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vertAlign w:val="baseline"/>
                      <w:lang w:val="en-US" w:eastAsia="zh-CN"/>
                      <w14:textFill>
                        <w14:solidFill>
                          <w14:schemeClr w14:val="tx1"/>
                        </w14:solidFill>
                      </w14:textFill>
                    </w:rPr>
                    <w:t>（0.8m×0.8m×1m），用于收集事故状态下的废液。导流渠及事故池建设范围采用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采用上述措施后，渗透系数＜10</w:t>
                  </w:r>
                  <w:r>
                    <w:rPr>
                      <w:rFonts w:hint="eastAsia"/>
                      <w:color w:val="000000" w:themeColor="text1"/>
                      <w:sz w:val="21"/>
                      <w:szCs w:val="21"/>
                      <w:highlight w:val="none"/>
                      <w:vertAlign w:val="superscript"/>
                      <w:lang w:val="en-US" w:eastAsia="zh-CN"/>
                      <w14:textFill>
                        <w14:solidFill>
                          <w14:schemeClr w14:val="tx1"/>
                        </w14:solidFill>
                      </w14:textFill>
                    </w:rPr>
                    <w:t>-10</w:t>
                  </w:r>
                  <w:r>
                    <w:rPr>
                      <w:rFonts w:hint="eastAsia"/>
                      <w:color w:val="000000" w:themeColor="text1"/>
                      <w:sz w:val="21"/>
                      <w:szCs w:val="21"/>
                      <w:highlight w:val="none"/>
                      <w:vertAlign w:val="baseline"/>
                      <w:lang w:val="en-US" w:eastAsia="zh-CN"/>
                      <w14:textFill>
                        <w14:solidFill>
                          <w14:schemeClr w14:val="tx1"/>
                        </w14:solidFill>
                      </w14:textFill>
                    </w:rPr>
                    <w:t>cm/s。</w:t>
                  </w:r>
                </w:p>
              </w:tc>
              <w:tc>
                <w:tcPr>
                  <w:tcW w:w="1215" w:type="pct"/>
                  <w:noWrap w:val="0"/>
                  <w:vAlign w:val="center"/>
                </w:tcPr>
                <w:p w14:paraId="177593C2">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分区防渗</w:t>
                  </w:r>
                </w:p>
              </w:tc>
            </w:tr>
            <w:tr w14:paraId="3FAB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gridSpan w:val="2"/>
                  <w:noWrap w:val="0"/>
                  <w:vAlign w:val="center"/>
                </w:tcPr>
                <w:p w14:paraId="55E1D772">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环境监测</w:t>
                  </w:r>
                </w:p>
              </w:tc>
              <w:tc>
                <w:tcPr>
                  <w:tcW w:w="2647" w:type="pct"/>
                  <w:gridSpan w:val="2"/>
                  <w:noWrap w:val="0"/>
                  <w:vAlign w:val="center"/>
                </w:tcPr>
                <w:p w14:paraId="6C8C14E0">
                  <w:pPr>
                    <w:pStyle w:val="24"/>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按跟踪监测方案执行</w:t>
                  </w:r>
                </w:p>
              </w:tc>
              <w:tc>
                <w:tcPr>
                  <w:tcW w:w="1215" w:type="pct"/>
                  <w:noWrap w:val="0"/>
                  <w:vAlign w:val="center"/>
                </w:tcPr>
                <w:p w14:paraId="1B974C30">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6" w:leftChars="-40" w:right="-96" w:rightChars="-4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跟踪监测</w:t>
                  </w:r>
                </w:p>
              </w:tc>
            </w:tr>
          </w:tbl>
          <w:p w14:paraId="302FC068">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p>
          <w:p w14:paraId="7C91AD7D">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p>
        </w:tc>
      </w:tr>
    </w:tbl>
    <w:p w14:paraId="72E46D43">
      <w:pPr>
        <w:adjustRightInd w:val="0"/>
        <w:snapToGrid w:val="0"/>
        <w:ind w:firstLine="562"/>
        <w:rPr>
          <w:rFonts w:ascii="宋体" w:cs="宋体"/>
          <w:b/>
          <w:color w:val="000000" w:themeColor="text1"/>
          <w:kern w:val="0"/>
          <w:sz w:val="28"/>
          <w:szCs w:val="28"/>
          <w:highlight w:val="none"/>
          <w14:textFill>
            <w14:solidFill>
              <w14:schemeClr w14:val="tx1"/>
            </w14:solidFill>
          </w14:textFill>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0480FB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5"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5"/>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885"/>
        <w:gridCol w:w="1570"/>
        <w:gridCol w:w="1659"/>
        <w:gridCol w:w="2060"/>
      </w:tblGrid>
      <w:tr w14:paraId="45A2E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6" w:type="dxa"/>
            <w:tcBorders>
              <w:tl2br w:val="single" w:color="auto" w:sz="4" w:space="0"/>
            </w:tcBorders>
            <w:noWrap/>
          </w:tcPr>
          <w:p w14:paraId="5F0B5955">
            <w:pPr>
              <w:keepNext w:val="0"/>
              <w:keepLines w:val="0"/>
              <w:suppressLineNumbers w:val="0"/>
              <w:adjustRightInd w:val="0"/>
              <w:snapToGrid w:val="0"/>
              <w:spacing w:before="0" w:beforeAutospacing="0" w:after="0" w:afterAutospacing="0" w:line="240" w:lineRule="auto"/>
              <w:ind w:left="0" w:right="0" w:firstLine="720" w:firstLineChars="30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内容</w:t>
            </w:r>
          </w:p>
          <w:p w14:paraId="115CD383">
            <w:pPr>
              <w:keepNext w:val="0"/>
              <w:keepLines w:val="0"/>
              <w:suppressLineNumbers w:val="0"/>
              <w:adjustRightInd w:val="0"/>
              <w:snapToGrid w:val="0"/>
              <w:spacing w:before="0" w:beforeAutospacing="0" w:after="0" w:afterAutospacing="0" w:line="240" w:lineRule="auto"/>
              <w:ind w:left="0" w:right="0" w:firstLine="0" w:firstLineChars="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要素</w:t>
            </w:r>
          </w:p>
        </w:tc>
        <w:tc>
          <w:tcPr>
            <w:tcW w:w="1885" w:type="dxa"/>
            <w:noWrap/>
            <w:vAlign w:val="center"/>
          </w:tcPr>
          <w:p w14:paraId="57DA7C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排放口(编号、</w:t>
            </w:r>
          </w:p>
          <w:p w14:paraId="4B0470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名称)/污染源</w:t>
            </w:r>
          </w:p>
        </w:tc>
        <w:tc>
          <w:tcPr>
            <w:tcW w:w="1570" w:type="dxa"/>
            <w:noWrap/>
            <w:vAlign w:val="center"/>
          </w:tcPr>
          <w:p w14:paraId="7B22FFB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污染物项目</w:t>
            </w:r>
          </w:p>
        </w:tc>
        <w:tc>
          <w:tcPr>
            <w:tcW w:w="1659" w:type="dxa"/>
            <w:noWrap/>
            <w:vAlign w:val="center"/>
          </w:tcPr>
          <w:p w14:paraId="4B97519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环境保护措施</w:t>
            </w:r>
          </w:p>
        </w:tc>
        <w:tc>
          <w:tcPr>
            <w:tcW w:w="2060" w:type="dxa"/>
            <w:noWrap/>
            <w:vAlign w:val="center"/>
          </w:tcPr>
          <w:p w14:paraId="04314FF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执行标准</w:t>
            </w:r>
          </w:p>
        </w:tc>
      </w:tr>
      <w:tr w14:paraId="02B50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6" w:type="dxa"/>
            <w:noWrap/>
            <w:vAlign w:val="center"/>
          </w:tcPr>
          <w:p w14:paraId="33FC36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大气环境</w:t>
            </w:r>
          </w:p>
        </w:tc>
        <w:tc>
          <w:tcPr>
            <w:tcW w:w="1885" w:type="dxa"/>
            <w:noWrap/>
            <w:vAlign w:val="center"/>
          </w:tcPr>
          <w:p w14:paraId="285A66D6">
            <w:pPr>
              <w:pStyle w:val="11"/>
              <w:keepNext w:val="0"/>
              <w:keepLines w:val="0"/>
              <w:suppressLineNumbers w:val="0"/>
              <w:spacing w:before="0" w:beforeAutospacing="0" w:after="0" w:afterAutospacing="0" w:line="240" w:lineRule="auto"/>
              <w:ind w:left="0" w:leftChars="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乙类库</w:t>
            </w:r>
          </w:p>
        </w:tc>
        <w:tc>
          <w:tcPr>
            <w:tcW w:w="1570" w:type="dxa"/>
            <w:noWrap/>
            <w:vAlign w:val="center"/>
          </w:tcPr>
          <w:p w14:paraId="1BCB339F">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颗粒物、硫化氢</w:t>
            </w:r>
          </w:p>
        </w:tc>
        <w:tc>
          <w:tcPr>
            <w:tcW w:w="1659" w:type="dxa"/>
            <w:noWrap/>
            <w:vAlign w:val="center"/>
          </w:tcPr>
          <w:p w14:paraId="305222B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密闭库房</w:t>
            </w:r>
          </w:p>
        </w:tc>
        <w:tc>
          <w:tcPr>
            <w:tcW w:w="2060" w:type="dxa"/>
            <w:noWrap/>
            <w:vAlign w:val="center"/>
          </w:tcPr>
          <w:p w14:paraId="081E72F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highlight w:val="none"/>
                <w14:textFill>
                  <w14:solidFill>
                    <w14:schemeClr w14:val="tx1"/>
                  </w14:solidFill>
                </w14:textFill>
              </w:rPr>
              <w:t>《炼焦化学工业污染物排放标准》(GB16171-2012)中表7现有和新建炼焦炉炉顶及企业边界大气污染物浓度限值</w:t>
            </w:r>
          </w:p>
        </w:tc>
      </w:tr>
      <w:tr w14:paraId="0796E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26" w:type="dxa"/>
            <w:noWrap/>
            <w:vAlign w:val="center"/>
          </w:tcPr>
          <w:p w14:paraId="4D913DB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地表水环境</w:t>
            </w:r>
          </w:p>
        </w:tc>
        <w:tc>
          <w:tcPr>
            <w:tcW w:w="1885" w:type="dxa"/>
            <w:noWrap/>
            <w:vAlign w:val="center"/>
          </w:tcPr>
          <w:p w14:paraId="22A4F81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w:t>
            </w:r>
          </w:p>
        </w:tc>
        <w:tc>
          <w:tcPr>
            <w:tcW w:w="1570" w:type="dxa"/>
            <w:noWrap/>
            <w:vAlign w:val="center"/>
          </w:tcPr>
          <w:p w14:paraId="11F162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Style w:val="33"/>
                <w:rFonts w:hint="eastAsia"/>
                <w:color w:val="000000" w:themeColor="text1"/>
                <w:highlight w:val="none"/>
                <w14:textFill>
                  <w14:solidFill>
                    <w14:schemeClr w14:val="tx1"/>
                  </w14:solidFill>
                </w14:textFill>
              </w:rPr>
              <w:t>/</w:t>
            </w:r>
          </w:p>
        </w:tc>
        <w:tc>
          <w:tcPr>
            <w:tcW w:w="1659" w:type="dxa"/>
            <w:noWrap/>
            <w:vAlign w:val="center"/>
          </w:tcPr>
          <w:p w14:paraId="7655AB4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060" w:type="dxa"/>
            <w:noWrap/>
            <w:vAlign w:val="center"/>
          </w:tcPr>
          <w:p w14:paraId="12E9CBD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w:t>
            </w:r>
          </w:p>
        </w:tc>
      </w:tr>
      <w:tr w14:paraId="79246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626" w:type="dxa"/>
            <w:noWrap/>
            <w:vAlign w:val="center"/>
          </w:tcPr>
          <w:p w14:paraId="4C10303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声环境</w:t>
            </w:r>
          </w:p>
        </w:tc>
        <w:tc>
          <w:tcPr>
            <w:tcW w:w="1885" w:type="dxa"/>
            <w:noWrap/>
            <w:vAlign w:val="center"/>
          </w:tcPr>
          <w:p w14:paraId="63D2E6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设备运转</w:t>
            </w:r>
          </w:p>
        </w:tc>
        <w:tc>
          <w:tcPr>
            <w:tcW w:w="1570" w:type="dxa"/>
            <w:noWrap/>
            <w:vAlign w:val="center"/>
          </w:tcPr>
          <w:p w14:paraId="3B33CC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噪声</w:t>
            </w:r>
          </w:p>
        </w:tc>
        <w:tc>
          <w:tcPr>
            <w:tcW w:w="1659" w:type="dxa"/>
            <w:noWrap/>
            <w:vAlign w:val="center"/>
          </w:tcPr>
          <w:p w14:paraId="640FF24F">
            <w:pPr>
              <w:keepNext w:val="0"/>
              <w:keepLines w:val="0"/>
              <w:suppressLineNumbers w:val="0"/>
              <w:spacing w:before="0" w:beforeAutospacing="0" w:after="0" w:afterAutospacing="0" w:line="240" w:lineRule="auto"/>
              <w:ind w:left="0" w:right="0" w:firstLine="0" w:firstLineChars="0"/>
              <w:jc w:val="center"/>
              <w:rPr>
                <w:rFonts w:hint="default"/>
                <w:bCs/>
                <w:color w:val="000000" w:themeColor="text1"/>
                <w:szCs w:val="21"/>
                <w:highlight w:val="none"/>
                <w:lang w:val="en-US"/>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低噪声设备、距离衰减</w:t>
            </w:r>
          </w:p>
        </w:tc>
        <w:tc>
          <w:tcPr>
            <w:tcW w:w="2060" w:type="dxa"/>
            <w:noWrap/>
            <w:vAlign w:val="center"/>
          </w:tcPr>
          <w:p w14:paraId="169BE47E">
            <w:pPr>
              <w:keepNext w:val="0"/>
              <w:keepLines w:val="0"/>
              <w:suppressLineNumbers w:val="0"/>
              <w:spacing w:before="0" w:beforeAutospacing="0" w:after="0" w:afterAutospacing="0" w:line="240" w:lineRule="auto"/>
              <w:ind w:left="0" w:right="0" w:firstLine="0" w:firstLineChars="0"/>
              <w:jc w:val="center"/>
              <w:rPr>
                <w:rFonts w:hint="default"/>
                <w:bCs/>
                <w:color w:val="000000" w:themeColor="text1"/>
                <w:szCs w:val="21"/>
                <w:highlight w:val="none"/>
                <w14:textFill>
                  <w14:solidFill>
                    <w14:schemeClr w14:val="tx1"/>
                  </w14:solidFill>
                </w14:textFill>
              </w:rPr>
            </w:pPr>
            <w:r>
              <w:rPr>
                <w:rFonts w:hint="default"/>
                <w:bCs/>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工业企业厂界环境噪声排放标准</w:t>
            </w:r>
            <w:r>
              <w:rPr>
                <w:rFonts w:hint="default"/>
                <w:bCs/>
                <w:color w:val="000000" w:themeColor="text1"/>
                <w:highlight w:val="none"/>
                <w14:textFill>
                  <w14:solidFill>
                    <w14:schemeClr w14:val="tx1"/>
                  </w14:solidFill>
                </w14:textFill>
              </w:rPr>
              <w:t>》（GB12348-2008）中3类限值标准</w:t>
            </w:r>
          </w:p>
        </w:tc>
      </w:tr>
      <w:tr w14:paraId="1A0CC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626" w:type="dxa"/>
            <w:noWrap/>
            <w:vAlign w:val="center"/>
          </w:tcPr>
          <w:p w14:paraId="2A0B611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固体废物</w:t>
            </w:r>
          </w:p>
        </w:tc>
        <w:tc>
          <w:tcPr>
            <w:tcW w:w="7174" w:type="dxa"/>
            <w:gridSpan w:val="4"/>
            <w:noWrap/>
            <w:vAlign w:val="center"/>
          </w:tcPr>
          <w:p w14:paraId="0427766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本项目不产生固废。</w:t>
            </w:r>
          </w:p>
        </w:tc>
      </w:tr>
      <w:tr w14:paraId="44E19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26" w:type="dxa"/>
            <w:noWrap/>
            <w:vAlign w:val="center"/>
          </w:tcPr>
          <w:p w14:paraId="367C22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土壤及地下水</w:t>
            </w:r>
          </w:p>
          <w:p w14:paraId="30D33D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污染防治措施</w:t>
            </w:r>
          </w:p>
        </w:tc>
        <w:tc>
          <w:tcPr>
            <w:tcW w:w="7174" w:type="dxa"/>
            <w:gridSpan w:val="4"/>
            <w:noWrap/>
            <w:vAlign w:val="center"/>
          </w:tcPr>
          <w:p w14:paraId="6315ABE3">
            <w:pPr>
              <w:pStyle w:val="53"/>
              <w:keepNext w:val="0"/>
              <w:keepLines w:val="0"/>
              <w:suppressLineNumbers w:val="0"/>
              <w:spacing w:before="0" w:beforeAutospacing="0" w:after="0" w:afterAutospacing="0" w:line="240" w:lineRule="auto"/>
              <w:ind w:left="0" w:right="0" w:firstLine="228" w:firstLineChars="95"/>
              <w:jc w:val="center"/>
              <w:rPr>
                <w:rFonts w:hint="default"/>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设置防溢流门槛，乙类库地面采用耐酸砖，主要结构如下：1、20厚花岗石板用环氧胶泥铺砌，缝宽3~；2、6~8厚环氧胶泥结合层；3、1.5厚树脂玻璃钢（隔离层）；4、20厚DS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渗透系数≤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cm/s。</w:t>
            </w:r>
          </w:p>
        </w:tc>
      </w:tr>
      <w:tr w14:paraId="4A5E7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26" w:type="dxa"/>
            <w:noWrap/>
            <w:vAlign w:val="center"/>
          </w:tcPr>
          <w:p w14:paraId="299A7D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生态保护措施</w:t>
            </w:r>
          </w:p>
        </w:tc>
        <w:tc>
          <w:tcPr>
            <w:tcW w:w="7174" w:type="dxa"/>
            <w:gridSpan w:val="4"/>
            <w:noWrap/>
            <w:vAlign w:val="center"/>
          </w:tcPr>
          <w:p w14:paraId="0EB25136">
            <w:pPr>
              <w:pStyle w:val="10"/>
              <w:keepNext w:val="0"/>
              <w:keepLines w:val="0"/>
              <w:suppressLineNumbers w:val="0"/>
              <w:spacing w:before="0" w:beforeAutospacing="0" w:after="0" w:afterAutospacing="0" w:line="240" w:lineRule="auto"/>
              <w:ind w:left="0" w:right="0" w:firstLine="480"/>
              <w:jc w:val="center"/>
              <w:rPr>
                <w:rFonts w:hint="default"/>
                <w:color w:val="000000" w:themeColor="text1"/>
                <w:sz w:val="21"/>
                <w:szCs w:val="2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无</w:t>
            </w:r>
          </w:p>
        </w:tc>
      </w:tr>
      <w:tr w14:paraId="1C180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26" w:type="dxa"/>
            <w:noWrap/>
            <w:vAlign w:val="center"/>
          </w:tcPr>
          <w:p w14:paraId="000F472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pacing w:val="-8"/>
                <w:szCs w:val="21"/>
                <w:highlight w:val="none"/>
                <w14:textFill>
                  <w14:solidFill>
                    <w14:schemeClr w14:val="tx1"/>
                  </w14:solidFill>
                </w14:textFill>
              </w:rPr>
            </w:pPr>
            <w:r>
              <w:rPr>
                <w:rFonts w:hint="default"/>
                <w:color w:val="000000" w:themeColor="text1"/>
                <w:spacing w:val="-8"/>
                <w:szCs w:val="21"/>
                <w:highlight w:val="none"/>
                <w14:textFill>
                  <w14:solidFill>
                    <w14:schemeClr w14:val="tx1"/>
                  </w14:solidFill>
                </w14:textFill>
              </w:rPr>
              <w:t>环境风险</w:t>
            </w:r>
          </w:p>
          <w:p w14:paraId="237BE2D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pacing w:val="-8"/>
                <w:szCs w:val="21"/>
                <w:highlight w:val="none"/>
                <w14:textFill>
                  <w14:solidFill>
                    <w14:schemeClr w14:val="tx1"/>
                  </w14:solidFill>
                </w14:textFill>
              </w:rPr>
            </w:pPr>
            <w:r>
              <w:rPr>
                <w:rFonts w:hint="default"/>
                <w:color w:val="000000" w:themeColor="text1"/>
                <w:spacing w:val="-8"/>
                <w:szCs w:val="21"/>
                <w:highlight w:val="none"/>
                <w14:textFill>
                  <w14:solidFill>
                    <w14:schemeClr w14:val="tx1"/>
                  </w14:solidFill>
                </w14:textFill>
              </w:rPr>
              <w:t>防范措施</w:t>
            </w:r>
          </w:p>
        </w:tc>
        <w:tc>
          <w:tcPr>
            <w:tcW w:w="7174" w:type="dxa"/>
            <w:gridSpan w:val="4"/>
            <w:noWrap/>
            <w:vAlign w:val="center"/>
          </w:tcPr>
          <w:p w14:paraId="3AF982B6">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做好防渗工作，加强管理提高员工环保意识；按照国家、地方和相关部门要求，编制突发环境事件应急预案；企业根据实际情况，不断充实和完善应急预案的各项措施，并定期组织演练。</w:t>
            </w:r>
          </w:p>
        </w:tc>
      </w:tr>
      <w:tr w14:paraId="1B4C1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26" w:type="dxa"/>
            <w:noWrap/>
            <w:vAlign w:val="center"/>
          </w:tcPr>
          <w:p w14:paraId="21B6B7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pacing w:val="-8"/>
                <w:szCs w:val="21"/>
                <w:highlight w:val="none"/>
                <w14:textFill>
                  <w14:solidFill>
                    <w14:schemeClr w14:val="tx1"/>
                  </w14:solidFill>
                </w14:textFill>
              </w:rPr>
            </w:pPr>
            <w:r>
              <w:rPr>
                <w:rFonts w:hint="default"/>
                <w:color w:val="000000" w:themeColor="text1"/>
                <w:spacing w:val="-8"/>
                <w:szCs w:val="21"/>
                <w:highlight w:val="none"/>
                <w14:textFill>
                  <w14:solidFill>
                    <w14:schemeClr w14:val="tx1"/>
                  </w14:solidFill>
                </w14:textFill>
              </w:rPr>
              <w:t>其他环境</w:t>
            </w:r>
          </w:p>
          <w:p w14:paraId="46053E9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pacing w:val="-8"/>
                <w:szCs w:val="21"/>
                <w:highlight w:val="none"/>
                <w14:textFill>
                  <w14:solidFill>
                    <w14:schemeClr w14:val="tx1"/>
                  </w14:solidFill>
                </w14:textFill>
              </w:rPr>
            </w:pPr>
            <w:r>
              <w:rPr>
                <w:rFonts w:hint="default"/>
                <w:color w:val="000000" w:themeColor="text1"/>
                <w:spacing w:val="-8"/>
                <w:szCs w:val="21"/>
                <w:highlight w:val="none"/>
                <w14:textFill>
                  <w14:solidFill>
                    <w14:schemeClr w14:val="tx1"/>
                  </w14:solidFill>
                </w14:textFill>
              </w:rPr>
              <w:t>管理要求</w:t>
            </w:r>
          </w:p>
        </w:tc>
        <w:tc>
          <w:tcPr>
            <w:tcW w:w="7174" w:type="dxa"/>
            <w:gridSpan w:val="4"/>
            <w:noWrap/>
            <w:vAlign w:val="center"/>
          </w:tcPr>
          <w:p w14:paraId="43157D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w:t>
            </w:r>
          </w:p>
        </w:tc>
      </w:tr>
    </w:tbl>
    <w:p w14:paraId="447DE921">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24A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ign w:val="center"/>
          </w:tcPr>
          <w:p w14:paraId="7485B64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神华巴彦淖尔能源有限责任公司焦化厂新建乙类危化品库房环保项目符合国家产业政策，选址合理，采取的环保治理设施和措施有效、可行，工程实施后各项污染物可达标排放，对外环境影响较小。</w:t>
            </w:r>
            <w:r>
              <w:rPr>
                <w:rFonts w:hint="default" w:ascii="宋体" w:hAnsi="宋体" w:cs="宋体"/>
                <w:color w:val="000000" w:themeColor="text1"/>
                <w:highlight w:val="none"/>
                <w:lang w:val="zh-CN" w:bidi="zh-CN"/>
                <w14:textFill>
                  <w14:solidFill>
                    <w14:schemeClr w14:val="tx1"/>
                  </w14:solidFill>
                </w14:textFill>
              </w:rPr>
              <w:t>在全面加强监督管理，认真执行落实各项环保措施的条件下，从环境保护角度分析，项目建设可行。</w:t>
            </w:r>
          </w:p>
          <w:p w14:paraId="0785EE90">
            <w:pPr>
              <w:keepNext w:val="0"/>
              <w:keepLines w:val="0"/>
              <w:suppressLineNumbers w:val="0"/>
              <w:spacing w:before="0" w:beforeAutospacing="0" w:after="0" w:afterAutospacing="0"/>
              <w:ind w:left="0" w:right="0" w:firstLine="480"/>
              <w:jc w:val="left"/>
              <w:rPr>
                <w:rFonts w:hint="default" w:ascii="宋体" w:cs="宋体"/>
                <w:color w:val="000000" w:themeColor="text1"/>
                <w:highlight w:val="none"/>
                <w14:textFill>
                  <w14:solidFill>
                    <w14:schemeClr w14:val="tx1"/>
                  </w14:solidFill>
                </w14:textFill>
              </w:rPr>
            </w:pPr>
          </w:p>
        </w:tc>
      </w:tr>
    </w:tbl>
    <w:p w14:paraId="70F5356D">
      <w:pPr>
        <w:ind w:firstLine="480"/>
        <w:rPr>
          <w:rFonts w:ascii="宋体"/>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268EAAB">
      <w:pPr>
        <w:pStyle w:val="2"/>
        <w:rPr>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环境风险专项评价</w:t>
      </w:r>
    </w:p>
    <w:p w14:paraId="243FEEA3">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1.环境风险评价的目的与要求</w:t>
      </w:r>
    </w:p>
    <w:p w14:paraId="4245E06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环境风险评价技术导则》（HJ169-2018）中明确，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49C4B1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关于进一步加强环境影响评价管理防范环境风险的通知》环发[2012]77号中明确要求严格建设项目环境影响评价管理，强化环境风险评价。建设项目环境风险评价是环境影响评价的重要组成部分。新、改、扩建相关建设项目环境影响评价应按照相应技术导则要求，科学预测评价突发性事件或事故可能引发的环境风险，提出环境风险防范和应急措施。</w:t>
      </w:r>
    </w:p>
    <w:p w14:paraId="25447705">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2.评价依据</w:t>
      </w:r>
    </w:p>
    <w:p w14:paraId="1F440413">
      <w:pPr>
        <w:pStyle w:val="3"/>
        <w:ind w:firstLine="56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2.1 风险源调查</w:t>
      </w:r>
      <w:r>
        <w:rPr>
          <w:rFonts w:hint="eastAsia"/>
          <w:color w:val="000000" w:themeColor="text1"/>
          <w:highlight w:val="none"/>
          <w:lang w:val="en-US" w:eastAsia="zh-CN"/>
          <w14:textFill>
            <w14:solidFill>
              <w14:schemeClr w14:val="tx1"/>
            </w14:solidFill>
          </w14:textFill>
        </w:rPr>
        <w:t>及风险单元划分</w:t>
      </w:r>
    </w:p>
    <w:p w14:paraId="2A083D9D">
      <w:pPr>
        <w:ind w:firstLine="48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对照《建设项目环境风险评价技术导则》（HJ169-2018）附录 B ，本项目涉及的风险物质</w:t>
      </w:r>
      <w:r>
        <w:rPr>
          <w:rFonts w:hint="eastAsia"/>
          <w:color w:val="000000" w:themeColor="text1"/>
          <w:highlight w:val="none"/>
          <w:lang w:val="en-US" w:eastAsia="zh-CN"/>
          <w14:textFill>
            <w14:solidFill>
              <w14:schemeClr w14:val="tx1"/>
            </w14:solidFill>
          </w14:textFill>
        </w:rPr>
        <w:t>主要为硫磺</w:t>
      </w:r>
      <w:r>
        <w:rPr>
          <w:rFonts w:hint="eastAsia"/>
          <w:color w:val="000000" w:themeColor="text1"/>
          <w:highlight w:val="none"/>
          <w14:textFill>
            <w14:solidFill>
              <w14:schemeClr w14:val="tx1"/>
            </w14:solidFill>
          </w14:textFill>
        </w:rPr>
        <w:t>（CAS号：</w:t>
      </w:r>
      <w:r>
        <w:rPr>
          <w:rFonts w:hint="eastAsia"/>
          <w:color w:val="000000" w:themeColor="text1"/>
          <w:highlight w:val="none"/>
          <w:lang w:val="en-US" w:eastAsia="zh-CN"/>
          <w14:textFill>
            <w14:solidFill>
              <w14:schemeClr w14:val="tx1"/>
            </w14:solidFill>
          </w14:textFill>
        </w:rPr>
        <w:t>63705-05-5</w:t>
      </w:r>
      <w:r>
        <w:rPr>
          <w:rFonts w:hint="eastAsia"/>
          <w:color w:val="000000" w:themeColor="text1"/>
          <w:highlight w:val="none"/>
          <w14:textFill>
            <w14:solidFill>
              <w14:schemeClr w14:val="tx1"/>
            </w14:solidFill>
          </w14:textFill>
        </w:rPr>
        <w:t>，临界量10t）</w:t>
      </w:r>
      <w:r>
        <w:rPr>
          <w:rFonts w:hint="eastAsia"/>
          <w:color w:val="000000" w:themeColor="text1"/>
          <w:highlight w:val="none"/>
          <w:lang w:eastAsia="zh-CN"/>
          <w14:textFill>
            <w14:solidFill>
              <w14:schemeClr w14:val="tx1"/>
            </w14:solidFill>
          </w14:textFill>
        </w:rPr>
        <w:t>。</w:t>
      </w:r>
    </w:p>
    <w:p w14:paraId="52284617">
      <w:pP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14:textFill>
            <w14:solidFill>
              <w14:schemeClr w14:val="tx1"/>
            </w14:solidFill>
          </w14:textFill>
        </w:rPr>
        <w:t>《建设项目环境风险评价技术导则》（HJ169-2018）</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本次对该乙类库进行危险单元划分，危险单元是指由一个或多个风险源构成的具有相对独立功能的单元，事故状况下应可实现与其他功能单元的分割。</w:t>
      </w:r>
    </w:p>
    <w:p w14:paraId="4B5D5812">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本厂区内的乙类库划分为一个独立的危险单元。</w:t>
      </w:r>
    </w:p>
    <w:p w14:paraId="5D657DBB">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 环境敏感目标调查</w:t>
      </w:r>
    </w:p>
    <w:p w14:paraId="483CBCF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通过周边环境现状调查，厂区周围不涉及自然保护区、珍稀动植物分布区等特殊环境敏感区。</w:t>
      </w:r>
    </w:p>
    <w:p w14:paraId="62316098">
      <w:pPr>
        <w:ind w:firstLine="480"/>
        <w:rPr>
          <w:rFonts w:hint="eastAsia"/>
          <w:color w:val="000000" w:themeColor="text1"/>
          <w:highlight w:val="none"/>
          <w:lang w:val="en-US" w:eastAsia="zh-CN"/>
          <w14:textFill>
            <w14:solidFill>
              <w14:schemeClr w14:val="tx1"/>
            </w14:solidFill>
          </w14:textFill>
        </w:rPr>
      </w:pPr>
      <w:r>
        <w:rPr>
          <w:rFonts w:hint="default" w:eastAsiaTheme="minorEastAsia"/>
          <w:color w:val="000000" w:themeColor="text1"/>
          <w:kern w:val="0"/>
          <w:highlight w:val="none"/>
          <w14:textFill>
            <w14:solidFill>
              <w14:schemeClr w14:val="tx1"/>
            </w14:solidFill>
          </w14:textFill>
        </w:rPr>
        <w:t>本项目</w:t>
      </w:r>
      <w:r>
        <w:rPr>
          <w:rFonts w:hint="eastAsia" w:eastAsiaTheme="minorEastAsia"/>
          <w:color w:val="000000" w:themeColor="text1"/>
          <w:kern w:val="0"/>
          <w:highlight w:val="none"/>
          <w:lang w:val="en-US" w:eastAsia="zh-CN"/>
          <w14:textFill>
            <w14:solidFill>
              <w14:schemeClr w14:val="tx1"/>
            </w14:solidFill>
          </w14:textFill>
        </w:rPr>
        <w:t>新建</w:t>
      </w:r>
      <w:r>
        <w:rPr>
          <w:rFonts w:hint="default" w:eastAsiaTheme="minorEastAsia"/>
          <w:color w:val="000000" w:themeColor="text1"/>
          <w:kern w:val="0"/>
          <w:highlight w:val="none"/>
          <w14:textFill>
            <w14:solidFill>
              <w14:schemeClr w14:val="tx1"/>
            </w14:solidFill>
          </w14:textFill>
        </w:rPr>
        <w:t>的</w:t>
      </w:r>
      <w:r>
        <w:rPr>
          <w:rFonts w:hint="eastAsia" w:eastAsiaTheme="minorEastAsia"/>
          <w:color w:val="000000" w:themeColor="text1"/>
          <w:kern w:val="0"/>
          <w:highlight w:val="none"/>
          <w:lang w:val="en-US" w:eastAsia="zh-CN"/>
          <w14:textFill>
            <w14:solidFill>
              <w14:schemeClr w14:val="tx1"/>
            </w14:solidFill>
          </w14:textFill>
        </w:rPr>
        <w:t>乙类</w:t>
      </w:r>
      <w:r>
        <w:rPr>
          <w:rFonts w:hint="default" w:eastAsiaTheme="minorEastAsia"/>
          <w:color w:val="000000" w:themeColor="text1"/>
          <w:kern w:val="0"/>
          <w:highlight w:val="none"/>
          <w14:textFill>
            <w14:solidFill>
              <w14:schemeClr w14:val="tx1"/>
            </w14:solidFill>
          </w14:textFill>
        </w:rPr>
        <w:t>库位于焦化厂厂区</w:t>
      </w:r>
      <w:r>
        <w:rPr>
          <w:rFonts w:hint="eastAsia" w:eastAsiaTheme="minorEastAsia"/>
          <w:color w:val="000000" w:themeColor="text1"/>
          <w:kern w:val="0"/>
          <w:highlight w:val="none"/>
          <w:lang w:val="en-US" w:eastAsia="zh-CN"/>
          <w14:textFill>
            <w14:solidFill>
              <w14:schemeClr w14:val="tx1"/>
            </w14:solidFill>
          </w14:textFill>
        </w:rPr>
        <w:t>备煤车间北侧空地</w:t>
      </w:r>
      <w:r>
        <w:rPr>
          <w:rFonts w:hint="default" w:eastAsiaTheme="minorEastAsia"/>
          <w:color w:val="000000" w:themeColor="text1"/>
          <w:kern w:val="0"/>
          <w:highlight w:val="none"/>
          <w14:textFill>
            <w14:solidFill>
              <w14:schemeClr w14:val="tx1"/>
            </w14:solidFill>
          </w14:textFill>
        </w:rPr>
        <w:t>。</w:t>
      </w:r>
      <w:r>
        <w:rPr>
          <w:rFonts w:hint="eastAsia" w:eastAsiaTheme="minorEastAsia"/>
          <w:color w:val="000000" w:themeColor="text1"/>
          <w:kern w:val="0"/>
          <w:highlight w:val="none"/>
          <w:lang w:val="en-US" w:eastAsia="zh-CN"/>
          <w14:textFill>
            <w14:solidFill>
              <w14:schemeClr w14:val="tx1"/>
            </w14:solidFill>
          </w14:textFill>
        </w:rPr>
        <w:t>项目区东侧125m处为厂区原有的丙类仓库，项目区西侧及北侧为空地，项目区南侧108m为储煤棚。</w:t>
      </w:r>
    </w:p>
    <w:p w14:paraId="277B0F67">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2-1</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本项目与周边建筑间距一览表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074"/>
        <w:gridCol w:w="1908"/>
        <w:gridCol w:w="1323"/>
        <w:gridCol w:w="1304"/>
        <w:gridCol w:w="1849"/>
      </w:tblGrid>
      <w:tr w14:paraId="0F7A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8" w:type="dxa"/>
            <w:vAlign w:val="center"/>
          </w:tcPr>
          <w:p w14:paraId="52F4A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名称</w:t>
            </w:r>
          </w:p>
        </w:tc>
        <w:tc>
          <w:tcPr>
            <w:tcW w:w="827" w:type="dxa"/>
            <w:vAlign w:val="center"/>
          </w:tcPr>
          <w:p w14:paraId="5BBCA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位置</w:t>
            </w:r>
          </w:p>
        </w:tc>
        <w:tc>
          <w:tcPr>
            <w:tcW w:w="1469" w:type="dxa"/>
            <w:vAlign w:val="center"/>
          </w:tcPr>
          <w:p w14:paraId="51F9F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相邻设施</w:t>
            </w:r>
          </w:p>
        </w:tc>
        <w:tc>
          <w:tcPr>
            <w:tcW w:w="1019" w:type="dxa"/>
            <w:vAlign w:val="center"/>
          </w:tcPr>
          <w:p w14:paraId="34D9E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设计距离（m）</w:t>
            </w:r>
          </w:p>
        </w:tc>
        <w:tc>
          <w:tcPr>
            <w:tcW w:w="1004" w:type="dxa"/>
            <w:vAlign w:val="center"/>
          </w:tcPr>
          <w:p w14:paraId="69CD4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规范限值（m）</w:t>
            </w:r>
          </w:p>
        </w:tc>
        <w:tc>
          <w:tcPr>
            <w:tcW w:w="1424" w:type="dxa"/>
            <w:vAlign w:val="center"/>
          </w:tcPr>
          <w:p w14:paraId="52724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规范依据</w:t>
            </w:r>
          </w:p>
        </w:tc>
      </w:tr>
      <w:tr w14:paraId="7950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14:paraId="08BE6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乙类危化品库房（乙类）</w:t>
            </w:r>
          </w:p>
        </w:tc>
        <w:tc>
          <w:tcPr>
            <w:tcW w:w="827" w:type="dxa"/>
            <w:vAlign w:val="center"/>
          </w:tcPr>
          <w:p w14:paraId="4D08E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w:t>
            </w:r>
          </w:p>
        </w:tc>
        <w:tc>
          <w:tcPr>
            <w:tcW w:w="1469" w:type="dxa"/>
            <w:vAlign w:val="center"/>
          </w:tcPr>
          <w:p w14:paraId="50668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危废仓库（丙类）</w:t>
            </w:r>
          </w:p>
        </w:tc>
        <w:tc>
          <w:tcPr>
            <w:tcW w:w="1019" w:type="dxa"/>
            <w:vAlign w:val="center"/>
          </w:tcPr>
          <w:p w14:paraId="0D42F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125</w:t>
            </w:r>
          </w:p>
        </w:tc>
        <w:tc>
          <w:tcPr>
            <w:tcW w:w="1004" w:type="dxa"/>
            <w:vAlign w:val="center"/>
          </w:tcPr>
          <w:p w14:paraId="7473C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10.00</w:t>
            </w:r>
          </w:p>
        </w:tc>
        <w:tc>
          <w:tcPr>
            <w:tcW w:w="1424" w:type="dxa"/>
            <w:vAlign w:val="center"/>
          </w:tcPr>
          <w:p w14:paraId="0C687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GB50160-2008（2018年版）</w:t>
            </w:r>
          </w:p>
        </w:tc>
      </w:tr>
      <w:tr w14:paraId="74D6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72756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6C18B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w:t>
            </w:r>
          </w:p>
        </w:tc>
        <w:tc>
          <w:tcPr>
            <w:tcW w:w="1469" w:type="dxa"/>
            <w:vAlign w:val="center"/>
          </w:tcPr>
          <w:p w14:paraId="67E4B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空地</w:t>
            </w:r>
          </w:p>
        </w:tc>
        <w:tc>
          <w:tcPr>
            <w:tcW w:w="1019" w:type="dxa"/>
            <w:vAlign w:val="center"/>
          </w:tcPr>
          <w:p w14:paraId="71BE6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c>
          <w:tcPr>
            <w:tcW w:w="1004" w:type="dxa"/>
            <w:vAlign w:val="center"/>
          </w:tcPr>
          <w:p w14:paraId="46D34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1424" w:type="dxa"/>
            <w:vAlign w:val="center"/>
          </w:tcPr>
          <w:p w14:paraId="6EAAE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r>
      <w:tr w14:paraId="253A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72E62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30B9C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南</w:t>
            </w:r>
          </w:p>
        </w:tc>
        <w:tc>
          <w:tcPr>
            <w:tcW w:w="1469" w:type="dxa"/>
            <w:vAlign w:val="center"/>
          </w:tcPr>
          <w:p w14:paraId="1A2D7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储煤棚</w:t>
            </w:r>
          </w:p>
        </w:tc>
        <w:tc>
          <w:tcPr>
            <w:tcW w:w="1019" w:type="dxa"/>
            <w:vAlign w:val="center"/>
          </w:tcPr>
          <w:p w14:paraId="23146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108</w:t>
            </w:r>
          </w:p>
        </w:tc>
        <w:tc>
          <w:tcPr>
            <w:tcW w:w="1004" w:type="dxa"/>
            <w:vAlign w:val="center"/>
          </w:tcPr>
          <w:p w14:paraId="302CE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25.00</w:t>
            </w:r>
          </w:p>
        </w:tc>
        <w:tc>
          <w:tcPr>
            <w:tcW w:w="1424" w:type="dxa"/>
            <w:vAlign w:val="center"/>
          </w:tcPr>
          <w:p w14:paraId="4A3CA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GB50016-2014（2018年版）</w:t>
            </w:r>
          </w:p>
        </w:tc>
      </w:tr>
      <w:tr w14:paraId="0D52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4DE1D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827" w:type="dxa"/>
            <w:vAlign w:val="center"/>
          </w:tcPr>
          <w:p w14:paraId="2FC33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北</w:t>
            </w:r>
          </w:p>
        </w:tc>
        <w:tc>
          <w:tcPr>
            <w:tcW w:w="1469" w:type="dxa"/>
            <w:vAlign w:val="center"/>
          </w:tcPr>
          <w:p w14:paraId="79B33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空地</w:t>
            </w:r>
          </w:p>
        </w:tc>
        <w:tc>
          <w:tcPr>
            <w:tcW w:w="1019" w:type="dxa"/>
            <w:vAlign w:val="center"/>
          </w:tcPr>
          <w:p w14:paraId="2F893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c>
          <w:tcPr>
            <w:tcW w:w="1004" w:type="dxa"/>
            <w:vAlign w:val="center"/>
          </w:tcPr>
          <w:p w14:paraId="171AB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1424" w:type="dxa"/>
            <w:vAlign w:val="center"/>
          </w:tcPr>
          <w:p w14:paraId="27E8D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p>
        </w:tc>
      </w:tr>
    </w:tbl>
    <w:p w14:paraId="681A1A6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项目周围</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km范围内</w:t>
      </w:r>
      <w:r>
        <w:rPr>
          <w:rFonts w:hint="eastAsia"/>
          <w:color w:val="000000" w:themeColor="text1"/>
          <w:highlight w:val="none"/>
          <w:lang w:val="en-US" w:eastAsia="zh-CN"/>
          <w14:textFill>
            <w14:solidFill>
              <w14:schemeClr w14:val="tx1"/>
            </w14:solidFill>
          </w14:textFill>
        </w:rPr>
        <w:t>不涉及居住区等敏感目标；</w:t>
      </w:r>
      <w:r>
        <w:rPr>
          <w:color w:val="000000" w:themeColor="text1"/>
          <w:highlight w:val="none"/>
          <w14:textFill>
            <w14:solidFill>
              <w14:schemeClr w14:val="tx1"/>
            </w14:solidFill>
          </w14:textFill>
        </w:rPr>
        <w:t>环境敏感保护目标调查情况汇总于表</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2AE36744">
      <w:pPr>
        <w:pStyle w:val="7"/>
        <w:keepNext w:val="0"/>
        <w:keepLines w:val="0"/>
        <w:pageBreakBefore w:val="0"/>
        <w:widowControl w:val="0"/>
        <w:kinsoku/>
        <w:wordWrap/>
        <w:overflowPunct/>
        <w:topLinePunct w:val="0"/>
        <w:autoSpaceDE/>
        <w:autoSpaceDN/>
        <w:bidi w:val="0"/>
        <w:adjustRightInd/>
        <w:snapToGrid/>
        <w:spacing w:beforeLines="0" w:afterLines="0"/>
        <w:ind w:left="0"/>
        <w:textAlignment w:val="auto"/>
        <w:rPr>
          <w:rFonts w:hint="eastAsia"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表2-</w:t>
      </w:r>
      <w:r>
        <w:rPr>
          <w:rFonts w:hint="eastAsia" w:eastAsiaTheme="minorEastAsia"/>
          <w:b/>
          <w:bCs/>
          <w:color w:val="000000" w:themeColor="text1"/>
          <w:sz w:val="21"/>
          <w:szCs w:val="21"/>
          <w:highlight w:val="none"/>
          <w:lang w:val="en-US" w:eastAsia="zh-CN"/>
          <w14:textFill>
            <w14:solidFill>
              <w14:schemeClr w14:val="tx1"/>
            </w14:solidFill>
          </w14:textFill>
        </w:rPr>
        <w:t>2</w:t>
      </w:r>
      <w:r>
        <w:rPr>
          <w:rFonts w:hint="eastAsia" w:eastAsiaTheme="minorEastAsia"/>
          <w:b/>
          <w:bCs/>
          <w:color w:val="000000" w:themeColor="text1"/>
          <w:sz w:val="21"/>
          <w:szCs w:val="21"/>
          <w:highlight w:val="none"/>
          <w14:textFill>
            <w14:solidFill>
              <w14:schemeClr w14:val="tx1"/>
            </w14:solidFill>
          </w14:textFill>
        </w:rPr>
        <w:t xml:space="preserve"> 环境敏感保护目标</w:t>
      </w:r>
    </w:p>
    <w:tbl>
      <w:tblPr>
        <w:tblStyle w:val="88"/>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571"/>
        <w:gridCol w:w="33"/>
        <w:gridCol w:w="1237"/>
        <w:gridCol w:w="14"/>
        <w:gridCol w:w="961"/>
        <w:gridCol w:w="900"/>
        <w:gridCol w:w="1453"/>
        <w:gridCol w:w="1789"/>
      </w:tblGrid>
      <w:tr w14:paraId="632AE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jc w:val="center"/>
        </w:trPr>
        <w:tc>
          <w:tcPr>
            <w:tcW w:w="829" w:type="dxa"/>
            <w:tcBorders>
              <w:tl2br w:val="nil"/>
              <w:tr2bl w:val="nil"/>
            </w:tcBorders>
            <w:vAlign w:val="center"/>
          </w:tcPr>
          <w:p w14:paraId="062BD654">
            <w:pPr>
              <w:spacing w:line="240" w:lineRule="auto"/>
              <w:ind w:firstLine="0" w:firstLineChars="0"/>
              <w:jc w:val="center"/>
              <w:rPr>
                <w:rFonts w:eastAsiaTheme="minorEastAsia"/>
                <w:b/>
                <w:bCs/>
                <w:color w:val="000000" w:themeColor="text1"/>
                <w:spacing w:val="4"/>
                <w:sz w:val="21"/>
                <w:szCs w:val="21"/>
                <w:highlight w:val="none"/>
                <w14:textFill>
                  <w14:solidFill>
                    <w14:schemeClr w14:val="tx1"/>
                  </w14:solidFill>
                </w14:textFill>
              </w:rPr>
            </w:pPr>
            <w:r>
              <w:rPr>
                <w:rFonts w:eastAsiaTheme="minorEastAsia"/>
                <w:b/>
                <w:bCs/>
                <w:color w:val="000000" w:themeColor="text1"/>
                <w:spacing w:val="5"/>
                <w:sz w:val="21"/>
                <w:szCs w:val="21"/>
                <w:highlight w:val="none"/>
                <w14:textFill>
                  <w14:solidFill>
                    <w14:schemeClr w14:val="tx1"/>
                  </w14:solidFill>
                </w14:textFill>
              </w:rPr>
              <w:t>环</w:t>
            </w:r>
            <w:r>
              <w:rPr>
                <w:rFonts w:eastAsiaTheme="minorEastAsia"/>
                <w:b/>
                <w:bCs/>
                <w:color w:val="000000" w:themeColor="text1"/>
                <w:spacing w:val="4"/>
                <w:sz w:val="21"/>
                <w:szCs w:val="21"/>
                <w:highlight w:val="none"/>
                <w14:textFill>
                  <w14:solidFill>
                    <w14:schemeClr w14:val="tx1"/>
                  </w14:solidFill>
                </w14:textFill>
              </w:rPr>
              <w:t>境</w:t>
            </w:r>
          </w:p>
          <w:p w14:paraId="5EC38E2A">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4"/>
                <w:sz w:val="21"/>
                <w:szCs w:val="21"/>
                <w:highlight w:val="none"/>
                <w14:textFill>
                  <w14:solidFill>
                    <w14:schemeClr w14:val="tx1"/>
                  </w14:solidFill>
                </w14:textFill>
              </w:rPr>
              <w:t>要素</w:t>
            </w:r>
          </w:p>
        </w:tc>
        <w:tc>
          <w:tcPr>
            <w:tcW w:w="1604" w:type="dxa"/>
            <w:gridSpan w:val="2"/>
            <w:tcBorders>
              <w:tl2br w:val="nil"/>
              <w:tr2bl w:val="nil"/>
            </w:tcBorders>
            <w:vAlign w:val="center"/>
          </w:tcPr>
          <w:p w14:paraId="3B7B7D72">
            <w:pPr>
              <w:spacing w:line="240" w:lineRule="auto"/>
              <w:ind w:firstLine="0" w:firstLineChars="0"/>
              <w:jc w:val="center"/>
              <w:rPr>
                <w:rFonts w:eastAsiaTheme="minorEastAsia"/>
                <w:b/>
                <w:bCs/>
                <w:color w:val="000000" w:themeColor="text1"/>
                <w:spacing w:val="7"/>
                <w:sz w:val="21"/>
                <w:szCs w:val="21"/>
                <w:highlight w:val="none"/>
                <w14:textFill>
                  <w14:solidFill>
                    <w14:schemeClr w14:val="tx1"/>
                  </w14:solidFill>
                </w14:textFill>
              </w:rPr>
            </w:pPr>
            <w:r>
              <w:rPr>
                <w:rFonts w:eastAsiaTheme="minorEastAsia"/>
                <w:b/>
                <w:bCs/>
                <w:color w:val="000000" w:themeColor="text1"/>
                <w:spacing w:val="7"/>
                <w:sz w:val="21"/>
                <w:szCs w:val="21"/>
                <w:highlight w:val="none"/>
                <w14:textFill>
                  <w14:solidFill>
                    <w14:schemeClr w14:val="tx1"/>
                  </w14:solidFill>
                </w14:textFill>
              </w:rPr>
              <w:t>保护目标</w:t>
            </w:r>
          </w:p>
          <w:p w14:paraId="3496377D">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4"/>
                <w:sz w:val="21"/>
                <w:szCs w:val="21"/>
                <w:highlight w:val="none"/>
                <w14:textFill>
                  <w14:solidFill>
                    <w14:schemeClr w14:val="tx1"/>
                  </w14:solidFill>
                </w14:textFill>
              </w:rPr>
              <w:t>名</w:t>
            </w:r>
            <w:r>
              <w:rPr>
                <w:rFonts w:eastAsiaTheme="minorEastAsia"/>
                <w:b/>
                <w:bCs/>
                <w:color w:val="000000" w:themeColor="text1"/>
                <w:spacing w:val="3"/>
                <w:sz w:val="21"/>
                <w:szCs w:val="21"/>
                <w:highlight w:val="none"/>
                <w14:textFill>
                  <w14:solidFill>
                    <w14:schemeClr w14:val="tx1"/>
                  </w14:solidFill>
                </w14:textFill>
              </w:rPr>
              <w:t>称</w:t>
            </w:r>
          </w:p>
        </w:tc>
        <w:tc>
          <w:tcPr>
            <w:tcW w:w="1237" w:type="dxa"/>
            <w:tcBorders>
              <w:tl2br w:val="nil"/>
              <w:tr2bl w:val="nil"/>
            </w:tcBorders>
            <w:vAlign w:val="center"/>
          </w:tcPr>
          <w:p w14:paraId="64E79D5B">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4"/>
                <w:position w:val="4"/>
                <w:sz w:val="21"/>
                <w:szCs w:val="21"/>
                <w:highlight w:val="none"/>
                <w14:textFill>
                  <w14:solidFill>
                    <w14:schemeClr w14:val="tx1"/>
                  </w14:solidFill>
                </w14:textFill>
              </w:rPr>
              <w:t>保护</w:t>
            </w:r>
          </w:p>
          <w:p w14:paraId="44C82972">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5"/>
                <w:sz w:val="21"/>
                <w:szCs w:val="21"/>
                <w:highlight w:val="none"/>
                <w14:textFill>
                  <w14:solidFill>
                    <w14:schemeClr w14:val="tx1"/>
                  </w14:solidFill>
                </w14:textFill>
              </w:rPr>
              <w:t>对象</w:t>
            </w:r>
          </w:p>
        </w:tc>
        <w:tc>
          <w:tcPr>
            <w:tcW w:w="975" w:type="dxa"/>
            <w:gridSpan w:val="2"/>
            <w:tcBorders>
              <w:tl2br w:val="nil"/>
              <w:tr2bl w:val="nil"/>
            </w:tcBorders>
            <w:vAlign w:val="center"/>
          </w:tcPr>
          <w:p w14:paraId="3E22D299">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4"/>
                <w:position w:val="4"/>
                <w:sz w:val="21"/>
                <w:szCs w:val="21"/>
                <w:highlight w:val="none"/>
                <w14:textFill>
                  <w14:solidFill>
                    <w14:schemeClr w14:val="tx1"/>
                  </w14:solidFill>
                </w14:textFill>
              </w:rPr>
              <w:t>保护</w:t>
            </w:r>
          </w:p>
          <w:p w14:paraId="0BC0807A">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8"/>
                <w:sz w:val="21"/>
                <w:szCs w:val="21"/>
                <w:highlight w:val="none"/>
                <w14:textFill>
                  <w14:solidFill>
                    <w14:schemeClr w14:val="tx1"/>
                  </w14:solidFill>
                </w14:textFill>
              </w:rPr>
              <w:t>内容</w:t>
            </w:r>
          </w:p>
        </w:tc>
        <w:tc>
          <w:tcPr>
            <w:tcW w:w="900" w:type="dxa"/>
            <w:tcBorders>
              <w:tl2br w:val="nil"/>
              <w:tr2bl w:val="nil"/>
            </w:tcBorders>
            <w:vAlign w:val="center"/>
          </w:tcPr>
          <w:p w14:paraId="44D298DF">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5"/>
                <w:sz w:val="21"/>
                <w:szCs w:val="21"/>
                <w:highlight w:val="none"/>
                <w14:textFill>
                  <w14:solidFill>
                    <w14:schemeClr w14:val="tx1"/>
                  </w14:solidFill>
                </w14:textFill>
              </w:rPr>
              <w:t>相</w:t>
            </w:r>
            <w:r>
              <w:rPr>
                <w:rFonts w:eastAsiaTheme="minorEastAsia"/>
                <w:b/>
                <w:bCs/>
                <w:color w:val="000000" w:themeColor="text1"/>
                <w:spacing w:val="4"/>
                <w:sz w:val="21"/>
                <w:szCs w:val="21"/>
                <w:highlight w:val="none"/>
                <w14:textFill>
                  <w14:solidFill>
                    <w14:schemeClr w14:val="tx1"/>
                  </w14:solidFill>
                </w14:textFill>
              </w:rPr>
              <w:t>对</w:t>
            </w:r>
            <w:r>
              <w:rPr>
                <w:rFonts w:eastAsiaTheme="minorEastAsia"/>
                <w:b/>
                <w:bCs/>
                <w:color w:val="000000" w:themeColor="text1"/>
                <w:spacing w:val="7"/>
                <w:sz w:val="21"/>
                <w:szCs w:val="21"/>
                <w:highlight w:val="none"/>
                <w14:textFill>
                  <w14:solidFill>
                    <w14:schemeClr w14:val="tx1"/>
                  </w14:solidFill>
                </w14:textFill>
              </w:rPr>
              <w:t>本</w:t>
            </w:r>
            <w:r>
              <w:rPr>
                <w:rFonts w:eastAsiaTheme="minorEastAsia"/>
                <w:b/>
                <w:bCs/>
                <w:color w:val="000000" w:themeColor="text1"/>
                <w:spacing w:val="6"/>
                <w:sz w:val="21"/>
                <w:szCs w:val="21"/>
                <w:highlight w:val="none"/>
                <w14:textFill>
                  <w14:solidFill>
                    <w14:schemeClr w14:val="tx1"/>
                  </w14:solidFill>
                </w14:textFill>
              </w:rPr>
              <w:t>项目</w:t>
            </w:r>
            <w:r>
              <w:rPr>
                <w:rFonts w:eastAsiaTheme="minorEastAsia"/>
                <w:b/>
                <w:bCs/>
                <w:color w:val="000000" w:themeColor="text1"/>
                <w:spacing w:val="4"/>
                <w:sz w:val="21"/>
                <w:szCs w:val="21"/>
                <w:highlight w:val="none"/>
                <w14:textFill>
                  <w14:solidFill>
                    <w14:schemeClr w14:val="tx1"/>
                  </w14:solidFill>
                </w14:textFill>
              </w:rPr>
              <w:t>方位</w:t>
            </w:r>
          </w:p>
        </w:tc>
        <w:tc>
          <w:tcPr>
            <w:tcW w:w="1453" w:type="dxa"/>
            <w:tcBorders>
              <w:tl2br w:val="nil"/>
              <w:tr2bl w:val="nil"/>
            </w:tcBorders>
            <w:vAlign w:val="center"/>
          </w:tcPr>
          <w:p w14:paraId="01883A8A">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8"/>
                <w:sz w:val="21"/>
                <w:szCs w:val="21"/>
                <w:highlight w:val="none"/>
                <w14:textFill>
                  <w14:solidFill>
                    <w14:schemeClr w14:val="tx1"/>
                  </w14:solidFill>
                </w14:textFill>
              </w:rPr>
              <w:t>相</w:t>
            </w:r>
            <w:r>
              <w:rPr>
                <w:rFonts w:eastAsiaTheme="minorEastAsia"/>
                <w:b/>
                <w:bCs/>
                <w:color w:val="000000" w:themeColor="text1"/>
                <w:spacing w:val="7"/>
                <w:sz w:val="21"/>
                <w:szCs w:val="21"/>
                <w:highlight w:val="none"/>
                <w14:textFill>
                  <w14:solidFill>
                    <w14:schemeClr w14:val="tx1"/>
                  </w14:solidFill>
                </w14:textFill>
              </w:rPr>
              <w:t>对本项</w:t>
            </w:r>
          </w:p>
          <w:p w14:paraId="565271B8">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8"/>
                <w:sz w:val="21"/>
                <w:szCs w:val="21"/>
                <w:highlight w:val="none"/>
                <w14:textFill>
                  <w14:solidFill>
                    <w14:schemeClr w14:val="tx1"/>
                  </w14:solidFill>
                </w14:textFill>
              </w:rPr>
              <w:t>目</w:t>
            </w:r>
            <w:r>
              <w:rPr>
                <w:rFonts w:eastAsiaTheme="minorEastAsia"/>
                <w:b/>
                <w:bCs/>
                <w:color w:val="000000" w:themeColor="text1"/>
                <w:spacing w:val="-7"/>
                <w:sz w:val="21"/>
                <w:szCs w:val="21"/>
                <w:highlight w:val="none"/>
                <w14:textFill>
                  <w14:solidFill>
                    <w14:schemeClr w14:val="tx1"/>
                  </w14:solidFill>
                </w14:textFill>
              </w:rPr>
              <w:t>距离</w:t>
            </w:r>
          </w:p>
          <w:p w14:paraId="43453CE5">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29"/>
                <w:position w:val="1"/>
                <w:sz w:val="21"/>
                <w:szCs w:val="21"/>
                <w:highlight w:val="none"/>
                <w14:textFill>
                  <w14:solidFill>
                    <w14:schemeClr w14:val="tx1"/>
                  </w14:solidFill>
                </w14:textFill>
              </w:rPr>
              <w:t>（</w:t>
            </w:r>
            <w:r>
              <w:rPr>
                <w:rFonts w:eastAsiaTheme="minorEastAsia"/>
                <w:b/>
                <w:bCs/>
                <w:color w:val="000000" w:themeColor="text1"/>
                <w:position w:val="1"/>
                <w:sz w:val="21"/>
                <w:szCs w:val="21"/>
                <w:highlight w:val="none"/>
                <w14:textFill>
                  <w14:solidFill>
                    <w14:schemeClr w14:val="tx1"/>
                  </w14:solidFill>
                </w14:textFill>
              </w:rPr>
              <w:t>km</w:t>
            </w:r>
            <w:r>
              <w:rPr>
                <w:rFonts w:eastAsiaTheme="minorEastAsia"/>
                <w:b/>
                <w:bCs/>
                <w:color w:val="000000" w:themeColor="text1"/>
                <w:spacing w:val="28"/>
                <w:position w:val="1"/>
                <w:sz w:val="21"/>
                <w:szCs w:val="21"/>
                <w:highlight w:val="none"/>
                <w14:textFill>
                  <w14:solidFill>
                    <w14:schemeClr w14:val="tx1"/>
                  </w14:solidFill>
                </w14:textFill>
              </w:rPr>
              <w:t>）</w:t>
            </w:r>
          </w:p>
        </w:tc>
        <w:tc>
          <w:tcPr>
            <w:tcW w:w="1789" w:type="dxa"/>
            <w:tcBorders>
              <w:tl2br w:val="nil"/>
              <w:tr2bl w:val="nil"/>
            </w:tcBorders>
            <w:vAlign w:val="center"/>
          </w:tcPr>
          <w:p w14:paraId="687D5CF4">
            <w:pPr>
              <w:spacing w:line="240" w:lineRule="auto"/>
              <w:ind w:firstLine="0" w:firstLineChars="0"/>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pacing w:val="5"/>
                <w:sz w:val="21"/>
                <w:szCs w:val="21"/>
                <w:highlight w:val="none"/>
                <w14:textFill>
                  <w14:solidFill>
                    <w14:schemeClr w14:val="tx1"/>
                  </w14:solidFill>
                </w14:textFill>
              </w:rPr>
              <w:t>环</w:t>
            </w:r>
            <w:r>
              <w:rPr>
                <w:rFonts w:eastAsiaTheme="minorEastAsia"/>
                <w:b/>
                <w:bCs/>
                <w:color w:val="000000" w:themeColor="text1"/>
                <w:spacing w:val="4"/>
                <w:sz w:val="21"/>
                <w:szCs w:val="21"/>
                <w:highlight w:val="none"/>
                <w14:textFill>
                  <w14:solidFill>
                    <w14:schemeClr w14:val="tx1"/>
                  </w14:solidFill>
                </w14:textFill>
              </w:rPr>
              <w:t>境</w:t>
            </w:r>
            <w:r>
              <w:rPr>
                <w:rFonts w:eastAsiaTheme="minorEastAsia"/>
                <w:b/>
                <w:bCs/>
                <w:color w:val="000000" w:themeColor="text1"/>
                <w:spacing w:val="6"/>
                <w:sz w:val="21"/>
                <w:szCs w:val="21"/>
                <w:highlight w:val="none"/>
                <w14:textFill>
                  <w14:solidFill>
                    <w14:schemeClr w14:val="tx1"/>
                  </w14:solidFill>
                </w14:textFill>
              </w:rPr>
              <w:t>功能</w:t>
            </w:r>
            <w:r>
              <w:rPr>
                <w:rFonts w:eastAsiaTheme="minorEastAsia"/>
                <w:b/>
                <w:bCs/>
                <w:color w:val="000000" w:themeColor="text1"/>
                <w:spacing w:val="5"/>
                <w:sz w:val="21"/>
                <w:szCs w:val="21"/>
                <w:highlight w:val="none"/>
                <w14:textFill>
                  <w14:solidFill>
                    <w14:schemeClr w14:val="tx1"/>
                  </w14:solidFill>
                </w14:textFill>
              </w:rPr>
              <w:t>区</w:t>
            </w:r>
          </w:p>
        </w:tc>
      </w:tr>
      <w:tr w14:paraId="1F17E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829" w:type="dxa"/>
            <w:tcBorders>
              <w:tl2br w:val="nil"/>
              <w:tr2bl w:val="nil"/>
            </w:tcBorders>
            <w:vAlign w:val="center"/>
          </w:tcPr>
          <w:p w14:paraId="76FB9BFE">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大气</w:t>
            </w:r>
            <w:r>
              <w:rPr>
                <w:rFonts w:eastAsiaTheme="minorEastAsia"/>
                <w:color w:val="000000" w:themeColor="text1"/>
                <w:sz w:val="21"/>
                <w:szCs w:val="21"/>
                <w:highlight w:val="none"/>
                <w14:textFill>
                  <w14:solidFill>
                    <w14:schemeClr w14:val="tx1"/>
                  </w14:solidFill>
                </w14:textFill>
              </w:rPr>
              <w:t>环境风险</w:t>
            </w:r>
          </w:p>
        </w:tc>
        <w:tc>
          <w:tcPr>
            <w:tcW w:w="6169" w:type="dxa"/>
            <w:gridSpan w:val="7"/>
            <w:tcBorders>
              <w:tl2br w:val="nil"/>
              <w:tr2bl w:val="nil"/>
            </w:tcBorders>
            <w:vAlign w:val="center"/>
          </w:tcPr>
          <w:p w14:paraId="48522A38">
            <w:pPr>
              <w:spacing w:line="240" w:lineRule="auto"/>
              <w:ind w:firstLine="0" w:firstLineChars="0"/>
              <w:jc w:val="center"/>
              <w:rPr>
                <w:rFonts w:hint="default" w:eastAsiaTheme="minorEastAsia"/>
                <w:color w:val="000000" w:themeColor="text1"/>
                <w:spacing w:val="3"/>
                <w:sz w:val="21"/>
                <w:szCs w:val="21"/>
                <w:highlight w:val="none"/>
                <w:lang w:val="en-US" w:eastAsia="zh-CN"/>
                <w14:textFill>
                  <w14:solidFill>
                    <w14:schemeClr w14:val="tx1"/>
                  </w14:solidFill>
                </w14:textFill>
              </w:rPr>
            </w:pPr>
            <w:r>
              <w:rPr>
                <w:rFonts w:hint="default" w:eastAsiaTheme="minorEastAsia"/>
                <w:color w:val="000000" w:themeColor="text1"/>
                <w:spacing w:val="3"/>
                <w:sz w:val="21"/>
                <w:szCs w:val="21"/>
                <w:highlight w:val="none"/>
                <w:lang w:val="en-US" w:eastAsia="zh-CN"/>
                <w14:textFill>
                  <w14:solidFill>
                    <w14:schemeClr w14:val="tx1"/>
                  </w14:solidFill>
                </w14:textFill>
              </w:rPr>
              <w:t>项目周围3km范围内不涉及居住区等敏感目标</w:t>
            </w:r>
          </w:p>
        </w:tc>
        <w:tc>
          <w:tcPr>
            <w:tcW w:w="1789" w:type="dxa"/>
            <w:tcBorders>
              <w:tl2br w:val="nil"/>
              <w:tr2bl w:val="nil"/>
            </w:tcBorders>
            <w:vAlign w:val="center"/>
          </w:tcPr>
          <w:p w14:paraId="6825077B">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维持现有环境功能</w:t>
            </w:r>
          </w:p>
        </w:tc>
      </w:tr>
      <w:tr w14:paraId="7773A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29" w:type="dxa"/>
            <w:vMerge w:val="restart"/>
            <w:tcBorders>
              <w:tl2br w:val="nil"/>
              <w:tr2bl w:val="nil"/>
            </w:tcBorders>
            <w:vAlign w:val="center"/>
          </w:tcPr>
          <w:p w14:paraId="30ED6526">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地下水</w:t>
            </w:r>
          </w:p>
        </w:tc>
        <w:tc>
          <w:tcPr>
            <w:tcW w:w="1571" w:type="dxa"/>
            <w:tcBorders>
              <w:right w:val="single" w:color="auto" w:sz="4" w:space="0"/>
              <w:tl2br w:val="nil"/>
              <w:tr2bl w:val="nil"/>
            </w:tcBorders>
            <w:vAlign w:val="center"/>
          </w:tcPr>
          <w:p w14:paraId="3840A988">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 xml:space="preserve">蒙源水源井 </w:t>
            </w:r>
            <w:r>
              <w:rPr>
                <w:rFonts w:hint="default" w:eastAsiaTheme="minorEastAsia"/>
                <w:color w:val="000000" w:themeColor="text1"/>
                <w:sz w:val="21"/>
                <w:szCs w:val="21"/>
                <w:highlight w:val="none"/>
                <w:lang w:val="en-US" w:eastAsia="zh-CN"/>
                <w14:textFill>
                  <w14:solidFill>
                    <w14:schemeClr w14:val="tx1"/>
                  </w14:solidFill>
                </w14:textFill>
              </w:rPr>
              <w:t>1</w:t>
            </w:r>
          </w:p>
        </w:tc>
        <w:tc>
          <w:tcPr>
            <w:tcW w:w="1284" w:type="dxa"/>
            <w:gridSpan w:val="3"/>
            <w:vMerge w:val="restart"/>
            <w:tcBorders>
              <w:left w:val="single" w:color="auto" w:sz="4" w:space="0"/>
              <w:right w:val="single" w:color="auto" w:sz="4" w:space="0"/>
              <w:tl2br w:val="nil"/>
              <w:tr2bl w:val="nil"/>
            </w:tcBorders>
            <w:vAlign w:val="center"/>
          </w:tcPr>
          <w:p w14:paraId="39E41587">
            <w:pPr>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集中式饮用水水源井</w:t>
            </w:r>
          </w:p>
        </w:tc>
        <w:tc>
          <w:tcPr>
            <w:tcW w:w="961" w:type="dxa"/>
            <w:vMerge w:val="restart"/>
            <w:tcBorders>
              <w:left w:val="single" w:color="auto" w:sz="4" w:space="0"/>
              <w:tl2br w:val="nil"/>
              <w:tr2bl w:val="nil"/>
            </w:tcBorders>
            <w:vAlign w:val="center"/>
          </w:tcPr>
          <w:p w14:paraId="2D9B907C">
            <w:pPr>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供水范围：为园区和周边村庄供应生活用水</w:t>
            </w:r>
          </w:p>
        </w:tc>
        <w:tc>
          <w:tcPr>
            <w:tcW w:w="900" w:type="dxa"/>
            <w:tcBorders>
              <w:tl2br w:val="nil"/>
              <w:tr2bl w:val="nil"/>
            </w:tcBorders>
            <w:vAlign w:val="center"/>
          </w:tcPr>
          <w:p w14:paraId="3F3CF927">
            <w:pPr>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74774D42">
            <w:pPr>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1.296</w:t>
            </w:r>
          </w:p>
        </w:tc>
        <w:tc>
          <w:tcPr>
            <w:tcW w:w="1789" w:type="dxa"/>
            <w:vMerge w:val="restart"/>
            <w:tcBorders>
              <w:tl2br w:val="nil"/>
              <w:tr2bl w:val="nil"/>
            </w:tcBorders>
            <w:vAlign w:val="center"/>
          </w:tcPr>
          <w:p w14:paraId="6C8858B7">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pacing w:val="5"/>
                <w:sz w:val="21"/>
                <w:szCs w:val="21"/>
                <w:highlight w:val="none"/>
                <w14:textFill>
                  <w14:solidFill>
                    <w14:schemeClr w14:val="tx1"/>
                  </w14:solidFill>
                </w14:textFill>
              </w:rPr>
              <w:t>《地下</w:t>
            </w:r>
            <w:r>
              <w:rPr>
                <w:rFonts w:eastAsiaTheme="minorEastAsia"/>
                <w:color w:val="000000" w:themeColor="text1"/>
                <w:spacing w:val="6"/>
                <w:sz w:val="21"/>
                <w:szCs w:val="21"/>
                <w:highlight w:val="none"/>
                <w14:textFill>
                  <w14:solidFill>
                    <w14:schemeClr w14:val="tx1"/>
                  </w14:solidFill>
                </w14:textFill>
              </w:rPr>
              <w:t>水质量</w:t>
            </w:r>
          </w:p>
          <w:p w14:paraId="6D199450">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pacing w:val="3"/>
                <w:sz w:val="21"/>
                <w:szCs w:val="21"/>
                <w:highlight w:val="none"/>
                <w14:textFill>
                  <w14:solidFill>
                    <w14:schemeClr w14:val="tx1"/>
                  </w14:solidFill>
                </w14:textFill>
              </w:rPr>
              <w:t>标</w:t>
            </w:r>
            <w:r>
              <w:rPr>
                <w:rFonts w:eastAsiaTheme="minorEastAsia"/>
                <w:color w:val="000000" w:themeColor="text1"/>
                <w:spacing w:val="2"/>
                <w:sz w:val="21"/>
                <w:szCs w:val="21"/>
                <w:highlight w:val="none"/>
                <w14:textFill>
                  <w14:solidFill>
                    <w14:schemeClr w14:val="tx1"/>
                  </w14:solidFill>
                </w14:textFill>
              </w:rPr>
              <w:t>准》</w:t>
            </w:r>
            <w:r>
              <w:rPr>
                <w:rFonts w:eastAsiaTheme="minorEastAsia"/>
                <w:color w:val="000000" w:themeColor="text1"/>
                <w:spacing w:val="8"/>
                <w:sz w:val="21"/>
                <w:szCs w:val="21"/>
                <w:highlight w:val="none"/>
                <w14:textFill>
                  <w14:solidFill>
                    <w14:schemeClr w14:val="tx1"/>
                  </w14:solidFill>
                </w14:textFill>
              </w:rPr>
              <w:t>（</w:t>
            </w:r>
            <w:r>
              <w:rPr>
                <w:rFonts w:eastAsiaTheme="minorEastAsia"/>
                <w:color w:val="000000" w:themeColor="text1"/>
                <w:sz w:val="21"/>
                <w:szCs w:val="21"/>
                <w:highlight w:val="none"/>
                <w14:textFill>
                  <w14:solidFill>
                    <w14:schemeClr w14:val="tx1"/>
                  </w14:solidFill>
                </w14:textFill>
              </w:rPr>
              <w:t>GB</w:t>
            </w:r>
            <w:r>
              <w:rPr>
                <w:rFonts w:eastAsiaTheme="minorEastAsia"/>
                <w:color w:val="000000" w:themeColor="text1"/>
                <w:spacing w:val="6"/>
                <w:sz w:val="21"/>
                <w:szCs w:val="21"/>
                <w:highlight w:val="none"/>
                <w14:textFill>
                  <w14:solidFill>
                    <w14:schemeClr w14:val="tx1"/>
                  </w14:solidFill>
                </w14:textFill>
              </w:rPr>
              <w:t>/</w:t>
            </w:r>
            <w:r>
              <w:rPr>
                <w:rFonts w:eastAsiaTheme="minorEastAsia"/>
                <w:color w:val="000000" w:themeColor="text1"/>
                <w:sz w:val="21"/>
                <w:szCs w:val="21"/>
                <w:highlight w:val="none"/>
                <w14:textFill>
                  <w14:solidFill>
                    <w14:schemeClr w14:val="tx1"/>
                  </w14:solidFill>
                </w14:textFill>
              </w:rPr>
              <w:t>T</w:t>
            </w:r>
            <w:r>
              <w:rPr>
                <w:rFonts w:eastAsiaTheme="minorEastAsia"/>
                <w:color w:val="000000" w:themeColor="text1"/>
                <w:spacing w:val="6"/>
                <w:sz w:val="21"/>
                <w:szCs w:val="21"/>
                <w:highlight w:val="none"/>
                <w14:textFill>
                  <w14:solidFill>
                    <w14:schemeClr w14:val="tx1"/>
                  </w14:solidFill>
                </w14:textFill>
              </w:rPr>
              <w:t>14</w:t>
            </w:r>
          </w:p>
          <w:p w14:paraId="1E0DAAFD">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pacing w:val="3"/>
                <w:sz w:val="21"/>
                <w:szCs w:val="21"/>
                <w:highlight w:val="none"/>
                <w14:textFill>
                  <w14:solidFill>
                    <w14:schemeClr w14:val="tx1"/>
                  </w14:solidFill>
                </w14:textFill>
              </w:rPr>
              <w:t>848-20</w:t>
            </w:r>
            <w:r>
              <w:rPr>
                <w:rFonts w:eastAsiaTheme="minorEastAsia"/>
                <w:color w:val="000000" w:themeColor="text1"/>
                <w:spacing w:val="2"/>
                <w:sz w:val="21"/>
                <w:szCs w:val="21"/>
                <w:highlight w:val="none"/>
                <w14:textFill>
                  <w14:solidFill>
                    <w14:schemeClr w14:val="tx1"/>
                  </w14:solidFill>
                </w14:textFill>
              </w:rPr>
              <w:t>1</w:t>
            </w:r>
            <w:r>
              <w:rPr>
                <w:rFonts w:eastAsiaTheme="minorEastAsia"/>
                <w:color w:val="000000" w:themeColor="text1"/>
                <w:spacing w:val="6"/>
                <w:position w:val="2"/>
                <w:sz w:val="21"/>
                <w:szCs w:val="21"/>
                <w:highlight w:val="none"/>
                <w14:textFill>
                  <w14:solidFill>
                    <w14:schemeClr w14:val="tx1"/>
                  </w14:solidFill>
                </w14:textFill>
              </w:rPr>
              <w:t>7</w:t>
            </w:r>
            <w:r>
              <w:rPr>
                <w:rFonts w:eastAsiaTheme="minorEastAsia"/>
                <w:color w:val="000000" w:themeColor="text1"/>
                <w:spacing w:val="4"/>
                <w:position w:val="2"/>
                <w:sz w:val="21"/>
                <w:szCs w:val="21"/>
                <w:highlight w:val="none"/>
                <w14:textFill>
                  <w14:solidFill>
                    <w14:schemeClr w14:val="tx1"/>
                  </w14:solidFill>
                </w14:textFill>
              </w:rPr>
              <w:t>）中的</w:t>
            </w:r>
          </w:p>
          <w:p w14:paraId="2AAC5469">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pacing w:val="8"/>
                <w:sz w:val="21"/>
                <w:szCs w:val="21"/>
                <w:highlight w:val="none"/>
                <w14:textFill>
                  <w14:solidFill>
                    <w14:schemeClr w14:val="tx1"/>
                  </w14:solidFill>
                </w14:textFill>
              </w:rPr>
              <w:t>Ⅲ</w:t>
            </w:r>
            <w:r>
              <w:rPr>
                <w:rFonts w:eastAsiaTheme="minorEastAsia"/>
                <w:color w:val="000000" w:themeColor="text1"/>
                <w:spacing w:val="7"/>
                <w:sz w:val="21"/>
                <w:szCs w:val="21"/>
                <w:highlight w:val="none"/>
                <w14:textFill>
                  <w14:solidFill>
                    <w14:schemeClr w14:val="tx1"/>
                  </w14:solidFill>
                </w14:textFill>
              </w:rPr>
              <w:t>类标</w:t>
            </w:r>
            <w:r>
              <w:rPr>
                <w:rFonts w:eastAsiaTheme="minorEastAsia"/>
                <w:color w:val="000000" w:themeColor="text1"/>
                <w:spacing w:val="-6"/>
                <w:sz w:val="21"/>
                <w:szCs w:val="21"/>
                <w:highlight w:val="none"/>
                <w14:textFill>
                  <w14:solidFill>
                    <w14:schemeClr w14:val="tx1"/>
                  </w14:solidFill>
                </w14:textFill>
              </w:rPr>
              <w:t>准</w:t>
            </w:r>
            <w:r>
              <w:rPr>
                <w:rFonts w:eastAsiaTheme="minorEastAsia"/>
                <w:color w:val="000000" w:themeColor="text1"/>
                <w:spacing w:val="-4"/>
                <w:sz w:val="21"/>
                <w:szCs w:val="21"/>
                <w:highlight w:val="none"/>
                <w14:textFill>
                  <w14:solidFill>
                    <w14:schemeClr w14:val="tx1"/>
                  </w14:solidFill>
                </w14:textFill>
              </w:rPr>
              <w:t>，地下</w:t>
            </w:r>
          </w:p>
          <w:p w14:paraId="5A2B5F31">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pacing w:val="6"/>
                <w:sz w:val="21"/>
                <w:szCs w:val="21"/>
                <w:highlight w:val="none"/>
                <w14:textFill>
                  <w14:solidFill>
                    <w14:schemeClr w14:val="tx1"/>
                  </w14:solidFill>
                </w14:textFill>
              </w:rPr>
              <w:t>水质量不因</w:t>
            </w:r>
            <w:r>
              <w:rPr>
                <w:rFonts w:eastAsiaTheme="minorEastAsia"/>
                <w:color w:val="000000" w:themeColor="text1"/>
                <w:spacing w:val="5"/>
                <w:sz w:val="21"/>
                <w:szCs w:val="21"/>
                <w:highlight w:val="none"/>
                <w14:textFill>
                  <w14:solidFill>
                    <w14:schemeClr w14:val="tx1"/>
                  </w14:solidFill>
                </w14:textFill>
              </w:rPr>
              <w:t>项</w:t>
            </w:r>
            <w:r>
              <w:rPr>
                <w:rFonts w:eastAsiaTheme="minorEastAsia"/>
                <w:color w:val="000000" w:themeColor="text1"/>
                <w:spacing w:val="-8"/>
                <w:sz w:val="21"/>
                <w:szCs w:val="21"/>
                <w:highlight w:val="none"/>
                <w14:textFill>
                  <w14:solidFill>
                    <w14:schemeClr w14:val="tx1"/>
                  </w14:solidFill>
                </w14:textFill>
              </w:rPr>
              <w:t>目</w:t>
            </w:r>
            <w:r>
              <w:rPr>
                <w:rFonts w:eastAsiaTheme="minorEastAsia"/>
                <w:color w:val="000000" w:themeColor="text1"/>
                <w:spacing w:val="-6"/>
                <w:sz w:val="21"/>
                <w:szCs w:val="21"/>
                <w:highlight w:val="none"/>
                <w14:textFill>
                  <w14:solidFill>
                    <w14:schemeClr w14:val="tx1"/>
                  </w14:solidFill>
                </w14:textFill>
              </w:rPr>
              <w:t>建设</w:t>
            </w:r>
            <w:r>
              <w:rPr>
                <w:rFonts w:eastAsiaTheme="minorEastAsia"/>
                <w:color w:val="000000" w:themeColor="text1"/>
                <w:spacing w:val="7"/>
                <w:sz w:val="21"/>
                <w:szCs w:val="21"/>
                <w:highlight w:val="none"/>
                <w14:textFill>
                  <w14:solidFill>
                    <w14:schemeClr w14:val="tx1"/>
                  </w14:solidFill>
                </w14:textFill>
              </w:rPr>
              <w:t>运营</w:t>
            </w:r>
            <w:r>
              <w:rPr>
                <w:rFonts w:eastAsiaTheme="minorEastAsia"/>
                <w:color w:val="000000" w:themeColor="text1"/>
                <w:spacing w:val="6"/>
                <w:sz w:val="21"/>
                <w:szCs w:val="21"/>
                <w:highlight w:val="none"/>
                <w14:textFill>
                  <w14:solidFill>
                    <w14:schemeClr w14:val="tx1"/>
                  </w14:solidFill>
                </w14:textFill>
              </w:rPr>
              <w:t>而</w:t>
            </w:r>
            <w:r>
              <w:rPr>
                <w:rFonts w:eastAsiaTheme="minorEastAsia"/>
                <w:color w:val="000000" w:themeColor="text1"/>
                <w:spacing w:val="4"/>
                <w:sz w:val="21"/>
                <w:szCs w:val="21"/>
                <w:highlight w:val="none"/>
                <w14:textFill>
                  <w14:solidFill>
                    <w14:schemeClr w14:val="tx1"/>
                  </w14:solidFill>
                </w14:textFill>
              </w:rPr>
              <w:t>恶化</w:t>
            </w:r>
          </w:p>
        </w:tc>
      </w:tr>
      <w:tr w14:paraId="3A6E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829" w:type="dxa"/>
            <w:vMerge w:val="continue"/>
            <w:tcBorders>
              <w:tl2br w:val="nil"/>
              <w:tr2bl w:val="nil"/>
            </w:tcBorders>
            <w:vAlign w:val="center"/>
          </w:tcPr>
          <w:p w14:paraId="3E399E10">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3C009A8A">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2</w:t>
            </w:r>
          </w:p>
        </w:tc>
        <w:tc>
          <w:tcPr>
            <w:tcW w:w="1284" w:type="dxa"/>
            <w:gridSpan w:val="3"/>
            <w:vMerge w:val="continue"/>
            <w:tcBorders>
              <w:left w:val="single" w:color="auto" w:sz="4" w:space="0"/>
              <w:right w:val="single" w:color="auto" w:sz="4" w:space="0"/>
              <w:tl2br w:val="nil"/>
              <w:tr2bl w:val="nil"/>
            </w:tcBorders>
            <w:vAlign w:val="center"/>
          </w:tcPr>
          <w:p w14:paraId="6E1E4418">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125D3A2D">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2F5B1EF2">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6969CC5C">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1.503</w:t>
            </w:r>
          </w:p>
        </w:tc>
        <w:tc>
          <w:tcPr>
            <w:tcW w:w="1789" w:type="dxa"/>
            <w:vMerge w:val="continue"/>
            <w:tcBorders>
              <w:tl2br w:val="nil"/>
              <w:tr2bl w:val="nil"/>
            </w:tcBorders>
            <w:vAlign w:val="center"/>
          </w:tcPr>
          <w:p w14:paraId="75AE6884">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54AD8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jc w:val="center"/>
        </w:trPr>
        <w:tc>
          <w:tcPr>
            <w:tcW w:w="829" w:type="dxa"/>
            <w:vMerge w:val="continue"/>
            <w:tcBorders>
              <w:tl2br w:val="nil"/>
              <w:tr2bl w:val="nil"/>
            </w:tcBorders>
            <w:vAlign w:val="center"/>
          </w:tcPr>
          <w:p w14:paraId="4C1B0D25">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731DFD76">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3</w:t>
            </w:r>
          </w:p>
        </w:tc>
        <w:tc>
          <w:tcPr>
            <w:tcW w:w="1284" w:type="dxa"/>
            <w:gridSpan w:val="3"/>
            <w:vMerge w:val="continue"/>
            <w:tcBorders>
              <w:left w:val="single" w:color="auto" w:sz="4" w:space="0"/>
              <w:right w:val="single" w:color="auto" w:sz="4" w:space="0"/>
              <w:tl2br w:val="nil"/>
              <w:tr2bl w:val="nil"/>
            </w:tcBorders>
            <w:vAlign w:val="center"/>
          </w:tcPr>
          <w:p w14:paraId="487B3E89">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2C51F17B">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0E8927CF">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7A044C9B">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1.802</w:t>
            </w:r>
          </w:p>
        </w:tc>
        <w:tc>
          <w:tcPr>
            <w:tcW w:w="1789" w:type="dxa"/>
            <w:vMerge w:val="continue"/>
            <w:tcBorders>
              <w:tl2br w:val="nil"/>
              <w:tr2bl w:val="nil"/>
            </w:tcBorders>
            <w:vAlign w:val="center"/>
          </w:tcPr>
          <w:p w14:paraId="2E5248D9">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5A626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6FDF02FE">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164588EB">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4</w:t>
            </w:r>
          </w:p>
        </w:tc>
        <w:tc>
          <w:tcPr>
            <w:tcW w:w="1284" w:type="dxa"/>
            <w:gridSpan w:val="3"/>
            <w:vMerge w:val="continue"/>
            <w:tcBorders>
              <w:left w:val="single" w:color="auto" w:sz="4" w:space="0"/>
              <w:right w:val="single" w:color="auto" w:sz="4" w:space="0"/>
              <w:tl2br w:val="nil"/>
              <w:tr2bl w:val="nil"/>
            </w:tcBorders>
            <w:vAlign w:val="center"/>
          </w:tcPr>
          <w:p w14:paraId="54493AFC">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662E9CA2">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52603945">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3FC4EC87">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1.984</w:t>
            </w:r>
          </w:p>
        </w:tc>
        <w:tc>
          <w:tcPr>
            <w:tcW w:w="1789" w:type="dxa"/>
            <w:vMerge w:val="continue"/>
            <w:tcBorders>
              <w:tl2br w:val="nil"/>
              <w:tr2bl w:val="nil"/>
            </w:tcBorders>
            <w:vAlign w:val="center"/>
          </w:tcPr>
          <w:p w14:paraId="0B8C5E37">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72E3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0A29C372">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2E527099">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5</w:t>
            </w:r>
          </w:p>
        </w:tc>
        <w:tc>
          <w:tcPr>
            <w:tcW w:w="1284" w:type="dxa"/>
            <w:gridSpan w:val="3"/>
            <w:vMerge w:val="continue"/>
            <w:tcBorders>
              <w:left w:val="single" w:color="auto" w:sz="4" w:space="0"/>
              <w:right w:val="single" w:color="auto" w:sz="4" w:space="0"/>
              <w:tl2br w:val="nil"/>
              <w:tr2bl w:val="nil"/>
            </w:tcBorders>
            <w:vAlign w:val="center"/>
          </w:tcPr>
          <w:p w14:paraId="65932BF5">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23E58B7E">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297B22E4">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33299107">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2.017</w:t>
            </w:r>
          </w:p>
        </w:tc>
        <w:tc>
          <w:tcPr>
            <w:tcW w:w="1789" w:type="dxa"/>
            <w:vMerge w:val="continue"/>
            <w:tcBorders>
              <w:tl2br w:val="nil"/>
              <w:tr2bl w:val="nil"/>
            </w:tcBorders>
            <w:vAlign w:val="center"/>
          </w:tcPr>
          <w:p w14:paraId="78692CD3">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221DD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27F361B7">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53EF014B">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6</w:t>
            </w:r>
          </w:p>
        </w:tc>
        <w:tc>
          <w:tcPr>
            <w:tcW w:w="1284" w:type="dxa"/>
            <w:gridSpan w:val="3"/>
            <w:vMerge w:val="continue"/>
            <w:tcBorders>
              <w:left w:val="single" w:color="auto" w:sz="4" w:space="0"/>
              <w:right w:val="single" w:color="auto" w:sz="4" w:space="0"/>
              <w:tl2br w:val="nil"/>
              <w:tr2bl w:val="nil"/>
            </w:tcBorders>
            <w:vAlign w:val="center"/>
          </w:tcPr>
          <w:p w14:paraId="15BD6244">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565A6D8C">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68BD416F">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7D7032C2">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2.135</w:t>
            </w:r>
          </w:p>
        </w:tc>
        <w:tc>
          <w:tcPr>
            <w:tcW w:w="1789" w:type="dxa"/>
            <w:vMerge w:val="continue"/>
            <w:tcBorders>
              <w:tl2br w:val="nil"/>
              <w:tr2bl w:val="nil"/>
            </w:tcBorders>
            <w:vAlign w:val="center"/>
          </w:tcPr>
          <w:p w14:paraId="40BF499B">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3BDCE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043B72F8">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1748368A">
            <w:pPr>
              <w:spacing w:line="240" w:lineRule="auto"/>
              <w:ind w:firstLine="0" w:firstLineChars="0"/>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蒙源水源井 7</w:t>
            </w:r>
          </w:p>
        </w:tc>
        <w:tc>
          <w:tcPr>
            <w:tcW w:w="1284" w:type="dxa"/>
            <w:gridSpan w:val="3"/>
            <w:vMerge w:val="continue"/>
            <w:tcBorders>
              <w:left w:val="single" w:color="auto" w:sz="4" w:space="0"/>
              <w:right w:val="single" w:color="auto" w:sz="4" w:space="0"/>
              <w:tl2br w:val="nil"/>
              <w:tr2bl w:val="nil"/>
            </w:tcBorders>
            <w:vAlign w:val="center"/>
          </w:tcPr>
          <w:p w14:paraId="11E647DB">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04BA4613">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742EBA0E">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NW</w:t>
            </w:r>
          </w:p>
        </w:tc>
        <w:tc>
          <w:tcPr>
            <w:tcW w:w="1453" w:type="dxa"/>
            <w:tcBorders>
              <w:tl2br w:val="nil"/>
              <w:tr2bl w:val="nil"/>
            </w:tcBorders>
            <w:vAlign w:val="center"/>
          </w:tcPr>
          <w:p w14:paraId="5900801F">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2.237</w:t>
            </w:r>
          </w:p>
        </w:tc>
        <w:tc>
          <w:tcPr>
            <w:tcW w:w="1789" w:type="dxa"/>
            <w:vMerge w:val="continue"/>
            <w:tcBorders>
              <w:tl2br w:val="nil"/>
              <w:tr2bl w:val="nil"/>
            </w:tcBorders>
            <w:vAlign w:val="center"/>
          </w:tcPr>
          <w:p w14:paraId="75183F70">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2E15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08E94702">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35173679">
            <w:pPr>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10#</w:t>
            </w:r>
          </w:p>
        </w:tc>
        <w:tc>
          <w:tcPr>
            <w:tcW w:w="1284" w:type="dxa"/>
            <w:gridSpan w:val="3"/>
            <w:vMerge w:val="restart"/>
            <w:tcBorders>
              <w:left w:val="single" w:color="auto" w:sz="4" w:space="0"/>
              <w:right w:val="single" w:color="auto" w:sz="4" w:space="0"/>
              <w:tl2br w:val="nil"/>
              <w:tr2bl w:val="nil"/>
            </w:tcBorders>
            <w:vAlign w:val="center"/>
          </w:tcPr>
          <w:p w14:paraId="0840310B">
            <w:pPr>
              <w:spacing w:line="240" w:lineRule="auto"/>
              <w:ind w:firstLine="0" w:firstLineChars="0"/>
              <w:jc w:val="center"/>
              <w:rPr>
                <w:rFonts w:hint="default" w:eastAsiaTheme="minorEastAsia"/>
                <w:color w:val="000000" w:themeColor="text1"/>
                <w:spacing w:val="6"/>
                <w:sz w:val="21"/>
                <w:szCs w:val="21"/>
                <w:highlight w:val="none"/>
                <w:lang w:val="en-US" w:eastAsia="zh-CN"/>
                <w14:textFill>
                  <w14:solidFill>
                    <w14:schemeClr w14:val="tx1"/>
                  </w14:solidFill>
                </w14:textFill>
              </w:rPr>
            </w:pPr>
            <w:r>
              <w:rPr>
                <w:rFonts w:hint="eastAsia" w:eastAsiaTheme="minorEastAsia"/>
                <w:color w:val="000000" w:themeColor="text1"/>
                <w:spacing w:val="6"/>
                <w:sz w:val="21"/>
                <w:szCs w:val="21"/>
                <w:highlight w:val="none"/>
                <w:lang w:val="en-US" w:eastAsia="zh-CN"/>
                <w14:textFill>
                  <w14:solidFill>
                    <w14:schemeClr w14:val="tx1"/>
                  </w14:solidFill>
                </w14:textFill>
              </w:rPr>
              <w:t>分散式饮用水水源井</w:t>
            </w:r>
          </w:p>
        </w:tc>
        <w:tc>
          <w:tcPr>
            <w:tcW w:w="961" w:type="dxa"/>
            <w:vMerge w:val="restart"/>
            <w:tcBorders>
              <w:left w:val="single" w:color="auto" w:sz="4" w:space="0"/>
              <w:tl2br w:val="nil"/>
              <w:tr2bl w:val="nil"/>
            </w:tcBorders>
            <w:vAlign w:val="center"/>
          </w:tcPr>
          <w:p w14:paraId="1115E79E">
            <w:pPr>
              <w:spacing w:line="240" w:lineRule="auto"/>
              <w:ind w:firstLine="0" w:firstLineChars="0"/>
              <w:jc w:val="center"/>
              <w:rPr>
                <w:rFonts w:hint="default" w:eastAsiaTheme="minorEastAsia"/>
                <w:color w:val="000000" w:themeColor="text1"/>
                <w:spacing w:val="6"/>
                <w:sz w:val="21"/>
                <w:szCs w:val="21"/>
                <w:highlight w:val="none"/>
                <w:lang w:val="en-US" w:eastAsia="zh-CN"/>
                <w14:textFill>
                  <w14:solidFill>
                    <w14:schemeClr w14:val="tx1"/>
                  </w14:solidFill>
                </w14:textFill>
              </w:rPr>
            </w:pPr>
            <w:r>
              <w:rPr>
                <w:rFonts w:hint="eastAsia" w:eastAsiaTheme="minorEastAsia"/>
                <w:color w:val="000000" w:themeColor="text1"/>
                <w:spacing w:val="6"/>
                <w:sz w:val="21"/>
                <w:szCs w:val="21"/>
                <w:highlight w:val="none"/>
                <w:lang w:val="en-US" w:eastAsia="zh-CN"/>
                <w14:textFill>
                  <w14:solidFill>
                    <w14:schemeClr w14:val="tx1"/>
                  </w14:solidFill>
                </w14:textFill>
              </w:rPr>
              <w:t>东四义堂村民水源井</w:t>
            </w:r>
          </w:p>
        </w:tc>
        <w:tc>
          <w:tcPr>
            <w:tcW w:w="900" w:type="dxa"/>
            <w:tcBorders>
              <w:tl2br w:val="nil"/>
              <w:tr2bl w:val="nil"/>
            </w:tcBorders>
            <w:vAlign w:val="center"/>
          </w:tcPr>
          <w:p w14:paraId="24F6E8CA">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SW</w:t>
            </w:r>
          </w:p>
        </w:tc>
        <w:tc>
          <w:tcPr>
            <w:tcW w:w="1453" w:type="dxa"/>
            <w:tcBorders>
              <w:tl2br w:val="nil"/>
              <w:tr2bl w:val="nil"/>
            </w:tcBorders>
            <w:vAlign w:val="center"/>
          </w:tcPr>
          <w:p w14:paraId="2E0D947C">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4.67</w:t>
            </w:r>
          </w:p>
        </w:tc>
        <w:tc>
          <w:tcPr>
            <w:tcW w:w="1789" w:type="dxa"/>
            <w:vMerge w:val="continue"/>
            <w:tcBorders>
              <w:tl2br w:val="nil"/>
              <w:tr2bl w:val="nil"/>
            </w:tcBorders>
            <w:vAlign w:val="center"/>
          </w:tcPr>
          <w:p w14:paraId="5E0B48CE">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r w14:paraId="5022F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829" w:type="dxa"/>
            <w:vMerge w:val="continue"/>
            <w:tcBorders>
              <w:tl2br w:val="nil"/>
              <w:tr2bl w:val="nil"/>
            </w:tcBorders>
            <w:vAlign w:val="center"/>
          </w:tcPr>
          <w:p w14:paraId="720A25CC">
            <w:pPr>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p>
        </w:tc>
        <w:tc>
          <w:tcPr>
            <w:tcW w:w="1571" w:type="dxa"/>
            <w:tcBorders>
              <w:right w:val="single" w:color="auto" w:sz="4" w:space="0"/>
              <w:tl2br w:val="nil"/>
              <w:tr2bl w:val="nil"/>
            </w:tcBorders>
            <w:vAlign w:val="center"/>
          </w:tcPr>
          <w:p w14:paraId="7927B94C">
            <w:pPr>
              <w:spacing w:line="240" w:lineRule="auto"/>
              <w:ind w:firstLine="0" w:firstLineChars="0"/>
              <w:jc w:val="center"/>
              <w:rPr>
                <w:rFonts w:hint="default" w:eastAsiaTheme="minorEastAsia"/>
                <w:color w:val="000000" w:themeColor="text1"/>
                <w:spacing w:val="6"/>
                <w:sz w:val="21"/>
                <w:szCs w:val="21"/>
                <w:highlight w:val="none"/>
                <w:lang w:val="en-US" w:eastAsia="zh-CN"/>
                <w14:textFill>
                  <w14:solidFill>
                    <w14:schemeClr w14:val="tx1"/>
                  </w14:solidFill>
                </w14:textFill>
              </w:rPr>
            </w:pPr>
            <w:r>
              <w:rPr>
                <w:rFonts w:hint="eastAsia" w:eastAsiaTheme="minorEastAsia"/>
                <w:color w:val="000000" w:themeColor="text1"/>
                <w:spacing w:val="6"/>
                <w:sz w:val="21"/>
                <w:szCs w:val="21"/>
                <w:highlight w:val="none"/>
                <w:lang w:val="en-US" w:eastAsia="zh-CN"/>
                <w14:textFill>
                  <w14:solidFill>
                    <w14:schemeClr w14:val="tx1"/>
                  </w14:solidFill>
                </w14:textFill>
              </w:rPr>
              <w:t>17#</w:t>
            </w:r>
          </w:p>
        </w:tc>
        <w:tc>
          <w:tcPr>
            <w:tcW w:w="1284" w:type="dxa"/>
            <w:gridSpan w:val="3"/>
            <w:vMerge w:val="continue"/>
            <w:tcBorders>
              <w:left w:val="single" w:color="auto" w:sz="4" w:space="0"/>
              <w:right w:val="single" w:color="auto" w:sz="4" w:space="0"/>
              <w:tl2br w:val="nil"/>
              <w:tr2bl w:val="nil"/>
            </w:tcBorders>
            <w:vAlign w:val="center"/>
          </w:tcPr>
          <w:p w14:paraId="3B19D4F5">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61" w:type="dxa"/>
            <w:vMerge w:val="continue"/>
            <w:tcBorders>
              <w:left w:val="single" w:color="auto" w:sz="4" w:space="0"/>
              <w:tl2br w:val="nil"/>
              <w:tr2bl w:val="nil"/>
            </w:tcBorders>
            <w:vAlign w:val="center"/>
          </w:tcPr>
          <w:p w14:paraId="6FCB85F9">
            <w:pPr>
              <w:spacing w:line="240" w:lineRule="auto"/>
              <w:ind w:firstLine="0" w:firstLineChars="0"/>
              <w:jc w:val="center"/>
              <w:rPr>
                <w:rFonts w:eastAsiaTheme="minorEastAsia"/>
                <w:color w:val="000000" w:themeColor="text1"/>
                <w:spacing w:val="6"/>
                <w:sz w:val="21"/>
                <w:szCs w:val="21"/>
                <w:highlight w:val="none"/>
                <w14:textFill>
                  <w14:solidFill>
                    <w14:schemeClr w14:val="tx1"/>
                  </w14:solidFill>
                </w14:textFill>
              </w:rPr>
            </w:pPr>
          </w:p>
        </w:tc>
        <w:tc>
          <w:tcPr>
            <w:tcW w:w="900" w:type="dxa"/>
            <w:tcBorders>
              <w:tl2br w:val="nil"/>
              <w:tr2bl w:val="nil"/>
            </w:tcBorders>
            <w:vAlign w:val="center"/>
          </w:tcPr>
          <w:p w14:paraId="41F3FE2C">
            <w:pPr>
              <w:spacing w:line="240" w:lineRule="auto"/>
              <w:ind w:firstLine="0" w:firstLineChars="0"/>
              <w:jc w:val="center"/>
              <w:rPr>
                <w:rFonts w:eastAsiaTheme="minorEastAsia"/>
                <w:color w:val="000000" w:themeColor="text1"/>
                <w:spacing w:val="2"/>
                <w:position w:val="2"/>
                <w:sz w:val="21"/>
                <w:szCs w:val="21"/>
                <w:highlight w:val="none"/>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SW</w:t>
            </w:r>
          </w:p>
        </w:tc>
        <w:tc>
          <w:tcPr>
            <w:tcW w:w="1453" w:type="dxa"/>
            <w:tcBorders>
              <w:tl2br w:val="nil"/>
              <w:tr2bl w:val="nil"/>
            </w:tcBorders>
            <w:vAlign w:val="center"/>
          </w:tcPr>
          <w:p w14:paraId="183DEF07">
            <w:pPr>
              <w:spacing w:line="240" w:lineRule="auto"/>
              <w:ind w:firstLine="0" w:firstLineChars="0"/>
              <w:jc w:val="center"/>
              <w:rPr>
                <w:rFonts w:hint="default" w:eastAsiaTheme="minorEastAsia"/>
                <w:color w:val="000000" w:themeColor="text1"/>
                <w:spacing w:val="2"/>
                <w:position w:val="2"/>
                <w:sz w:val="21"/>
                <w:szCs w:val="21"/>
                <w:highlight w:val="none"/>
                <w:lang w:val="en-US" w:eastAsia="zh-CN"/>
                <w14:textFill>
                  <w14:solidFill>
                    <w14:schemeClr w14:val="tx1"/>
                  </w14:solidFill>
                </w14:textFill>
              </w:rPr>
            </w:pPr>
            <w:r>
              <w:rPr>
                <w:rFonts w:hint="eastAsia" w:eastAsiaTheme="minorEastAsia"/>
                <w:color w:val="000000" w:themeColor="text1"/>
                <w:spacing w:val="2"/>
                <w:position w:val="2"/>
                <w:sz w:val="21"/>
                <w:szCs w:val="21"/>
                <w:highlight w:val="none"/>
                <w:lang w:val="en-US" w:eastAsia="zh-CN"/>
                <w14:textFill>
                  <w14:solidFill>
                    <w14:schemeClr w14:val="tx1"/>
                  </w14:solidFill>
                </w14:textFill>
              </w:rPr>
              <w:t>4.638</w:t>
            </w:r>
          </w:p>
        </w:tc>
        <w:tc>
          <w:tcPr>
            <w:tcW w:w="1789" w:type="dxa"/>
            <w:vMerge w:val="continue"/>
            <w:tcBorders>
              <w:tl2br w:val="nil"/>
              <w:tr2bl w:val="nil"/>
            </w:tcBorders>
            <w:vAlign w:val="center"/>
          </w:tcPr>
          <w:p w14:paraId="5BB0E649">
            <w:pPr>
              <w:spacing w:line="240" w:lineRule="auto"/>
              <w:ind w:firstLine="0" w:firstLineChars="0"/>
              <w:jc w:val="center"/>
              <w:rPr>
                <w:rFonts w:eastAsiaTheme="minorEastAsia"/>
                <w:color w:val="000000" w:themeColor="text1"/>
                <w:spacing w:val="4"/>
                <w:sz w:val="21"/>
                <w:szCs w:val="21"/>
                <w:highlight w:val="none"/>
                <w14:textFill>
                  <w14:solidFill>
                    <w14:schemeClr w14:val="tx1"/>
                  </w14:solidFill>
                </w14:textFill>
              </w:rPr>
            </w:pPr>
          </w:p>
        </w:tc>
      </w:tr>
    </w:tbl>
    <w:p w14:paraId="73DBF0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2559685</wp:posOffset>
                </wp:positionH>
                <wp:positionV relativeFrom="paragraph">
                  <wp:posOffset>3637915</wp:posOffset>
                </wp:positionV>
                <wp:extent cx="330200" cy="336550"/>
                <wp:effectExtent l="0" t="8890" r="12700" b="16510"/>
                <wp:wrapNone/>
                <wp:docPr id="141" name="直接箭头连接符 141"/>
                <wp:cNvGraphicFramePr/>
                <a:graphic xmlns:a="http://schemas.openxmlformats.org/drawingml/2006/main">
                  <a:graphicData uri="http://schemas.microsoft.com/office/word/2010/wordprocessingShape">
                    <wps:wsp>
                      <wps:cNvCnPr/>
                      <wps:spPr>
                        <a:xfrm flipH="1">
                          <a:off x="0" y="0"/>
                          <a:ext cx="330200" cy="336550"/>
                        </a:xfrm>
                        <a:prstGeom prst="straightConnector1">
                          <a:avLst/>
                        </a:prstGeom>
                        <a:ln>
                          <a:solidFill>
                            <a:srgbClr val="060BF8"/>
                          </a:solidFill>
                          <a:tailEnd type="triangle" w="sm"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1.55pt;margin-top:286.45pt;height:26.5pt;width:26pt;z-index:251667456;mso-width-relative:page;mso-height-relative:page;" filled="f" stroked="t" coordsize="21600,21600" o:gfxdata="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jDTWtwAAAALAQAADwAA&#10;AAAAAAABACAAAAAiAAAAZHJzL2Rvd25yZXYueG1sUEsBAhQAFAAAAAgAh07iQEqEAGwSAgAA7QMA&#10;AA4AAAAAAAAAAQAgAAAAKwEAAGRycy9lMm9Eb2MueG1sUEsFBgAAAAAGAAYAWQEAAK8FAAAAAA==&#10;">
                <v:fill on="f" focussize="0,0"/>
                <v:stroke weight="2pt" color="#060BF8 [3204]" joinstyle="round" endarrow="block" endarrowwidth="narrow" endarrowlength="long"/>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2959735</wp:posOffset>
                </wp:positionH>
                <wp:positionV relativeFrom="paragraph">
                  <wp:posOffset>3542665</wp:posOffset>
                </wp:positionV>
                <wp:extent cx="330200" cy="336550"/>
                <wp:effectExtent l="0" t="8890" r="12700" b="16510"/>
                <wp:wrapNone/>
                <wp:docPr id="140" name="直接箭头连接符 140"/>
                <wp:cNvGraphicFramePr/>
                <a:graphic xmlns:a="http://schemas.openxmlformats.org/drawingml/2006/main">
                  <a:graphicData uri="http://schemas.microsoft.com/office/word/2010/wordprocessingShape">
                    <wps:wsp>
                      <wps:cNvCnPr/>
                      <wps:spPr>
                        <a:xfrm flipH="1">
                          <a:off x="0" y="0"/>
                          <a:ext cx="330200" cy="336550"/>
                        </a:xfrm>
                        <a:prstGeom prst="straightConnector1">
                          <a:avLst/>
                        </a:prstGeom>
                        <a:ln>
                          <a:solidFill>
                            <a:srgbClr val="060BF8"/>
                          </a:solidFill>
                          <a:tailEnd type="triangle" w="sm"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3.05pt;margin-top:278.95pt;height:26.5pt;width:26pt;z-index:251666432;mso-width-relative:page;mso-height-relative:page;" filled="f" stroked="t" coordsize="21600,21600" o:gfxdata="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8l9L7bAAAACwEAAA8AAAAA&#10;AAAAAQAgAAAAIgAAAGRycy9kb3ducmV2LnhtbFBLAQIUABQAAAAIAIdO4kDgLySSEQIAAO0DAAAO&#10;AAAAAAAAAAEAIAAAACoBAABkcnMvZTJvRG9jLnhtbFBLBQYAAAAABgAGAFkBAACtBQAAAAA=&#10;">
                <v:fill on="f" focussize="0,0"/>
                <v:stroke weight="2pt" color="#060BF8 [3204]" joinstyle="round" endarrow="block" endarrowwidth="narrow" endarrowlength="long"/>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3264535</wp:posOffset>
                </wp:positionH>
                <wp:positionV relativeFrom="paragraph">
                  <wp:posOffset>3517265</wp:posOffset>
                </wp:positionV>
                <wp:extent cx="330200" cy="336550"/>
                <wp:effectExtent l="0" t="8890" r="12700" b="16510"/>
                <wp:wrapNone/>
                <wp:docPr id="139" name="直接箭头连接符 139"/>
                <wp:cNvGraphicFramePr/>
                <a:graphic xmlns:a="http://schemas.openxmlformats.org/drawingml/2006/main">
                  <a:graphicData uri="http://schemas.microsoft.com/office/word/2010/wordprocessingShape">
                    <wps:wsp>
                      <wps:cNvCnPr/>
                      <wps:spPr>
                        <a:xfrm flipH="1">
                          <a:off x="4272280" y="4417060"/>
                          <a:ext cx="330200" cy="336550"/>
                        </a:xfrm>
                        <a:prstGeom prst="straightConnector1">
                          <a:avLst/>
                        </a:prstGeom>
                        <a:ln>
                          <a:solidFill>
                            <a:srgbClr val="060BF8"/>
                          </a:solidFill>
                          <a:tailEnd type="triangle" w="sm"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7.05pt;margin-top:276.95pt;height:26.5pt;width:26pt;z-index:251665408;mso-width-relative:page;mso-height-relative:page;" filled="f" stroked="t" coordsize="21600,21600" o:gfxdata="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cWd&#10;mdsAAAALAQAADwAAAAAAAAABACAAAAAiAAAAZHJzL2Rvd25yZXYueG1sUEsBAhQAFAAAAAgAh07i&#10;QJ/eaMEfAgAA+QMAAA4AAAAAAAAAAQAgAAAAKgEAAGRycy9lMm9Eb2MueG1sUEsFBgAAAAAGAAYA&#10;WQEAALsFAAAAAA==&#10;">
                <v:fill on="f" focussize="0,0"/>
                <v:stroke weight="2pt" color="#060BF8 [3204]" joinstyle="round" endarrow="block" endarrowwidth="narrow" endarrowlength="long"/>
                <v:imagedata o:title=""/>
                <o:lock v:ext="edit" aspectratio="f"/>
              </v:shape>
            </w:pict>
          </mc:Fallback>
        </mc:AlternateContent>
      </w:r>
      <w:r>
        <w:rPr>
          <w:color w:val="000000" w:themeColor="text1"/>
          <w:sz w:val="24"/>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3759200</wp:posOffset>
                </wp:positionH>
                <wp:positionV relativeFrom="paragraph">
                  <wp:posOffset>4459605</wp:posOffset>
                </wp:positionV>
                <wp:extent cx="1767840" cy="1167130"/>
                <wp:effectExtent l="4445" t="5080" r="18415" b="8890"/>
                <wp:wrapNone/>
                <wp:docPr id="137" name="组合 137"/>
                <wp:cNvGraphicFramePr/>
                <a:graphic xmlns:a="http://schemas.openxmlformats.org/drawingml/2006/main">
                  <a:graphicData uri="http://schemas.microsoft.com/office/word/2010/wordprocessingGroup">
                    <wpg:wgp>
                      <wpg:cNvGrpSpPr/>
                      <wpg:grpSpPr>
                        <a:xfrm>
                          <a:off x="0" y="0"/>
                          <a:ext cx="1767840" cy="1167130"/>
                          <a:chOff x="7969" y="744960"/>
                          <a:chExt cx="2784" cy="1838"/>
                        </a:xfrm>
                      </wpg:grpSpPr>
                      <wps:wsp>
                        <wps:cNvPr id="130" name="矩形 127"/>
                        <wps:cNvSpPr/>
                        <wps:spPr>
                          <a:xfrm>
                            <a:off x="7969" y="744960"/>
                            <a:ext cx="2784" cy="1839"/>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FF7597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图  例</w:t>
                              </w:r>
                            </w:p>
                            <w:p w14:paraId="51D46A22">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项目区</w:t>
                              </w:r>
                            </w:p>
                            <w:p w14:paraId="6C10C266">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水源井</w:t>
                              </w:r>
                            </w:p>
                            <w:p w14:paraId="1337910B">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大气风险评价范围</w:t>
                              </w:r>
                            </w:p>
                            <w:p w14:paraId="0AC244C3">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地下水风向评价范围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五角星 133"/>
                        <wps:cNvSpPr/>
                        <wps:spPr>
                          <a:xfrm>
                            <a:off x="10210" y="745464"/>
                            <a:ext cx="178" cy="178"/>
                          </a:xfrm>
                          <a:prstGeom prst="star5">
                            <a:avLst/>
                          </a:prstGeom>
                          <a:noFill/>
                          <a:ln w="1270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 name="椭圆 134"/>
                        <wps:cNvSpPr/>
                        <wps:spPr>
                          <a:xfrm>
                            <a:off x="10246" y="745790"/>
                            <a:ext cx="113" cy="113"/>
                          </a:xfrm>
                          <a:prstGeom prst="ellipse">
                            <a:avLst/>
                          </a:prstGeom>
                          <a:solidFill>
                            <a:srgbClr val="F71585"/>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直接连接符 135"/>
                        <wps:cNvCnPr/>
                        <wps:spPr>
                          <a:xfrm>
                            <a:off x="10145" y="746130"/>
                            <a:ext cx="340" cy="1"/>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36" name="直接连接符 136"/>
                        <wps:cNvCnPr/>
                        <wps:spPr>
                          <a:xfrm>
                            <a:off x="10154" y="746393"/>
                            <a:ext cx="340" cy="1"/>
                          </a:xfrm>
                          <a:prstGeom prst="line">
                            <a:avLst/>
                          </a:prstGeom>
                          <a:ln>
                            <a:solidFill>
                              <a:srgbClr val="060BF8"/>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96pt;margin-top:351.15pt;height:91.9pt;width:139.2pt;z-index:251664384;mso-width-relative:page;mso-height-relative:page;" coordorigin="7969,744960" coordsize="2784,1838" o:gfxdata="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AYYVfY3AAAAAsBAAAP&#10;AAAAAAAAAAEAIAAAACIAAABkcnMvZG93bnJldi54bWxQSwECFAAUAAAACACHTuJAkkOrjhUEAABH&#10;DwAADgAAAAAAAAABACAAAAArAQAAZHJzL2Uyb0RvYy54bWxQSwUGAAAAAAYABgBZAQAAsgcAAAAA&#10;">
                <o:lock v:ext="edit" aspectratio="f"/>
                <v:rect id="矩形 127" o:spid="_x0000_s1026" o:spt="1" style="position:absolute;left:7969;top:744960;height:1839;width:2784;v-text-anchor:middle;" filled="f" stroked="t" coordsize="21600,21600" o:gfxdata="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1YQW/&#10;AAAA3AAAAA8AAAAAAAAAAQAgAAAAIgAAAGRycy9kb3ducmV2LnhtbFBLAQIUABQAAAAIAIdO4kAz&#10;LwWeOwAAADkAAAAQAAAAAAAAAAEAIAAAAA4BAABkcnMvc2hhcGV4bWwueG1sUEsFBgAAAAAGAAYA&#10;WwEAALgDAAAAAA==&#10;">
                  <v:fill on="f" focussize="0,0"/>
                  <v:stroke color="#000000 [3213]" joinstyle="round"/>
                  <v:imagedata o:title=""/>
                  <o:lock v:ext="edit" aspectratio="f"/>
                  <v:textbox>
                    <w:txbxContent>
                      <w:p w14:paraId="5FF7597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图  例</w:t>
                        </w:r>
                      </w:p>
                      <w:p w14:paraId="51D46A22">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项目区</w:t>
                        </w:r>
                      </w:p>
                      <w:p w14:paraId="6C10C266">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水源井</w:t>
                        </w:r>
                      </w:p>
                      <w:p w14:paraId="1337910B">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大气风险评价范围</w:t>
                        </w:r>
                      </w:p>
                      <w:p w14:paraId="0AC244C3">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地下水风向评价范围</w:t>
                        </w:r>
                      </w:p>
                    </w:txbxContent>
                  </v:textbox>
                </v:rect>
                <v:shape id="_x0000_s1026" o:spid="_x0000_s1026" style="position:absolute;left:10210;top:745464;height:178;width:178;v-text-anchor:middle;" filled="f" stroked="t" coordsize="178,178" o:gfxdata="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1CIvQAA&#10;ANwAAAAPAAAAAAAAAAEAIAAAACIAAABkcnMvZG93bnJldi54bWxQSwECFAAUAAAACACHTuJAMy8F&#10;njsAAAA5AAAAEAAAAAAAAAABACAAAAAMAQAAZHJzL3NoYXBleG1sLnhtbFBLBQYAAAAABgAGAFsB&#10;AAC2AwAAAAA=&#10;" path="m0,67l67,67,89,0,110,67,177,67,122,110,144,177,89,135,33,177,55,110xe">
                  <v:path o:connectlocs="89,0;0,67;33,177;144,177;177,67" o:connectangles="247,164,82,82,0"/>
                  <v:fill on="f" focussize="0,0"/>
                  <v:stroke weight="1pt" color="#FFFFFF [3212]" joinstyle="round"/>
                  <v:imagedata o:title=""/>
                  <o:lock v:ext="edit" aspectratio="f"/>
                </v:shape>
                <v:shape id="_x0000_s1026" o:spid="_x0000_s1026" o:spt="3" type="#_x0000_t3" style="position:absolute;left:10246;top:745790;height:113;width:113;v-text-anchor:middle;" fillcolor="#F71585" filled="t" stroked="f" coordsize="21600,21600" o:gfxdata="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YtzC5AAAA3AAA&#10;AA8AAAAAAAAAAQAgAAAAIgAAAGRycy9kb3ducmV2LnhtbFBLAQIUABQAAAAIAIdO4kAzLwWeOwAA&#10;ADkAAAAQAAAAAAAAAAEAIAAAAAgBAABkcnMvc2hhcGV4bWwueG1sUEsFBgAAAAAGAAYAWwEAALID&#10;AAAAAA==&#10;">
                  <v:fill on="t" focussize="0,0"/>
                  <v:stroke on="f" weight="2pt"/>
                  <v:imagedata o:title=""/>
                  <o:lock v:ext="edit" aspectratio="f"/>
                </v:shape>
                <v:line id="_x0000_s1026" o:spid="_x0000_s1026" o:spt="20" style="position:absolute;left:10145;top:746130;height:1;width:340;" filled="f" stroked="t" coordsize="21600,21600" o:gfxdata="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zGpbsAAADc&#10;AAAADwAAAAAAAAABACAAAAAiAAAAZHJzL2Rvd25yZXYueG1sUEsBAhQAFAAAAAgAh07iQDMvBZ47&#10;AAAAOQAAABAAAAAAAAAAAQAgAAAACgEAAGRycy9zaGFwZXhtbC54bWxQSwUGAAAAAAYABgBbAQAA&#10;tAMAAAAA&#10;">
                  <v:fill on="f" focussize="0,0"/>
                  <v:stroke weight="2pt" color="#FF0000 [3204]" joinstyle="round"/>
                  <v:imagedata o:title=""/>
                  <o:lock v:ext="edit" aspectratio="f"/>
                </v:line>
                <v:line id="_x0000_s1026" o:spid="_x0000_s1026" o:spt="20" style="position:absolute;left:10154;top:746393;height:1;width:340;" filled="f" stroked="t" coordsize="21600,21600" o:gfxdata="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rdur4A&#10;AADcAAAADwAAAAAAAAABACAAAAAiAAAAZHJzL2Rvd25yZXYueG1sUEsBAhQAFAAAAAgAh07iQDMv&#10;BZ47AAAAOQAAABAAAAAAAAAAAQAgAAAADQEAAGRycy9zaGFwZXhtbC54bWxQSwUGAAAAAAYABgBb&#10;AQAAtwMAAAAA&#10;">
                  <v:fill on="f" focussize="0,0"/>
                  <v:stroke weight="2pt" color="#060BF8 [3204]" joinstyle="round"/>
                  <v:imagedata o:title=""/>
                  <o:lock v:ext="edit" aspectratio="f"/>
                </v:line>
              </v:group>
            </w:pict>
          </mc:Fallback>
        </mc:AlternateContent>
      </w:r>
      <w:r>
        <w:rPr>
          <w:color w:val="000000" w:themeColor="text1"/>
          <w14:textFill>
            <w14:solidFill>
              <w14:schemeClr w14:val="tx1"/>
            </w14:solidFill>
          </w14:textFill>
        </w:rPr>
        <w:drawing>
          <wp:inline distT="0" distB="0" distL="114300" distR="114300">
            <wp:extent cx="5534025" cy="5640705"/>
            <wp:effectExtent l="0" t="0" r="9525" b="17145"/>
            <wp:docPr id="1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
                    <pic:cNvPicPr>
                      <a:picLocks noChangeAspect="1"/>
                    </pic:cNvPicPr>
                  </pic:nvPicPr>
                  <pic:blipFill>
                    <a:blip r:embed="rId31"/>
                    <a:stretch>
                      <a:fillRect/>
                    </a:stretch>
                  </pic:blipFill>
                  <pic:spPr>
                    <a:xfrm>
                      <a:off x="0" y="0"/>
                      <a:ext cx="5534025" cy="5640705"/>
                    </a:xfrm>
                    <a:prstGeom prst="rect">
                      <a:avLst/>
                    </a:prstGeom>
                    <a:noFill/>
                    <a:ln>
                      <a:noFill/>
                    </a:ln>
                  </pic:spPr>
                </pic:pic>
              </a:graphicData>
            </a:graphic>
          </wp:inline>
        </w:drawing>
      </w:r>
    </w:p>
    <w:p w14:paraId="1450971A">
      <w:pPr>
        <w:pStyle w:val="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图2-1</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本项目</w:t>
      </w:r>
      <w:r>
        <w:rPr>
          <w:rFonts w:hint="eastAsia" w:cs="Times New Roman"/>
          <w:b/>
          <w:bCs/>
          <w:color w:val="000000" w:themeColor="text1"/>
          <w:sz w:val="21"/>
          <w:szCs w:val="21"/>
          <w:highlight w:val="none"/>
          <w:lang w:val="en-US" w:eastAsia="zh-CN"/>
          <w14:textFill>
            <w14:solidFill>
              <w14:schemeClr w14:val="tx1"/>
            </w14:solidFill>
          </w14:textFill>
        </w:rPr>
        <w:t>环境风险评价范围及敏感目标分布示意图</w:t>
      </w:r>
    </w:p>
    <w:p w14:paraId="7D82E0DC">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3.风险潜势初判及评价等级判定</w:t>
      </w:r>
    </w:p>
    <w:p w14:paraId="4FA5B261">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 P的分级确定</w:t>
      </w:r>
    </w:p>
    <w:p w14:paraId="40D186B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（1）Q值的判定</w:t>
      </w:r>
    </w:p>
    <w:p w14:paraId="785249C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计算所涉及的每种危险物质在厂界内的最大存在总量与其在《建设项目环境风险评价技术导则》（HJ169-2018）附录B中对应临界量的比值Q。在不同厂区的同一种物质，按其在厂界内的最大存在总量计算。</w:t>
      </w:r>
    </w:p>
    <w:p w14:paraId="25B0ABF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当只涉及一种危险物质时，计算该物质的总量与其临界量比值，即为Q；</w:t>
      </w:r>
    </w:p>
    <w:p w14:paraId="45006A8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当存在多种危险物质时，则按下式计算物质总量与临界量比值（Q）； </w:t>
      </w:r>
    </w:p>
    <w:p w14:paraId="4000CEF1">
      <w:pPr>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478280" cy="434340"/>
            <wp:effectExtent l="0" t="0" r="7620" b="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2">
                      <a:clrChange>
                        <a:clrFrom>
                          <a:srgbClr val="FFFFFF"/>
                        </a:clrFrom>
                        <a:clrTo>
                          <a:srgbClr val="FFFFFF">
                            <a:alpha val="0"/>
                          </a:srgbClr>
                        </a:clrTo>
                      </a:clrChange>
                    </a:blip>
                    <a:stretch>
                      <a:fillRect/>
                    </a:stretch>
                  </pic:blipFill>
                  <pic:spPr>
                    <a:xfrm>
                      <a:off x="0" y="0"/>
                      <a:ext cx="1478280" cy="434340"/>
                    </a:xfrm>
                    <a:prstGeom prst="rect">
                      <a:avLst/>
                    </a:prstGeom>
                    <a:noFill/>
                    <a:ln>
                      <a:noFill/>
                    </a:ln>
                  </pic:spPr>
                </pic:pic>
              </a:graphicData>
            </a:graphic>
          </wp:inline>
        </w:drawing>
      </w:r>
    </w:p>
    <w:p w14:paraId="652B3427">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1</w:t>
      </w: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，…qn-每种危险物质的最大存在总量，t；</w:t>
      </w:r>
    </w:p>
    <w:p w14:paraId="3794C403">
      <w:pPr>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1</w:t>
      </w: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，…Qn-每种危险物质的临界量，t；</w:t>
      </w:r>
    </w:p>
    <w:p w14:paraId="4E5EEDC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当Q＜1时，该项目环境风险潜势为Ⅰ。</w:t>
      </w:r>
    </w:p>
    <w:p w14:paraId="2978C68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当Q≥1时，将Q值划分为：（1）1≤Q＜10；（2）10≤Q＜100；（3）Q≥100。</w:t>
      </w:r>
    </w:p>
    <w:p w14:paraId="4A2C571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计算结果见下表：</w:t>
      </w:r>
    </w:p>
    <w:p w14:paraId="16F043AD">
      <w:pPr>
        <w:pStyle w:val="7"/>
        <w:keepNext w:val="0"/>
        <w:keepLines w:val="0"/>
        <w:pageBreakBefore w:val="0"/>
        <w:widowControl w:val="0"/>
        <w:kinsoku/>
        <w:wordWrap/>
        <w:overflowPunct/>
        <w:topLinePunct w:val="0"/>
        <w:autoSpaceDE/>
        <w:autoSpaceDN/>
        <w:bidi w:val="0"/>
        <w:adjustRightInd/>
        <w:snapToGrid/>
        <w:spacing w:beforeLines="0" w:afterLines="0"/>
        <w:ind w:left="0"/>
        <w:textAlignment w:val="auto"/>
        <w:rPr>
          <w:rFonts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表3-1   本项目危险物质</w:t>
      </w:r>
      <w:r>
        <w:rPr>
          <w:rFonts w:eastAsiaTheme="minorEastAsia"/>
          <w:b/>
          <w:bCs/>
          <w:color w:val="000000" w:themeColor="text1"/>
          <w:sz w:val="21"/>
          <w:szCs w:val="21"/>
          <w:highlight w:val="none"/>
          <w14:textFill>
            <w14:solidFill>
              <w14:schemeClr w14:val="tx1"/>
            </w14:solidFill>
          </w14:textFill>
        </w:rPr>
        <w:t>与临界量比值一览表</w:t>
      </w:r>
    </w:p>
    <w:tbl>
      <w:tblPr>
        <w:tblStyle w:val="29"/>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1437"/>
        <w:gridCol w:w="1640"/>
        <w:gridCol w:w="1640"/>
        <w:gridCol w:w="1640"/>
      </w:tblGrid>
      <w:tr w14:paraId="45D6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840" w:type="dxa"/>
            <w:vAlign w:val="center"/>
          </w:tcPr>
          <w:p w14:paraId="2028E45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独立单元名称</w:t>
            </w:r>
          </w:p>
        </w:tc>
        <w:tc>
          <w:tcPr>
            <w:tcW w:w="1437" w:type="dxa"/>
            <w:vAlign w:val="center"/>
          </w:tcPr>
          <w:p w14:paraId="47AD620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物质名称</w:t>
            </w:r>
          </w:p>
        </w:tc>
        <w:tc>
          <w:tcPr>
            <w:tcW w:w="1640" w:type="dxa"/>
            <w:vAlign w:val="center"/>
          </w:tcPr>
          <w:p w14:paraId="2F273F7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最大储存量(t)</w:t>
            </w:r>
          </w:p>
        </w:tc>
        <w:tc>
          <w:tcPr>
            <w:tcW w:w="1640" w:type="dxa"/>
            <w:vAlign w:val="center"/>
          </w:tcPr>
          <w:p w14:paraId="248DA80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临界量Q（t）</w:t>
            </w:r>
          </w:p>
        </w:tc>
        <w:tc>
          <w:tcPr>
            <w:tcW w:w="1640" w:type="dxa"/>
            <w:vAlign w:val="center"/>
          </w:tcPr>
          <w:p w14:paraId="73E1742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Qi/Q</w:t>
            </w:r>
          </w:p>
        </w:tc>
      </w:tr>
      <w:tr w14:paraId="3A20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40" w:type="dxa"/>
            <w:vAlign w:val="center"/>
          </w:tcPr>
          <w:p w14:paraId="6E9D407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w:t>
            </w:r>
          </w:p>
        </w:tc>
        <w:tc>
          <w:tcPr>
            <w:tcW w:w="1437" w:type="dxa"/>
            <w:vAlign w:val="center"/>
          </w:tcPr>
          <w:p w14:paraId="761AE182">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w:t>
            </w:r>
          </w:p>
        </w:tc>
        <w:tc>
          <w:tcPr>
            <w:tcW w:w="1640" w:type="dxa"/>
            <w:vAlign w:val="center"/>
          </w:tcPr>
          <w:p w14:paraId="54BB1A2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69.3</w:t>
            </w:r>
          </w:p>
        </w:tc>
        <w:tc>
          <w:tcPr>
            <w:tcW w:w="1640" w:type="dxa"/>
            <w:vAlign w:val="center"/>
          </w:tcPr>
          <w:p w14:paraId="13C674E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10</w:t>
            </w:r>
          </w:p>
        </w:tc>
        <w:tc>
          <w:tcPr>
            <w:tcW w:w="1640" w:type="dxa"/>
            <w:vAlign w:val="center"/>
          </w:tcPr>
          <w:p w14:paraId="48F669E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6.93</w:t>
            </w:r>
          </w:p>
        </w:tc>
      </w:tr>
    </w:tbl>
    <w:p w14:paraId="385E458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本项目Q=</w:t>
      </w:r>
      <w:r>
        <w:rPr>
          <w:rFonts w:hint="eastAsia"/>
          <w:color w:val="000000" w:themeColor="text1"/>
          <w:highlight w:val="none"/>
          <w:lang w:val="en-US" w:eastAsia="zh-CN"/>
          <w14:textFill>
            <w14:solidFill>
              <w14:schemeClr w14:val="tx1"/>
            </w14:solidFill>
          </w14:textFill>
        </w:rPr>
        <w:t>6.93</w:t>
      </w:r>
      <w:r>
        <w:rPr>
          <w:rFonts w:hint="eastAsia"/>
          <w:color w:val="000000" w:themeColor="text1"/>
          <w:highlight w:val="none"/>
          <w14:textFill>
            <w14:solidFill>
              <w14:schemeClr w14:val="tx1"/>
            </w14:solidFill>
          </w14:textFill>
        </w:rPr>
        <w:t>，属于1≤Q＜10。</w:t>
      </w:r>
    </w:p>
    <w:p w14:paraId="44AE97F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（2）行业及生产工艺（M）</w:t>
      </w:r>
    </w:p>
    <w:p w14:paraId="409D4AA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根据《建设项目环境风险评价技术导则》（HJ 169-2018）中附录C，具有多套工艺单元的项目，对每套生产工艺分别评分并求和；将M划分为：M＞20；10＜M≤20；5＜M≤10；M=5，分别以M1、M2、M3和M4表示。具体见下表。</w:t>
      </w:r>
    </w:p>
    <w:p w14:paraId="2F9CBE09">
      <w:pPr>
        <w:pStyle w:val="7"/>
        <w:keepNext w:val="0"/>
        <w:keepLines w:val="0"/>
        <w:pageBreakBefore w:val="0"/>
        <w:widowControl w:val="0"/>
        <w:kinsoku/>
        <w:wordWrap/>
        <w:overflowPunct/>
        <w:topLinePunct w:val="0"/>
        <w:autoSpaceDE/>
        <w:autoSpaceDN/>
        <w:bidi w:val="0"/>
        <w:adjustRightInd/>
        <w:snapToGrid/>
        <w:spacing w:beforeLines="0" w:afterLines="0"/>
        <w:ind w:left="0"/>
        <w:textAlignment w:val="auto"/>
        <w:rPr>
          <w:rFonts w:hint="eastAsia"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表3-2    行业及生产工艺（M）表</w:t>
      </w:r>
    </w:p>
    <w:tbl>
      <w:tblPr>
        <w:tblStyle w:val="28"/>
        <w:tblW w:w="4948" w:type="pct"/>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232"/>
        <w:gridCol w:w="19"/>
        <w:gridCol w:w="5998"/>
        <w:gridCol w:w="1426"/>
      </w:tblGrid>
      <w:tr w14:paraId="7F9B806C">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2" w:hRule="atLeast"/>
          <w:tblHeader/>
          <w:jc w:val="center"/>
        </w:trPr>
        <w:tc>
          <w:tcPr>
            <w:tcW w:w="710" w:type="pct"/>
            <w:tcBorders>
              <w:tl2br w:val="nil"/>
              <w:tr2bl w:val="nil"/>
            </w:tcBorders>
            <w:vAlign w:val="center"/>
          </w:tcPr>
          <w:p w14:paraId="4820C98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行业</w:t>
            </w:r>
          </w:p>
        </w:tc>
        <w:tc>
          <w:tcPr>
            <w:tcW w:w="3468" w:type="pct"/>
            <w:gridSpan w:val="2"/>
            <w:tcBorders>
              <w:tl2br w:val="nil"/>
              <w:tr2bl w:val="nil"/>
            </w:tcBorders>
            <w:vAlign w:val="center"/>
          </w:tcPr>
          <w:p w14:paraId="2005B04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评估依据</w:t>
            </w:r>
          </w:p>
        </w:tc>
        <w:tc>
          <w:tcPr>
            <w:tcW w:w="821" w:type="pct"/>
            <w:tcBorders>
              <w:tl2br w:val="nil"/>
              <w:tr2bl w:val="nil"/>
            </w:tcBorders>
            <w:vAlign w:val="center"/>
          </w:tcPr>
          <w:p w14:paraId="7683CA0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分值</w:t>
            </w:r>
          </w:p>
        </w:tc>
      </w:tr>
      <w:tr w14:paraId="0E64D83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1080" w:hRule="atLeast"/>
          <w:jc w:val="center"/>
        </w:trPr>
        <w:tc>
          <w:tcPr>
            <w:tcW w:w="710" w:type="pct"/>
            <w:vMerge w:val="restart"/>
            <w:tcBorders>
              <w:tl2br w:val="nil"/>
              <w:tr2bl w:val="nil"/>
            </w:tcBorders>
            <w:vAlign w:val="center"/>
          </w:tcPr>
          <w:p w14:paraId="6EA61CF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石化、化工、医药、轻工、化纤、有色冶炼等</w:t>
            </w:r>
          </w:p>
        </w:tc>
        <w:tc>
          <w:tcPr>
            <w:tcW w:w="3468" w:type="pct"/>
            <w:gridSpan w:val="2"/>
            <w:tcBorders>
              <w:tl2br w:val="nil"/>
              <w:tr2bl w:val="nil"/>
            </w:tcBorders>
            <w:vAlign w:val="center"/>
          </w:tcPr>
          <w:p w14:paraId="79AB53A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21" w:type="pct"/>
            <w:tcBorders>
              <w:tl2br w:val="nil"/>
              <w:tr2bl w:val="nil"/>
            </w:tcBorders>
            <w:vAlign w:val="center"/>
          </w:tcPr>
          <w:p w14:paraId="610AEA8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10/套</w:t>
            </w:r>
          </w:p>
        </w:tc>
      </w:tr>
      <w:tr w14:paraId="738A87C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710" w:type="pct"/>
            <w:vMerge w:val="continue"/>
            <w:tcBorders>
              <w:tl2br w:val="nil"/>
              <w:tr2bl w:val="nil"/>
            </w:tcBorders>
            <w:vAlign w:val="center"/>
          </w:tcPr>
          <w:p w14:paraId="3FE1E6E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3468" w:type="pct"/>
            <w:gridSpan w:val="2"/>
            <w:tcBorders>
              <w:tl2br w:val="nil"/>
              <w:tr2bl w:val="nil"/>
            </w:tcBorders>
            <w:vAlign w:val="center"/>
          </w:tcPr>
          <w:p w14:paraId="539F858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无机酸制酸工艺、焦化工艺</w:t>
            </w:r>
          </w:p>
        </w:tc>
        <w:tc>
          <w:tcPr>
            <w:tcW w:w="821" w:type="pct"/>
            <w:tcBorders>
              <w:tl2br w:val="nil"/>
              <w:tr2bl w:val="nil"/>
            </w:tcBorders>
            <w:vAlign w:val="center"/>
          </w:tcPr>
          <w:p w14:paraId="08F03AE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5/套</w:t>
            </w:r>
          </w:p>
        </w:tc>
      </w:tr>
      <w:tr w14:paraId="092F7033">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710" w:type="pct"/>
            <w:vMerge w:val="continue"/>
            <w:tcBorders>
              <w:tl2br w:val="nil"/>
              <w:tr2bl w:val="nil"/>
            </w:tcBorders>
            <w:vAlign w:val="center"/>
          </w:tcPr>
          <w:p w14:paraId="403BBD3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3468" w:type="pct"/>
            <w:gridSpan w:val="2"/>
            <w:tcBorders>
              <w:tl2br w:val="nil"/>
              <w:tr2bl w:val="nil"/>
            </w:tcBorders>
            <w:vAlign w:val="center"/>
          </w:tcPr>
          <w:p w14:paraId="1E3DB6A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其他高温或高压，且涉及危险物质的工艺过程a、危险物质贮存罐区</w:t>
            </w:r>
          </w:p>
        </w:tc>
        <w:tc>
          <w:tcPr>
            <w:tcW w:w="821" w:type="pct"/>
            <w:tcBorders>
              <w:tl2br w:val="nil"/>
              <w:tr2bl w:val="nil"/>
            </w:tcBorders>
            <w:vAlign w:val="center"/>
          </w:tcPr>
          <w:p w14:paraId="0609D43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5/套（罐区）</w:t>
            </w:r>
          </w:p>
        </w:tc>
      </w:tr>
      <w:tr w14:paraId="152FD64D">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710" w:type="pct"/>
            <w:tcBorders>
              <w:tl2br w:val="nil"/>
              <w:tr2bl w:val="nil"/>
            </w:tcBorders>
            <w:vAlign w:val="center"/>
          </w:tcPr>
          <w:p w14:paraId="63F5C2E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管道、港口/码头等</w:t>
            </w:r>
          </w:p>
        </w:tc>
        <w:tc>
          <w:tcPr>
            <w:tcW w:w="3468" w:type="pct"/>
            <w:gridSpan w:val="2"/>
            <w:tcBorders>
              <w:tl2br w:val="nil"/>
              <w:tr2bl w:val="nil"/>
            </w:tcBorders>
            <w:vAlign w:val="center"/>
          </w:tcPr>
          <w:p w14:paraId="0E4E052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涉及危险物质管道运输项目、港口/码头等</w:t>
            </w:r>
          </w:p>
        </w:tc>
        <w:tc>
          <w:tcPr>
            <w:tcW w:w="821" w:type="pct"/>
            <w:tcBorders>
              <w:tl2br w:val="nil"/>
              <w:tr2bl w:val="nil"/>
            </w:tcBorders>
            <w:vAlign w:val="center"/>
          </w:tcPr>
          <w:p w14:paraId="6731E0C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10</w:t>
            </w:r>
          </w:p>
        </w:tc>
      </w:tr>
      <w:tr w14:paraId="1E34B3D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540" w:hRule="atLeast"/>
          <w:jc w:val="center"/>
        </w:trPr>
        <w:tc>
          <w:tcPr>
            <w:tcW w:w="710" w:type="pct"/>
            <w:tcBorders>
              <w:tl2br w:val="nil"/>
              <w:tr2bl w:val="nil"/>
            </w:tcBorders>
            <w:vAlign w:val="center"/>
          </w:tcPr>
          <w:p w14:paraId="5420664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石油天然气</w:t>
            </w:r>
          </w:p>
        </w:tc>
        <w:tc>
          <w:tcPr>
            <w:tcW w:w="3468" w:type="pct"/>
            <w:gridSpan w:val="2"/>
            <w:tcBorders>
              <w:tl2br w:val="nil"/>
              <w:tr2bl w:val="nil"/>
            </w:tcBorders>
            <w:vAlign w:val="center"/>
          </w:tcPr>
          <w:p w14:paraId="2917360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石油、天然气、页岩气开采（含净化），气库（不含加气站的气库），油库（不含加气站的油库）、油气管线b（不含城镇燃气管线）</w:t>
            </w:r>
          </w:p>
        </w:tc>
        <w:tc>
          <w:tcPr>
            <w:tcW w:w="821" w:type="pct"/>
            <w:tcBorders>
              <w:tl2br w:val="nil"/>
              <w:tr2bl w:val="nil"/>
            </w:tcBorders>
            <w:vAlign w:val="center"/>
          </w:tcPr>
          <w:p w14:paraId="00CCC98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10</w:t>
            </w:r>
          </w:p>
        </w:tc>
      </w:tr>
      <w:tr w14:paraId="3A6E635A">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400" w:hRule="atLeast"/>
          <w:jc w:val="center"/>
        </w:trPr>
        <w:tc>
          <w:tcPr>
            <w:tcW w:w="710" w:type="pct"/>
            <w:tcBorders>
              <w:tl2br w:val="nil"/>
              <w:tr2bl w:val="nil"/>
            </w:tcBorders>
            <w:vAlign w:val="center"/>
          </w:tcPr>
          <w:p w14:paraId="2AAF4DD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其他</w:t>
            </w:r>
          </w:p>
        </w:tc>
        <w:tc>
          <w:tcPr>
            <w:tcW w:w="3468" w:type="pct"/>
            <w:gridSpan w:val="2"/>
            <w:tcBorders>
              <w:tl2br w:val="nil"/>
              <w:tr2bl w:val="nil"/>
            </w:tcBorders>
            <w:vAlign w:val="center"/>
          </w:tcPr>
          <w:p w14:paraId="0D0B2BC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涉及危险物质使用、贮存的项目</w:t>
            </w:r>
          </w:p>
        </w:tc>
        <w:tc>
          <w:tcPr>
            <w:tcW w:w="821" w:type="pct"/>
            <w:tcBorders>
              <w:tl2br w:val="nil"/>
              <w:tr2bl w:val="nil"/>
            </w:tcBorders>
            <w:vAlign w:val="center"/>
          </w:tcPr>
          <w:p w14:paraId="76D73A5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5</w:t>
            </w:r>
          </w:p>
        </w:tc>
      </w:tr>
      <w:tr w14:paraId="3159493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600" w:hRule="atLeast"/>
          <w:jc w:val="center"/>
        </w:trPr>
        <w:tc>
          <w:tcPr>
            <w:tcW w:w="5000" w:type="pct"/>
            <w:gridSpan w:val="4"/>
            <w:tcBorders>
              <w:tl2br w:val="nil"/>
              <w:tr2bl w:val="nil"/>
            </w:tcBorders>
            <w:vAlign w:val="center"/>
          </w:tcPr>
          <w:p w14:paraId="66C2223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注：a高温指工艺温度≥300℃，高压指压力容器的设计压力（P）≥10.0MPa；</w:t>
            </w:r>
          </w:p>
          <w:p w14:paraId="5604142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b长输管道运输项目应按站场、管线分段进行评价。</w:t>
            </w:r>
          </w:p>
        </w:tc>
      </w:tr>
      <w:tr w14:paraId="060597FF">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600" w:hRule="atLeast"/>
          <w:jc w:val="center"/>
        </w:trPr>
        <w:tc>
          <w:tcPr>
            <w:tcW w:w="721" w:type="pct"/>
            <w:gridSpan w:val="2"/>
            <w:tcBorders>
              <w:right w:val="single" w:color="auto" w:sz="4" w:space="0"/>
              <w:tl2br w:val="nil"/>
              <w:tr2bl w:val="nil"/>
            </w:tcBorders>
            <w:vAlign w:val="center"/>
          </w:tcPr>
          <w:p w14:paraId="78FB293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本项目行业</w:t>
            </w:r>
          </w:p>
        </w:tc>
        <w:tc>
          <w:tcPr>
            <w:tcW w:w="3456" w:type="pct"/>
            <w:tcBorders>
              <w:left w:val="single" w:color="auto" w:sz="4" w:space="0"/>
              <w:right w:val="single" w:color="auto" w:sz="4" w:space="0"/>
              <w:tl2br w:val="nil"/>
              <w:tr2bl w:val="nil"/>
            </w:tcBorders>
            <w:vAlign w:val="center"/>
          </w:tcPr>
          <w:p w14:paraId="4EBBC28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本项目设置生产工艺情况</w:t>
            </w:r>
          </w:p>
        </w:tc>
        <w:tc>
          <w:tcPr>
            <w:tcW w:w="821" w:type="pct"/>
            <w:tcBorders>
              <w:left w:val="single" w:color="auto" w:sz="4" w:space="0"/>
              <w:tl2br w:val="nil"/>
              <w:tr2bl w:val="nil"/>
            </w:tcBorders>
            <w:vAlign w:val="center"/>
          </w:tcPr>
          <w:p w14:paraId="5748152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分值</w:t>
            </w:r>
          </w:p>
        </w:tc>
      </w:tr>
      <w:tr w14:paraId="6EECA6C9">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600" w:hRule="atLeast"/>
          <w:jc w:val="center"/>
        </w:trPr>
        <w:tc>
          <w:tcPr>
            <w:tcW w:w="1267" w:type="dxa"/>
            <w:gridSpan w:val="2"/>
            <w:tcBorders>
              <w:right w:val="single" w:color="auto" w:sz="4" w:space="0"/>
              <w:tl2br w:val="nil"/>
              <w:tr2bl w:val="nil"/>
            </w:tcBorders>
            <w:vAlign w:val="center"/>
          </w:tcPr>
          <w:p w14:paraId="7DE578D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主导行业为焦化，本项目为其配套工程</w:t>
            </w:r>
          </w:p>
        </w:tc>
        <w:tc>
          <w:tcPr>
            <w:tcW w:w="6075" w:type="dxa"/>
            <w:tcBorders>
              <w:left w:val="single" w:color="auto" w:sz="4" w:space="0"/>
              <w:right w:val="single" w:color="auto" w:sz="4" w:space="0"/>
              <w:tl2br w:val="nil"/>
              <w:tr2bl w:val="nil"/>
            </w:tcBorders>
            <w:vAlign w:val="center"/>
          </w:tcPr>
          <w:p w14:paraId="5AB7971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lang w:val="en-US"/>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本项目涉及一个乙类库</w:t>
            </w:r>
          </w:p>
        </w:tc>
        <w:tc>
          <w:tcPr>
            <w:tcW w:w="1444" w:type="dxa"/>
            <w:tcBorders>
              <w:left w:val="single" w:color="auto" w:sz="4" w:space="0"/>
              <w:tl2br w:val="nil"/>
              <w:tr2bl w:val="nil"/>
            </w:tcBorders>
            <w:vAlign w:val="center"/>
          </w:tcPr>
          <w:p w14:paraId="47E737A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w:t>
            </w:r>
          </w:p>
        </w:tc>
      </w:tr>
    </w:tbl>
    <w:p w14:paraId="205EF74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根据表3-2，M取值</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，判定为“M</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”级别。</w:t>
      </w:r>
    </w:p>
    <w:p w14:paraId="368EC2C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P的分级</w:t>
      </w:r>
    </w:p>
    <w:p w14:paraId="0CAFEDDD">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根据危险物质数量与临界量比值（Q）和行业及生产工艺（M），评价根据《建设项目环境风险评价技术导则》（HJ 169-2018）表C.2的规定确定了拟建项目危险物质及工艺系统危险性等级（P）。具体情况见下表。</w:t>
      </w:r>
    </w:p>
    <w:p w14:paraId="245262D6">
      <w:pPr>
        <w:pStyle w:val="94"/>
        <w:ind w:firstLine="422"/>
        <w:rPr>
          <w:rFonts w:ascii="Arial" w:hAnsi="Arial" w:cs="Arial"/>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3-3</w:t>
      </w:r>
      <w:r>
        <w:rPr>
          <w:rFonts w:eastAsiaTheme="minorEastAsia"/>
          <w:bCs/>
          <w:color w:val="000000" w:themeColor="text1"/>
          <w:sz w:val="21"/>
          <w:szCs w:val="21"/>
          <w:highlight w:val="none"/>
          <w14:textFill>
            <w14:solidFill>
              <w14:schemeClr w14:val="tx1"/>
            </w14:solidFill>
          </w14:textFill>
        </w:rPr>
        <w:t xml:space="preserve">  拟建项目危险物质及工艺系统危险性等级判断（P）表</w:t>
      </w:r>
    </w:p>
    <w:tbl>
      <w:tblPr>
        <w:tblStyle w:val="28"/>
        <w:tblW w:w="8787" w:type="dxa"/>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949"/>
        <w:gridCol w:w="1564"/>
        <w:gridCol w:w="1757"/>
        <w:gridCol w:w="1757"/>
        <w:gridCol w:w="1760"/>
      </w:tblGrid>
      <w:tr w14:paraId="18DF8196">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1109" w:type="pct"/>
            <w:vMerge w:val="restart"/>
            <w:tcBorders>
              <w:tl2br w:val="nil"/>
              <w:tr2bl w:val="nil"/>
            </w:tcBorders>
            <w:vAlign w:val="center"/>
          </w:tcPr>
          <w:p w14:paraId="7061CA2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危险物质数量与临界量比值（Q）</w:t>
            </w:r>
          </w:p>
        </w:tc>
        <w:tc>
          <w:tcPr>
            <w:tcW w:w="3891" w:type="pct"/>
            <w:gridSpan w:val="4"/>
            <w:tcBorders>
              <w:tl2br w:val="nil"/>
              <w:tr2bl w:val="nil"/>
            </w:tcBorders>
            <w:vAlign w:val="center"/>
          </w:tcPr>
          <w:p w14:paraId="75B9F6A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行业及生产工艺（M）</w:t>
            </w:r>
          </w:p>
        </w:tc>
      </w:tr>
      <w:tr w14:paraId="56948E65">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1109" w:type="pct"/>
            <w:vMerge w:val="continue"/>
            <w:tcBorders>
              <w:tl2br w:val="nil"/>
              <w:tr2bl w:val="nil"/>
            </w:tcBorders>
            <w:vAlign w:val="center"/>
          </w:tcPr>
          <w:p w14:paraId="434CFF4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890" w:type="pct"/>
            <w:tcBorders>
              <w:tl2br w:val="nil"/>
              <w:tr2bl w:val="nil"/>
            </w:tcBorders>
            <w:vAlign w:val="center"/>
          </w:tcPr>
          <w:p w14:paraId="022E212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M1</w:t>
            </w:r>
          </w:p>
        </w:tc>
        <w:tc>
          <w:tcPr>
            <w:tcW w:w="1000" w:type="pct"/>
            <w:tcBorders>
              <w:tl2br w:val="nil"/>
              <w:tr2bl w:val="nil"/>
            </w:tcBorders>
            <w:vAlign w:val="center"/>
          </w:tcPr>
          <w:p w14:paraId="183C272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M2</w:t>
            </w:r>
          </w:p>
        </w:tc>
        <w:tc>
          <w:tcPr>
            <w:tcW w:w="1000" w:type="pct"/>
            <w:tcBorders>
              <w:tl2br w:val="nil"/>
              <w:tr2bl w:val="nil"/>
            </w:tcBorders>
            <w:vAlign w:val="center"/>
          </w:tcPr>
          <w:p w14:paraId="46A61CB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M3</w:t>
            </w:r>
          </w:p>
        </w:tc>
        <w:tc>
          <w:tcPr>
            <w:tcW w:w="1001" w:type="pct"/>
            <w:tcBorders>
              <w:tl2br w:val="nil"/>
              <w:tr2bl w:val="nil"/>
            </w:tcBorders>
            <w:vAlign w:val="center"/>
          </w:tcPr>
          <w:p w14:paraId="30504D8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M4</w:t>
            </w:r>
          </w:p>
        </w:tc>
      </w:tr>
      <w:tr w14:paraId="27E6CD77">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1109" w:type="pct"/>
            <w:tcBorders>
              <w:tl2br w:val="nil"/>
              <w:tr2bl w:val="nil"/>
            </w:tcBorders>
            <w:vAlign w:val="center"/>
          </w:tcPr>
          <w:p w14:paraId="2900379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Q≥100</w:t>
            </w:r>
          </w:p>
        </w:tc>
        <w:tc>
          <w:tcPr>
            <w:tcW w:w="890" w:type="pct"/>
            <w:tcBorders>
              <w:tl2br w:val="nil"/>
              <w:tr2bl w:val="nil"/>
            </w:tcBorders>
            <w:vAlign w:val="center"/>
          </w:tcPr>
          <w:p w14:paraId="24713A0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P1</w:t>
            </w:r>
          </w:p>
        </w:tc>
        <w:tc>
          <w:tcPr>
            <w:tcW w:w="1000" w:type="pct"/>
            <w:tcBorders>
              <w:tl2br w:val="nil"/>
              <w:tr2bl w:val="nil"/>
            </w:tcBorders>
            <w:vAlign w:val="center"/>
          </w:tcPr>
          <w:p w14:paraId="2D30369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P1</w:t>
            </w:r>
          </w:p>
        </w:tc>
        <w:tc>
          <w:tcPr>
            <w:tcW w:w="1000" w:type="pct"/>
            <w:tcBorders>
              <w:tl2br w:val="nil"/>
              <w:tr2bl w:val="nil"/>
            </w:tcBorders>
            <w:vAlign w:val="center"/>
          </w:tcPr>
          <w:p w14:paraId="305FFF5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P2</w:t>
            </w:r>
          </w:p>
        </w:tc>
        <w:tc>
          <w:tcPr>
            <w:tcW w:w="1001" w:type="pct"/>
            <w:tcBorders>
              <w:tl2br w:val="nil"/>
              <w:tr2bl w:val="nil"/>
            </w:tcBorders>
            <w:vAlign w:val="center"/>
          </w:tcPr>
          <w:p w14:paraId="1A3888E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P3</w:t>
            </w:r>
          </w:p>
        </w:tc>
      </w:tr>
      <w:tr w14:paraId="7BDF659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1109" w:type="pct"/>
            <w:tcBorders>
              <w:tl2br w:val="nil"/>
              <w:tr2bl w:val="nil"/>
            </w:tcBorders>
            <w:vAlign w:val="center"/>
          </w:tcPr>
          <w:p w14:paraId="6BA9E27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10≤Q＜100</w:t>
            </w:r>
          </w:p>
        </w:tc>
        <w:tc>
          <w:tcPr>
            <w:tcW w:w="890" w:type="pct"/>
            <w:tcBorders>
              <w:tl2br w:val="nil"/>
              <w:tr2bl w:val="nil"/>
            </w:tcBorders>
            <w:vAlign w:val="center"/>
          </w:tcPr>
          <w:p w14:paraId="176C1B0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P1</w:t>
            </w:r>
          </w:p>
        </w:tc>
        <w:tc>
          <w:tcPr>
            <w:tcW w:w="1000" w:type="pct"/>
            <w:tcBorders>
              <w:tl2br w:val="nil"/>
              <w:tr2bl w:val="nil"/>
            </w:tcBorders>
            <w:vAlign w:val="center"/>
          </w:tcPr>
          <w:p w14:paraId="6529D36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shd w:val="clear" w:color="auto" w:fill="auto"/>
                <w14:textFill>
                  <w14:solidFill>
                    <w14:schemeClr w14:val="tx1"/>
                  </w14:solidFill>
                </w14:textFill>
              </w:rPr>
              <w:t>P2</w:t>
            </w:r>
          </w:p>
        </w:tc>
        <w:tc>
          <w:tcPr>
            <w:tcW w:w="1000" w:type="pct"/>
            <w:tcBorders>
              <w:tl2br w:val="nil"/>
              <w:tr2bl w:val="nil"/>
            </w:tcBorders>
            <w:vAlign w:val="center"/>
          </w:tcPr>
          <w:p w14:paraId="23C906C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P3</w:t>
            </w:r>
          </w:p>
        </w:tc>
        <w:tc>
          <w:tcPr>
            <w:tcW w:w="1001" w:type="pct"/>
            <w:tcBorders>
              <w:tl2br w:val="nil"/>
              <w:tr2bl w:val="nil"/>
            </w:tcBorders>
            <w:vAlign w:val="center"/>
          </w:tcPr>
          <w:p w14:paraId="38F507C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P4</w:t>
            </w:r>
          </w:p>
        </w:tc>
      </w:tr>
      <w:tr w14:paraId="010999D8">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1109" w:type="pct"/>
            <w:tcBorders>
              <w:tl2br w:val="nil"/>
              <w:tr2bl w:val="nil"/>
            </w:tcBorders>
            <w:vAlign w:val="center"/>
          </w:tcPr>
          <w:p w14:paraId="7E3D5F2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1≤Q＜10</w:t>
            </w:r>
          </w:p>
        </w:tc>
        <w:tc>
          <w:tcPr>
            <w:tcW w:w="890" w:type="pct"/>
            <w:tcBorders>
              <w:tl2br w:val="nil"/>
              <w:tr2bl w:val="nil"/>
            </w:tcBorders>
            <w:vAlign w:val="center"/>
          </w:tcPr>
          <w:p w14:paraId="7FCC596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P2</w:t>
            </w:r>
          </w:p>
        </w:tc>
        <w:tc>
          <w:tcPr>
            <w:tcW w:w="1000" w:type="pct"/>
            <w:tcBorders>
              <w:tl2br w:val="nil"/>
              <w:tr2bl w:val="nil"/>
            </w:tcBorders>
            <w:vAlign w:val="center"/>
          </w:tcPr>
          <w:p w14:paraId="5D1D858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P3</w:t>
            </w:r>
          </w:p>
        </w:tc>
        <w:tc>
          <w:tcPr>
            <w:tcW w:w="1000" w:type="pct"/>
            <w:tcBorders>
              <w:tl2br w:val="nil"/>
              <w:tr2bl w:val="nil"/>
            </w:tcBorders>
            <w:vAlign w:val="center"/>
          </w:tcPr>
          <w:p w14:paraId="6F62CFF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P4</w:t>
            </w:r>
          </w:p>
        </w:tc>
        <w:tc>
          <w:tcPr>
            <w:tcW w:w="1001" w:type="pct"/>
            <w:tcBorders>
              <w:tl2br w:val="nil"/>
              <w:tr2bl w:val="nil"/>
            </w:tcBorders>
            <w:vAlign w:val="center"/>
          </w:tcPr>
          <w:p w14:paraId="7C682D5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P4</w:t>
            </w:r>
          </w:p>
        </w:tc>
      </w:tr>
    </w:tbl>
    <w:p w14:paraId="341E8121">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根据上表可知，建设项目危险物质及工艺系统危险性（P）分级为P</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水平。</w:t>
      </w:r>
    </w:p>
    <w:p w14:paraId="2DC77C17">
      <w:pPr>
        <w:pStyle w:val="1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（4）E的分级确定</w:t>
      </w:r>
    </w:p>
    <w:p w14:paraId="615B7D77">
      <w:pPr>
        <w:pStyle w:val="1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评价根据《建设项目环境风险评价技术导则》（HJ 169-2018）中附录D对项目各要素环境敏感程度（E）等级进行判断，最终确定项目环境敏感特征：大气环境敏感性为E3环境低度敏感区、地表水环境敏感性为E3环境低度敏感区、地下水环境敏感性为E</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为环境</w:t>
      </w:r>
      <w:r>
        <w:rPr>
          <w:rFonts w:hint="eastAsia"/>
          <w:color w:val="000000" w:themeColor="text1"/>
          <w:highlight w:val="none"/>
          <w:lang w:val="en-US" w:eastAsia="zh-CN"/>
          <w14:textFill>
            <w14:solidFill>
              <w14:schemeClr w14:val="tx1"/>
            </w14:solidFill>
          </w14:textFill>
        </w:rPr>
        <w:t>中</w:t>
      </w:r>
      <w:r>
        <w:rPr>
          <w:color w:val="000000" w:themeColor="text1"/>
          <w:highlight w:val="none"/>
          <w14:textFill>
            <w14:solidFill>
              <w14:schemeClr w14:val="tx1"/>
            </w14:solidFill>
          </w14:textFill>
        </w:rPr>
        <w:t>度敏感区。具体判别过程如下：</w:t>
      </w:r>
    </w:p>
    <w:p w14:paraId="436DB8E0">
      <w:pPr>
        <w:pStyle w:val="1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①大气环境</w:t>
      </w:r>
    </w:p>
    <w:p w14:paraId="2DF986D1">
      <w:pPr>
        <w:pStyle w:val="15"/>
        <w:ind w:firstLine="480"/>
        <w:rPr>
          <w:rFonts w:ascii="Arial" w:hAnsi="Arial" w:cs="Arial"/>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敏感目标环境敏感性及人口密度划分环境风险受体的敏感性，共分为三种类型：E1为环境高度敏感区，E2为环境中度敏感区，E3为环境低度敏感区，分级原则见下表；拟建项目大气环境敏感程度判别结果见下表。</w:t>
      </w:r>
    </w:p>
    <w:p w14:paraId="3B9E87AE">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3-4</w:t>
      </w:r>
      <w:r>
        <w:rPr>
          <w:rFonts w:eastAsiaTheme="minorEastAsia"/>
          <w:bCs/>
          <w:color w:val="000000" w:themeColor="text1"/>
          <w:sz w:val="21"/>
          <w:szCs w:val="21"/>
          <w:highlight w:val="none"/>
          <w14:textFill>
            <w14:solidFill>
              <w14:schemeClr w14:val="tx1"/>
            </w14:solidFill>
          </w14:textFill>
        </w:rPr>
        <w:t xml:space="preserve">  大气环境敏感程度分级表</w:t>
      </w:r>
    </w:p>
    <w:tbl>
      <w:tblPr>
        <w:tblStyle w:val="28"/>
        <w:tblW w:w="5011" w:type="pct"/>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126"/>
        <w:gridCol w:w="7659"/>
      </w:tblGrid>
      <w:tr w14:paraId="7824264F">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PrEx>
        <w:trPr>
          <w:jc w:val="center"/>
        </w:trPr>
        <w:tc>
          <w:tcPr>
            <w:tcW w:w="641" w:type="pct"/>
            <w:tcBorders>
              <w:tl2br w:val="nil"/>
              <w:tr2bl w:val="nil"/>
            </w:tcBorders>
            <w:vAlign w:val="center"/>
          </w:tcPr>
          <w:p w14:paraId="5B92753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分级</w:t>
            </w:r>
          </w:p>
        </w:tc>
        <w:tc>
          <w:tcPr>
            <w:tcW w:w="4358" w:type="pct"/>
            <w:tcBorders>
              <w:tl2br w:val="nil"/>
              <w:tr2bl w:val="nil"/>
            </w:tcBorders>
            <w:vAlign w:val="center"/>
          </w:tcPr>
          <w:p w14:paraId="270D688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大气环境敏感性</w:t>
            </w:r>
          </w:p>
        </w:tc>
      </w:tr>
      <w:tr w14:paraId="0C8C6E76">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41" w:type="pct"/>
            <w:tcBorders>
              <w:tl2br w:val="nil"/>
              <w:tr2bl w:val="nil"/>
            </w:tcBorders>
            <w:vAlign w:val="center"/>
          </w:tcPr>
          <w:p w14:paraId="3764D44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4358" w:type="pct"/>
            <w:tcBorders>
              <w:tl2br w:val="nil"/>
              <w:tr2bl w:val="nil"/>
            </w:tcBorders>
            <w:vAlign w:val="center"/>
          </w:tcPr>
          <w:p w14:paraId="624E334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63728135">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41" w:type="pct"/>
            <w:tcBorders>
              <w:tl2br w:val="nil"/>
              <w:tr2bl w:val="nil"/>
            </w:tcBorders>
            <w:vAlign w:val="center"/>
          </w:tcPr>
          <w:p w14:paraId="16270E0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c>
          <w:tcPr>
            <w:tcW w:w="4358" w:type="pct"/>
            <w:tcBorders>
              <w:tl2br w:val="nil"/>
              <w:tr2bl w:val="nil"/>
            </w:tcBorders>
            <w:vAlign w:val="center"/>
          </w:tcPr>
          <w:p w14:paraId="605ACFA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59E8D2BF">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41" w:type="pct"/>
            <w:tcBorders>
              <w:tl2br w:val="nil"/>
              <w:tr2bl w:val="nil"/>
            </w:tcBorders>
            <w:shd w:val="clear" w:color="auto" w:fill="auto"/>
            <w:vAlign w:val="center"/>
          </w:tcPr>
          <w:p w14:paraId="36F1560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E3</w:t>
            </w:r>
          </w:p>
        </w:tc>
        <w:tc>
          <w:tcPr>
            <w:tcW w:w="4358" w:type="pct"/>
            <w:tcBorders>
              <w:tl2br w:val="nil"/>
              <w:tr2bl w:val="nil"/>
            </w:tcBorders>
            <w:shd w:val="clear" w:color="auto" w:fill="auto"/>
            <w:vAlign w:val="center"/>
          </w:tcPr>
          <w:p w14:paraId="407FBBA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周边5km范围内居住区、医疗卫生、文化教育、科研、行政办公等机构人口总数小于1万人；或周边500m范围内人口总数小于500人；油气、化学品输送管线管段周边200m范围内，每千米管段人口数小于100人</w:t>
            </w:r>
          </w:p>
        </w:tc>
      </w:tr>
    </w:tbl>
    <w:p w14:paraId="45A33FBE">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根据调查，拟建项目厂界外500m范围内人口总数小于500人；厂界外5km范围内人口总数大于小于1万人，大气环境敏感性为E3环境低度敏感区。</w:t>
      </w:r>
    </w:p>
    <w:p w14:paraId="7EDBF8DA">
      <w:pPr>
        <w:pStyle w:val="9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②地表水环境</w:t>
      </w:r>
    </w:p>
    <w:p w14:paraId="598AF24A">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3-5</w:t>
      </w:r>
      <w:r>
        <w:rPr>
          <w:rFonts w:eastAsiaTheme="minorEastAsia"/>
          <w:bCs/>
          <w:color w:val="000000" w:themeColor="text1"/>
          <w:sz w:val="21"/>
          <w:szCs w:val="21"/>
          <w:highlight w:val="none"/>
          <w14:textFill>
            <w14:solidFill>
              <w14:schemeClr w14:val="tx1"/>
            </w14:solidFill>
          </w14:textFill>
        </w:rPr>
        <w:t xml:space="preserve">  地表水功能敏感性分区</w:t>
      </w:r>
    </w:p>
    <w:tbl>
      <w:tblPr>
        <w:tblStyle w:val="28"/>
        <w:tblW w:w="87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0"/>
        <w:gridCol w:w="7587"/>
      </w:tblGrid>
      <w:tr w14:paraId="04D4C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3" w:type="pct"/>
            <w:tcBorders>
              <w:tl2br w:val="nil"/>
              <w:tr2bl w:val="nil"/>
            </w:tcBorders>
            <w:vAlign w:val="center"/>
          </w:tcPr>
          <w:p w14:paraId="55E1195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敏感性</w:t>
            </w:r>
          </w:p>
        </w:tc>
        <w:tc>
          <w:tcPr>
            <w:tcW w:w="4317" w:type="pct"/>
            <w:tcBorders>
              <w:tl2br w:val="nil"/>
              <w:tr2bl w:val="nil"/>
            </w:tcBorders>
            <w:vAlign w:val="center"/>
          </w:tcPr>
          <w:p w14:paraId="040981F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地表水环境敏感特征</w:t>
            </w:r>
          </w:p>
        </w:tc>
      </w:tr>
      <w:tr w14:paraId="50BF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3" w:type="pct"/>
            <w:tcBorders>
              <w:tl2br w:val="nil"/>
              <w:tr2bl w:val="nil"/>
            </w:tcBorders>
            <w:vAlign w:val="center"/>
          </w:tcPr>
          <w:p w14:paraId="5663C11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敏感F1</w:t>
            </w:r>
          </w:p>
        </w:tc>
        <w:tc>
          <w:tcPr>
            <w:tcW w:w="4317" w:type="pct"/>
            <w:tcBorders>
              <w:tl2br w:val="nil"/>
              <w:tr2bl w:val="nil"/>
            </w:tcBorders>
            <w:vAlign w:val="center"/>
          </w:tcPr>
          <w:p w14:paraId="561DBF9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排放点进入地表水水域环境功能为Ⅱ类及以上，或海水水质分类第一类；或以发生事故时，危险物质泄漏到水体的排放点算起，排放进入受纳河流最大流速时，24h流经范围内涉跨国界的</w:t>
            </w:r>
          </w:p>
        </w:tc>
      </w:tr>
      <w:tr w14:paraId="06D2B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3" w:type="pct"/>
            <w:tcBorders>
              <w:tl2br w:val="nil"/>
              <w:tr2bl w:val="nil"/>
            </w:tcBorders>
            <w:vAlign w:val="center"/>
          </w:tcPr>
          <w:p w14:paraId="3B23944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较敏感F2</w:t>
            </w:r>
          </w:p>
        </w:tc>
        <w:tc>
          <w:tcPr>
            <w:tcW w:w="4317" w:type="pct"/>
            <w:tcBorders>
              <w:tl2br w:val="nil"/>
              <w:tr2bl w:val="nil"/>
            </w:tcBorders>
            <w:vAlign w:val="center"/>
          </w:tcPr>
          <w:p w14:paraId="1199578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排放点进入地表水水域环境功能为Ⅲ类，或海水水质分类第二类；或以发生事故时，危险物质泄漏到水体的排放点算起，排放进入受纳河流最大流速时，24h流经范围内涉跨省界的</w:t>
            </w:r>
          </w:p>
        </w:tc>
      </w:tr>
      <w:tr w14:paraId="66DB5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3" w:type="pct"/>
            <w:tcBorders>
              <w:tl2br w:val="nil"/>
              <w:tr2bl w:val="nil"/>
            </w:tcBorders>
            <w:shd w:val="clear" w:color="auto" w:fill="D7D7D7" w:themeFill="background1" w:themeFillShade="D8"/>
            <w:vAlign w:val="center"/>
          </w:tcPr>
          <w:p w14:paraId="0B1F9DC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低敏感F3</w:t>
            </w:r>
          </w:p>
        </w:tc>
        <w:tc>
          <w:tcPr>
            <w:tcW w:w="4317" w:type="pct"/>
            <w:tcBorders>
              <w:tl2br w:val="nil"/>
              <w:tr2bl w:val="nil"/>
            </w:tcBorders>
            <w:vAlign w:val="center"/>
          </w:tcPr>
          <w:p w14:paraId="00593BC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上述地区之外的其他地区</w:t>
            </w:r>
          </w:p>
        </w:tc>
      </w:tr>
    </w:tbl>
    <w:p w14:paraId="1F2DC0B8">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3-6</w:t>
      </w:r>
      <w:r>
        <w:rPr>
          <w:rFonts w:eastAsiaTheme="minorEastAsia"/>
          <w:bCs/>
          <w:color w:val="000000" w:themeColor="text1"/>
          <w:sz w:val="21"/>
          <w:szCs w:val="21"/>
          <w:highlight w:val="none"/>
          <w14:textFill>
            <w14:solidFill>
              <w14:schemeClr w14:val="tx1"/>
            </w14:solidFill>
          </w14:textFill>
        </w:rPr>
        <w:t xml:space="preserve">  环境敏感目标分级</w:t>
      </w:r>
    </w:p>
    <w:tbl>
      <w:tblPr>
        <w:tblStyle w:val="28"/>
        <w:tblW w:w="87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99"/>
        <w:gridCol w:w="7588"/>
      </w:tblGrid>
      <w:tr w14:paraId="56D56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2" w:type="pct"/>
            <w:tcBorders>
              <w:tl2br w:val="nil"/>
              <w:tr2bl w:val="nil"/>
            </w:tcBorders>
            <w:vAlign w:val="center"/>
          </w:tcPr>
          <w:p w14:paraId="0BBE131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分级</w:t>
            </w:r>
          </w:p>
        </w:tc>
        <w:tc>
          <w:tcPr>
            <w:tcW w:w="4317" w:type="pct"/>
            <w:tcBorders>
              <w:tl2br w:val="nil"/>
              <w:tr2bl w:val="nil"/>
            </w:tcBorders>
            <w:vAlign w:val="center"/>
          </w:tcPr>
          <w:p w14:paraId="69A420B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环境敏感目标</w:t>
            </w:r>
          </w:p>
        </w:tc>
      </w:tr>
      <w:tr w14:paraId="6B5AE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2" w:type="pct"/>
            <w:tcBorders>
              <w:tl2br w:val="nil"/>
              <w:tr2bl w:val="nil"/>
            </w:tcBorders>
            <w:vAlign w:val="center"/>
          </w:tcPr>
          <w:p w14:paraId="313F993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S1</w:t>
            </w:r>
          </w:p>
        </w:tc>
        <w:tc>
          <w:tcPr>
            <w:tcW w:w="4317" w:type="pct"/>
            <w:tcBorders>
              <w:tl2br w:val="nil"/>
              <w:tr2bl w:val="nil"/>
            </w:tcBorders>
            <w:vAlign w:val="center"/>
          </w:tcPr>
          <w:p w14:paraId="17DD086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瀕危海洋生物的天然集中分布区；海洋特别保护区；海上自然保护区；盐场保护区；海水浴场：海洋自然历史遗迹；风景名胜区；或其他特殊重要保护区域</w:t>
            </w:r>
          </w:p>
        </w:tc>
      </w:tr>
      <w:tr w14:paraId="29A07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2" w:type="pct"/>
            <w:tcBorders>
              <w:tl2br w:val="nil"/>
              <w:tr2bl w:val="nil"/>
            </w:tcBorders>
            <w:vAlign w:val="center"/>
          </w:tcPr>
          <w:p w14:paraId="6A288DA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S2</w:t>
            </w:r>
          </w:p>
        </w:tc>
        <w:tc>
          <w:tcPr>
            <w:tcW w:w="4317" w:type="pct"/>
            <w:tcBorders>
              <w:tl2br w:val="nil"/>
              <w:tr2bl w:val="nil"/>
            </w:tcBorders>
            <w:vAlign w:val="center"/>
          </w:tcPr>
          <w:p w14:paraId="3C51BD3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城</w:t>
            </w:r>
          </w:p>
        </w:tc>
      </w:tr>
      <w:tr w14:paraId="12104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2" w:type="pct"/>
            <w:tcBorders>
              <w:tl2br w:val="nil"/>
              <w:tr2bl w:val="nil"/>
            </w:tcBorders>
            <w:shd w:val="clear" w:color="auto" w:fill="D7D7D7" w:themeFill="background1" w:themeFillShade="D8"/>
            <w:vAlign w:val="center"/>
          </w:tcPr>
          <w:p w14:paraId="7FE566D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S3</w:t>
            </w:r>
          </w:p>
        </w:tc>
        <w:tc>
          <w:tcPr>
            <w:tcW w:w="4317" w:type="pct"/>
            <w:tcBorders>
              <w:tl2br w:val="nil"/>
              <w:tr2bl w:val="nil"/>
            </w:tcBorders>
            <w:vAlign w:val="center"/>
          </w:tcPr>
          <w:p w14:paraId="1F6E00E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排放点下游（顺水流向）10km范围、近岸海域一个潮周期水质点可能达到的最大水平距离的两倍范围内无上述类型1和类型2包括的敏感保护目标</w:t>
            </w:r>
          </w:p>
        </w:tc>
      </w:tr>
    </w:tbl>
    <w:p w14:paraId="45EAE764">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3-7</w:t>
      </w:r>
      <w:r>
        <w:rPr>
          <w:rFonts w:eastAsiaTheme="minorEastAsia"/>
          <w:bCs/>
          <w:color w:val="000000" w:themeColor="text1"/>
          <w:sz w:val="21"/>
          <w:szCs w:val="21"/>
          <w:highlight w:val="none"/>
          <w14:textFill>
            <w14:solidFill>
              <w14:schemeClr w14:val="tx1"/>
            </w14:solidFill>
          </w14:textFill>
        </w:rPr>
        <w:t xml:space="preserve">  地表水环境敏感程度分级</w:t>
      </w:r>
    </w:p>
    <w:tbl>
      <w:tblPr>
        <w:tblStyle w:val="28"/>
        <w:tblW w:w="87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144"/>
        <w:gridCol w:w="1884"/>
        <w:gridCol w:w="1880"/>
        <w:gridCol w:w="1879"/>
      </w:tblGrid>
      <w:tr w14:paraId="782D4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89" w:type="pct"/>
            <w:vMerge w:val="restart"/>
            <w:tcBorders>
              <w:tl2br w:val="nil"/>
              <w:tr2bl w:val="nil"/>
            </w:tcBorders>
            <w:vAlign w:val="center"/>
          </w:tcPr>
          <w:p w14:paraId="6717238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敏感目标</w:t>
            </w:r>
          </w:p>
        </w:tc>
        <w:tc>
          <w:tcPr>
            <w:tcW w:w="3211" w:type="pct"/>
            <w:gridSpan w:val="3"/>
            <w:tcBorders>
              <w:tl2br w:val="nil"/>
              <w:tr2bl w:val="nil"/>
            </w:tcBorders>
            <w:vAlign w:val="center"/>
          </w:tcPr>
          <w:p w14:paraId="239B9EA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地表水功能敏感性</w:t>
            </w:r>
          </w:p>
        </w:tc>
      </w:tr>
      <w:tr w14:paraId="08D3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89" w:type="pct"/>
            <w:vMerge w:val="continue"/>
            <w:tcBorders>
              <w:tl2br w:val="nil"/>
              <w:tr2bl w:val="nil"/>
            </w:tcBorders>
            <w:vAlign w:val="center"/>
          </w:tcPr>
          <w:p w14:paraId="37E6E01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1072" w:type="pct"/>
            <w:tcBorders>
              <w:tl2br w:val="nil"/>
              <w:tr2bl w:val="nil"/>
            </w:tcBorders>
            <w:vAlign w:val="center"/>
          </w:tcPr>
          <w:p w14:paraId="0143021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F1</w:t>
            </w:r>
          </w:p>
        </w:tc>
        <w:tc>
          <w:tcPr>
            <w:tcW w:w="1070" w:type="pct"/>
            <w:tcBorders>
              <w:tl2br w:val="nil"/>
              <w:tr2bl w:val="nil"/>
            </w:tcBorders>
            <w:vAlign w:val="center"/>
          </w:tcPr>
          <w:p w14:paraId="48C9FE4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F2</w:t>
            </w:r>
          </w:p>
        </w:tc>
        <w:tc>
          <w:tcPr>
            <w:tcW w:w="1069" w:type="pct"/>
            <w:tcBorders>
              <w:tl2br w:val="nil"/>
              <w:tr2bl w:val="nil"/>
            </w:tcBorders>
            <w:vAlign w:val="center"/>
          </w:tcPr>
          <w:p w14:paraId="2F245A9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F3</w:t>
            </w:r>
          </w:p>
        </w:tc>
      </w:tr>
      <w:tr w14:paraId="2C232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89" w:type="pct"/>
            <w:tcBorders>
              <w:tl2br w:val="nil"/>
              <w:tr2bl w:val="nil"/>
            </w:tcBorders>
            <w:vAlign w:val="center"/>
          </w:tcPr>
          <w:p w14:paraId="22B4544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S1</w:t>
            </w:r>
          </w:p>
        </w:tc>
        <w:tc>
          <w:tcPr>
            <w:tcW w:w="1072" w:type="pct"/>
            <w:tcBorders>
              <w:tl2br w:val="nil"/>
              <w:tr2bl w:val="nil"/>
            </w:tcBorders>
            <w:vAlign w:val="center"/>
          </w:tcPr>
          <w:p w14:paraId="76F8413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070" w:type="pct"/>
            <w:tcBorders>
              <w:tl2br w:val="nil"/>
              <w:tr2bl w:val="nil"/>
            </w:tcBorders>
            <w:vAlign w:val="center"/>
          </w:tcPr>
          <w:p w14:paraId="42D949E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069" w:type="pct"/>
            <w:tcBorders>
              <w:tl2br w:val="nil"/>
              <w:tr2bl w:val="nil"/>
            </w:tcBorders>
            <w:vAlign w:val="center"/>
          </w:tcPr>
          <w:p w14:paraId="3536106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r>
      <w:tr w14:paraId="1B162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89" w:type="pct"/>
            <w:tcBorders>
              <w:tl2br w:val="nil"/>
              <w:tr2bl w:val="nil"/>
            </w:tcBorders>
            <w:vAlign w:val="center"/>
          </w:tcPr>
          <w:p w14:paraId="3B30369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S2</w:t>
            </w:r>
          </w:p>
        </w:tc>
        <w:tc>
          <w:tcPr>
            <w:tcW w:w="1072" w:type="pct"/>
            <w:tcBorders>
              <w:tl2br w:val="nil"/>
              <w:tr2bl w:val="nil"/>
            </w:tcBorders>
            <w:vAlign w:val="center"/>
          </w:tcPr>
          <w:p w14:paraId="1D6C01C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070" w:type="pct"/>
            <w:tcBorders>
              <w:tl2br w:val="nil"/>
              <w:tr2bl w:val="nil"/>
            </w:tcBorders>
            <w:vAlign w:val="center"/>
          </w:tcPr>
          <w:p w14:paraId="4000086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c>
          <w:tcPr>
            <w:tcW w:w="1069" w:type="pct"/>
            <w:tcBorders>
              <w:tl2br w:val="nil"/>
              <w:tr2bl w:val="nil"/>
            </w:tcBorders>
            <w:vAlign w:val="center"/>
          </w:tcPr>
          <w:p w14:paraId="1182C73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E3</w:t>
            </w:r>
          </w:p>
        </w:tc>
      </w:tr>
      <w:tr w14:paraId="48C39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89" w:type="pct"/>
            <w:tcBorders>
              <w:tl2br w:val="nil"/>
              <w:tr2bl w:val="nil"/>
            </w:tcBorders>
            <w:vAlign w:val="center"/>
          </w:tcPr>
          <w:p w14:paraId="7C87767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S3</w:t>
            </w:r>
          </w:p>
        </w:tc>
        <w:tc>
          <w:tcPr>
            <w:tcW w:w="1072" w:type="pct"/>
            <w:tcBorders>
              <w:tl2br w:val="nil"/>
              <w:tr2bl w:val="nil"/>
            </w:tcBorders>
            <w:vAlign w:val="center"/>
          </w:tcPr>
          <w:p w14:paraId="6AD5DD3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070" w:type="pct"/>
            <w:tcBorders>
              <w:tl2br w:val="nil"/>
              <w:tr2bl w:val="nil"/>
            </w:tcBorders>
            <w:vAlign w:val="center"/>
          </w:tcPr>
          <w:p w14:paraId="5AF7984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c>
          <w:tcPr>
            <w:tcW w:w="1069" w:type="pct"/>
            <w:tcBorders>
              <w:tl2br w:val="nil"/>
              <w:tr2bl w:val="nil"/>
            </w:tcBorders>
            <w:shd w:val="clear" w:color="auto" w:fill="D7D7D7" w:themeFill="background1" w:themeFillShade="D8"/>
            <w:vAlign w:val="center"/>
          </w:tcPr>
          <w:p w14:paraId="2706C36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E3</w:t>
            </w:r>
          </w:p>
        </w:tc>
      </w:tr>
    </w:tbl>
    <w:p w14:paraId="7B72D8F6">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本项目正常情况下，无废水外排；在事故状态下，建设方在厂区内设置有事故水池，可保证在事故状态下废水，不外排。根据评价根据《建设项目环境风险评价技术导则》（HJ169-2018），地表水功能敏感性分区为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低敏感度F3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；环境敏感目标分级为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S3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，确定项目地表水环境风险敏感程度为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E3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，属于环境低度敏感区。</w:t>
      </w:r>
    </w:p>
    <w:p w14:paraId="7CFFC238">
      <w:pPr>
        <w:pStyle w:val="9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 地下水环境</w:t>
      </w:r>
    </w:p>
    <w:p w14:paraId="79362AD8">
      <w:pPr>
        <w:pStyle w:val="96"/>
        <w:ind w:firstLine="480"/>
        <w:rPr>
          <w:rFonts w:ascii="Arial" w:hAnsi="Arial" w:cs="Arial"/>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根据地下水功能敏感性与包气带防污性能，共分为三种类型，E1为环境高度敏感区，E2为环境中度敏感区，E3为环境低度敏感区，分级原则见下表。</w:t>
      </w:r>
    </w:p>
    <w:p w14:paraId="3D2F2CCD">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3-8</w:t>
      </w:r>
      <w:r>
        <w:rPr>
          <w:rFonts w:eastAsiaTheme="minorEastAsia"/>
          <w:bCs/>
          <w:color w:val="000000" w:themeColor="text1"/>
          <w:sz w:val="21"/>
          <w:szCs w:val="21"/>
          <w:highlight w:val="none"/>
          <w14:textFill>
            <w14:solidFill>
              <w14:schemeClr w14:val="tx1"/>
            </w14:solidFill>
          </w14:textFill>
        </w:rPr>
        <w:t xml:space="preserve">  包气带防污性能分级表</w:t>
      </w:r>
    </w:p>
    <w:tbl>
      <w:tblPr>
        <w:tblStyle w:val="28"/>
        <w:tblW w:w="8787" w:type="dxa"/>
        <w:tblInd w:w="0" w:type="dxa"/>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098"/>
        <w:gridCol w:w="7689"/>
      </w:tblGrid>
      <w:tr w14:paraId="53B84E7C">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trPr>
        <w:tc>
          <w:tcPr>
            <w:tcW w:w="625" w:type="pct"/>
            <w:tcBorders>
              <w:tl2br w:val="nil"/>
              <w:tr2bl w:val="nil"/>
            </w:tcBorders>
            <w:vAlign w:val="center"/>
          </w:tcPr>
          <w:p w14:paraId="066810C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分级</w:t>
            </w:r>
          </w:p>
        </w:tc>
        <w:tc>
          <w:tcPr>
            <w:tcW w:w="4375" w:type="pct"/>
            <w:tcBorders>
              <w:tl2br w:val="nil"/>
              <w:tr2bl w:val="nil"/>
            </w:tcBorders>
            <w:vAlign w:val="center"/>
          </w:tcPr>
          <w:p w14:paraId="43507D0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包气带岩土的渗透性能</w:t>
            </w:r>
          </w:p>
        </w:tc>
      </w:tr>
      <w:tr w14:paraId="3658FB84">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trPr>
        <w:tc>
          <w:tcPr>
            <w:tcW w:w="625" w:type="pct"/>
            <w:tcBorders>
              <w:tl2br w:val="nil"/>
              <w:tr2bl w:val="nil"/>
            </w:tcBorders>
            <w:vAlign w:val="center"/>
          </w:tcPr>
          <w:p w14:paraId="64BA177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D3</w:t>
            </w:r>
          </w:p>
        </w:tc>
        <w:tc>
          <w:tcPr>
            <w:tcW w:w="4375" w:type="pct"/>
            <w:tcBorders>
              <w:tl2br w:val="nil"/>
              <w:tr2bl w:val="nil"/>
            </w:tcBorders>
            <w:vAlign w:val="center"/>
          </w:tcPr>
          <w:p w14:paraId="4F4F039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Mb≥1.0m，K≤1.0×10-6cm/s，且分布连续、稳定</w:t>
            </w:r>
          </w:p>
        </w:tc>
      </w:tr>
      <w:tr w14:paraId="5BFCD624">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540" w:hRule="atLeast"/>
        </w:trPr>
        <w:tc>
          <w:tcPr>
            <w:tcW w:w="625" w:type="pct"/>
            <w:tcBorders>
              <w:tl2br w:val="nil"/>
              <w:tr2bl w:val="nil"/>
            </w:tcBorders>
            <w:vAlign w:val="center"/>
          </w:tcPr>
          <w:p w14:paraId="6FB40D9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D2</w:t>
            </w:r>
          </w:p>
        </w:tc>
        <w:tc>
          <w:tcPr>
            <w:tcW w:w="4375" w:type="pct"/>
            <w:tcBorders>
              <w:tl2br w:val="nil"/>
              <w:tr2bl w:val="nil"/>
            </w:tcBorders>
            <w:vAlign w:val="center"/>
          </w:tcPr>
          <w:p w14:paraId="79EE8E5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0.5m≤Mb&lt;1.0m，K≤1.0×10-6cm/s，且分布连续、稳定</w:t>
            </w:r>
          </w:p>
          <w:p w14:paraId="03B9C82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Mb≥1.0m，1.0×10-6cm/s＜K≤1.0×10-4cm/s，且分布连续、稳定</w:t>
            </w:r>
          </w:p>
        </w:tc>
      </w:tr>
      <w:tr w14:paraId="297CD7E5">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trPr>
        <w:tc>
          <w:tcPr>
            <w:tcW w:w="625" w:type="pct"/>
            <w:tcBorders>
              <w:tl2br w:val="nil"/>
              <w:tr2bl w:val="nil"/>
            </w:tcBorders>
            <w:shd w:val="clear" w:color="auto" w:fill="D7D7D7" w:themeFill="background1" w:themeFillShade="D8"/>
            <w:vAlign w:val="center"/>
          </w:tcPr>
          <w:p w14:paraId="2205C26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D1</w:t>
            </w:r>
          </w:p>
        </w:tc>
        <w:tc>
          <w:tcPr>
            <w:tcW w:w="4375" w:type="pct"/>
            <w:tcBorders>
              <w:tl2br w:val="nil"/>
              <w:tr2bl w:val="nil"/>
            </w:tcBorders>
            <w:shd w:val="clear" w:color="auto" w:fill="D7D7D7" w:themeFill="background1" w:themeFillShade="D8"/>
            <w:vAlign w:val="center"/>
          </w:tcPr>
          <w:p w14:paraId="579D662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岩（土）层不满足上述“D2”和“D3”条件</w:t>
            </w:r>
          </w:p>
        </w:tc>
      </w:tr>
      <w:tr w14:paraId="69445BA8">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trPr>
        <w:tc>
          <w:tcPr>
            <w:tcW w:w="5000" w:type="pct"/>
            <w:gridSpan w:val="2"/>
            <w:tcBorders>
              <w:tl2br w:val="nil"/>
              <w:tr2bl w:val="nil"/>
            </w:tcBorders>
            <w:vAlign w:val="center"/>
          </w:tcPr>
          <w:p w14:paraId="23A3A74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Mb：岩土层单层厚度。K：渗透系数。</w:t>
            </w:r>
          </w:p>
        </w:tc>
      </w:tr>
    </w:tbl>
    <w:p w14:paraId="7E0973BC">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3-9</w:t>
      </w:r>
      <w:r>
        <w:rPr>
          <w:rFonts w:eastAsiaTheme="minorEastAsia"/>
          <w:bCs/>
          <w:color w:val="000000" w:themeColor="text1"/>
          <w:sz w:val="21"/>
          <w:szCs w:val="21"/>
          <w:highlight w:val="none"/>
          <w14:textFill>
            <w14:solidFill>
              <w14:schemeClr w14:val="tx1"/>
            </w14:solidFill>
          </w14:textFill>
        </w:rPr>
        <w:t xml:space="preserve">  地下水功能敏感性分区表</w:t>
      </w:r>
    </w:p>
    <w:tbl>
      <w:tblPr>
        <w:tblStyle w:val="28"/>
        <w:tblW w:w="8787" w:type="dxa"/>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098"/>
        <w:gridCol w:w="7689"/>
      </w:tblGrid>
      <w:tr w14:paraId="35FE76BF">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25" w:type="pct"/>
            <w:tcBorders>
              <w:tl2br w:val="nil"/>
              <w:tr2bl w:val="nil"/>
            </w:tcBorders>
            <w:vAlign w:val="center"/>
          </w:tcPr>
          <w:p w14:paraId="2F0C13B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敏感性</w:t>
            </w:r>
          </w:p>
        </w:tc>
        <w:tc>
          <w:tcPr>
            <w:tcW w:w="4375" w:type="pct"/>
            <w:tcBorders>
              <w:tl2br w:val="nil"/>
              <w:tr2bl w:val="nil"/>
            </w:tcBorders>
            <w:vAlign w:val="center"/>
          </w:tcPr>
          <w:p w14:paraId="6A4CDD1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地下水环境敏感特征</w:t>
            </w:r>
          </w:p>
        </w:tc>
      </w:tr>
      <w:tr w14:paraId="10C67FB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25" w:type="pct"/>
            <w:tcBorders>
              <w:tl2br w:val="nil"/>
              <w:tr2bl w:val="nil"/>
            </w:tcBorders>
            <w:vAlign w:val="center"/>
          </w:tcPr>
          <w:p w14:paraId="1D2E948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敏感G1</w:t>
            </w:r>
          </w:p>
        </w:tc>
        <w:tc>
          <w:tcPr>
            <w:tcW w:w="4375" w:type="pct"/>
            <w:tcBorders>
              <w:tl2br w:val="nil"/>
              <w:tr2bl w:val="nil"/>
            </w:tcBorders>
            <w:vAlign w:val="center"/>
          </w:tcPr>
          <w:p w14:paraId="6740ACC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4BFCFAD9">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25" w:type="pct"/>
            <w:tcBorders>
              <w:tl2br w:val="nil"/>
              <w:tr2bl w:val="nil"/>
            </w:tcBorders>
            <w:vAlign w:val="center"/>
          </w:tcPr>
          <w:p w14:paraId="3252545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较敏感G2</w:t>
            </w:r>
          </w:p>
        </w:tc>
        <w:tc>
          <w:tcPr>
            <w:tcW w:w="4375" w:type="pct"/>
            <w:tcBorders>
              <w:tl2br w:val="nil"/>
              <w:tr2bl w:val="nil"/>
            </w:tcBorders>
            <w:vAlign w:val="center"/>
          </w:tcPr>
          <w:p w14:paraId="0CA42D0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5E62B738">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625" w:type="pct"/>
            <w:tcBorders>
              <w:tl2br w:val="nil"/>
              <w:tr2bl w:val="nil"/>
            </w:tcBorders>
            <w:shd w:val="clear" w:color="auto" w:fill="D7D7D7" w:themeFill="background1" w:themeFillShade="D8"/>
            <w:vAlign w:val="center"/>
          </w:tcPr>
          <w:p w14:paraId="703B2FE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不敏感G3</w:t>
            </w:r>
          </w:p>
        </w:tc>
        <w:tc>
          <w:tcPr>
            <w:tcW w:w="4375" w:type="pct"/>
            <w:tcBorders>
              <w:tl2br w:val="nil"/>
              <w:tr2bl w:val="nil"/>
            </w:tcBorders>
            <w:shd w:val="clear" w:color="auto" w:fill="D7D7D7" w:themeFill="background1" w:themeFillShade="D8"/>
            <w:vAlign w:val="center"/>
          </w:tcPr>
          <w:p w14:paraId="0B25800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上述地区之外的其他地区</w:t>
            </w:r>
          </w:p>
        </w:tc>
      </w:tr>
      <w:tr w14:paraId="0606E18D">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5000" w:type="pct"/>
            <w:gridSpan w:val="2"/>
            <w:tcBorders>
              <w:tl2br w:val="nil"/>
              <w:tr2bl w:val="nil"/>
            </w:tcBorders>
            <w:vAlign w:val="center"/>
          </w:tcPr>
          <w:p w14:paraId="47E2796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注：a“环境敏感区”是指《建设项目环境影响评价分类管理名录》中所界定的涉及地下水的环境敏感区</w:t>
            </w:r>
          </w:p>
        </w:tc>
      </w:tr>
    </w:tbl>
    <w:p w14:paraId="211FA130">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3-10</w:t>
      </w:r>
      <w:r>
        <w:rPr>
          <w:rFonts w:eastAsiaTheme="minorEastAsia"/>
          <w:bCs/>
          <w:color w:val="000000" w:themeColor="text1"/>
          <w:sz w:val="21"/>
          <w:szCs w:val="21"/>
          <w:highlight w:val="none"/>
          <w14:textFill>
            <w14:solidFill>
              <w14:schemeClr w14:val="tx1"/>
            </w14:solidFill>
          </w14:textFill>
        </w:rPr>
        <w:t xml:space="preserve">  地下水环境敏感程度分级表</w:t>
      </w:r>
    </w:p>
    <w:tbl>
      <w:tblPr>
        <w:tblStyle w:val="28"/>
        <w:tblW w:w="8787" w:type="dxa"/>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2624"/>
        <w:gridCol w:w="2054"/>
        <w:gridCol w:w="2054"/>
        <w:gridCol w:w="2055"/>
      </w:tblGrid>
      <w:tr w14:paraId="0DBDB9ED">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1493" w:type="pct"/>
            <w:vMerge w:val="restart"/>
            <w:tcBorders>
              <w:tl2br w:val="nil"/>
              <w:tr2bl w:val="nil"/>
            </w:tcBorders>
            <w:vAlign w:val="center"/>
          </w:tcPr>
          <w:p w14:paraId="37072D2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包气带防污性能</w:t>
            </w:r>
          </w:p>
        </w:tc>
        <w:tc>
          <w:tcPr>
            <w:tcW w:w="3507" w:type="pct"/>
            <w:gridSpan w:val="3"/>
            <w:tcBorders>
              <w:tl2br w:val="nil"/>
              <w:tr2bl w:val="nil"/>
            </w:tcBorders>
            <w:vAlign w:val="center"/>
          </w:tcPr>
          <w:p w14:paraId="63F4222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地下水功能敏感性</w:t>
            </w:r>
          </w:p>
        </w:tc>
      </w:tr>
      <w:tr w14:paraId="5ED0AFB4">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1493" w:type="pct"/>
            <w:vMerge w:val="continue"/>
            <w:tcBorders>
              <w:tl2br w:val="nil"/>
              <w:tr2bl w:val="nil"/>
            </w:tcBorders>
            <w:vAlign w:val="center"/>
          </w:tcPr>
          <w:p w14:paraId="75725F3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p>
        </w:tc>
        <w:tc>
          <w:tcPr>
            <w:tcW w:w="1169" w:type="pct"/>
            <w:tcBorders>
              <w:tl2br w:val="nil"/>
              <w:tr2bl w:val="nil"/>
            </w:tcBorders>
            <w:vAlign w:val="center"/>
          </w:tcPr>
          <w:p w14:paraId="33B94B0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G1</w:t>
            </w:r>
          </w:p>
        </w:tc>
        <w:tc>
          <w:tcPr>
            <w:tcW w:w="1169" w:type="pct"/>
            <w:tcBorders>
              <w:tl2br w:val="nil"/>
              <w:tr2bl w:val="nil"/>
            </w:tcBorders>
            <w:vAlign w:val="center"/>
          </w:tcPr>
          <w:p w14:paraId="76177FA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G2</w:t>
            </w:r>
          </w:p>
        </w:tc>
        <w:tc>
          <w:tcPr>
            <w:tcW w:w="1169" w:type="pct"/>
            <w:tcBorders>
              <w:tl2br w:val="nil"/>
              <w:tr2bl w:val="nil"/>
            </w:tcBorders>
            <w:vAlign w:val="center"/>
          </w:tcPr>
          <w:p w14:paraId="1E65FD7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G3</w:t>
            </w:r>
          </w:p>
        </w:tc>
      </w:tr>
      <w:tr w14:paraId="604C5E29">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1493" w:type="pct"/>
            <w:tcBorders>
              <w:tl2br w:val="nil"/>
              <w:tr2bl w:val="nil"/>
            </w:tcBorders>
            <w:vAlign w:val="center"/>
          </w:tcPr>
          <w:p w14:paraId="186D087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D1</w:t>
            </w:r>
          </w:p>
        </w:tc>
        <w:tc>
          <w:tcPr>
            <w:tcW w:w="1169" w:type="pct"/>
            <w:tcBorders>
              <w:tl2br w:val="nil"/>
              <w:tr2bl w:val="nil"/>
            </w:tcBorders>
            <w:vAlign w:val="center"/>
          </w:tcPr>
          <w:p w14:paraId="56863C8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169" w:type="pct"/>
            <w:tcBorders>
              <w:tl2br w:val="nil"/>
              <w:tr2bl w:val="nil"/>
            </w:tcBorders>
            <w:vAlign w:val="center"/>
          </w:tcPr>
          <w:p w14:paraId="6C04526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169" w:type="pct"/>
            <w:tcBorders>
              <w:tl2br w:val="nil"/>
              <w:tr2bl w:val="nil"/>
            </w:tcBorders>
            <w:vAlign w:val="center"/>
          </w:tcPr>
          <w:p w14:paraId="02911B80">
            <w:pPr>
              <w:pStyle w:val="24"/>
              <w:keepNext w:val="0"/>
              <w:keepLines w:val="0"/>
              <w:suppressLineNumbers w:val="0"/>
              <w:shd w:val="clear" w:color="auto" w:fill="D7D7D7" w:themeFill="background1" w:themeFillShade="D8"/>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r>
      <w:tr w14:paraId="004FE1CC">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1493" w:type="pct"/>
            <w:tcBorders>
              <w:tl2br w:val="nil"/>
              <w:tr2bl w:val="nil"/>
            </w:tcBorders>
            <w:vAlign w:val="center"/>
          </w:tcPr>
          <w:p w14:paraId="20E0CD0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D2</w:t>
            </w:r>
          </w:p>
        </w:tc>
        <w:tc>
          <w:tcPr>
            <w:tcW w:w="1169" w:type="pct"/>
            <w:tcBorders>
              <w:tl2br w:val="nil"/>
              <w:tr2bl w:val="nil"/>
            </w:tcBorders>
            <w:vAlign w:val="center"/>
          </w:tcPr>
          <w:p w14:paraId="02B7458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E1</w:t>
            </w:r>
          </w:p>
        </w:tc>
        <w:tc>
          <w:tcPr>
            <w:tcW w:w="1169" w:type="pct"/>
            <w:tcBorders>
              <w:tl2br w:val="nil"/>
              <w:tr2bl w:val="nil"/>
            </w:tcBorders>
            <w:vAlign w:val="center"/>
          </w:tcPr>
          <w:p w14:paraId="1A4F26B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c>
          <w:tcPr>
            <w:tcW w:w="1169" w:type="pct"/>
            <w:tcBorders>
              <w:tl2br w:val="nil"/>
              <w:tr2bl w:val="nil"/>
            </w:tcBorders>
            <w:vAlign w:val="center"/>
          </w:tcPr>
          <w:p w14:paraId="3553BD4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E3</w:t>
            </w:r>
          </w:p>
        </w:tc>
      </w:tr>
      <w:tr w14:paraId="062E4C1E">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trHeight w:val="270" w:hRule="atLeast"/>
          <w:jc w:val="center"/>
        </w:trPr>
        <w:tc>
          <w:tcPr>
            <w:tcW w:w="1493" w:type="pct"/>
            <w:tcBorders>
              <w:tl2br w:val="nil"/>
              <w:tr2bl w:val="nil"/>
            </w:tcBorders>
            <w:vAlign w:val="center"/>
          </w:tcPr>
          <w:p w14:paraId="31D48A9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D3</w:t>
            </w:r>
          </w:p>
        </w:tc>
        <w:tc>
          <w:tcPr>
            <w:tcW w:w="1169" w:type="pct"/>
            <w:tcBorders>
              <w:tl2br w:val="nil"/>
              <w:tr2bl w:val="nil"/>
            </w:tcBorders>
            <w:vAlign w:val="center"/>
          </w:tcPr>
          <w:p w14:paraId="04B1D513">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E2</w:t>
            </w:r>
          </w:p>
        </w:tc>
        <w:tc>
          <w:tcPr>
            <w:tcW w:w="1169" w:type="pct"/>
            <w:tcBorders>
              <w:tl2br w:val="nil"/>
              <w:tr2bl w:val="nil"/>
            </w:tcBorders>
            <w:vAlign w:val="center"/>
          </w:tcPr>
          <w:p w14:paraId="571C6E4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E3</w:t>
            </w:r>
          </w:p>
        </w:tc>
        <w:tc>
          <w:tcPr>
            <w:tcW w:w="1169" w:type="pct"/>
            <w:tcBorders>
              <w:tl2br w:val="nil"/>
              <w:tr2bl w:val="nil"/>
            </w:tcBorders>
            <w:vAlign w:val="center"/>
          </w:tcPr>
          <w:p w14:paraId="355CC05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E3</w:t>
            </w:r>
          </w:p>
        </w:tc>
      </w:tr>
    </w:tbl>
    <w:p w14:paraId="6D352B6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本项目包气带防污性能分级为 D1；项目评价范围内无分散饮用水井及水源地，地下水功能敏感性为不敏感 G3，因此地下水功能敏感性为环境中度敏感区 E2。</w:t>
      </w:r>
    </w:p>
    <w:p w14:paraId="5AF946E3">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风险潜势判断</w:t>
      </w:r>
    </w:p>
    <w:p w14:paraId="13C13EC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建设项目环境风险潜势划</w:t>
      </w:r>
      <w:r>
        <w:rPr>
          <w:color w:val="000000" w:themeColor="text1"/>
          <w:highlight w:val="none"/>
          <w14:textFill>
            <w14:solidFill>
              <w14:schemeClr w14:val="tx1"/>
            </w14:solidFill>
          </w14:textFill>
        </w:rPr>
        <w:t>分为Ⅰ、Ⅱ、Ⅲ、Ⅳ/Ⅳ</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级</w:t>
      </w:r>
      <w:r>
        <w:rPr>
          <w:rFonts w:hint="eastAsia"/>
          <w:color w:val="000000" w:themeColor="text1"/>
          <w:highlight w:val="none"/>
          <w14:textFill>
            <w14:solidFill>
              <w14:schemeClr w14:val="tx1"/>
            </w14:solidFill>
          </w14:textFill>
        </w:rPr>
        <w:t>。</w:t>
      </w:r>
    </w:p>
    <w:p w14:paraId="7E7B3C25">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根据建设项目涉及的物质和工艺系统的危险性及其所在地的环境敏感程度，结合事故情形下环境影响途径，对建设项目潜在环境危害程度进行概化分析，按照表3-11确定环境风险潜势。</w:t>
      </w:r>
    </w:p>
    <w:p w14:paraId="0BC5582B">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3-11</w:t>
      </w:r>
      <w:r>
        <w:rPr>
          <w:rFonts w:eastAsiaTheme="minorEastAsia"/>
          <w:bCs/>
          <w:color w:val="000000" w:themeColor="text1"/>
          <w:sz w:val="21"/>
          <w:szCs w:val="21"/>
          <w:highlight w:val="none"/>
          <w14:textFill>
            <w14:solidFill>
              <w14:schemeClr w14:val="tx1"/>
            </w14:solidFill>
          </w14:textFill>
        </w:rPr>
        <w:t xml:space="preserve">   建设项目环境风险潜势划分依据</w:t>
      </w:r>
    </w:p>
    <w:tbl>
      <w:tblPr>
        <w:tblStyle w:val="8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2"/>
        <w:gridCol w:w="1512"/>
        <w:gridCol w:w="1512"/>
        <w:gridCol w:w="1512"/>
        <w:gridCol w:w="1514"/>
      </w:tblGrid>
      <w:tr w14:paraId="55FE0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472" w:type="dxa"/>
            <w:vMerge w:val="restart"/>
            <w:tcBorders>
              <w:top w:val="single" w:color="auto" w:sz="4" w:space="0"/>
              <w:left w:val="single" w:color="auto" w:sz="4" w:space="0"/>
              <w:bottom w:val="nil"/>
            </w:tcBorders>
            <w:vAlign w:val="center"/>
          </w:tcPr>
          <w:p w14:paraId="49335AD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环境敏感程度（E）</w:t>
            </w:r>
          </w:p>
        </w:tc>
        <w:tc>
          <w:tcPr>
            <w:tcW w:w="6050" w:type="dxa"/>
            <w:gridSpan w:val="4"/>
            <w:tcBorders>
              <w:top w:val="single" w:color="auto" w:sz="4" w:space="0"/>
              <w:right w:val="single" w:color="auto" w:sz="4" w:space="0"/>
            </w:tcBorders>
            <w:vAlign w:val="center"/>
          </w:tcPr>
          <w:p w14:paraId="0503BAB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危险物质及工艺系统危险性（P）</w:t>
            </w:r>
          </w:p>
        </w:tc>
      </w:tr>
      <w:tr w14:paraId="77A38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472" w:type="dxa"/>
            <w:vMerge w:val="continue"/>
            <w:tcBorders>
              <w:top w:val="nil"/>
              <w:left w:val="single" w:color="auto" w:sz="4" w:space="0"/>
            </w:tcBorders>
            <w:vAlign w:val="center"/>
          </w:tcPr>
          <w:p w14:paraId="7AA82F1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12" w:type="dxa"/>
            <w:vAlign w:val="center"/>
          </w:tcPr>
          <w:p w14:paraId="7252C27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极高危害（P1）</w:t>
            </w:r>
          </w:p>
        </w:tc>
        <w:tc>
          <w:tcPr>
            <w:tcW w:w="1512" w:type="dxa"/>
            <w:vAlign w:val="center"/>
          </w:tcPr>
          <w:p w14:paraId="1B375C8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高度危害（P2）</w:t>
            </w:r>
          </w:p>
        </w:tc>
        <w:tc>
          <w:tcPr>
            <w:tcW w:w="1512" w:type="dxa"/>
            <w:vAlign w:val="center"/>
          </w:tcPr>
          <w:p w14:paraId="6E478AE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中度危害（P3）</w:t>
            </w:r>
          </w:p>
        </w:tc>
        <w:tc>
          <w:tcPr>
            <w:tcW w:w="1514" w:type="dxa"/>
            <w:tcBorders>
              <w:right w:val="single" w:color="auto" w:sz="4" w:space="0"/>
            </w:tcBorders>
            <w:vAlign w:val="center"/>
          </w:tcPr>
          <w:p w14:paraId="288A2E9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轻度危害（P4）</w:t>
            </w:r>
          </w:p>
        </w:tc>
      </w:tr>
      <w:tr w14:paraId="0E032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472" w:type="dxa"/>
            <w:tcBorders>
              <w:left w:val="single" w:color="auto" w:sz="4" w:space="0"/>
            </w:tcBorders>
            <w:vAlign w:val="center"/>
          </w:tcPr>
          <w:p w14:paraId="4BBD7DB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环境高度敏感区（E1）</w:t>
            </w:r>
          </w:p>
        </w:tc>
        <w:tc>
          <w:tcPr>
            <w:tcW w:w="1512" w:type="dxa"/>
            <w:vAlign w:val="center"/>
          </w:tcPr>
          <w:p w14:paraId="1C66ED1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Ⅳ+</w:t>
            </w:r>
          </w:p>
        </w:tc>
        <w:tc>
          <w:tcPr>
            <w:tcW w:w="1512" w:type="dxa"/>
            <w:vAlign w:val="center"/>
          </w:tcPr>
          <w:p w14:paraId="538B418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Ⅳ</w:t>
            </w:r>
          </w:p>
        </w:tc>
        <w:tc>
          <w:tcPr>
            <w:tcW w:w="1512" w:type="dxa"/>
            <w:vAlign w:val="center"/>
          </w:tcPr>
          <w:p w14:paraId="68934F2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Ⅲ</w:t>
            </w:r>
          </w:p>
        </w:tc>
        <w:tc>
          <w:tcPr>
            <w:tcW w:w="1514" w:type="dxa"/>
            <w:tcBorders>
              <w:right w:val="single" w:color="auto" w:sz="4" w:space="0"/>
            </w:tcBorders>
            <w:vAlign w:val="center"/>
          </w:tcPr>
          <w:p w14:paraId="33A997E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Ⅲ</w:t>
            </w:r>
          </w:p>
        </w:tc>
      </w:tr>
      <w:tr w14:paraId="7648B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472" w:type="dxa"/>
            <w:tcBorders>
              <w:left w:val="single" w:color="auto" w:sz="4" w:space="0"/>
            </w:tcBorders>
            <w:vAlign w:val="center"/>
          </w:tcPr>
          <w:p w14:paraId="3C90F4B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环境中度敏感区（E2）</w:t>
            </w:r>
          </w:p>
        </w:tc>
        <w:tc>
          <w:tcPr>
            <w:tcW w:w="1512" w:type="dxa"/>
            <w:vAlign w:val="center"/>
          </w:tcPr>
          <w:p w14:paraId="1278C71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Ⅳ</w:t>
            </w:r>
          </w:p>
        </w:tc>
        <w:tc>
          <w:tcPr>
            <w:tcW w:w="1512" w:type="dxa"/>
            <w:vAlign w:val="center"/>
          </w:tcPr>
          <w:p w14:paraId="5230499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shd w:val="clear" w:color="auto" w:fill="auto"/>
                <w14:textFill>
                  <w14:solidFill>
                    <w14:schemeClr w14:val="tx1"/>
                  </w14:solidFill>
                </w14:textFill>
              </w:rPr>
            </w:pPr>
            <w:r>
              <w:rPr>
                <w:rFonts w:ascii="Times New Roman" w:hAnsi="Times New Roman"/>
                <w:color w:val="000000" w:themeColor="text1"/>
                <w:sz w:val="21"/>
                <w:szCs w:val="21"/>
                <w:highlight w:val="none"/>
                <w:shd w:val="clear" w:color="auto" w:fill="auto"/>
                <w14:textFill>
                  <w14:solidFill>
                    <w14:schemeClr w14:val="tx1"/>
                  </w14:solidFill>
                </w14:textFill>
              </w:rPr>
              <w:t>Ⅲ</w:t>
            </w:r>
          </w:p>
        </w:tc>
        <w:tc>
          <w:tcPr>
            <w:tcW w:w="1512" w:type="dxa"/>
            <w:shd w:val="clear" w:color="auto" w:fill="auto"/>
            <w:vAlign w:val="center"/>
          </w:tcPr>
          <w:p w14:paraId="40ADAF3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Ⅲ</w:t>
            </w:r>
          </w:p>
        </w:tc>
        <w:tc>
          <w:tcPr>
            <w:tcW w:w="1514" w:type="dxa"/>
            <w:tcBorders>
              <w:right w:val="single" w:color="auto" w:sz="4" w:space="0"/>
            </w:tcBorders>
            <w:shd w:val="clear" w:color="auto" w:fill="auto"/>
            <w:vAlign w:val="center"/>
          </w:tcPr>
          <w:p w14:paraId="32A4BEB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Ⅱ</w:t>
            </w:r>
          </w:p>
        </w:tc>
      </w:tr>
      <w:tr w14:paraId="6BA27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472" w:type="dxa"/>
            <w:tcBorders>
              <w:left w:val="single" w:color="auto" w:sz="4" w:space="0"/>
            </w:tcBorders>
            <w:vAlign w:val="center"/>
          </w:tcPr>
          <w:p w14:paraId="139A793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环境低度敏感区（E3）</w:t>
            </w:r>
          </w:p>
        </w:tc>
        <w:tc>
          <w:tcPr>
            <w:tcW w:w="1512" w:type="dxa"/>
            <w:vAlign w:val="center"/>
          </w:tcPr>
          <w:p w14:paraId="1314A00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Ⅲ</w:t>
            </w:r>
          </w:p>
        </w:tc>
        <w:tc>
          <w:tcPr>
            <w:tcW w:w="1512" w:type="dxa"/>
            <w:vAlign w:val="center"/>
          </w:tcPr>
          <w:p w14:paraId="6E16DEA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shd w:val="clear" w:color="auto" w:fill="auto"/>
                <w14:textFill>
                  <w14:solidFill>
                    <w14:schemeClr w14:val="tx1"/>
                  </w14:solidFill>
                </w14:textFill>
              </w:rPr>
            </w:pPr>
            <w:r>
              <w:rPr>
                <w:rFonts w:ascii="Times New Roman" w:hAnsi="Times New Roman"/>
                <w:color w:val="000000" w:themeColor="text1"/>
                <w:sz w:val="21"/>
                <w:szCs w:val="21"/>
                <w:highlight w:val="none"/>
                <w:shd w:val="clear" w:color="auto" w:fill="auto"/>
                <w14:textFill>
                  <w14:solidFill>
                    <w14:schemeClr w14:val="tx1"/>
                  </w14:solidFill>
                </w14:textFill>
              </w:rPr>
              <w:t>Ⅲ</w:t>
            </w:r>
          </w:p>
        </w:tc>
        <w:tc>
          <w:tcPr>
            <w:tcW w:w="1512" w:type="dxa"/>
            <w:shd w:val="clear" w:color="auto" w:fill="auto"/>
            <w:vAlign w:val="center"/>
          </w:tcPr>
          <w:p w14:paraId="02A4B22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Ⅱ</w:t>
            </w:r>
          </w:p>
        </w:tc>
        <w:tc>
          <w:tcPr>
            <w:tcW w:w="1514" w:type="dxa"/>
            <w:tcBorders>
              <w:right w:val="single" w:color="auto" w:sz="4" w:space="0"/>
            </w:tcBorders>
            <w:shd w:val="clear" w:color="auto" w:fill="auto"/>
            <w:vAlign w:val="center"/>
          </w:tcPr>
          <w:p w14:paraId="0ECAF71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Ⅰ</w:t>
            </w:r>
          </w:p>
        </w:tc>
      </w:tr>
      <w:tr w14:paraId="12B53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22" w:type="dxa"/>
            <w:gridSpan w:val="5"/>
            <w:tcBorders>
              <w:left w:val="single" w:color="auto" w:sz="4" w:space="0"/>
              <w:bottom w:val="single" w:color="auto" w:sz="4" w:space="0"/>
              <w:right w:val="single" w:color="auto" w:sz="4" w:space="0"/>
            </w:tcBorders>
            <w:vAlign w:val="center"/>
          </w:tcPr>
          <w:p w14:paraId="78F480E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注：</w:t>
            </w:r>
            <w:r>
              <w:rPr>
                <w:rFonts w:ascii="Times New Roman" w:hAnsi="Times New Roman"/>
                <w:color w:val="000000" w:themeColor="text1"/>
                <w:sz w:val="21"/>
                <w:szCs w:val="21"/>
                <w:highlight w:val="none"/>
                <w14:textFill>
                  <w14:solidFill>
                    <w14:schemeClr w14:val="tx1"/>
                  </w14:solidFill>
                </w14:textFill>
              </w:rPr>
              <w:t>Ⅳ</w:t>
            </w:r>
            <w:r>
              <w:rPr>
                <w:rFonts w:ascii="Times New Roman" w:hAnsi="Times New Roman"/>
                <w:color w:val="000000" w:themeColor="text1"/>
                <w:sz w:val="21"/>
                <w:szCs w:val="21"/>
                <w:highlight w:val="none"/>
                <w:vertAlign w:val="superscript"/>
                <w14:textFill>
                  <w14:solidFill>
                    <w14:schemeClr w14:val="tx1"/>
                  </w14:solidFill>
                </w14:textFill>
              </w:rPr>
              <w:t>+</w:t>
            </w:r>
            <w:r>
              <w:rPr>
                <w:rFonts w:ascii="Times New Roman" w:hAnsi="Times New Roman"/>
                <w:color w:val="000000" w:themeColor="text1"/>
                <w:sz w:val="21"/>
                <w:szCs w:val="21"/>
                <w:highlight w:val="none"/>
                <w14:textFill>
                  <w14:solidFill>
                    <w14:schemeClr w14:val="tx1"/>
                  </w14:solidFill>
                </w14:textFill>
              </w:rPr>
              <w:t>为极高环境风险。</w:t>
            </w:r>
          </w:p>
        </w:tc>
      </w:tr>
    </w:tbl>
    <w:p w14:paraId="7B8A16B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根据上述判定结果，大气环境敏感程度为“E3”，地表水环境敏感程度为“E3”，地下水环境敏感程度为“E2”，危险物质及工艺系统危险性为“P</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”。因此，判定本项目大气环境风险潜势为</w:t>
      </w:r>
      <w:r>
        <w:rPr>
          <w:rFonts w:hint="eastAsia"/>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Ⅰ</w:t>
      </w:r>
      <w:r>
        <w:rPr>
          <w:rFonts w:hint="eastAsia"/>
          <w:color w:val="000000" w:themeColor="text1"/>
          <w:highlight w:val="none"/>
          <w14:textFill>
            <w14:solidFill>
              <w14:schemeClr w14:val="tx1"/>
            </w14:solidFill>
          </w14:textFill>
        </w:rPr>
        <w:t>”、地</w:t>
      </w:r>
      <w:r>
        <w:rPr>
          <w:rFonts w:hint="eastAsia"/>
          <w:color w:val="000000" w:themeColor="text1"/>
          <w:highlight w:val="none"/>
          <w:lang w:val="en-US" w:eastAsia="zh-CN"/>
          <w14:textFill>
            <w14:solidFill>
              <w14:schemeClr w14:val="tx1"/>
            </w14:solidFill>
          </w14:textFill>
        </w:rPr>
        <w:t>下</w:t>
      </w:r>
      <w:r>
        <w:rPr>
          <w:rFonts w:hint="eastAsia"/>
          <w:color w:val="000000" w:themeColor="text1"/>
          <w:highlight w:val="none"/>
          <w14:textFill>
            <w14:solidFill>
              <w14:schemeClr w14:val="tx1"/>
            </w14:solidFill>
          </w14:textFill>
        </w:rPr>
        <w:t>水环境敏感程度环境风险潜势为</w:t>
      </w:r>
      <w:r>
        <w:rPr>
          <w:rFonts w:hint="eastAsia"/>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Ⅱ</w:t>
      </w:r>
      <w:r>
        <w:rPr>
          <w:rFonts w:hint="eastAsia"/>
          <w:color w:val="000000" w:themeColor="text1"/>
          <w:highlight w:val="none"/>
          <w14:textFill>
            <w14:solidFill>
              <w14:schemeClr w14:val="tx1"/>
            </w14:solidFill>
          </w14:textFill>
        </w:rPr>
        <w:t>”。</w:t>
      </w:r>
    </w:p>
    <w:p w14:paraId="7A8BD0F4">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 评价等级、范围及评价内容</w:t>
      </w:r>
    </w:p>
    <w:p w14:paraId="0DACED0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1、评价等级</w:t>
      </w:r>
    </w:p>
    <w:p w14:paraId="64C95607">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风险导则评价等级划分依据见表</w:t>
      </w:r>
      <w:r>
        <w:rPr>
          <w:rFonts w:hint="eastAsia"/>
          <w:color w:val="000000" w:themeColor="text1"/>
          <w:highlight w:val="none"/>
          <w14:textFill>
            <w14:solidFill>
              <w14:schemeClr w14:val="tx1"/>
            </w14:solidFill>
          </w14:textFill>
        </w:rPr>
        <w:t>3-12</w:t>
      </w:r>
      <w:r>
        <w:rPr>
          <w:color w:val="000000" w:themeColor="text1"/>
          <w:highlight w:val="none"/>
          <w14:textFill>
            <w14:solidFill>
              <w14:schemeClr w14:val="tx1"/>
            </w14:solidFill>
          </w14:textFill>
        </w:rPr>
        <w:t>。</w:t>
      </w:r>
    </w:p>
    <w:p w14:paraId="26A24733">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14:textFill>
            <w14:solidFill>
              <w14:schemeClr w14:val="tx1"/>
            </w14:solidFill>
          </w14:textFill>
        </w:rPr>
        <w:t>3-12</w:t>
      </w:r>
      <w:r>
        <w:rPr>
          <w:rFonts w:eastAsiaTheme="minorEastAsia"/>
          <w:bCs/>
          <w:color w:val="000000" w:themeColor="text1"/>
          <w:sz w:val="21"/>
          <w:szCs w:val="21"/>
          <w:highlight w:val="none"/>
          <w14:textFill>
            <w14:solidFill>
              <w14:schemeClr w14:val="tx1"/>
            </w14:solidFill>
          </w14:textFill>
        </w:rPr>
        <w:t xml:space="preserve"> 拟建项目环境风险评价工作等级划分表</w:t>
      </w:r>
    </w:p>
    <w:tbl>
      <w:tblPr>
        <w:tblStyle w:val="28"/>
        <w:tblW w:w="8787" w:type="dxa"/>
        <w:jc w:val="center"/>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autofit"/>
        <w:tblCellMar>
          <w:top w:w="0" w:type="dxa"/>
          <w:left w:w="17" w:type="dxa"/>
          <w:bottom w:w="0" w:type="dxa"/>
          <w:right w:w="17" w:type="dxa"/>
        </w:tblCellMar>
      </w:tblPr>
      <w:tblGrid>
        <w:gridCol w:w="1756"/>
        <w:gridCol w:w="1757"/>
        <w:gridCol w:w="1757"/>
        <w:gridCol w:w="1757"/>
        <w:gridCol w:w="1760"/>
      </w:tblGrid>
      <w:tr w14:paraId="28773232">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999" w:type="pct"/>
            <w:tcBorders>
              <w:tl2br w:val="nil"/>
              <w:tr2bl w:val="nil"/>
            </w:tcBorders>
            <w:vAlign w:val="center"/>
          </w:tcPr>
          <w:p w14:paraId="64B5C22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环境风险潜势</w:t>
            </w:r>
          </w:p>
        </w:tc>
        <w:tc>
          <w:tcPr>
            <w:tcW w:w="1000" w:type="pct"/>
            <w:tcBorders>
              <w:tl2br w:val="nil"/>
              <w:tr2bl w:val="nil"/>
            </w:tcBorders>
            <w:vAlign w:val="center"/>
          </w:tcPr>
          <w:p w14:paraId="1614193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IV、IV+</w:t>
            </w:r>
          </w:p>
        </w:tc>
        <w:tc>
          <w:tcPr>
            <w:tcW w:w="1000" w:type="pct"/>
            <w:tcBorders>
              <w:tl2br w:val="nil"/>
              <w:tr2bl w:val="nil"/>
            </w:tcBorders>
            <w:vAlign w:val="center"/>
          </w:tcPr>
          <w:p w14:paraId="6047EE5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auto" w:fill="auto"/>
                <w14:textFill>
                  <w14:solidFill>
                    <w14:schemeClr w14:val="tx1"/>
                  </w14:solidFill>
                </w14:textFill>
              </w:rPr>
            </w:pPr>
            <w:bookmarkStart w:id="6" w:name="_Hlk98332911"/>
            <w:r>
              <w:rPr>
                <w:rFonts w:hint="default" w:ascii="Times New Roman" w:hAnsi="Times New Roman"/>
                <w:color w:val="000000" w:themeColor="text1"/>
                <w:sz w:val="21"/>
                <w:szCs w:val="21"/>
                <w:highlight w:val="none"/>
                <w:shd w:val="clear" w:color="auto" w:fill="auto"/>
                <w14:textFill>
                  <w14:solidFill>
                    <w14:schemeClr w14:val="tx1"/>
                  </w14:solidFill>
                </w14:textFill>
              </w:rPr>
              <w:t>III</w:t>
            </w:r>
            <w:bookmarkEnd w:id="6"/>
          </w:p>
        </w:tc>
        <w:tc>
          <w:tcPr>
            <w:tcW w:w="1000" w:type="pct"/>
            <w:tcBorders>
              <w:tl2br w:val="nil"/>
              <w:tr2bl w:val="nil"/>
            </w:tcBorders>
            <w:vAlign w:val="center"/>
          </w:tcPr>
          <w:p w14:paraId="51DD8DF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II</w:t>
            </w:r>
          </w:p>
        </w:tc>
        <w:tc>
          <w:tcPr>
            <w:tcW w:w="1001" w:type="pct"/>
            <w:tcBorders>
              <w:tl2br w:val="nil"/>
              <w:tr2bl w:val="nil"/>
            </w:tcBorders>
            <w:vAlign w:val="center"/>
          </w:tcPr>
          <w:p w14:paraId="5FE74DC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I</w:t>
            </w:r>
          </w:p>
        </w:tc>
      </w:tr>
      <w:tr w14:paraId="104D352D">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999" w:type="pct"/>
            <w:tcBorders>
              <w:tl2br w:val="nil"/>
              <w:tr2bl w:val="nil"/>
            </w:tcBorders>
            <w:vAlign w:val="center"/>
          </w:tcPr>
          <w:p w14:paraId="32BA6F0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评价工作等级</w:t>
            </w:r>
          </w:p>
        </w:tc>
        <w:tc>
          <w:tcPr>
            <w:tcW w:w="1000" w:type="pct"/>
            <w:tcBorders>
              <w:tl2br w:val="nil"/>
              <w:tr2bl w:val="nil"/>
            </w:tcBorders>
            <w:vAlign w:val="center"/>
          </w:tcPr>
          <w:p w14:paraId="68E5DEA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一</w:t>
            </w:r>
          </w:p>
        </w:tc>
        <w:tc>
          <w:tcPr>
            <w:tcW w:w="1000" w:type="pct"/>
            <w:tcBorders>
              <w:tl2br w:val="nil"/>
              <w:tr2bl w:val="nil"/>
            </w:tcBorders>
            <w:shd w:val="clear" w:color="auto" w:fill="auto"/>
            <w:vAlign w:val="center"/>
          </w:tcPr>
          <w:p w14:paraId="5D33A23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olor w:val="000000" w:themeColor="text1"/>
                <w:sz w:val="21"/>
                <w:szCs w:val="21"/>
                <w:highlight w:val="none"/>
                <w:shd w:val="clear" w:color="auto" w:fill="auto"/>
                <w14:textFill>
                  <w14:solidFill>
                    <w14:schemeClr w14:val="tx1"/>
                  </w14:solidFill>
                </w14:textFill>
              </w:rPr>
              <w:t>二</w:t>
            </w:r>
          </w:p>
        </w:tc>
        <w:tc>
          <w:tcPr>
            <w:tcW w:w="1000" w:type="pct"/>
            <w:tcBorders>
              <w:tl2br w:val="nil"/>
              <w:tr2bl w:val="nil"/>
            </w:tcBorders>
            <w:shd w:val="clear" w:color="auto" w:fill="auto"/>
            <w:vAlign w:val="center"/>
          </w:tcPr>
          <w:p w14:paraId="6F6C20F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三</w:t>
            </w:r>
          </w:p>
        </w:tc>
        <w:tc>
          <w:tcPr>
            <w:tcW w:w="1001" w:type="pct"/>
            <w:tcBorders>
              <w:tl2br w:val="nil"/>
              <w:tr2bl w:val="nil"/>
            </w:tcBorders>
            <w:shd w:val="clear" w:color="auto" w:fill="auto"/>
            <w:vAlign w:val="center"/>
          </w:tcPr>
          <w:p w14:paraId="13E48B6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shd w:val="clear" w:color="FFFFFF" w:fill="D9D9D9"/>
                <w14:textFill>
                  <w14:solidFill>
                    <w14:schemeClr w14:val="tx1"/>
                  </w14:solidFill>
                </w14:textFill>
              </w:rPr>
            </w:pPr>
            <w:r>
              <w:rPr>
                <w:rFonts w:hint="default" w:ascii="Times New Roman" w:hAnsi="Times New Roman"/>
                <w:color w:val="000000" w:themeColor="text1"/>
                <w:sz w:val="21"/>
                <w:szCs w:val="21"/>
                <w:highlight w:val="none"/>
                <w:shd w:val="clear" w:color="FFFFFF" w:fill="D9D9D9"/>
                <w14:textFill>
                  <w14:solidFill>
                    <w14:schemeClr w14:val="tx1"/>
                  </w14:solidFill>
                </w14:textFill>
              </w:rPr>
              <w:t>简单分析a</w:t>
            </w:r>
          </w:p>
        </w:tc>
      </w:tr>
      <w:tr w14:paraId="6F5996B2">
        <w:tblPrEx>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CellMar>
            <w:top w:w="0" w:type="dxa"/>
            <w:left w:w="17" w:type="dxa"/>
            <w:bottom w:w="0" w:type="dxa"/>
            <w:right w:w="17" w:type="dxa"/>
          </w:tblCellMar>
        </w:tblPrEx>
        <w:trPr>
          <w:jc w:val="center"/>
        </w:trPr>
        <w:tc>
          <w:tcPr>
            <w:tcW w:w="5000" w:type="pct"/>
            <w:gridSpan w:val="5"/>
            <w:tcBorders>
              <w:tl2br w:val="nil"/>
              <w:tr2bl w:val="nil"/>
            </w:tcBorders>
            <w:vAlign w:val="center"/>
          </w:tcPr>
          <w:p w14:paraId="57A7F3EB">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w:t>
            </w:r>
            <w:r>
              <w:rPr>
                <w:rFonts w:hint="eastAsia" w:ascii="Times New Roman" w:hAnsi="Times New Roman"/>
                <w:color w:val="000000" w:themeColor="text1"/>
                <w:sz w:val="21"/>
                <w:szCs w:val="21"/>
                <w:highlight w:val="none"/>
                <w:lang w:eastAsia="zh-CN"/>
                <w14:textFill>
                  <w14:solidFill>
                    <w14:schemeClr w14:val="tx1"/>
                  </w14:solidFill>
                </w14:textFill>
              </w:rPr>
              <w:t>。</w:t>
            </w:r>
          </w:p>
        </w:tc>
      </w:tr>
    </w:tbl>
    <w:p w14:paraId="77C69925">
      <w:pPr>
        <w:ind w:firstLine="48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根据上述分析，判定</w:t>
      </w:r>
      <w:r>
        <w:rPr>
          <w:rFonts w:hint="eastAsia"/>
          <w:color w:val="000000" w:themeColor="text1"/>
          <w:highlight w:val="none"/>
          <w14:textFill>
            <w14:solidFill>
              <w14:schemeClr w14:val="tx1"/>
            </w14:solidFill>
          </w14:textFill>
        </w:rPr>
        <w:t>大气环境</w:t>
      </w:r>
      <w:r>
        <w:rPr>
          <w:color w:val="000000" w:themeColor="text1"/>
          <w:highlight w:val="none"/>
          <w14:textFill>
            <w14:solidFill>
              <w14:schemeClr w14:val="tx1"/>
            </w14:solidFill>
          </w14:textFill>
        </w:rPr>
        <w:t>为简单分析</w:t>
      </w:r>
      <w:r>
        <w:rPr>
          <w:rFonts w:hint="eastAsia"/>
          <w:color w:val="000000" w:themeColor="text1"/>
          <w:highlight w:val="none"/>
          <w14:textFill>
            <w14:solidFill>
              <w14:schemeClr w14:val="tx1"/>
            </w14:solidFill>
          </w14:textFill>
        </w:rPr>
        <w:t>，地下水环境为</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级评价</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综合评价等级为三级。</w:t>
      </w:r>
    </w:p>
    <w:p w14:paraId="6CBBBE69">
      <w:pPr>
        <w:numPr>
          <w:ilvl w:val="0"/>
          <w:numId w:val="8"/>
        </w:num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评价范围及内容</w:t>
      </w:r>
    </w:p>
    <w:p w14:paraId="59D82DEE">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根据本项目的评价等级，确定本项目各要素主要评价内容见表</w:t>
      </w:r>
      <w:r>
        <w:rPr>
          <w:rFonts w:hint="eastAsia"/>
          <w:color w:val="000000" w:themeColor="text1"/>
          <w:highlight w:val="none"/>
          <w14:textFill>
            <w14:solidFill>
              <w14:schemeClr w14:val="tx1"/>
            </w14:solidFill>
          </w14:textFill>
        </w:rPr>
        <w:t>3-13</w:t>
      </w:r>
      <w:r>
        <w:rPr>
          <w:color w:val="000000" w:themeColor="text1"/>
          <w:highlight w:val="none"/>
          <w14:textFill>
            <w14:solidFill>
              <w14:schemeClr w14:val="tx1"/>
            </w14:solidFill>
          </w14:textFill>
        </w:rPr>
        <w:t>。</w:t>
      </w:r>
    </w:p>
    <w:p w14:paraId="1517BB10">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hint="eastAsia" w:eastAsiaTheme="minorEastAsia"/>
          <w:bCs/>
          <w:color w:val="000000" w:themeColor="text1"/>
          <w:sz w:val="21"/>
          <w:szCs w:val="21"/>
          <w:highlight w:val="none"/>
          <w14:textFill>
            <w14:solidFill>
              <w14:schemeClr w14:val="tx1"/>
            </w14:solidFill>
          </w14:textFill>
        </w:rPr>
        <w:t>表3-13  本项目各要素评价等级及评价工作内容</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250"/>
        <w:gridCol w:w="3050"/>
        <w:gridCol w:w="3499"/>
      </w:tblGrid>
      <w:tr w14:paraId="5E9C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3FFDD0D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环境要素</w:t>
            </w:r>
          </w:p>
        </w:tc>
        <w:tc>
          <w:tcPr>
            <w:tcW w:w="1250" w:type="dxa"/>
            <w:vAlign w:val="center"/>
          </w:tcPr>
          <w:p w14:paraId="781C8D2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评价等级</w:t>
            </w:r>
          </w:p>
        </w:tc>
        <w:tc>
          <w:tcPr>
            <w:tcW w:w="3050" w:type="dxa"/>
            <w:vAlign w:val="center"/>
          </w:tcPr>
          <w:p w14:paraId="0786116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评价范围</w:t>
            </w:r>
          </w:p>
        </w:tc>
        <w:tc>
          <w:tcPr>
            <w:tcW w:w="3499" w:type="dxa"/>
            <w:vAlign w:val="center"/>
          </w:tcPr>
          <w:p w14:paraId="53B1914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评价工作内容</w:t>
            </w:r>
          </w:p>
        </w:tc>
      </w:tr>
      <w:tr w14:paraId="21EC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2862581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w:t>
            </w:r>
          </w:p>
        </w:tc>
        <w:tc>
          <w:tcPr>
            <w:tcW w:w="1250" w:type="dxa"/>
            <w:vAlign w:val="center"/>
          </w:tcPr>
          <w:p w14:paraId="0E0B6AF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三级</w:t>
            </w:r>
          </w:p>
        </w:tc>
        <w:tc>
          <w:tcPr>
            <w:tcW w:w="3050" w:type="dxa"/>
            <w:vAlign w:val="center"/>
          </w:tcPr>
          <w:p w14:paraId="0B70243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项目区边界外延3km</w:t>
            </w:r>
            <w:r>
              <w:rPr>
                <w:rFonts w:hint="default" w:ascii="Times New Roman" w:hAnsi="Times New Roman"/>
                <w:color w:val="000000" w:themeColor="text1"/>
                <w:sz w:val="21"/>
                <w:szCs w:val="21"/>
                <w:highlight w:val="none"/>
                <w14:textFill>
                  <w14:solidFill>
                    <w14:schemeClr w14:val="tx1"/>
                  </w14:solidFill>
                </w14:textFill>
              </w:rPr>
              <w:t>，具体见图 2-</w:t>
            </w:r>
            <w:r>
              <w:rPr>
                <w:rFonts w:hint="eastAsia" w:ascii="Times New Roman" w:hAnsi="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olor w:val="000000" w:themeColor="text1"/>
                <w:sz w:val="21"/>
                <w:szCs w:val="21"/>
                <w:highlight w:val="none"/>
                <w14:textFill>
                  <w14:solidFill>
                    <w14:schemeClr w14:val="tx1"/>
                  </w14:solidFill>
                </w14:textFill>
              </w:rPr>
              <w:t>。</w:t>
            </w:r>
          </w:p>
        </w:tc>
        <w:tc>
          <w:tcPr>
            <w:tcW w:w="3499" w:type="dxa"/>
            <w:vAlign w:val="center"/>
          </w:tcPr>
          <w:p w14:paraId="6474F98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定量预测</w:t>
            </w:r>
            <w:r>
              <w:rPr>
                <w:rFonts w:hint="default" w:ascii="Times New Roman" w:hAnsi="Times New Roman"/>
                <w:color w:val="000000" w:themeColor="text1"/>
                <w:sz w:val="21"/>
                <w:szCs w:val="21"/>
                <w:highlight w:val="none"/>
                <w14:textFill>
                  <w14:solidFill>
                    <w14:schemeClr w14:val="tx1"/>
                  </w14:solidFill>
                </w14:textFill>
              </w:rPr>
              <w:t>危险物质、环境影响途径、环境危害后果、环境防范措施</w:t>
            </w:r>
          </w:p>
        </w:tc>
      </w:tr>
      <w:tr w14:paraId="4A4E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0EC7F53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w:t>
            </w:r>
          </w:p>
        </w:tc>
        <w:tc>
          <w:tcPr>
            <w:tcW w:w="1250" w:type="dxa"/>
            <w:vAlign w:val="center"/>
          </w:tcPr>
          <w:p w14:paraId="7D59002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c>
          <w:tcPr>
            <w:tcW w:w="3050" w:type="dxa"/>
            <w:vAlign w:val="center"/>
          </w:tcPr>
          <w:p w14:paraId="10C6385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c>
          <w:tcPr>
            <w:tcW w:w="3499" w:type="dxa"/>
            <w:vAlign w:val="center"/>
          </w:tcPr>
          <w:p w14:paraId="09B9CE4F">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定性分析地表水环境风险</w:t>
            </w:r>
          </w:p>
        </w:tc>
      </w:tr>
      <w:tr w14:paraId="350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Align w:val="center"/>
          </w:tcPr>
          <w:p w14:paraId="16A4BC7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w:t>
            </w:r>
          </w:p>
        </w:tc>
        <w:tc>
          <w:tcPr>
            <w:tcW w:w="1250" w:type="dxa"/>
            <w:vAlign w:val="center"/>
          </w:tcPr>
          <w:p w14:paraId="2A39895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三级</w:t>
            </w:r>
          </w:p>
        </w:tc>
        <w:tc>
          <w:tcPr>
            <w:tcW w:w="3050" w:type="dxa"/>
            <w:vAlign w:val="center"/>
          </w:tcPr>
          <w:p w14:paraId="1832B707">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根据地层分布、区域地质条件、水文地质条件、地下水流向，确定评价区西南侧以地下水位等值线为界，西侧和东南侧以地下水流线为界，北侧以基岩山区为界，面积30.55km</w:t>
            </w:r>
            <w:r>
              <w:rPr>
                <w:rFonts w:hint="default" w:ascii="Times New Roman" w:hAnsi="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olor w:val="000000" w:themeColor="text1"/>
                <w:sz w:val="21"/>
                <w:szCs w:val="21"/>
                <w:highlight w:val="none"/>
                <w14:textFill>
                  <w14:solidFill>
                    <w14:schemeClr w14:val="tx1"/>
                  </w14:solidFill>
                </w14:textFill>
              </w:rPr>
              <w:t>，具体见图 2-</w:t>
            </w:r>
            <w:r>
              <w:rPr>
                <w:rFonts w:hint="eastAsia" w:ascii="Times New Roman" w:hAnsi="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olor w:val="000000" w:themeColor="text1"/>
                <w:sz w:val="21"/>
                <w:szCs w:val="21"/>
                <w:highlight w:val="none"/>
                <w14:textFill>
                  <w14:solidFill>
                    <w14:schemeClr w14:val="tx1"/>
                  </w14:solidFill>
                </w14:textFill>
              </w:rPr>
              <w:t>。</w:t>
            </w:r>
          </w:p>
        </w:tc>
        <w:tc>
          <w:tcPr>
            <w:tcW w:w="3499" w:type="dxa"/>
            <w:vAlign w:val="center"/>
          </w:tcPr>
          <w:p w14:paraId="4066634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参照《环境影响评价技术导则地下水环境》(HJ610-2016)，</w:t>
            </w:r>
            <w:r>
              <w:rPr>
                <w:rFonts w:hint="eastAsia" w:ascii="Times New Roman" w:hAnsi="Times New Roman"/>
                <w:color w:val="000000" w:themeColor="text1"/>
                <w:sz w:val="21"/>
                <w:szCs w:val="21"/>
                <w:highlight w:val="none"/>
                <w:lang w:val="en-US" w:eastAsia="zh-CN"/>
                <w14:textFill>
                  <w14:solidFill>
                    <w14:schemeClr w14:val="tx1"/>
                  </w14:solidFill>
                </w14:textFill>
              </w:rPr>
              <w:t>定性预测</w:t>
            </w:r>
            <w:r>
              <w:rPr>
                <w:rFonts w:hint="default" w:ascii="Times New Roman" w:hAnsi="Times New Roman"/>
                <w:color w:val="000000" w:themeColor="text1"/>
                <w:sz w:val="21"/>
                <w:szCs w:val="21"/>
                <w:highlight w:val="none"/>
                <w14:textFill>
                  <w14:solidFill>
                    <w14:schemeClr w14:val="tx1"/>
                  </w14:solidFill>
                </w14:textFill>
              </w:rPr>
              <w:t>分析地下水环境影响、环境防范措施</w:t>
            </w:r>
          </w:p>
        </w:tc>
      </w:tr>
    </w:tbl>
    <w:p w14:paraId="2D6BAAAC">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4.风险识别</w:t>
      </w:r>
    </w:p>
    <w:p w14:paraId="1FF0FFAD">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风险识别范围包括物质危险性识别、生产系统危险性识别以及危险物质向环境转移的途径识别。</w:t>
      </w:r>
    </w:p>
    <w:p w14:paraId="015649E5">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 物质危险性识别</w:t>
      </w:r>
    </w:p>
    <w:p w14:paraId="000FC1A0">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物质危险性识别包括主要储存物料、火灾和爆炸伴生/次生物等。</w:t>
      </w:r>
    </w:p>
    <w:p w14:paraId="1FB4A5B2">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本次新建</w:t>
      </w:r>
      <w:r>
        <w:rPr>
          <w:rFonts w:hint="eastAsia"/>
          <w:color w:val="000000" w:themeColor="text1"/>
          <w:highlight w:val="none"/>
          <w:lang w:val="en-US" w:eastAsia="zh-CN"/>
          <w14:textFill>
            <w14:solidFill>
              <w14:schemeClr w14:val="tx1"/>
            </w14:solidFill>
          </w14:textFill>
        </w:rPr>
        <w:t>乙类</w:t>
      </w:r>
      <w:r>
        <w:rPr>
          <w:rFonts w:hint="eastAsia"/>
          <w:color w:val="000000" w:themeColor="text1"/>
          <w:highlight w:val="none"/>
          <w14:textFill>
            <w14:solidFill>
              <w14:schemeClr w14:val="tx1"/>
            </w14:solidFill>
          </w14:textFill>
        </w:rPr>
        <w:t>库中存储物质</w:t>
      </w:r>
      <w:r>
        <w:rPr>
          <w:rFonts w:hint="eastAsia"/>
          <w:color w:val="000000" w:themeColor="text1"/>
          <w:highlight w:val="none"/>
          <w:lang w:val="en-US" w:eastAsia="zh-CN"/>
          <w14:textFill>
            <w14:solidFill>
              <w14:schemeClr w14:val="tx1"/>
            </w14:solidFill>
          </w14:textFill>
        </w:rPr>
        <w:t>为硫磺</w:t>
      </w:r>
      <w:r>
        <w:rPr>
          <w:rFonts w:hint="eastAsia"/>
          <w:color w:val="000000" w:themeColor="text1"/>
          <w:highlight w:val="none"/>
          <w14:textFill>
            <w14:solidFill>
              <w14:schemeClr w14:val="tx1"/>
            </w14:solidFill>
          </w14:textFill>
        </w:rPr>
        <w:t>。根据《建设项目环境风险评价技术导则》（HJ169-2018）中“7.2.2物质危险性识别”中的相关规定（按附录 B 识别危险物质），本次评价对照《建设项目环境风险评价技术导则》（HJ169-2018）附录B，所涉及的危险物质</w:t>
      </w:r>
      <w:r>
        <w:rPr>
          <w:rFonts w:hint="eastAsia"/>
          <w:color w:val="000000" w:themeColor="text1"/>
          <w:highlight w:val="none"/>
          <w:lang w:val="en-US" w:eastAsia="zh-CN"/>
          <w14:textFill>
            <w14:solidFill>
              <w14:schemeClr w14:val="tx1"/>
            </w14:solidFill>
          </w14:textFill>
        </w:rPr>
        <w:t>硫磺</w:t>
      </w:r>
      <w:r>
        <w:rPr>
          <w:rFonts w:hint="eastAsia"/>
          <w:color w:val="000000" w:themeColor="text1"/>
          <w:highlight w:val="none"/>
          <w14:textFill>
            <w14:solidFill>
              <w14:schemeClr w14:val="tx1"/>
            </w14:solidFill>
          </w14:textFill>
        </w:rPr>
        <w:t>（CAS号：</w:t>
      </w:r>
      <w:r>
        <w:rPr>
          <w:rFonts w:hint="eastAsia"/>
          <w:color w:val="000000" w:themeColor="text1"/>
          <w:highlight w:val="none"/>
          <w:lang w:val="en-US" w:eastAsia="zh-CN"/>
          <w14:textFill>
            <w14:solidFill>
              <w14:schemeClr w14:val="tx1"/>
            </w14:solidFill>
          </w14:textFill>
        </w:rPr>
        <w:t>63705-05-5</w:t>
      </w:r>
      <w:r>
        <w:rPr>
          <w:rFonts w:hint="eastAsia"/>
          <w:color w:val="000000" w:themeColor="text1"/>
          <w:highlight w:val="none"/>
          <w14:textFill>
            <w14:solidFill>
              <w14:schemeClr w14:val="tx1"/>
            </w14:solidFill>
          </w14:textFill>
        </w:rPr>
        <w:t>，临界量10t）。</w:t>
      </w:r>
    </w:p>
    <w:p w14:paraId="3DA8E78B">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拟建项目所涉及的风险物质情况汇总于表4-1。</w:t>
      </w:r>
    </w:p>
    <w:p w14:paraId="48905EC7">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表4-1    风险物质识别汇总表</w:t>
      </w:r>
    </w:p>
    <w:p w14:paraId="42550EE4">
      <w:pPr>
        <w:spacing w:line="82" w:lineRule="auto"/>
        <w:ind w:firstLine="40"/>
        <w:rPr>
          <w:rFonts w:ascii="Arial"/>
          <w:color w:val="000000" w:themeColor="text1"/>
          <w:sz w:val="2"/>
          <w:highlight w:val="none"/>
          <w14:textFill>
            <w14:solidFill>
              <w14:schemeClr w14:val="tx1"/>
            </w14:solidFill>
          </w14:textFill>
        </w:rPr>
      </w:pPr>
    </w:p>
    <w:tbl>
      <w:tblPr>
        <w:tblStyle w:val="88"/>
        <w:tblW w:w="500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2"/>
        <w:gridCol w:w="1665"/>
        <w:gridCol w:w="2303"/>
        <w:gridCol w:w="3193"/>
      </w:tblGrid>
      <w:tr w14:paraId="1388A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581" w:type="dxa"/>
            <w:vAlign w:val="center"/>
          </w:tcPr>
          <w:p w14:paraId="5B198F9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物质名称</w:t>
            </w:r>
          </w:p>
        </w:tc>
        <w:tc>
          <w:tcPr>
            <w:tcW w:w="1664" w:type="dxa"/>
            <w:vAlign w:val="center"/>
          </w:tcPr>
          <w:p w14:paraId="50E5B14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形态</w:t>
            </w:r>
          </w:p>
        </w:tc>
        <w:tc>
          <w:tcPr>
            <w:tcW w:w="2302" w:type="dxa"/>
            <w:vAlign w:val="center"/>
          </w:tcPr>
          <w:p w14:paraId="17FF085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危险类别</w:t>
            </w:r>
          </w:p>
        </w:tc>
        <w:tc>
          <w:tcPr>
            <w:tcW w:w="3191" w:type="dxa"/>
            <w:vAlign w:val="center"/>
          </w:tcPr>
          <w:p w14:paraId="6208894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分布位置</w:t>
            </w:r>
          </w:p>
        </w:tc>
      </w:tr>
      <w:tr w14:paraId="368EA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581" w:type="dxa"/>
            <w:vAlign w:val="center"/>
          </w:tcPr>
          <w:p w14:paraId="512129AC">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硫磺</w:t>
            </w:r>
          </w:p>
        </w:tc>
        <w:tc>
          <w:tcPr>
            <w:tcW w:w="1664" w:type="dxa"/>
            <w:vAlign w:val="center"/>
          </w:tcPr>
          <w:p w14:paraId="5B5550A6">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固态</w:t>
            </w:r>
          </w:p>
        </w:tc>
        <w:tc>
          <w:tcPr>
            <w:tcW w:w="2302" w:type="dxa"/>
            <w:vAlign w:val="center"/>
          </w:tcPr>
          <w:p w14:paraId="1CEC559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易燃</w:t>
            </w:r>
          </w:p>
        </w:tc>
        <w:tc>
          <w:tcPr>
            <w:tcW w:w="3191" w:type="dxa"/>
            <w:vAlign w:val="center"/>
          </w:tcPr>
          <w:p w14:paraId="6BC5F2EB">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乙类库</w:t>
            </w:r>
          </w:p>
        </w:tc>
      </w:tr>
    </w:tbl>
    <w:p w14:paraId="48778F3E">
      <w:pPr>
        <w:ind w:firstLine="476"/>
        <w:rPr>
          <w:color w:val="000000" w:themeColor="text1"/>
          <w:highlight w:val="none"/>
          <w14:textFill>
            <w14:solidFill>
              <w14:schemeClr w14:val="tx1"/>
            </w14:solidFill>
          </w14:textFill>
        </w:rPr>
      </w:pPr>
      <w:r>
        <w:rPr>
          <w:rFonts w:ascii="宋体" w:hAnsi="宋体" w:cs="宋体"/>
          <w:color w:val="000000" w:themeColor="text1"/>
          <w:spacing w:val="-1"/>
          <w:highlight w:val="none"/>
          <w14:textFill>
            <w14:solidFill>
              <w14:schemeClr w14:val="tx1"/>
            </w14:solidFill>
          </w14:textFill>
        </w:rPr>
        <w:t>上述危险物质理化性质如下：</w:t>
      </w:r>
    </w:p>
    <w:p w14:paraId="3EDBBC4B">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表4-</w:t>
      </w:r>
      <w:r>
        <w:rPr>
          <w:rFonts w:hint="eastAsia" w:eastAsiaTheme="minorEastAsia"/>
          <w:bCs/>
          <w:color w:val="000000" w:themeColor="text1"/>
          <w:sz w:val="21"/>
          <w:szCs w:val="21"/>
          <w:highlight w:val="none"/>
          <w14:textFill>
            <w14:solidFill>
              <w14:schemeClr w14:val="tx1"/>
            </w14:solidFill>
          </w14:textFill>
        </w:rPr>
        <w:t>2</w:t>
      </w:r>
      <w:r>
        <w:rPr>
          <w:rFonts w:hint="eastAsia" w:eastAsiaTheme="minorEastAsia"/>
          <w:bCs/>
          <w:color w:val="000000" w:themeColor="text1"/>
          <w:sz w:val="21"/>
          <w:szCs w:val="21"/>
          <w:highlight w:val="none"/>
          <w:lang w:val="en-US" w:eastAsia="zh-CN"/>
          <w14:textFill>
            <w14:solidFill>
              <w14:schemeClr w14:val="tx1"/>
            </w14:solidFill>
          </w14:textFill>
        </w:rPr>
        <w:t>硫磺</w:t>
      </w:r>
      <w:r>
        <w:rPr>
          <w:rFonts w:hint="eastAsia" w:eastAsiaTheme="minorEastAsia"/>
          <w:bCs/>
          <w:color w:val="000000" w:themeColor="text1"/>
          <w:sz w:val="21"/>
          <w:szCs w:val="21"/>
          <w:highlight w:val="none"/>
          <w14:textFill>
            <w14:solidFill>
              <w14:schemeClr w14:val="tx1"/>
            </w14:solidFill>
          </w14:textFill>
        </w:rPr>
        <w:t>理化性质及毒理性质</w:t>
      </w:r>
    </w:p>
    <w:tbl>
      <w:tblPr>
        <w:tblStyle w:val="28"/>
        <w:tblW w:w="0" w:type="auto"/>
        <w:jc w:val="center"/>
        <w:tblCellSpacing w:w="1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1136"/>
        <w:gridCol w:w="3127"/>
        <w:gridCol w:w="866"/>
        <w:gridCol w:w="3660"/>
      </w:tblGrid>
      <w:tr w14:paraId="5BAE3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36861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国标编号</w:t>
            </w:r>
          </w:p>
        </w:tc>
        <w:tc>
          <w:tcPr>
            <w:tcW w:w="7608" w:type="dxa"/>
            <w:gridSpan w:val="3"/>
            <w:noWrap w:val="0"/>
            <w:vAlign w:val="center"/>
          </w:tcPr>
          <w:p w14:paraId="571D9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41501</w:t>
            </w:r>
          </w:p>
        </w:tc>
      </w:tr>
      <w:tr w14:paraId="1130A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08943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CAS号</w:t>
            </w:r>
          </w:p>
        </w:tc>
        <w:tc>
          <w:tcPr>
            <w:tcW w:w="7608" w:type="dxa"/>
            <w:gridSpan w:val="3"/>
            <w:noWrap w:val="0"/>
            <w:vAlign w:val="center"/>
          </w:tcPr>
          <w:p w14:paraId="21E54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7704-34-9</w:t>
            </w:r>
          </w:p>
        </w:tc>
      </w:tr>
      <w:tr w14:paraId="621EB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426ED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中文名称</w:t>
            </w:r>
          </w:p>
        </w:tc>
        <w:tc>
          <w:tcPr>
            <w:tcW w:w="7608" w:type="dxa"/>
            <w:gridSpan w:val="3"/>
            <w:noWrap w:val="0"/>
            <w:vAlign w:val="center"/>
          </w:tcPr>
          <w:p w14:paraId="5B498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硫磺</w:t>
            </w:r>
          </w:p>
        </w:tc>
      </w:tr>
      <w:tr w14:paraId="045BC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1A77C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英文名称</w:t>
            </w:r>
          </w:p>
        </w:tc>
        <w:tc>
          <w:tcPr>
            <w:tcW w:w="7608" w:type="dxa"/>
            <w:gridSpan w:val="3"/>
            <w:noWrap w:val="0"/>
            <w:vAlign w:val="center"/>
          </w:tcPr>
          <w:p w14:paraId="26193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sulfur、Cosan 、Elosal</w:t>
            </w:r>
          </w:p>
        </w:tc>
      </w:tr>
      <w:tr w14:paraId="4F1A9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5B0C3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别 名</w:t>
            </w:r>
          </w:p>
        </w:tc>
        <w:tc>
          <w:tcPr>
            <w:tcW w:w="7608" w:type="dxa"/>
            <w:gridSpan w:val="3"/>
            <w:noWrap w:val="0"/>
            <w:vAlign w:val="center"/>
          </w:tcPr>
          <w:p w14:paraId="6125F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硫；胶体硫；硫黄块；硫黄粉</w:t>
            </w:r>
          </w:p>
        </w:tc>
      </w:tr>
      <w:tr w14:paraId="4DF9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29593D5B">
            <w:pPr>
              <w:pStyle w:val="101"/>
              <w:keepNext w:val="0"/>
              <w:keepLines w:val="0"/>
              <w:suppressLineNumbers w:val="0"/>
              <w:bidi w:val="0"/>
              <w:spacing w:before="0" w:beforeAutospacing="0" w:after="0" w:afterAutospacing="0"/>
              <w:ind w:left="0" w:right="0"/>
              <w:rPr>
                <w:rFonts w:hint="default"/>
              </w:rPr>
            </w:pPr>
            <w:r>
              <w:rPr>
                <w:rFonts w:hint="default"/>
              </w:rPr>
              <w:t>分子式</w:t>
            </w:r>
          </w:p>
        </w:tc>
        <w:tc>
          <w:tcPr>
            <w:tcW w:w="3097" w:type="dxa"/>
            <w:noWrap w:val="0"/>
            <w:vAlign w:val="center"/>
          </w:tcPr>
          <w:p w14:paraId="0289E7D7">
            <w:pPr>
              <w:pStyle w:val="101"/>
              <w:keepNext w:val="0"/>
              <w:keepLines w:val="0"/>
              <w:suppressLineNumbers w:val="0"/>
              <w:bidi w:val="0"/>
              <w:spacing w:before="0" w:beforeAutospacing="0" w:after="0" w:afterAutospacing="0"/>
              <w:ind w:left="0" w:right="0"/>
              <w:rPr>
                <w:rFonts w:hint="default"/>
              </w:rPr>
            </w:pPr>
            <w:r>
              <w:rPr>
                <w:rFonts w:hint="default"/>
              </w:rPr>
              <w:t>S</w:t>
            </w:r>
          </w:p>
        </w:tc>
        <w:tc>
          <w:tcPr>
            <w:tcW w:w="836" w:type="dxa"/>
            <w:noWrap w:val="0"/>
            <w:vAlign w:val="center"/>
          </w:tcPr>
          <w:p w14:paraId="734DA4E7">
            <w:pPr>
              <w:pStyle w:val="101"/>
              <w:keepNext w:val="0"/>
              <w:keepLines w:val="0"/>
              <w:suppressLineNumbers w:val="0"/>
              <w:bidi w:val="0"/>
              <w:spacing w:before="0" w:beforeAutospacing="0" w:after="0" w:afterAutospacing="0"/>
              <w:ind w:left="0" w:right="0"/>
              <w:rPr>
                <w:rFonts w:hint="default"/>
              </w:rPr>
            </w:pPr>
            <w:r>
              <w:rPr>
                <w:rFonts w:hint="default"/>
              </w:rPr>
              <w:t>外观与性状</w:t>
            </w:r>
          </w:p>
        </w:tc>
        <w:tc>
          <w:tcPr>
            <w:tcW w:w="3615" w:type="dxa"/>
            <w:noWrap w:val="0"/>
            <w:vAlign w:val="center"/>
          </w:tcPr>
          <w:p w14:paraId="1235F5B3">
            <w:pPr>
              <w:pStyle w:val="101"/>
              <w:keepNext w:val="0"/>
              <w:keepLines w:val="0"/>
              <w:suppressLineNumbers w:val="0"/>
              <w:bidi w:val="0"/>
              <w:spacing w:before="0" w:beforeAutospacing="0" w:after="0" w:afterAutospacing="0"/>
              <w:ind w:left="0" w:right="0"/>
              <w:rPr>
                <w:rFonts w:hint="default"/>
              </w:rPr>
            </w:pPr>
            <w:r>
              <w:rPr>
                <w:rFonts w:hint="default"/>
              </w:rPr>
              <w:t>淡黄色脆性结晶或粉末，有特殊臭味</w:t>
            </w:r>
          </w:p>
        </w:tc>
      </w:tr>
      <w:tr w14:paraId="7E540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4FD48252">
            <w:pPr>
              <w:pStyle w:val="101"/>
              <w:keepNext w:val="0"/>
              <w:keepLines w:val="0"/>
              <w:suppressLineNumbers w:val="0"/>
              <w:bidi w:val="0"/>
              <w:spacing w:before="0" w:beforeAutospacing="0" w:after="0" w:afterAutospacing="0"/>
              <w:ind w:left="0" w:right="0"/>
              <w:rPr>
                <w:rFonts w:hint="default"/>
              </w:rPr>
            </w:pPr>
            <w:r>
              <w:rPr>
                <w:rFonts w:hint="default"/>
              </w:rPr>
              <w:t>分子量</w:t>
            </w:r>
          </w:p>
        </w:tc>
        <w:tc>
          <w:tcPr>
            <w:tcW w:w="3097" w:type="dxa"/>
            <w:noWrap w:val="0"/>
            <w:vAlign w:val="center"/>
          </w:tcPr>
          <w:p w14:paraId="630112B8">
            <w:pPr>
              <w:pStyle w:val="101"/>
              <w:keepNext w:val="0"/>
              <w:keepLines w:val="0"/>
              <w:suppressLineNumbers w:val="0"/>
              <w:bidi w:val="0"/>
              <w:spacing w:before="0" w:beforeAutospacing="0" w:after="0" w:afterAutospacing="0"/>
              <w:ind w:left="0" w:right="0"/>
              <w:rPr>
                <w:rFonts w:hint="default"/>
              </w:rPr>
            </w:pPr>
            <w:r>
              <w:rPr>
                <w:rFonts w:hint="default"/>
              </w:rPr>
              <w:t>32.06</w:t>
            </w:r>
          </w:p>
        </w:tc>
        <w:tc>
          <w:tcPr>
            <w:tcW w:w="836" w:type="dxa"/>
            <w:noWrap w:val="0"/>
            <w:vAlign w:val="center"/>
          </w:tcPr>
          <w:p w14:paraId="27B958DA">
            <w:pPr>
              <w:pStyle w:val="101"/>
              <w:keepNext w:val="0"/>
              <w:keepLines w:val="0"/>
              <w:suppressLineNumbers w:val="0"/>
              <w:bidi w:val="0"/>
              <w:spacing w:before="0" w:beforeAutospacing="0" w:after="0" w:afterAutospacing="0"/>
              <w:ind w:left="0" w:right="0"/>
              <w:rPr>
                <w:rFonts w:hint="default"/>
              </w:rPr>
            </w:pPr>
            <w:r>
              <w:rPr>
                <w:rFonts w:hint="default"/>
              </w:rPr>
              <w:t>蒸汽压</w:t>
            </w:r>
          </w:p>
        </w:tc>
        <w:tc>
          <w:tcPr>
            <w:tcW w:w="3615" w:type="dxa"/>
            <w:noWrap w:val="0"/>
            <w:vAlign w:val="center"/>
          </w:tcPr>
          <w:p w14:paraId="68D3CFB7">
            <w:pPr>
              <w:pStyle w:val="101"/>
              <w:keepNext w:val="0"/>
              <w:keepLines w:val="0"/>
              <w:suppressLineNumbers w:val="0"/>
              <w:bidi w:val="0"/>
              <w:spacing w:before="0" w:beforeAutospacing="0" w:after="0" w:afterAutospacing="0"/>
              <w:ind w:left="0" w:right="0"/>
              <w:rPr>
                <w:rFonts w:hint="default"/>
              </w:rPr>
            </w:pPr>
            <w:r>
              <w:rPr>
                <w:rFonts w:hint="default"/>
              </w:rPr>
              <w:t>0.13kPa/183.8℃ 闪点：207℃</w:t>
            </w:r>
          </w:p>
        </w:tc>
      </w:tr>
      <w:tr w14:paraId="1CB25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1A2EC9D8">
            <w:pPr>
              <w:pStyle w:val="101"/>
              <w:keepNext w:val="0"/>
              <w:keepLines w:val="0"/>
              <w:suppressLineNumbers w:val="0"/>
              <w:bidi w:val="0"/>
              <w:spacing w:before="0" w:beforeAutospacing="0" w:after="0" w:afterAutospacing="0"/>
              <w:ind w:left="0" w:right="0"/>
              <w:rPr>
                <w:rFonts w:hint="default"/>
              </w:rPr>
            </w:pPr>
            <w:r>
              <w:rPr>
                <w:rFonts w:hint="default"/>
              </w:rPr>
              <w:t>熔 点</w:t>
            </w:r>
          </w:p>
        </w:tc>
        <w:tc>
          <w:tcPr>
            <w:tcW w:w="3097" w:type="dxa"/>
            <w:noWrap w:val="0"/>
            <w:vAlign w:val="center"/>
          </w:tcPr>
          <w:p w14:paraId="422922B4">
            <w:pPr>
              <w:pStyle w:val="101"/>
              <w:keepNext w:val="0"/>
              <w:keepLines w:val="0"/>
              <w:suppressLineNumbers w:val="0"/>
              <w:bidi w:val="0"/>
              <w:spacing w:before="0" w:beforeAutospacing="0" w:after="0" w:afterAutospacing="0"/>
              <w:ind w:left="0" w:right="0"/>
              <w:rPr>
                <w:rFonts w:hint="default"/>
              </w:rPr>
            </w:pPr>
            <w:r>
              <w:rPr>
                <w:rFonts w:hint="default"/>
              </w:rPr>
              <w:t>119℃ 沸点：444.6℃</w:t>
            </w:r>
          </w:p>
        </w:tc>
        <w:tc>
          <w:tcPr>
            <w:tcW w:w="836" w:type="dxa"/>
            <w:noWrap w:val="0"/>
            <w:vAlign w:val="center"/>
          </w:tcPr>
          <w:p w14:paraId="7DF4E29A">
            <w:pPr>
              <w:pStyle w:val="101"/>
              <w:keepNext w:val="0"/>
              <w:keepLines w:val="0"/>
              <w:suppressLineNumbers w:val="0"/>
              <w:bidi w:val="0"/>
              <w:spacing w:before="0" w:beforeAutospacing="0" w:after="0" w:afterAutospacing="0"/>
              <w:ind w:left="0" w:right="0"/>
              <w:rPr>
                <w:rFonts w:hint="default"/>
              </w:rPr>
            </w:pPr>
            <w:r>
              <w:rPr>
                <w:rFonts w:hint="default"/>
              </w:rPr>
              <w:t>溶解性</w:t>
            </w:r>
          </w:p>
        </w:tc>
        <w:tc>
          <w:tcPr>
            <w:tcW w:w="3615" w:type="dxa"/>
            <w:noWrap w:val="0"/>
            <w:vAlign w:val="center"/>
          </w:tcPr>
          <w:p w14:paraId="372B9B9E">
            <w:pPr>
              <w:pStyle w:val="101"/>
              <w:keepNext w:val="0"/>
              <w:keepLines w:val="0"/>
              <w:suppressLineNumbers w:val="0"/>
              <w:bidi w:val="0"/>
              <w:spacing w:before="0" w:beforeAutospacing="0" w:after="0" w:afterAutospacing="0"/>
              <w:ind w:left="0" w:right="0"/>
              <w:rPr>
                <w:rFonts w:hint="default"/>
              </w:rPr>
            </w:pPr>
            <w:r>
              <w:rPr>
                <w:rFonts w:hint="default"/>
              </w:rPr>
              <w:t>不溶于水，微溶于乙醇、醚，易溶于二硫化碳</w:t>
            </w:r>
          </w:p>
        </w:tc>
      </w:tr>
      <w:tr w14:paraId="48D94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240" w:hRule="atLeast"/>
          <w:tblCellSpacing w:w="15" w:type="dxa"/>
          <w:jc w:val="center"/>
        </w:trPr>
        <w:tc>
          <w:tcPr>
            <w:tcW w:w="1091" w:type="dxa"/>
            <w:noWrap w:val="0"/>
            <w:vAlign w:val="center"/>
          </w:tcPr>
          <w:p w14:paraId="643286AF">
            <w:pPr>
              <w:pStyle w:val="101"/>
              <w:keepNext w:val="0"/>
              <w:keepLines w:val="0"/>
              <w:suppressLineNumbers w:val="0"/>
              <w:bidi w:val="0"/>
              <w:spacing w:before="0" w:beforeAutospacing="0" w:after="0" w:afterAutospacing="0"/>
              <w:ind w:left="0" w:right="0"/>
              <w:rPr>
                <w:rFonts w:hint="default"/>
              </w:rPr>
            </w:pPr>
            <w:r>
              <w:rPr>
                <w:rFonts w:hint="default"/>
              </w:rPr>
              <w:t>密 度</w:t>
            </w:r>
          </w:p>
        </w:tc>
        <w:tc>
          <w:tcPr>
            <w:tcW w:w="3097" w:type="dxa"/>
            <w:noWrap w:val="0"/>
            <w:vAlign w:val="center"/>
          </w:tcPr>
          <w:p w14:paraId="4C240DDE">
            <w:pPr>
              <w:pStyle w:val="101"/>
              <w:keepNext w:val="0"/>
              <w:keepLines w:val="0"/>
              <w:suppressLineNumbers w:val="0"/>
              <w:bidi w:val="0"/>
              <w:spacing w:before="0" w:beforeAutospacing="0" w:after="0" w:afterAutospacing="0"/>
              <w:ind w:left="0" w:right="0"/>
              <w:rPr>
                <w:rFonts w:hint="default"/>
              </w:rPr>
            </w:pPr>
            <w:r>
              <w:rPr>
                <w:rFonts w:hint="default"/>
              </w:rPr>
              <w:t>相对密度(水=1)2.0</w:t>
            </w:r>
          </w:p>
        </w:tc>
        <w:tc>
          <w:tcPr>
            <w:tcW w:w="836" w:type="dxa"/>
            <w:noWrap w:val="0"/>
            <w:vAlign w:val="center"/>
          </w:tcPr>
          <w:p w14:paraId="4B2CE083">
            <w:pPr>
              <w:pStyle w:val="101"/>
              <w:keepNext w:val="0"/>
              <w:keepLines w:val="0"/>
              <w:suppressLineNumbers w:val="0"/>
              <w:bidi w:val="0"/>
              <w:spacing w:before="0" w:beforeAutospacing="0" w:after="0" w:afterAutospacing="0"/>
              <w:ind w:left="0" w:right="0"/>
              <w:rPr>
                <w:rFonts w:hint="default"/>
              </w:rPr>
            </w:pPr>
            <w:r>
              <w:rPr>
                <w:rFonts w:hint="default"/>
              </w:rPr>
              <w:t>稳定性</w:t>
            </w:r>
          </w:p>
        </w:tc>
        <w:tc>
          <w:tcPr>
            <w:tcW w:w="3615" w:type="dxa"/>
            <w:noWrap w:val="0"/>
            <w:vAlign w:val="center"/>
          </w:tcPr>
          <w:p w14:paraId="6987E031">
            <w:pPr>
              <w:pStyle w:val="101"/>
              <w:keepNext w:val="0"/>
              <w:keepLines w:val="0"/>
              <w:suppressLineNumbers w:val="0"/>
              <w:bidi w:val="0"/>
              <w:spacing w:before="0" w:beforeAutospacing="0" w:after="0" w:afterAutospacing="0"/>
              <w:ind w:left="0" w:right="0"/>
              <w:rPr>
                <w:rFonts w:hint="default"/>
              </w:rPr>
            </w:pPr>
            <w:r>
              <w:rPr>
                <w:rFonts w:hint="default"/>
              </w:rPr>
              <w:t>稳定</w:t>
            </w:r>
          </w:p>
        </w:tc>
      </w:tr>
      <w:tr w14:paraId="7F1DF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95" w:hRule="atLeast"/>
          <w:tblCellSpacing w:w="15" w:type="dxa"/>
          <w:jc w:val="center"/>
        </w:trPr>
        <w:tc>
          <w:tcPr>
            <w:tcW w:w="1091" w:type="dxa"/>
            <w:noWrap w:val="0"/>
            <w:vAlign w:val="center"/>
          </w:tcPr>
          <w:p w14:paraId="36C768FF">
            <w:pPr>
              <w:pStyle w:val="101"/>
              <w:keepNext w:val="0"/>
              <w:keepLines w:val="0"/>
              <w:suppressLineNumbers w:val="0"/>
              <w:bidi w:val="0"/>
              <w:spacing w:before="0" w:beforeAutospacing="0" w:after="0" w:afterAutospacing="0"/>
              <w:ind w:left="0" w:right="0"/>
              <w:rPr>
                <w:rFonts w:hint="default"/>
              </w:rPr>
            </w:pPr>
            <w:r>
              <w:rPr>
                <w:rFonts w:hint="default"/>
              </w:rPr>
              <w:t>危险标记</w:t>
            </w:r>
          </w:p>
        </w:tc>
        <w:tc>
          <w:tcPr>
            <w:tcW w:w="3097" w:type="dxa"/>
            <w:noWrap w:val="0"/>
            <w:vAlign w:val="center"/>
          </w:tcPr>
          <w:p w14:paraId="4BAD364A">
            <w:pPr>
              <w:pStyle w:val="101"/>
              <w:keepNext w:val="0"/>
              <w:keepLines w:val="0"/>
              <w:suppressLineNumbers w:val="0"/>
              <w:bidi w:val="0"/>
              <w:spacing w:before="0" w:beforeAutospacing="0" w:after="0" w:afterAutospacing="0"/>
              <w:ind w:left="0" w:right="0"/>
              <w:rPr>
                <w:rFonts w:hint="default"/>
              </w:rPr>
            </w:pPr>
            <w:r>
              <w:rPr>
                <w:rFonts w:hint="default"/>
              </w:rPr>
              <w:t>8(易燃固体)</w:t>
            </w:r>
          </w:p>
        </w:tc>
        <w:tc>
          <w:tcPr>
            <w:tcW w:w="836" w:type="dxa"/>
            <w:noWrap w:val="0"/>
            <w:vAlign w:val="center"/>
          </w:tcPr>
          <w:p w14:paraId="38FC9651">
            <w:pPr>
              <w:pStyle w:val="101"/>
              <w:keepNext w:val="0"/>
              <w:keepLines w:val="0"/>
              <w:suppressLineNumbers w:val="0"/>
              <w:bidi w:val="0"/>
              <w:spacing w:before="0" w:beforeAutospacing="0" w:after="0" w:afterAutospacing="0"/>
              <w:ind w:left="0" w:right="0"/>
              <w:rPr>
                <w:rFonts w:hint="default"/>
              </w:rPr>
            </w:pPr>
            <w:r>
              <w:rPr>
                <w:rFonts w:hint="default"/>
              </w:rPr>
              <w:t>主要用途</w:t>
            </w:r>
          </w:p>
        </w:tc>
        <w:tc>
          <w:tcPr>
            <w:tcW w:w="3615" w:type="dxa"/>
            <w:noWrap w:val="0"/>
            <w:vAlign w:val="center"/>
          </w:tcPr>
          <w:p w14:paraId="0F289C4F">
            <w:pPr>
              <w:pStyle w:val="101"/>
              <w:keepNext w:val="0"/>
              <w:keepLines w:val="0"/>
              <w:suppressLineNumbers w:val="0"/>
              <w:bidi w:val="0"/>
              <w:spacing w:before="0" w:beforeAutospacing="0" w:after="0" w:afterAutospacing="0"/>
              <w:ind w:left="0" w:right="0"/>
              <w:rPr>
                <w:rFonts w:hint="default"/>
              </w:rPr>
            </w:pPr>
            <w:r>
              <w:rPr>
                <w:rFonts w:hint="default"/>
              </w:rPr>
              <w:t>用于制造染料、农药、火柴、火药、橡胶、人造丝、医药等</w:t>
            </w:r>
          </w:p>
        </w:tc>
      </w:tr>
      <w:tr w14:paraId="6CDC8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95" w:hRule="atLeast"/>
          <w:tblCellSpacing w:w="15" w:type="dxa"/>
          <w:jc w:val="center"/>
        </w:trPr>
        <w:tc>
          <w:tcPr>
            <w:tcW w:w="8729" w:type="dxa"/>
            <w:gridSpan w:val="4"/>
            <w:noWrap w:val="0"/>
            <w:vAlign w:val="center"/>
          </w:tcPr>
          <w:p w14:paraId="3F479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对环境的影响：</w:t>
            </w:r>
          </w:p>
          <w:p w14:paraId="2C251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一、健康危害</w:t>
            </w:r>
          </w:p>
          <w:p w14:paraId="6EB1FF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侵入途径：吸入、食入、经皮吸收。</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健康危害：因其能在肠内部分转化为硫化氢而被吸收，故大量口服可导致硫化氢中毒。急性硫化氢中毒的全身毒作用表现为中枢神经系统症状，有头痛、头晕、乏力、呕吐、共济失调、昏迷等。本品可引起眼结膜炎、皮肤湿疹。对皮肤有弱刺激性。生产中长期吸入硫粉尘一般无明显毒性作用。</w:t>
            </w:r>
          </w:p>
          <w:p w14:paraId="5C5E2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 xml:space="preserve">二、毒理学资料 </w:t>
            </w:r>
          </w:p>
          <w:p w14:paraId="6B2D8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毒性：属低毒类。但其蒸汽及硫磺燃烧后发生的二氧化硫对人体有剧毒。</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危险特性：与卤素、金属粉末等接触剧烈反应。硫磺为不良导体，在储运过程中易产生静电荷，可导致硫尘起火。粉尘或蒸气与空气或氧化剂混合形成爆炸性混合物。</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燃烧(分解)产物：氧化硫。</w:t>
            </w:r>
          </w:p>
        </w:tc>
      </w:tr>
      <w:tr w14:paraId="55D81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95" w:hRule="atLeast"/>
          <w:tblCellSpacing w:w="15" w:type="dxa"/>
          <w:jc w:val="center"/>
        </w:trPr>
        <w:tc>
          <w:tcPr>
            <w:tcW w:w="8729" w:type="dxa"/>
            <w:gridSpan w:val="4"/>
            <w:noWrap w:val="0"/>
            <w:vAlign w:val="center"/>
          </w:tcPr>
          <w:p w14:paraId="7C348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实验室监测方法：</w:t>
            </w:r>
          </w:p>
          <w:p w14:paraId="00E0C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color w:val="000000" w:themeColor="text1"/>
                <w:sz w:val="21"/>
                <w:szCs w:val="21"/>
                <w14:textFill>
                  <w14:solidFill>
                    <w14:schemeClr w14:val="tx1"/>
                  </w14:solidFill>
                </w14:textFill>
              </w:rPr>
              <w:t>橡胶原材料和制品中游离硫黄分析的一点改进[刊]/丁松萍//橡胶工业.-1986,(10).-32～33 《分析化学文摘 》1987.5.</w:t>
            </w:r>
          </w:p>
        </w:tc>
      </w:tr>
      <w:tr w14:paraId="7CFA0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95" w:hRule="atLeast"/>
          <w:tblCellSpacing w:w="15" w:type="dxa"/>
          <w:jc w:val="center"/>
        </w:trPr>
        <w:tc>
          <w:tcPr>
            <w:tcW w:w="8729" w:type="dxa"/>
            <w:gridSpan w:val="4"/>
            <w:noWrap w:val="0"/>
            <w:vAlign w:val="center"/>
          </w:tcPr>
          <w:p w14:paraId="585DC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应急处理方法：</w:t>
            </w:r>
          </w:p>
          <w:p w14:paraId="25587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一、泄漏应急处理</w:t>
            </w:r>
          </w:p>
          <w:p w14:paraId="1275D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隔离泄漏污染区，限制出入。切断火源。建议应急处理人员戴自吸过滤防尘口罩，穿一般作业工作服。不要直接接触泄漏物。小量泄漏：避免扬尘，用洁净的铲子收集于干燥、洁净、有盖的容器中。转移至安全场所。大量泄漏：用塑料布、帆布覆盖，减少飞散。使用无火花工具收集回收或运至废物处理场所处置。</w:t>
            </w:r>
          </w:p>
          <w:p w14:paraId="2063A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二、防护措施</w:t>
            </w:r>
          </w:p>
          <w:p w14:paraId="68FCE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呼吸系统防护：一般不需特殊防护。空气中粉尘浓度较高时，佩戴自吸过滤式防尘口罩。</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眼睛防护：一般不需特殊防护。</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身体防护：穿一般作业防护服。</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手防护：戴一般作业防护手套。</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其它：工作现场禁止吸烟、进食和饮水。工作毕，淋浴更衣。注意个人清洁卫生。</w:t>
            </w:r>
          </w:p>
          <w:p w14:paraId="4773F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三、急救措施</w:t>
            </w:r>
          </w:p>
          <w:p w14:paraId="42BA4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皮肤接触：脱去被污染的衣着，用肥皂水和清水彻底冲洗皮肤。</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眼睛接触：提起眼睑，用流动清水或生理盐水冲洗。就医。</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吸入：迅速脱离现场至空气新鲜处。保持呼吸道通畅。如呼吸困难，给输氧。如呼吸停止，立即进行人工呼吸。就医。</w:t>
            </w:r>
            <w:r>
              <w:rPr>
                <w:rFonts w:hint="default" w:ascii="宋体" w:hAnsi="宋体" w:cs="宋体"/>
                <w:color w:val="000000" w:themeColor="text1"/>
                <w:kern w:val="0"/>
                <w:sz w:val="21"/>
                <w:szCs w:val="21"/>
                <w14:textFill>
                  <w14:solidFill>
                    <w14:schemeClr w14:val="tx1"/>
                  </w14:solidFill>
                </w14:textFill>
              </w:rPr>
              <w:br w:type="textWrapping"/>
            </w:r>
            <w:r>
              <w:rPr>
                <w:rFonts w:hint="default" w:ascii="宋体" w:hAnsi="宋体" w:cs="宋体"/>
                <w:color w:val="000000" w:themeColor="text1"/>
                <w:kern w:val="0"/>
                <w:sz w:val="21"/>
                <w:szCs w:val="21"/>
                <w14:textFill>
                  <w14:solidFill>
                    <w14:schemeClr w14:val="tx1"/>
                  </w14:solidFill>
                </w14:textFill>
              </w:rPr>
              <w:t>食入：饮足量温水，催吐，就医。</w:t>
            </w:r>
          </w:p>
          <w:p w14:paraId="1B6FF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cs="宋体"/>
                <w:color w:val="000000" w:themeColor="text1"/>
                <w:kern w:val="0"/>
                <w:sz w:val="21"/>
                <w:szCs w:val="21"/>
                <w14:textFill>
                  <w14:solidFill>
                    <w14:schemeClr w14:val="tx1"/>
                  </w14:solidFill>
                </w14:textFill>
              </w:rPr>
            </w:pPr>
            <w:r>
              <w:rPr>
                <w:rFonts w:hint="default" w:ascii="宋体" w:hAnsi="宋体" w:cs="宋体"/>
                <w:color w:val="000000" w:themeColor="text1"/>
                <w:kern w:val="0"/>
                <w:sz w:val="21"/>
                <w:szCs w:val="21"/>
                <w14:textFill>
                  <w14:solidFill>
                    <w14:schemeClr w14:val="tx1"/>
                  </w14:solidFill>
                </w14:textFill>
              </w:rPr>
              <w:t>灭火方法：遇小火用砂土闷熄。遇大火可用雾状水灭火。切勿将水流直接射至熔融物，以免引起严惩的流淌火灾或引起剧烈的沸溅。消防人员须戴好防毒面具，在安全距离以外，在上风向灭火。</w:t>
            </w:r>
          </w:p>
        </w:tc>
      </w:tr>
    </w:tbl>
    <w:p w14:paraId="27A1B213">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 生产系统危险性识别</w:t>
      </w:r>
    </w:p>
    <w:p w14:paraId="6F493A2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本项目为化学品储存项目，不涉及生产系统。贮存设施风险系统为新建</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w:t>
      </w:r>
    </w:p>
    <w:p w14:paraId="0F80E84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（1）储运系统危险性识别结果见表4-</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2303E06A">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表4-</w:t>
      </w:r>
      <w:r>
        <w:rPr>
          <w:rFonts w:hint="eastAsia" w:eastAsiaTheme="minorEastAsia"/>
          <w:bCs/>
          <w:color w:val="000000" w:themeColor="text1"/>
          <w:sz w:val="21"/>
          <w:szCs w:val="21"/>
          <w:highlight w:val="none"/>
          <w:lang w:val="en-US" w:eastAsia="zh-CN"/>
          <w14:textFill>
            <w14:solidFill>
              <w14:schemeClr w14:val="tx1"/>
            </w14:solidFill>
          </w14:textFill>
        </w:rPr>
        <w:t xml:space="preserve">3   </w:t>
      </w:r>
      <w:r>
        <w:rPr>
          <w:rFonts w:hint="eastAsia" w:eastAsiaTheme="minorEastAsia"/>
          <w:bCs/>
          <w:color w:val="000000" w:themeColor="text1"/>
          <w:sz w:val="21"/>
          <w:szCs w:val="21"/>
          <w:highlight w:val="none"/>
          <w14:textFill>
            <w14:solidFill>
              <w14:schemeClr w14:val="tx1"/>
            </w14:solidFill>
          </w14:textFill>
        </w:rPr>
        <w:t>生产设施风险性</w:t>
      </w:r>
      <w:r>
        <w:rPr>
          <w:rFonts w:eastAsiaTheme="minorEastAsia"/>
          <w:bCs/>
          <w:color w:val="000000" w:themeColor="text1"/>
          <w:sz w:val="21"/>
          <w:szCs w:val="21"/>
          <w:highlight w:val="none"/>
          <w14:textFill>
            <w14:solidFill>
              <w14:schemeClr w14:val="tx1"/>
            </w14:solidFill>
          </w14:textFill>
        </w:rPr>
        <w:t>识别汇总表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117"/>
        <w:gridCol w:w="1310"/>
        <w:gridCol w:w="1850"/>
        <w:gridCol w:w="1272"/>
        <w:gridCol w:w="1367"/>
      </w:tblGrid>
      <w:tr w14:paraId="02DE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5BAEF99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危险单元</w:t>
            </w:r>
          </w:p>
        </w:tc>
        <w:tc>
          <w:tcPr>
            <w:tcW w:w="1117" w:type="dxa"/>
            <w:vAlign w:val="center"/>
          </w:tcPr>
          <w:p w14:paraId="49B0350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危险物质</w:t>
            </w:r>
          </w:p>
        </w:tc>
        <w:tc>
          <w:tcPr>
            <w:tcW w:w="1310" w:type="dxa"/>
            <w:vAlign w:val="center"/>
          </w:tcPr>
          <w:p w14:paraId="1B96597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危险类别</w:t>
            </w:r>
          </w:p>
        </w:tc>
        <w:tc>
          <w:tcPr>
            <w:tcW w:w="1850" w:type="dxa"/>
            <w:vAlign w:val="center"/>
          </w:tcPr>
          <w:p w14:paraId="2F09AC02">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最大储存量（t）</w:t>
            </w:r>
          </w:p>
        </w:tc>
        <w:tc>
          <w:tcPr>
            <w:tcW w:w="1272" w:type="dxa"/>
            <w:vAlign w:val="center"/>
          </w:tcPr>
          <w:p w14:paraId="267A34DD">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储存方式</w:t>
            </w:r>
          </w:p>
        </w:tc>
        <w:tc>
          <w:tcPr>
            <w:tcW w:w="1367" w:type="dxa"/>
            <w:vAlign w:val="center"/>
          </w:tcPr>
          <w:p w14:paraId="313E7BF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default"/>
                <w:b/>
                <w:bCs/>
                <w:color w:val="000000" w:themeColor="text1"/>
                <w:spacing w:val="7"/>
                <w:sz w:val="20"/>
                <w:highlight w:val="none"/>
                <w14:textFill>
                  <w14:solidFill>
                    <w14:schemeClr w14:val="tx1"/>
                  </w14:solidFill>
                </w14:textFill>
              </w:rPr>
              <w:t>触发因素</w:t>
            </w:r>
          </w:p>
        </w:tc>
      </w:tr>
      <w:tr w14:paraId="7D7A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32" w:type="dxa"/>
            <w:vAlign w:val="center"/>
          </w:tcPr>
          <w:p w14:paraId="00D12DE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w:t>
            </w:r>
          </w:p>
        </w:tc>
        <w:tc>
          <w:tcPr>
            <w:tcW w:w="1117" w:type="dxa"/>
            <w:vAlign w:val="center"/>
          </w:tcPr>
          <w:p w14:paraId="23B0B897">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硫磺</w:t>
            </w:r>
          </w:p>
        </w:tc>
        <w:tc>
          <w:tcPr>
            <w:tcW w:w="1310" w:type="dxa"/>
            <w:vAlign w:val="center"/>
          </w:tcPr>
          <w:p w14:paraId="34E74A0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易燃</w:t>
            </w:r>
          </w:p>
        </w:tc>
        <w:tc>
          <w:tcPr>
            <w:tcW w:w="1850" w:type="dxa"/>
            <w:vAlign w:val="center"/>
          </w:tcPr>
          <w:p w14:paraId="4830E16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70</w:t>
            </w:r>
          </w:p>
        </w:tc>
        <w:tc>
          <w:tcPr>
            <w:tcW w:w="1272" w:type="dxa"/>
            <w:vAlign w:val="center"/>
          </w:tcPr>
          <w:p w14:paraId="274F5B9F">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散装</w:t>
            </w:r>
            <w:r>
              <w:rPr>
                <w:rFonts w:hint="default" w:ascii="Calibri" w:hAnsi="Calibri" w:cs="Calibri"/>
                <w:color w:val="000000" w:themeColor="text1"/>
                <w:sz w:val="21"/>
                <w:szCs w:val="21"/>
                <w:highlight w:val="none"/>
                <w:vertAlign w:val="superscript"/>
                <w:lang w:val="en-US" w:eastAsia="zh-CN"/>
                <w14:textFill>
                  <w14:solidFill>
                    <w14:schemeClr w14:val="tx1"/>
                  </w14:solidFill>
                </w14:textFill>
              </w:rPr>
              <w:t>①</w:t>
            </w:r>
          </w:p>
        </w:tc>
        <w:tc>
          <w:tcPr>
            <w:tcW w:w="1367" w:type="dxa"/>
            <w:vAlign w:val="center"/>
          </w:tcPr>
          <w:p w14:paraId="6F57267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燃烧</w:t>
            </w:r>
          </w:p>
        </w:tc>
      </w:tr>
    </w:tbl>
    <w:p w14:paraId="338482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注：</w:t>
      </w:r>
      <w:r>
        <w:rPr>
          <w:rFonts w:hint="default" w:ascii="Calibri" w:hAnsi="Calibri" w:cs="Calibri"/>
          <w:color w:val="000000" w:themeColor="text1"/>
          <w:sz w:val="21"/>
          <w:szCs w:val="21"/>
          <w:highlight w:val="none"/>
          <w:lang w:val="en-US" w:eastAsia="zh-CN"/>
          <w14:textFill>
            <w14:solidFill>
              <w14:schemeClr w14:val="tx1"/>
            </w14:solidFill>
          </w14:textFill>
        </w:rPr>
        <w:t>①</w:t>
      </w:r>
      <w:r>
        <w:rPr>
          <w:rFonts w:hint="eastAsia" w:ascii="Calibri" w:hAnsi="Calibri" w:cs="Calibri"/>
          <w:color w:val="000000" w:themeColor="text1"/>
          <w:sz w:val="21"/>
          <w:szCs w:val="21"/>
          <w:highlight w:val="none"/>
          <w:lang w:val="en-US" w:eastAsia="zh-CN"/>
          <w14:textFill>
            <w14:solidFill>
              <w14:schemeClr w14:val="tx1"/>
            </w14:solidFill>
          </w14:textFill>
        </w:rPr>
        <w:t>本项目硫磺固化结块后利用叉车将盛放硫磺的铁箱运至乙类库，再库内将硫磺从桶内卸出后堆存，铁箱返回脱硫工序继续使用。</w:t>
      </w:r>
    </w:p>
    <w:p w14:paraId="666E98D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（2）事故连锁效应和重叠继发事故的危险性</w:t>
      </w:r>
    </w:p>
    <w:p w14:paraId="272F5911">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分析本项目使用的物料为易燃物质，在工作过程中遇明火即可发生燃烧。一旦发生火灾，可能蔓延到其它装置着火，为此存在事故连锁效应和重叠继发事故的可能，导致其它有毒物质泄漏等突发性事故。</w:t>
      </w:r>
      <w:r>
        <w:rPr>
          <w:rFonts w:hint="eastAsia"/>
          <w:color w:val="000000" w:themeColor="text1"/>
          <w:highlight w:val="none"/>
          <w:lang w:val="en-US" w:eastAsia="zh-CN"/>
          <w14:textFill>
            <w14:solidFill>
              <w14:schemeClr w14:val="tx1"/>
            </w14:solidFill>
          </w14:textFill>
        </w:rPr>
        <w:t>乙类库内不慎进水，导致物料泡水，产生的渗滤液可能会对土壤及地下水造成不利影响。</w:t>
      </w:r>
    </w:p>
    <w:p w14:paraId="5B696F3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（3）事故中的伴生/次生危险性分析</w:t>
      </w:r>
    </w:p>
    <w:p w14:paraId="2ECDC69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本项目生产中的危害性、毒性物质具有可燃性，因此存在火灾事故中的伴生/次生中毒危险(主要为</w:t>
      </w:r>
      <w:r>
        <w:rPr>
          <w:rFonts w:hint="eastAsia"/>
          <w:color w:val="000000" w:themeColor="text1"/>
          <w:highlight w:val="none"/>
          <w:lang w:val="en-US" w:eastAsia="zh-CN"/>
          <w14:textFill>
            <w14:solidFill>
              <w14:schemeClr w14:val="tx1"/>
            </w14:solidFill>
          </w14:textFill>
        </w:rPr>
        <w:t>SO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726676B4">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 转移途径识别</w:t>
      </w:r>
    </w:p>
    <w:p w14:paraId="514122D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本项目危险物质向环境的转移途径识别结果见表4-</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p>
    <w:p w14:paraId="6D5B7CCB">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表4-</w:t>
      </w:r>
      <w:r>
        <w:rPr>
          <w:rFonts w:hint="eastAsia" w:eastAsiaTheme="minorEastAsia"/>
          <w:bCs/>
          <w:color w:val="000000" w:themeColor="text1"/>
          <w:sz w:val="21"/>
          <w:szCs w:val="21"/>
          <w:highlight w:val="none"/>
          <w:lang w:val="en-US" w:eastAsia="zh-CN"/>
          <w14:textFill>
            <w14:solidFill>
              <w14:schemeClr w14:val="tx1"/>
            </w14:solidFill>
          </w14:textFill>
        </w:rPr>
        <w:t>4</w:t>
      </w:r>
      <w:r>
        <w:rPr>
          <w:rFonts w:eastAsiaTheme="minorEastAsia"/>
          <w:bCs/>
          <w:color w:val="000000" w:themeColor="text1"/>
          <w:sz w:val="21"/>
          <w:szCs w:val="21"/>
          <w:highlight w:val="none"/>
          <w14:textFill>
            <w14:solidFill>
              <w14:schemeClr w14:val="tx1"/>
            </w14:solidFill>
          </w14:textFill>
        </w:rPr>
        <w:t xml:space="preserve">   转移途径识别汇总表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400"/>
        <w:gridCol w:w="2710"/>
        <w:gridCol w:w="1350"/>
        <w:gridCol w:w="2239"/>
      </w:tblGrid>
      <w:tr w14:paraId="6703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49" w:type="dxa"/>
            <w:vAlign w:val="center"/>
          </w:tcPr>
          <w:p w14:paraId="4A033A6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危险单元</w:t>
            </w:r>
          </w:p>
        </w:tc>
        <w:tc>
          <w:tcPr>
            <w:tcW w:w="1400" w:type="dxa"/>
            <w:vAlign w:val="center"/>
          </w:tcPr>
          <w:p w14:paraId="1F3094DC">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危险物质</w:t>
            </w:r>
          </w:p>
        </w:tc>
        <w:tc>
          <w:tcPr>
            <w:tcW w:w="2710" w:type="dxa"/>
            <w:vAlign w:val="center"/>
          </w:tcPr>
          <w:p w14:paraId="27AECF6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环境风险类型</w:t>
            </w:r>
          </w:p>
        </w:tc>
        <w:tc>
          <w:tcPr>
            <w:tcW w:w="1350" w:type="dxa"/>
            <w:vAlign w:val="center"/>
          </w:tcPr>
          <w:p w14:paraId="26562F34">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转移途径</w:t>
            </w:r>
          </w:p>
        </w:tc>
        <w:tc>
          <w:tcPr>
            <w:tcW w:w="2239" w:type="dxa"/>
            <w:vAlign w:val="center"/>
          </w:tcPr>
          <w:p w14:paraId="6CD6C8C9">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可能受影响的环境敏感目标</w:t>
            </w:r>
          </w:p>
        </w:tc>
      </w:tr>
      <w:tr w14:paraId="7DAC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49" w:type="dxa"/>
            <w:vMerge w:val="restart"/>
            <w:vAlign w:val="center"/>
          </w:tcPr>
          <w:p w14:paraId="6154BF11">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w:t>
            </w:r>
          </w:p>
        </w:tc>
        <w:tc>
          <w:tcPr>
            <w:tcW w:w="1400" w:type="dxa"/>
            <w:vMerge w:val="restart"/>
            <w:vAlign w:val="center"/>
          </w:tcPr>
          <w:p w14:paraId="4EAB8374">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硫磺</w:t>
            </w:r>
          </w:p>
        </w:tc>
        <w:tc>
          <w:tcPr>
            <w:tcW w:w="2710" w:type="dxa"/>
            <w:vAlign w:val="center"/>
          </w:tcPr>
          <w:p w14:paraId="6372250B">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燃烧引发次生污染</w:t>
            </w:r>
          </w:p>
        </w:tc>
        <w:tc>
          <w:tcPr>
            <w:tcW w:w="1350" w:type="dxa"/>
            <w:vAlign w:val="center"/>
          </w:tcPr>
          <w:p w14:paraId="214EDBFA">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大气环境</w:t>
            </w:r>
          </w:p>
        </w:tc>
        <w:tc>
          <w:tcPr>
            <w:tcW w:w="2239" w:type="dxa"/>
            <w:vAlign w:val="center"/>
          </w:tcPr>
          <w:p w14:paraId="35EDD66A">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周边</w:t>
            </w:r>
            <w:r>
              <w:rPr>
                <w:rFonts w:hint="eastAsia" w:ascii="Times New Roman" w:hAnsi="Times New Roman"/>
                <w:color w:val="000000" w:themeColor="text1"/>
                <w:sz w:val="21"/>
                <w:szCs w:val="21"/>
                <w:highlight w:val="none"/>
                <w:lang w:val="en-US" w:eastAsia="zh-CN"/>
                <w14:textFill>
                  <w14:solidFill>
                    <w14:schemeClr w14:val="tx1"/>
                  </w14:solidFill>
                </w14:textFill>
              </w:rPr>
              <w:t>环境大气</w:t>
            </w:r>
          </w:p>
        </w:tc>
      </w:tr>
      <w:tr w14:paraId="2231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49" w:type="dxa"/>
            <w:vMerge w:val="continue"/>
            <w:vAlign w:val="center"/>
          </w:tcPr>
          <w:p w14:paraId="4CD49A10">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1400" w:type="dxa"/>
            <w:vMerge w:val="continue"/>
            <w:vAlign w:val="center"/>
          </w:tcPr>
          <w:p w14:paraId="5A39E979">
            <w:pPr>
              <w:pStyle w:val="2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2710" w:type="dxa"/>
            <w:vAlign w:val="center"/>
          </w:tcPr>
          <w:p w14:paraId="6F39CD9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不慎泡水产生渗滤液</w:t>
            </w:r>
          </w:p>
        </w:tc>
        <w:tc>
          <w:tcPr>
            <w:tcW w:w="1350" w:type="dxa"/>
            <w:vAlign w:val="center"/>
          </w:tcPr>
          <w:p w14:paraId="5F924615">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土壤、地下水环境</w:t>
            </w:r>
          </w:p>
        </w:tc>
        <w:tc>
          <w:tcPr>
            <w:tcW w:w="2239" w:type="dxa"/>
            <w:vAlign w:val="center"/>
          </w:tcPr>
          <w:p w14:paraId="7BE3DD5E">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周围环境地下水</w:t>
            </w:r>
          </w:p>
        </w:tc>
      </w:tr>
    </w:tbl>
    <w:p w14:paraId="684D5CE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本项目设计危险单元分布图如下：</w:t>
      </w:r>
    </w:p>
    <w:p w14:paraId="7CDAB2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1092200</wp:posOffset>
                </wp:positionH>
                <wp:positionV relativeFrom="paragraph">
                  <wp:posOffset>1319530</wp:posOffset>
                </wp:positionV>
                <wp:extent cx="3384550" cy="1727200"/>
                <wp:effectExtent l="12700" t="12700" r="12700" b="12700"/>
                <wp:wrapNone/>
                <wp:docPr id="143" name="矩形 143"/>
                <wp:cNvGraphicFramePr/>
                <a:graphic xmlns:a="http://schemas.openxmlformats.org/drawingml/2006/main">
                  <a:graphicData uri="http://schemas.microsoft.com/office/word/2010/wordprocessingShape">
                    <wps:wsp>
                      <wps:cNvSpPr/>
                      <wps:spPr>
                        <a:xfrm>
                          <a:off x="2099945" y="2219325"/>
                          <a:ext cx="3384550" cy="1727200"/>
                        </a:xfrm>
                        <a:prstGeom prst="rect">
                          <a:avLst/>
                        </a:prstGeom>
                        <a:solidFill>
                          <a:schemeClr val="accent2">
                            <a:alpha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103.9pt;height:136pt;width:266.5pt;z-index:251669504;v-text-anchor:middle;mso-width-relative:page;mso-height-relative:page;" fillcolor="#C0504D [3205]" filled="t" stroked="t" coordsize="21600,21600" o:gfxdata="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mmDYAAAA&#10;CwEAAA8AAAAAAAAAAQAgAAAAIgAAAGRycy9kb3ducmV2LnhtbFBLAQIUABQAAAAIAIdO4kAeipSR&#10;jwIAADEFAAAOAAAAAAAAAAEAIAAAACcBAABkcnMvZTJvRG9jLnhtbFBLBQYAAAAABgAGAFkBAAAo&#10;BgAAAAA=&#10;">
                <v:fill on="t" opacity="26214f" focussize="0,0"/>
                <v:stroke weight="2pt" color="#376092 [2404]" joinstyle="round"/>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5427980" cy="4103370"/>
            <wp:effectExtent l="9525" t="9525" r="10795" b="20955"/>
            <wp:docPr id="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pic:cNvPicPr>
                      <a:picLocks noChangeAspect="1"/>
                    </pic:cNvPicPr>
                  </pic:nvPicPr>
                  <pic:blipFill>
                    <a:blip r:embed="rId33"/>
                    <a:srcRect l="2788" t="1520" r="1865" b="842"/>
                    <a:stretch>
                      <a:fillRect/>
                    </a:stretch>
                  </pic:blipFill>
                  <pic:spPr>
                    <a:xfrm>
                      <a:off x="0" y="0"/>
                      <a:ext cx="5427980" cy="4103370"/>
                    </a:xfrm>
                    <a:prstGeom prst="rect">
                      <a:avLst/>
                    </a:prstGeom>
                    <a:noFill/>
                    <a:ln>
                      <a:solidFill>
                        <a:schemeClr val="tx1"/>
                      </a:solidFill>
                    </a:ln>
                  </pic:spPr>
                </pic:pic>
              </a:graphicData>
            </a:graphic>
          </wp:inline>
        </w:drawing>
      </w:r>
    </w:p>
    <w:p w14:paraId="2FA8E4DE">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14:textFill>
            <w14:solidFill>
              <w14:schemeClr w14:val="tx1"/>
            </w14:solidFill>
          </w14:textFill>
        </w:rPr>
        <w:t>图</w:t>
      </w: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 xml:space="preserve">4-1    </w:t>
      </w:r>
      <w:r>
        <w:rPr>
          <w:rFonts w:hint="eastAsia" w:ascii="Times New Roman" w:hAnsi="Times New Roman" w:cs="Times New Roman" w:eastAsiaTheme="minorEastAsia"/>
          <w:bCs/>
          <w:color w:val="000000" w:themeColor="text1"/>
          <w:sz w:val="21"/>
          <w:szCs w:val="21"/>
          <w:highlight w:val="none"/>
          <w14:textFill>
            <w14:solidFill>
              <w14:schemeClr w14:val="tx1"/>
            </w14:solidFill>
          </w14:textFill>
        </w:rPr>
        <w:t xml:space="preserve"> 危险单元分布示意图</w:t>
      </w:r>
    </w:p>
    <w:p w14:paraId="52F749BA">
      <w:pPr>
        <w:pStyle w:val="3"/>
        <w:ind w:firstLine="56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 风险识别结果</w:t>
      </w:r>
    </w:p>
    <w:p w14:paraId="11AD18A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根据以上识别可知，本项目危险单元</w:t>
      </w:r>
      <w:r>
        <w:rPr>
          <w:rFonts w:hint="eastAsia"/>
          <w:color w:val="000000" w:themeColor="text1"/>
          <w:highlight w:val="none"/>
          <w:lang w:val="en-US" w:eastAsia="zh-CN"/>
          <w14:textFill>
            <w14:solidFill>
              <w14:schemeClr w14:val="tx1"/>
            </w14:solidFill>
          </w14:textFill>
        </w:rPr>
        <w:t>均</w:t>
      </w:r>
      <w:r>
        <w:rPr>
          <w:rFonts w:hint="eastAsia"/>
          <w:color w:val="000000" w:themeColor="text1"/>
          <w:highlight w:val="none"/>
          <w14:textFill>
            <w14:solidFill>
              <w14:schemeClr w14:val="tx1"/>
            </w14:solidFill>
          </w14:textFill>
        </w:rPr>
        <w:t>分布在</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w:t>
      </w:r>
      <w:r>
        <w:rPr>
          <w:rFonts w:hint="eastAsia"/>
          <w:color w:val="000000" w:themeColor="text1"/>
          <w:highlight w:val="none"/>
          <w:lang w:val="en-US" w:eastAsia="zh-CN"/>
          <w14:textFill>
            <w14:solidFill>
              <w14:schemeClr w14:val="tx1"/>
            </w14:solidFill>
          </w14:textFill>
        </w:rPr>
        <w:t>内</w:t>
      </w:r>
      <w:r>
        <w:rPr>
          <w:rFonts w:hint="eastAsia"/>
          <w:color w:val="000000" w:themeColor="text1"/>
          <w:highlight w:val="none"/>
          <w14:textFill>
            <w14:solidFill>
              <w14:schemeClr w14:val="tx1"/>
            </w14:solidFill>
          </w14:textFill>
        </w:rPr>
        <w:t>。</w:t>
      </w:r>
    </w:p>
    <w:p w14:paraId="46A3D02E">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本项目环境风险类型主要为火灾事故引发的次生环境污染</w:t>
      </w:r>
      <w:r>
        <w:rPr>
          <w:rFonts w:hint="eastAsia"/>
          <w:color w:val="000000" w:themeColor="text1"/>
          <w:highlight w:val="none"/>
          <w:lang w:val="en-US" w:eastAsia="zh-CN"/>
          <w14:textFill>
            <w14:solidFill>
              <w14:schemeClr w14:val="tx1"/>
            </w14:solidFill>
          </w14:textFill>
        </w:rPr>
        <w:t>以及物料进水产生的渗滤液引发的次生环境污染</w:t>
      </w:r>
      <w:r>
        <w:rPr>
          <w:rFonts w:hint="eastAsia"/>
          <w:color w:val="000000" w:themeColor="text1"/>
          <w:highlight w:val="none"/>
          <w14:textFill>
            <w14:solidFill>
              <w14:schemeClr w14:val="tx1"/>
            </w14:solidFill>
          </w14:textFill>
        </w:rPr>
        <w:t>。</w:t>
      </w:r>
    </w:p>
    <w:p w14:paraId="2866759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次生污染主要为易燃泄漏物遇点火源引发火灾、爆炸事故，火灾爆炸产生的</w:t>
      </w:r>
      <w:r>
        <w:rPr>
          <w:rFonts w:hint="eastAsia"/>
          <w:color w:val="000000" w:themeColor="text1"/>
          <w:highlight w:val="none"/>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等有毒有害烟气对周围大气环境造成污染，可能影响评价范围内的村庄等敏感目标。另外，</w:t>
      </w:r>
      <w:r>
        <w:rPr>
          <w:rFonts w:hint="eastAsia"/>
          <w:color w:val="000000" w:themeColor="text1"/>
          <w:highlight w:val="none"/>
          <w:lang w:val="en-US" w:eastAsia="zh-CN"/>
          <w14:textFill>
            <w14:solidFill>
              <w14:schemeClr w14:val="tx1"/>
            </w14:solidFill>
          </w14:textFill>
        </w:rPr>
        <w:t>物料进水产生的渗滤液排入集液池，渗漏引发的地下水环境污染</w:t>
      </w:r>
      <w:r>
        <w:rPr>
          <w:rFonts w:hint="eastAsia"/>
          <w:color w:val="000000" w:themeColor="text1"/>
          <w:highlight w:val="none"/>
          <w14:textFill>
            <w14:solidFill>
              <w14:schemeClr w14:val="tx1"/>
            </w14:solidFill>
          </w14:textFill>
        </w:rPr>
        <w:t>。</w:t>
      </w:r>
    </w:p>
    <w:p w14:paraId="6D97B65C">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5风险类型及源项分析</w:t>
      </w:r>
    </w:p>
    <w:p w14:paraId="7DD0EFF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1、风险类型</w:t>
      </w:r>
    </w:p>
    <w:p w14:paraId="3AF28EF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（1）根据引起有毒有害物质向环境放散的危害环境事故起因，分为火灾、爆炸和泄漏三种类型。</w:t>
      </w:r>
    </w:p>
    <w:p w14:paraId="6E5987E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本项目中这三种风险类型均会出现，因此考虑由此造成的污染物事故排放，不考虑自然灾害如地震、洪水、台风等引起的事故风险。</w:t>
      </w:r>
    </w:p>
    <w:p w14:paraId="66ACCCA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（2）向环境转移途径</w:t>
      </w:r>
    </w:p>
    <w:p w14:paraId="1E84668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空气、水体和土壤等环境要素是危险性物质向环境转移的最基本的途径，同时这三种要素之间又随时发生着能量和物质的传递，污染物进入环境后，随着空气和水体环境发生推流迁移、分散稀释和降解转化运动。</w:t>
      </w:r>
    </w:p>
    <w:p w14:paraId="6C4F40F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（3）次生/伴生污染</w:t>
      </w:r>
    </w:p>
    <w:p w14:paraId="113C6E1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其可能产生的次生污染为火灾</w:t>
      </w:r>
      <w:r>
        <w:rPr>
          <w:rFonts w:hint="eastAsia"/>
          <w:color w:val="000000" w:themeColor="text1"/>
          <w:highlight w:val="none"/>
          <w:lang w:val="en-US" w:eastAsia="zh-CN"/>
          <w14:textFill>
            <w14:solidFill>
              <w14:schemeClr w14:val="tx1"/>
            </w14:solidFill>
          </w14:textFill>
        </w:rPr>
        <w:t>污染物、遇水渗滤液等</w:t>
      </w:r>
      <w:r>
        <w:rPr>
          <w:rFonts w:hint="eastAsia"/>
          <w:color w:val="000000" w:themeColor="text1"/>
          <w:highlight w:val="none"/>
          <w14:textFill>
            <w14:solidFill>
              <w14:schemeClr w14:val="tx1"/>
            </w14:solidFill>
          </w14:textFill>
        </w:rPr>
        <w:t>。</w:t>
      </w:r>
    </w:p>
    <w:p w14:paraId="0D28363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2、事故源项分析</w:t>
      </w:r>
    </w:p>
    <w:p w14:paraId="58C4ED4C">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焦化</w:t>
      </w:r>
      <w:r>
        <w:rPr>
          <w:rFonts w:hint="eastAsia"/>
          <w:color w:val="000000" w:themeColor="text1"/>
          <w:highlight w:val="none"/>
          <w14:textFill>
            <w14:solidFill>
              <w14:schemeClr w14:val="tx1"/>
            </w14:solidFill>
          </w14:textFill>
        </w:rPr>
        <w:t>行业的生产装置事故发生率较高。结合重大危险源辨识表，本项目风险评价根据事故发生概率、事故后果严重性，本项目最大可信事故确定为：</w:t>
      </w:r>
      <w:r>
        <w:rPr>
          <w:rFonts w:hint="eastAsia"/>
          <w:color w:val="000000" w:themeColor="text1"/>
          <w:highlight w:val="none"/>
          <w:lang w:val="en-US" w:eastAsia="zh-CN"/>
          <w14:textFill>
            <w14:solidFill>
              <w14:schemeClr w14:val="tx1"/>
            </w14:solidFill>
          </w14:textFill>
        </w:rPr>
        <w:t>硫磺</w:t>
      </w:r>
      <w:r>
        <w:rPr>
          <w:rFonts w:hint="eastAsia"/>
          <w:color w:val="000000" w:themeColor="text1"/>
          <w:highlight w:val="none"/>
          <w14:textFill>
            <w14:solidFill>
              <w14:schemeClr w14:val="tx1"/>
            </w14:solidFill>
          </w14:textFill>
        </w:rPr>
        <w:t>遇到明火引起火灾造成的次生环境</w:t>
      </w:r>
      <w:r>
        <w:rPr>
          <w:rFonts w:hint="eastAsia"/>
          <w:color w:val="000000" w:themeColor="text1"/>
          <w:highlight w:val="none"/>
          <w:lang w:val="en-US" w:eastAsia="zh-CN"/>
          <w14:textFill>
            <w14:solidFill>
              <w14:schemeClr w14:val="tx1"/>
            </w14:solidFill>
          </w14:textFill>
        </w:rPr>
        <w:t>风险</w:t>
      </w:r>
      <w:r>
        <w:rPr>
          <w:rFonts w:hint="eastAsia"/>
          <w:color w:val="000000" w:themeColor="text1"/>
          <w:highlight w:val="none"/>
          <w14:textFill>
            <w14:solidFill>
              <w14:schemeClr w14:val="tx1"/>
            </w14:solidFill>
          </w14:textFill>
        </w:rPr>
        <w:t>事故；以及</w:t>
      </w:r>
      <w:r>
        <w:rPr>
          <w:rFonts w:hint="eastAsia"/>
          <w:color w:val="000000" w:themeColor="text1"/>
          <w:highlight w:val="none"/>
          <w:lang w:val="en-US" w:eastAsia="zh-CN"/>
          <w14:textFill>
            <w14:solidFill>
              <w14:schemeClr w14:val="tx1"/>
            </w14:solidFill>
          </w14:textFill>
        </w:rPr>
        <w:t>乙类库进水浸泡物料产生的渗滤液排入集液池，集液池发生渗漏</w:t>
      </w:r>
      <w:r>
        <w:rPr>
          <w:rFonts w:hint="eastAsia"/>
          <w:color w:val="000000" w:themeColor="text1"/>
          <w:highlight w:val="none"/>
          <w14:textFill>
            <w14:solidFill>
              <w14:schemeClr w14:val="tx1"/>
            </w14:solidFill>
          </w14:textFill>
        </w:rPr>
        <w:t>造成地下水污染的事故。</w:t>
      </w:r>
    </w:p>
    <w:p w14:paraId="7651CB5A">
      <w:pPr>
        <w:pStyle w:val="3"/>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6.事故后果计算</w:t>
      </w:r>
    </w:p>
    <w:p w14:paraId="053B60D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 伴生/次生环境影响分析</w:t>
      </w:r>
    </w:p>
    <w:p w14:paraId="2E20D47E">
      <w:pPr>
        <w:pStyle w:val="15"/>
        <w:ind w:firstLine="480"/>
        <w:rPr>
          <w:rFonts w:hint="eastAsia" w:ascii="Arial" w:hAnsi="Arial" w:cs="Arial"/>
          <w:color w:val="000000" w:themeColor="text1"/>
          <w:highlight w:val="none"/>
          <w:lang w:val="en-US" w:eastAsia="zh-CN"/>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本次事故类型考虑为</w:t>
      </w:r>
      <w:r>
        <w:rPr>
          <w:rFonts w:hint="eastAsia" w:ascii="Arial" w:hAnsi="Arial" w:cs="Arial"/>
          <w:color w:val="000000" w:themeColor="text1"/>
          <w:highlight w:val="none"/>
          <w:lang w:val="en-US" w:eastAsia="zh-CN"/>
          <w14:textFill>
            <w14:solidFill>
              <w14:schemeClr w14:val="tx1"/>
            </w14:solidFill>
          </w14:textFill>
        </w:rPr>
        <w:t>硫磺遇到明火</w:t>
      </w:r>
      <w:r>
        <w:rPr>
          <w:rFonts w:hint="eastAsia" w:ascii="Arial" w:hAnsi="Arial" w:cs="Arial"/>
          <w:color w:val="000000" w:themeColor="text1"/>
          <w:highlight w:val="none"/>
          <w14:textFill>
            <w14:solidFill>
              <w14:schemeClr w14:val="tx1"/>
            </w14:solidFill>
          </w14:textFill>
        </w:rPr>
        <w:t>引起火灾造成的次生环境风险。本次环评不对事故火灾进行预测分析。本次按</w:t>
      </w:r>
      <w:r>
        <w:rPr>
          <w:rFonts w:hint="eastAsia" w:ascii="Arial" w:hAnsi="Arial" w:cs="Arial"/>
          <w:color w:val="000000" w:themeColor="text1"/>
          <w:highlight w:val="none"/>
          <w:lang w:val="en-US" w:eastAsia="zh-CN"/>
          <w14:textFill>
            <w14:solidFill>
              <w14:schemeClr w14:val="tx1"/>
            </w14:solidFill>
          </w14:textFill>
        </w:rPr>
        <w:t>最大贮存量70t硫磺（硫含量为99%）全部燃烧</w:t>
      </w:r>
      <w:r>
        <w:rPr>
          <w:rFonts w:hint="eastAsia" w:ascii="Arial" w:hAnsi="Arial" w:cs="Arial"/>
          <w:color w:val="000000" w:themeColor="text1"/>
          <w:highlight w:val="none"/>
          <w14:textFill>
            <w14:solidFill>
              <w14:schemeClr w14:val="tx1"/>
            </w14:solidFill>
          </w14:textFill>
        </w:rPr>
        <w:t>考虑，</w:t>
      </w:r>
      <w:r>
        <w:rPr>
          <w:rFonts w:hint="eastAsia" w:ascii="Arial" w:hAnsi="Arial" w:cs="Arial"/>
          <w:color w:val="000000" w:themeColor="text1"/>
          <w:highlight w:val="none"/>
          <w:lang w:val="en-US" w:eastAsia="zh-CN"/>
          <w14:textFill>
            <w14:solidFill>
              <w14:schemeClr w14:val="tx1"/>
            </w14:solidFill>
          </w14:textFill>
        </w:rPr>
        <w:t>主要污染物为二氧化硫，根据核算，二氧化硫产生量为110.88t（80%转化率考虑）。</w:t>
      </w:r>
    </w:p>
    <w:p w14:paraId="0FBB99A0">
      <w:pPr>
        <w:pStyle w:val="3"/>
        <w:ind w:firstLine="480"/>
        <w:rPr>
          <w:b w:val="0"/>
          <w:bCs w:val="0"/>
          <w:color w:val="000000" w:themeColor="text1"/>
          <w:highlight w:val="none"/>
          <w14:textFill>
            <w14:solidFill>
              <w14:schemeClr w14:val="tx1"/>
            </w14:solidFill>
          </w14:textFill>
        </w:rPr>
      </w:pPr>
      <w:r>
        <w:rPr>
          <w:rFonts w:ascii="Arial" w:hAnsi="Arial" w:cs="Arial"/>
          <w:b w:val="0"/>
          <w:bCs w:val="0"/>
          <w:color w:val="000000" w:themeColor="text1"/>
          <w:sz w:val="24"/>
          <w:szCs w:val="24"/>
          <w:highlight w:val="none"/>
          <w14:textFill>
            <w14:solidFill>
              <w14:schemeClr w14:val="tx1"/>
            </w14:solidFill>
          </w14:textFill>
        </w:rPr>
        <w:t>火灾燃烧所产生的</w:t>
      </w:r>
      <w:r>
        <w:rPr>
          <w:rFonts w:hint="eastAsia" w:ascii="Arial" w:hAnsi="Arial" w:cs="Arial"/>
          <w:b w:val="0"/>
          <w:bCs w:val="0"/>
          <w:color w:val="000000" w:themeColor="text1"/>
          <w:sz w:val="24"/>
          <w:szCs w:val="24"/>
          <w:highlight w:val="none"/>
          <w:lang w:val="en-US" w:eastAsia="zh-CN"/>
          <w14:textFill>
            <w14:solidFill>
              <w14:schemeClr w14:val="tx1"/>
            </w14:solidFill>
          </w14:textFill>
        </w:rPr>
        <w:t>SO</w:t>
      </w:r>
      <w:r>
        <w:rPr>
          <w:rFonts w:hint="eastAsia" w:ascii="Arial" w:hAnsi="Arial" w:cs="Arial"/>
          <w:b w:val="0"/>
          <w:bCs w:val="0"/>
          <w:color w:val="000000" w:themeColor="text1"/>
          <w:sz w:val="24"/>
          <w:szCs w:val="24"/>
          <w:highlight w:val="none"/>
          <w:vertAlign w:val="subscript"/>
          <w:lang w:val="en-US" w:eastAsia="zh-CN"/>
          <w14:textFill>
            <w14:solidFill>
              <w14:schemeClr w14:val="tx1"/>
            </w14:solidFill>
          </w14:textFill>
        </w:rPr>
        <w:t>2</w:t>
      </w:r>
      <w:r>
        <w:rPr>
          <w:rFonts w:ascii="Arial" w:hAnsi="Arial" w:cs="Arial"/>
          <w:b w:val="0"/>
          <w:bCs w:val="0"/>
          <w:color w:val="000000" w:themeColor="text1"/>
          <w:sz w:val="24"/>
          <w:szCs w:val="24"/>
          <w:highlight w:val="none"/>
          <w14:textFill>
            <w14:solidFill>
              <w14:schemeClr w14:val="tx1"/>
            </w14:solidFill>
          </w14:textFill>
        </w:rPr>
        <w:t>源强见</w:t>
      </w:r>
      <w:r>
        <w:rPr>
          <w:rFonts w:hint="eastAsia" w:ascii="Arial" w:hAnsi="Arial" w:cs="Arial"/>
          <w:b w:val="0"/>
          <w:bCs w:val="0"/>
          <w:color w:val="000000" w:themeColor="text1"/>
          <w:sz w:val="24"/>
          <w:szCs w:val="24"/>
          <w:highlight w:val="none"/>
          <w14:textFill>
            <w14:solidFill>
              <w14:schemeClr w14:val="tx1"/>
            </w14:solidFill>
          </w14:textFill>
        </w:rPr>
        <w:t>下表。</w:t>
      </w:r>
    </w:p>
    <w:p w14:paraId="33D39F7A">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bCs/>
          <w:color w:val="000000" w:themeColor="text1"/>
          <w:sz w:val="21"/>
          <w:szCs w:val="21"/>
          <w:highlight w:val="none"/>
          <w14:textFill>
            <w14:solidFill>
              <w14:schemeClr w14:val="tx1"/>
            </w14:solidFill>
          </w14:textFill>
        </w:rPr>
      </w:pPr>
      <w:r>
        <w:rPr>
          <w:rFonts w:eastAsiaTheme="minorEastAsia"/>
          <w:bCs/>
          <w:color w:val="000000" w:themeColor="text1"/>
          <w:sz w:val="21"/>
          <w:szCs w:val="21"/>
          <w:highlight w:val="none"/>
          <w14:textFill>
            <w14:solidFill>
              <w14:schemeClr w14:val="tx1"/>
            </w14:solidFill>
          </w14:textFill>
        </w:rPr>
        <w:t>表</w:t>
      </w:r>
      <w:r>
        <w:rPr>
          <w:rFonts w:hint="eastAsia" w:eastAsiaTheme="minorEastAsia"/>
          <w:bCs/>
          <w:color w:val="000000" w:themeColor="text1"/>
          <w:sz w:val="21"/>
          <w:szCs w:val="21"/>
          <w:highlight w:val="none"/>
          <w:lang w:val="en-US" w:eastAsia="zh-CN"/>
          <w14:textFill>
            <w14:solidFill>
              <w14:schemeClr w14:val="tx1"/>
            </w14:solidFill>
          </w14:textFill>
        </w:rPr>
        <w:t>6</w:t>
      </w:r>
      <w:r>
        <w:rPr>
          <w:rFonts w:hint="eastAsia" w:eastAsiaTheme="minorEastAsia"/>
          <w:bCs/>
          <w:color w:val="000000" w:themeColor="text1"/>
          <w:sz w:val="21"/>
          <w:szCs w:val="21"/>
          <w:highlight w:val="none"/>
          <w14:textFill>
            <w14:solidFill>
              <w14:schemeClr w14:val="tx1"/>
            </w14:solidFill>
          </w14:textFill>
        </w:rPr>
        <w:t>-</w:t>
      </w:r>
      <w:r>
        <w:rPr>
          <w:rFonts w:hint="eastAsia" w:eastAsiaTheme="minorEastAsia"/>
          <w:bCs/>
          <w:color w:val="000000" w:themeColor="text1"/>
          <w:sz w:val="21"/>
          <w:szCs w:val="21"/>
          <w:highlight w:val="none"/>
          <w:lang w:val="en-US" w:eastAsia="zh-CN"/>
          <w14:textFill>
            <w14:solidFill>
              <w14:schemeClr w14:val="tx1"/>
            </w14:solidFill>
          </w14:textFill>
        </w:rPr>
        <w:t>1   乙类库硫磺</w:t>
      </w:r>
      <w:r>
        <w:rPr>
          <w:rFonts w:eastAsiaTheme="minorEastAsia"/>
          <w:bCs/>
          <w:color w:val="000000" w:themeColor="text1"/>
          <w:sz w:val="21"/>
          <w:szCs w:val="21"/>
          <w:highlight w:val="none"/>
          <w14:textFill>
            <w14:solidFill>
              <w14:schemeClr w14:val="tx1"/>
            </w14:solidFill>
          </w14:textFill>
        </w:rPr>
        <w:t>火灾次生风险源强估算</w:t>
      </w:r>
    </w:p>
    <w:tbl>
      <w:tblPr>
        <w:tblStyle w:val="29"/>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0589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noWrap/>
            <w:vAlign w:val="center"/>
          </w:tcPr>
          <w:p w14:paraId="4C0B4619">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类别</w:t>
            </w:r>
          </w:p>
        </w:tc>
        <w:tc>
          <w:tcPr>
            <w:tcW w:w="4474" w:type="dxa"/>
            <w:noWrap/>
            <w:vAlign w:val="center"/>
          </w:tcPr>
          <w:p w14:paraId="547DA9A3">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液池</w:t>
            </w:r>
          </w:p>
        </w:tc>
      </w:tr>
      <w:tr w14:paraId="6DB0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noWrap/>
            <w:vAlign w:val="center"/>
          </w:tcPr>
          <w:p w14:paraId="06478FB0">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火灾燃烧面积（m</w:t>
            </w:r>
            <w:r>
              <w:rPr>
                <w:rFonts w:hint="eastAsia" w:ascii="Arial" w:hAnsi="Arial" w:cs="Arial"/>
                <w:color w:val="000000" w:themeColor="text1"/>
                <w:sz w:val="21"/>
                <w:szCs w:val="21"/>
                <w:highlight w:val="none"/>
                <w:vertAlign w:val="superscript"/>
                <w14:textFill>
                  <w14:solidFill>
                    <w14:schemeClr w14:val="tx1"/>
                  </w14:solidFill>
                </w14:textFill>
              </w:rPr>
              <w:t>2</w:t>
            </w:r>
            <w:r>
              <w:rPr>
                <w:rFonts w:hint="eastAsia" w:ascii="Arial" w:hAnsi="Arial" w:cs="Arial"/>
                <w:color w:val="000000" w:themeColor="text1"/>
                <w:sz w:val="21"/>
                <w:szCs w:val="21"/>
                <w:highlight w:val="none"/>
                <w14:textFill>
                  <w14:solidFill>
                    <w14:schemeClr w14:val="tx1"/>
                  </w14:solidFill>
                </w14:textFill>
              </w:rPr>
              <w:t>）</w:t>
            </w:r>
          </w:p>
        </w:tc>
        <w:tc>
          <w:tcPr>
            <w:tcW w:w="4474" w:type="dxa"/>
            <w:noWrap/>
            <w:vAlign w:val="center"/>
          </w:tcPr>
          <w:p w14:paraId="6A1D452D">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200</w:t>
            </w:r>
          </w:p>
        </w:tc>
      </w:tr>
      <w:tr w14:paraId="5A2A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noWrap/>
            <w:vAlign w:val="center"/>
          </w:tcPr>
          <w:p w14:paraId="54DD8B0B">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火灾伴生</w:t>
            </w:r>
            <w:r>
              <w:rPr>
                <w:rFonts w:hint="eastAsia" w:ascii="Arial" w:hAnsi="Arial" w:cs="Arial"/>
                <w:color w:val="000000" w:themeColor="text1"/>
                <w:sz w:val="21"/>
                <w:szCs w:val="21"/>
                <w:highlight w:val="none"/>
                <w:lang w:val="en-US" w:eastAsia="zh-CN"/>
                <w14:textFill>
                  <w14:solidFill>
                    <w14:schemeClr w14:val="tx1"/>
                  </w14:solidFill>
                </w14:textFill>
              </w:rPr>
              <w:t>SO</w:t>
            </w:r>
            <w:r>
              <w:rPr>
                <w:rFonts w:hint="eastAsia" w:ascii="Arial" w:hAnsi="Arial" w:cs="Arial"/>
                <w:color w:val="000000" w:themeColor="text1"/>
                <w:sz w:val="21"/>
                <w:szCs w:val="21"/>
                <w:highlight w:val="none"/>
                <w:vertAlign w:val="subscript"/>
                <w:lang w:val="en-US" w:eastAsia="zh-CN"/>
                <w14:textFill>
                  <w14:solidFill>
                    <w14:schemeClr w14:val="tx1"/>
                  </w14:solidFill>
                </w14:textFill>
              </w:rPr>
              <w:t>2</w:t>
            </w:r>
            <w:r>
              <w:rPr>
                <w:rFonts w:hint="eastAsia" w:ascii="Arial" w:hAnsi="Arial" w:cs="Arial"/>
                <w:color w:val="000000" w:themeColor="text1"/>
                <w:sz w:val="21"/>
                <w:szCs w:val="21"/>
                <w:highlight w:val="none"/>
                <w14:textFill>
                  <w14:solidFill>
                    <w14:schemeClr w14:val="tx1"/>
                  </w14:solidFill>
                </w14:textFill>
              </w:rPr>
              <w:t>的产生量（</w:t>
            </w:r>
            <w:r>
              <w:rPr>
                <w:rFonts w:hint="eastAsia" w:ascii="Arial" w:hAnsi="Arial" w:cs="Arial"/>
                <w:color w:val="000000" w:themeColor="text1"/>
                <w:sz w:val="21"/>
                <w:szCs w:val="21"/>
                <w:highlight w:val="none"/>
                <w:lang w:val="en-US" w:eastAsia="zh-CN"/>
                <w14:textFill>
                  <w14:solidFill>
                    <w14:schemeClr w14:val="tx1"/>
                  </w14:solidFill>
                </w14:textFill>
              </w:rPr>
              <w:t>t</w:t>
            </w:r>
            <w:r>
              <w:rPr>
                <w:rFonts w:hint="eastAsia" w:ascii="Arial" w:hAnsi="Arial" w:cs="Arial"/>
                <w:color w:val="000000" w:themeColor="text1"/>
                <w:sz w:val="21"/>
                <w:szCs w:val="21"/>
                <w:highlight w:val="none"/>
                <w14:textFill>
                  <w14:solidFill>
                    <w14:schemeClr w14:val="tx1"/>
                  </w14:solidFill>
                </w14:textFill>
              </w:rPr>
              <w:t>）</w:t>
            </w:r>
          </w:p>
        </w:tc>
        <w:tc>
          <w:tcPr>
            <w:tcW w:w="4474" w:type="dxa"/>
            <w:noWrap/>
            <w:vAlign w:val="center"/>
          </w:tcPr>
          <w:p w14:paraId="62BA4BB8">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110.88</w:t>
            </w:r>
          </w:p>
        </w:tc>
      </w:tr>
      <w:tr w14:paraId="637D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noWrap/>
            <w:vAlign w:val="center"/>
          </w:tcPr>
          <w:p w14:paraId="72E67281">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质量燃烧速率（g/（m</w:t>
            </w:r>
            <w:r>
              <w:rPr>
                <w:rFonts w:hint="eastAsia" w:ascii="Arial" w:hAnsi="Arial" w:cs="Arial"/>
                <w:color w:val="000000" w:themeColor="text1"/>
                <w:sz w:val="21"/>
                <w:szCs w:val="21"/>
                <w:highlight w:val="none"/>
                <w:vertAlign w:val="superscript"/>
                <w14:textFill>
                  <w14:solidFill>
                    <w14:schemeClr w14:val="tx1"/>
                  </w14:solidFill>
                </w14:textFill>
              </w:rPr>
              <w:t>2</w:t>
            </w:r>
            <w:r>
              <w:rPr>
                <w:rFonts w:hint="eastAsia" w:ascii="Arial" w:hAnsi="Arial" w:cs="Arial"/>
                <w:color w:val="000000" w:themeColor="text1"/>
                <w:sz w:val="21"/>
                <w:szCs w:val="21"/>
                <w:highlight w:val="none"/>
                <w14:textFill>
                  <w14:solidFill>
                    <w14:schemeClr w14:val="tx1"/>
                  </w14:solidFill>
                </w14:textFill>
              </w:rPr>
              <w:t>•s））</w:t>
            </w:r>
          </w:p>
        </w:tc>
        <w:tc>
          <w:tcPr>
            <w:tcW w:w="4474" w:type="dxa"/>
            <w:noWrap/>
            <w:vAlign w:val="center"/>
          </w:tcPr>
          <w:p w14:paraId="11810076">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616</w:t>
            </w:r>
          </w:p>
        </w:tc>
      </w:tr>
      <w:tr w14:paraId="3716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74" w:type="dxa"/>
            <w:noWrap/>
            <w:vAlign w:val="center"/>
          </w:tcPr>
          <w:p w14:paraId="3718C6DB">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14:textFill>
                  <w14:solidFill>
                    <w14:schemeClr w14:val="tx1"/>
                  </w14:solidFill>
                </w14:textFill>
              </w:rPr>
              <w:t>释放高度</w:t>
            </w:r>
          </w:p>
        </w:tc>
        <w:tc>
          <w:tcPr>
            <w:tcW w:w="4474" w:type="dxa"/>
            <w:noWrap/>
            <w:vAlign w:val="center"/>
          </w:tcPr>
          <w:p w14:paraId="27942C68">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7.5</w:t>
            </w:r>
          </w:p>
        </w:tc>
      </w:tr>
      <w:tr w14:paraId="03C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noWrap/>
            <w:vAlign w:val="center"/>
          </w:tcPr>
          <w:p w14:paraId="6F3B6EBE">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cs="Arial"/>
                <w:color w:val="000000" w:themeColor="text1"/>
                <w:sz w:val="21"/>
                <w:szCs w:val="21"/>
                <w:highlight w:val="none"/>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SO</w:t>
            </w:r>
            <w:r>
              <w:rPr>
                <w:rFonts w:hint="eastAsia" w:ascii="Arial" w:hAnsi="Arial" w:cs="Arial"/>
                <w:color w:val="000000" w:themeColor="text1"/>
                <w:sz w:val="21"/>
                <w:szCs w:val="21"/>
                <w:highlight w:val="none"/>
                <w:vertAlign w:val="subscript"/>
                <w:lang w:val="en-US" w:eastAsia="zh-CN"/>
                <w14:textFill>
                  <w14:solidFill>
                    <w14:schemeClr w14:val="tx1"/>
                  </w14:solidFill>
                </w14:textFill>
              </w:rPr>
              <w:t>2</w:t>
            </w:r>
            <w:r>
              <w:rPr>
                <w:rFonts w:hint="eastAsia" w:ascii="Arial" w:hAnsi="Arial" w:cs="Arial"/>
                <w:color w:val="000000" w:themeColor="text1"/>
                <w:sz w:val="21"/>
                <w:szCs w:val="21"/>
                <w:highlight w:val="none"/>
                <w14:textFill>
                  <w14:solidFill>
                    <w14:schemeClr w14:val="tx1"/>
                  </w14:solidFill>
                </w14:textFill>
              </w:rPr>
              <w:t>的源强（kg/s）</w:t>
            </w:r>
          </w:p>
        </w:tc>
        <w:tc>
          <w:tcPr>
            <w:tcW w:w="4474" w:type="dxa"/>
            <w:noWrap/>
            <w:vAlign w:val="center"/>
          </w:tcPr>
          <w:p w14:paraId="49CBBAD7">
            <w:pPr>
              <w:pStyle w:val="15"/>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eastAsia" w:ascii="Arial" w:hAnsi="Arial" w:cs="Arial"/>
                <w:color w:val="000000" w:themeColor="text1"/>
                <w:sz w:val="21"/>
                <w:szCs w:val="21"/>
                <w:highlight w:val="none"/>
                <w:lang w:val="en-US" w:eastAsia="zh-CN"/>
                <w14:textFill>
                  <w14:solidFill>
                    <w14:schemeClr w14:val="tx1"/>
                  </w14:solidFill>
                </w14:textFill>
              </w:rPr>
              <w:t>123.2</w:t>
            </w:r>
          </w:p>
        </w:tc>
      </w:tr>
    </w:tbl>
    <w:p w14:paraId="01FCD9AB">
      <w:pPr>
        <w:pStyle w:val="15"/>
        <w:ind w:firstLine="480"/>
        <w:rPr>
          <w:rFonts w:hint="default" w:ascii="Arial" w:hAnsi="Arial" w:cs="Arial"/>
          <w:color w:val="000000" w:themeColor="text1"/>
          <w:highlight w:val="none"/>
          <w:lang w:val="en-US" w:eastAsia="zh-CN"/>
          <w14:textFill>
            <w14:solidFill>
              <w14:schemeClr w14:val="tx1"/>
            </w14:solidFill>
          </w14:textFill>
        </w:rPr>
      </w:pPr>
    </w:p>
    <w:p w14:paraId="29C46792">
      <w:pPr>
        <w:pStyle w:val="15"/>
        <w:spacing w:line="240" w:lineRule="auto"/>
        <w:ind w:firstLine="0" w:firstLineChars="0"/>
        <w:rPr>
          <w:rFonts w:ascii="Arial" w:hAnsi="Arial" w:cs="Arial"/>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536565" cy="3341370"/>
            <wp:effectExtent l="0" t="0" r="6985" b="1143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4"/>
                    <a:stretch>
                      <a:fillRect/>
                    </a:stretch>
                  </pic:blipFill>
                  <pic:spPr>
                    <a:xfrm>
                      <a:off x="0" y="0"/>
                      <a:ext cx="5536565" cy="3341370"/>
                    </a:xfrm>
                    <a:prstGeom prst="rect">
                      <a:avLst/>
                    </a:prstGeom>
                    <a:noFill/>
                    <a:ln>
                      <a:noFill/>
                    </a:ln>
                  </pic:spPr>
                </pic:pic>
              </a:graphicData>
            </a:graphic>
          </wp:inline>
        </w:drawing>
      </w:r>
    </w:p>
    <w:p w14:paraId="7308EABB">
      <w:pPr>
        <w:pStyle w:val="15"/>
        <w:spacing w:line="240" w:lineRule="auto"/>
        <w:ind w:firstLine="0" w:firstLineChars="0"/>
        <w:jc w:val="center"/>
        <w:rPr>
          <w:rFonts w:ascii="Arial" w:hAnsi="Arial" w:cs="Arial"/>
          <w:b/>
          <w:bCs/>
          <w:color w:val="000000" w:themeColor="text1"/>
          <w:sz w:val="21"/>
          <w:szCs w:val="21"/>
          <w:highlight w:val="none"/>
          <w14:textFill>
            <w14:solidFill>
              <w14:schemeClr w14:val="tx1"/>
            </w14:solidFill>
          </w14:textFill>
        </w:rPr>
      </w:pPr>
      <w:r>
        <w:rPr>
          <w:rFonts w:hint="eastAsia" w:ascii="Arial" w:hAnsi="Arial" w:cs="Arial"/>
          <w:b/>
          <w:bCs/>
          <w:color w:val="000000" w:themeColor="text1"/>
          <w:sz w:val="21"/>
          <w:szCs w:val="21"/>
          <w:highlight w:val="none"/>
          <w14:textFill>
            <w14:solidFill>
              <w14:schemeClr w14:val="tx1"/>
            </w14:solidFill>
          </w14:textFill>
        </w:rPr>
        <w:t>源强估算模型截图</w:t>
      </w:r>
    </w:p>
    <w:p w14:paraId="727764D0">
      <w:pPr>
        <w:pStyle w:val="15"/>
        <w:ind w:firstLine="48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本次预测根据风险导则中</w:t>
      </w:r>
      <w:r>
        <w:rPr>
          <w:rFonts w:hint="eastAsia" w:ascii="Arial" w:hAnsi="Arial" w:cs="Arial"/>
          <w:color w:val="000000" w:themeColor="text1"/>
          <w:highlight w:val="none"/>
          <w:lang w:val="en-US" w:eastAsia="zh-CN"/>
          <w14:textFill>
            <w14:solidFill>
              <w14:schemeClr w14:val="tx1"/>
            </w14:solidFill>
          </w14:textFill>
        </w:rPr>
        <w:t>SLAB</w:t>
      </w:r>
      <w:r>
        <w:rPr>
          <w:rFonts w:hint="eastAsia" w:ascii="Arial" w:hAnsi="Arial" w:cs="Arial"/>
          <w:color w:val="000000" w:themeColor="text1"/>
          <w:highlight w:val="none"/>
          <w14:textFill>
            <w14:solidFill>
              <w14:schemeClr w14:val="tx1"/>
            </w14:solidFill>
          </w14:textFill>
        </w:rPr>
        <w:t>烟团扩散模型进行预测评价。</w:t>
      </w:r>
    </w:p>
    <w:p w14:paraId="3C0A3F95">
      <w:pPr>
        <w:pStyle w:val="3"/>
        <w:ind w:firstLine="480"/>
        <w:rPr>
          <w:b w:val="0"/>
          <w:bCs w:val="0"/>
          <w:color w:val="000000" w:themeColor="text1"/>
          <w:highlight w:val="none"/>
          <w14:textFill>
            <w14:solidFill>
              <w14:schemeClr w14:val="tx1"/>
            </w14:solidFill>
          </w14:textFill>
        </w:rPr>
      </w:pPr>
      <w:r>
        <w:rPr>
          <w:rFonts w:hint="eastAsia" w:ascii="Arial" w:hAnsi="Arial" w:cs="Arial"/>
          <w:b w:val="0"/>
          <w:bCs w:val="0"/>
          <w:color w:val="000000" w:themeColor="text1"/>
          <w:sz w:val="24"/>
          <w:szCs w:val="24"/>
          <w:highlight w:val="none"/>
          <w14:textFill>
            <w14:solidFill>
              <w14:schemeClr w14:val="tx1"/>
            </w14:solidFill>
          </w14:textFill>
        </w:rPr>
        <w:t>预测结果：预测</w:t>
      </w:r>
      <w:r>
        <w:rPr>
          <w:rFonts w:hint="eastAsia" w:ascii="Arial" w:hAnsi="Arial" w:cs="Arial"/>
          <w:b w:val="0"/>
          <w:bCs w:val="0"/>
          <w:color w:val="000000" w:themeColor="text1"/>
          <w:sz w:val="24"/>
          <w:szCs w:val="24"/>
          <w:highlight w:val="none"/>
          <w:lang w:val="en-US" w:eastAsia="zh-CN"/>
          <w14:textFill>
            <w14:solidFill>
              <w14:schemeClr w14:val="tx1"/>
            </w14:solidFill>
          </w14:textFill>
        </w:rPr>
        <w:t>乙类库</w:t>
      </w:r>
      <w:r>
        <w:rPr>
          <w:rFonts w:hint="eastAsia" w:ascii="Arial" w:hAnsi="Arial" w:cs="Arial"/>
          <w:b w:val="0"/>
          <w:bCs w:val="0"/>
          <w:color w:val="000000" w:themeColor="text1"/>
          <w:sz w:val="24"/>
          <w:szCs w:val="24"/>
          <w:highlight w:val="none"/>
          <w14:textFill>
            <w14:solidFill>
              <w14:schemeClr w14:val="tx1"/>
            </w14:solidFill>
          </w14:textFill>
        </w:rPr>
        <w:t>燃烧产生的</w:t>
      </w:r>
      <w:r>
        <w:rPr>
          <w:rFonts w:hint="eastAsia" w:ascii="Arial" w:hAnsi="Arial" w:cs="Arial"/>
          <w:b w:val="0"/>
          <w:bCs w:val="0"/>
          <w:color w:val="000000" w:themeColor="text1"/>
          <w:sz w:val="24"/>
          <w:szCs w:val="24"/>
          <w:highlight w:val="none"/>
          <w:lang w:val="en-US" w:eastAsia="zh-CN"/>
          <w14:textFill>
            <w14:solidFill>
              <w14:schemeClr w14:val="tx1"/>
            </w14:solidFill>
          </w14:textFill>
        </w:rPr>
        <w:t>SO</w:t>
      </w:r>
      <w:r>
        <w:rPr>
          <w:rFonts w:hint="eastAsia" w:ascii="Arial" w:hAnsi="Arial" w:cs="Arial"/>
          <w:b w:val="0"/>
          <w:bCs w:val="0"/>
          <w:color w:val="000000" w:themeColor="text1"/>
          <w:sz w:val="24"/>
          <w:szCs w:val="24"/>
          <w:highlight w:val="none"/>
          <w:vertAlign w:val="subscript"/>
          <w:lang w:val="en-US" w:eastAsia="zh-CN"/>
          <w14:textFill>
            <w14:solidFill>
              <w14:schemeClr w14:val="tx1"/>
            </w14:solidFill>
          </w14:textFill>
        </w:rPr>
        <w:t>2</w:t>
      </w:r>
      <w:r>
        <w:rPr>
          <w:rFonts w:hint="eastAsia" w:ascii="Arial" w:hAnsi="Arial" w:cs="Arial"/>
          <w:b w:val="0"/>
          <w:bCs w:val="0"/>
          <w:color w:val="000000" w:themeColor="text1"/>
          <w:sz w:val="24"/>
          <w:szCs w:val="24"/>
          <w:highlight w:val="none"/>
          <w14:textFill>
            <w14:solidFill>
              <w14:schemeClr w14:val="tx1"/>
            </w14:solidFill>
          </w14:textFill>
        </w:rPr>
        <w:t>，采取最不利F稳定度情况进行预测分析（在年平均风速1.5m/s、温度25℃，湿度50%）各稳定度气象条件下的下风向轴线浓度及持续时间，预测结果如下。</w:t>
      </w:r>
    </w:p>
    <w:p w14:paraId="28BEF287">
      <w:pPr>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6</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 xml:space="preserve">2   </w:t>
      </w:r>
      <w:r>
        <w:rPr>
          <w:rFonts w:hint="eastAsia"/>
          <w:b/>
          <w:bCs/>
          <w:color w:val="000000" w:themeColor="text1"/>
          <w:sz w:val="21"/>
          <w:szCs w:val="21"/>
          <w:highlight w:val="none"/>
          <w14:textFill>
            <w14:solidFill>
              <w14:schemeClr w14:val="tx1"/>
            </w14:solidFill>
          </w14:textFill>
        </w:rPr>
        <w:t>F稳定度下</w:t>
      </w:r>
      <w:r>
        <w:rPr>
          <w:rFonts w:hint="eastAsia"/>
          <w:b/>
          <w:bCs/>
          <w:color w:val="000000" w:themeColor="text1"/>
          <w:sz w:val="21"/>
          <w:szCs w:val="21"/>
          <w:highlight w:val="none"/>
          <w:lang w:val="en-US" w:eastAsia="zh-CN"/>
          <w14:textFill>
            <w14:solidFill>
              <w14:schemeClr w14:val="tx1"/>
            </w14:solidFill>
          </w14:textFill>
        </w:rPr>
        <w:t>硫磺</w:t>
      </w:r>
      <w:r>
        <w:rPr>
          <w:rFonts w:hint="eastAsia"/>
          <w:b/>
          <w:bCs/>
          <w:color w:val="000000" w:themeColor="text1"/>
          <w:sz w:val="21"/>
          <w:szCs w:val="21"/>
          <w:highlight w:val="none"/>
          <w14:textFill>
            <w14:solidFill>
              <w14:schemeClr w14:val="tx1"/>
            </w14:solidFill>
          </w14:textFill>
        </w:rPr>
        <w:t>火灾爆炸次生环境风险</w:t>
      </w:r>
      <w:r>
        <w:rPr>
          <w:b/>
          <w:bCs/>
          <w:color w:val="000000" w:themeColor="text1"/>
          <w:sz w:val="21"/>
          <w:szCs w:val="21"/>
          <w:highlight w:val="none"/>
          <w14:textFill>
            <w14:solidFill>
              <w14:schemeClr w14:val="tx1"/>
            </w14:solidFill>
          </w14:textFill>
        </w:rPr>
        <w:t>事故</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SO</w:t>
      </w:r>
      <w:r>
        <w:rPr>
          <w:rFonts w:hint="eastAsia"/>
          <w:b/>
          <w:bCs/>
          <w:color w:val="000000" w:themeColor="text1"/>
          <w:sz w:val="21"/>
          <w:szCs w:val="21"/>
          <w:highlight w:val="none"/>
          <w:vertAlign w:val="subscript"/>
          <w:lang w:val="en-US" w:eastAsia="zh-CN"/>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w:t>
      </w:r>
      <w:r>
        <w:rPr>
          <w:b/>
          <w:bCs/>
          <w:color w:val="000000" w:themeColor="text1"/>
          <w:sz w:val="21"/>
          <w:szCs w:val="21"/>
          <w:highlight w:val="none"/>
          <w14:textFill>
            <w14:solidFill>
              <w14:schemeClr w14:val="tx1"/>
            </w14:solidFill>
          </w14:textFill>
        </w:rPr>
        <w:t>下风向最远距离计算结果表</w:t>
      </w:r>
    </w:p>
    <w:tbl>
      <w:tblPr>
        <w:tblStyle w:val="28"/>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731"/>
        <w:gridCol w:w="1172"/>
        <w:gridCol w:w="879"/>
        <w:gridCol w:w="2929"/>
        <w:gridCol w:w="1361"/>
      </w:tblGrid>
      <w:tr w14:paraId="35230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660" w:type="dxa"/>
            <w:noWrap/>
            <w:vAlign w:val="center"/>
          </w:tcPr>
          <w:p w14:paraId="686D25A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气象条件</w:t>
            </w:r>
          </w:p>
        </w:tc>
        <w:tc>
          <w:tcPr>
            <w:tcW w:w="708" w:type="dxa"/>
            <w:noWrap/>
            <w:vAlign w:val="center"/>
          </w:tcPr>
          <w:p w14:paraId="49DC2D4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风险</w:t>
            </w:r>
          </w:p>
          <w:p w14:paraId="25D016E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类型</w:t>
            </w:r>
          </w:p>
        </w:tc>
        <w:tc>
          <w:tcPr>
            <w:tcW w:w="1134" w:type="dxa"/>
            <w:noWrap/>
            <w:vAlign w:val="center"/>
          </w:tcPr>
          <w:p w14:paraId="06621B7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事故类型</w:t>
            </w:r>
          </w:p>
        </w:tc>
        <w:tc>
          <w:tcPr>
            <w:tcW w:w="851" w:type="dxa"/>
            <w:noWrap/>
            <w:vAlign w:val="center"/>
          </w:tcPr>
          <w:p w14:paraId="01E604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物质</w:t>
            </w:r>
          </w:p>
        </w:tc>
        <w:tc>
          <w:tcPr>
            <w:tcW w:w="2835" w:type="dxa"/>
            <w:noWrap/>
            <w:vAlign w:val="center"/>
          </w:tcPr>
          <w:p w14:paraId="1E258F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评价指标</w:t>
            </w:r>
          </w:p>
        </w:tc>
        <w:tc>
          <w:tcPr>
            <w:tcW w:w="1317" w:type="dxa"/>
            <w:noWrap/>
            <w:vAlign w:val="center"/>
          </w:tcPr>
          <w:p w14:paraId="4DCA00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下风向最远距离m</w:t>
            </w:r>
          </w:p>
        </w:tc>
      </w:tr>
      <w:tr w14:paraId="5DD83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60" w:type="dxa"/>
            <w:vMerge w:val="restart"/>
            <w:noWrap/>
            <w:vAlign w:val="center"/>
          </w:tcPr>
          <w:p w14:paraId="1AF2AF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最不利气象条件</w:t>
            </w:r>
            <w:r>
              <w:rPr>
                <w:rFonts w:hint="eastAsia"/>
                <w:bCs/>
                <w:color w:val="000000" w:themeColor="text1"/>
                <w:sz w:val="21"/>
                <w:szCs w:val="21"/>
                <w:highlight w:val="none"/>
                <w14:textFill>
                  <w14:solidFill>
                    <w14:schemeClr w14:val="tx1"/>
                  </w14:solidFill>
                </w14:textFill>
              </w:rPr>
              <w:t>（F稳定度）</w:t>
            </w:r>
          </w:p>
        </w:tc>
        <w:tc>
          <w:tcPr>
            <w:tcW w:w="708" w:type="dxa"/>
            <w:vMerge w:val="restart"/>
            <w:noWrap/>
            <w:vAlign w:val="center"/>
          </w:tcPr>
          <w:p w14:paraId="7D4E44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火灾</w:t>
            </w:r>
          </w:p>
        </w:tc>
        <w:tc>
          <w:tcPr>
            <w:tcW w:w="1134" w:type="dxa"/>
            <w:vMerge w:val="restart"/>
            <w:noWrap/>
            <w:vAlign w:val="center"/>
          </w:tcPr>
          <w:p w14:paraId="71F1C3E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乙类库燃烧</w:t>
            </w:r>
          </w:p>
        </w:tc>
        <w:tc>
          <w:tcPr>
            <w:tcW w:w="851" w:type="dxa"/>
            <w:vMerge w:val="restart"/>
            <w:noWrap/>
            <w:vAlign w:val="center"/>
          </w:tcPr>
          <w:p w14:paraId="79DE65A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SO</w:t>
            </w:r>
            <w:r>
              <w:rPr>
                <w:rFonts w:hint="eastAsia"/>
                <w:color w:val="000000" w:themeColor="text1"/>
                <w:sz w:val="21"/>
                <w:szCs w:val="21"/>
                <w:highlight w:val="none"/>
                <w:vertAlign w:val="subscript"/>
                <w:lang w:val="en-US" w:eastAsia="zh-CN"/>
                <w14:textFill>
                  <w14:solidFill>
                    <w14:schemeClr w14:val="tx1"/>
                  </w14:solidFill>
                </w14:textFill>
              </w:rPr>
              <w:t>2</w:t>
            </w:r>
          </w:p>
        </w:tc>
        <w:tc>
          <w:tcPr>
            <w:tcW w:w="2835" w:type="dxa"/>
            <w:noWrap/>
            <w:vAlign w:val="center"/>
          </w:tcPr>
          <w:p w14:paraId="1697489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毒性终点浓度-1（</w:t>
            </w:r>
            <w:r>
              <w:rPr>
                <w:rFonts w:hint="eastAsia"/>
                <w:color w:val="000000" w:themeColor="text1"/>
                <w:sz w:val="21"/>
                <w:szCs w:val="21"/>
                <w:highlight w:val="none"/>
                <w:lang w:val="en-US" w:eastAsia="zh-CN"/>
                <w14:textFill>
                  <w14:solidFill>
                    <w14:schemeClr w14:val="tx1"/>
                  </w14:solidFill>
                </w14:textFill>
              </w:rPr>
              <w:t>79</w:t>
            </w:r>
            <w:r>
              <w:rPr>
                <w:rFonts w:hint="eastAsia"/>
                <w:color w:val="000000" w:themeColor="text1"/>
                <w:sz w:val="21"/>
                <w:szCs w:val="21"/>
                <w:highlight w:val="none"/>
                <w14:textFill>
                  <w14:solidFill>
                    <w14:schemeClr w14:val="tx1"/>
                  </w14:solidFill>
                </w14:textFill>
              </w:rPr>
              <w:t>mg/m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c>
          <w:tcPr>
            <w:tcW w:w="1317" w:type="dxa"/>
            <w:noWrap/>
            <w:vAlign w:val="center"/>
          </w:tcPr>
          <w:p w14:paraId="41C0FC5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r>
      <w:tr w14:paraId="38C5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60" w:type="dxa"/>
            <w:vMerge w:val="continue"/>
            <w:noWrap/>
            <w:vAlign w:val="center"/>
          </w:tcPr>
          <w:p w14:paraId="6449CE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708" w:type="dxa"/>
            <w:vMerge w:val="continue"/>
            <w:noWrap/>
            <w:vAlign w:val="center"/>
          </w:tcPr>
          <w:p w14:paraId="1A82CE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1134" w:type="dxa"/>
            <w:vMerge w:val="continue"/>
            <w:noWrap/>
            <w:vAlign w:val="center"/>
          </w:tcPr>
          <w:p w14:paraId="6DCF36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851" w:type="dxa"/>
            <w:vMerge w:val="continue"/>
            <w:noWrap/>
            <w:vAlign w:val="center"/>
          </w:tcPr>
          <w:p w14:paraId="1FA46DC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2835" w:type="dxa"/>
            <w:noWrap/>
            <w:vAlign w:val="center"/>
          </w:tcPr>
          <w:p w14:paraId="041FE3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毒性终点浓度-2（</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mg/m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c>
          <w:tcPr>
            <w:tcW w:w="1317" w:type="dxa"/>
            <w:noWrap/>
            <w:vAlign w:val="center"/>
          </w:tcPr>
          <w:p w14:paraId="74FD33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w:t>
            </w:r>
          </w:p>
        </w:tc>
      </w:tr>
    </w:tbl>
    <w:p w14:paraId="7279838E">
      <w:pPr>
        <w:ind w:firstLine="0" w:firstLineChars="0"/>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542280" cy="3499485"/>
            <wp:effectExtent l="0" t="0" r="1270" b="57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5"/>
                    <a:stretch>
                      <a:fillRect/>
                    </a:stretch>
                  </pic:blipFill>
                  <pic:spPr>
                    <a:xfrm>
                      <a:off x="0" y="0"/>
                      <a:ext cx="5542280" cy="3499485"/>
                    </a:xfrm>
                    <a:prstGeom prst="rect">
                      <a:avLst/>
                    </a:prstGeom>
                    <a:noFill/>
                    <a:ln>
                      <a:noFill/>
                    </a:ln>
                  </pic:spPr>
                </pic:pic>
              </a:graphicData>
            </a:graphic>
          </wp:inline>
        </w:drawing>
      </w:r>
    </w:p>
    <w:p w14:paraId="2058BB52">
      <w:pPr>
        <w:spacing w:line="240" w:lineRule="auto"/>
        <w:ind w:firstLine="0" w:firstLineChars="0"/>
        <w:jc w:val="center"/>
        <w:rPr>
          <w:color w:val="000000" w:themeColor="text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最大影响区域示意图</w:t>
      </w:r>
    </w:p>
    <w:p w14:paraId="6771378E">
      <w:pPr>
        <w:spacing w:line="240" w:lineRule="auto"/>
        <w:ind w:firstLine="0" w:firstLineChars="0"/>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544820" cy="2790825"/>
            <wp:effectExtent l="0" t="0" r="1778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6"/>
                    <a:stretch>
                      <a:fillRect/>
                    </a:stretch>
                  </pic:blipFill>
                  <pic:spPr>
                    <a:xfrm>
                      <a:off x="0" y="0"/>
                      <a:ext cx="5544820" cy="2790825"/>
                    </a:xfrm>
                    <a:prstGeom prst="rect">
                      <a:avLst/>
                    </a:prstGeom>
                    <a:noFill/>
                    <a:ln>
                      <a:noFill/>
                    </a:ln>
                  </pic:spPr>
                </pic:pic>
              </a:graphicData>
            </a:graphic>
          </wp:inline>
        </w:drawing>
      </w:r>
    </w:p>
    <w:p w14:paraId="5658C387">
      <w:pPr>
        <w:pStyle w:val="3"/>
        <w:ind w:firstLine="422"/>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轴线最大浓度图</w:t>
      </w:r>
    </w:p>
    <w:p w14:paraId="5C0E01CE">
      <w:pPr>
        <w:pStyle w:val="3"/>
        <w:ind w:firstLine="480"/>
        <w:rPr>
          <w:rFonts w:ascii="Arial" w:hAnsi="Arial" w:cs="Arial"/>
          <w:b w:val="0"/>
          <w:bCs w:val="0"/>
          <w:color w:val="000000" w:themeColor="text1"/>
          <w:sz w:val="24"/>
          <w:szCs w:val="24"/>
          <w:highlight w:val="none"/>
          <w14:textFill>
            <w14:solidFill>
              <w14:schemeClr w14:val="tx1"/>
            </w14:solidFill>
          </w14:textFill>
        </w:rPr>
      </w:pPr>
      <w:r>
        <w:rPr>
          <w:rFonts w:hint="eastAsia" w:ascii="Arial" w:hAnsi="Arial" w:cs="Arial"/>
          <w:b w:val="0"/>
          <w:bCs w:val="0"/>
          <w:color w:val="000000" w:themeColor="text1"/>
          <w:sz w:val="24"/>
          <w:szCs w:val="24"/>
          <w:highlight w:val="none"/>
          <w14:textFill>
            <w14:solidFill>
              <w14:schemeClr w14:val="tx1"/>
            </w14:solidFill>
          </w14:textFill>
        </w:rPr>
        <w:t>轴线各点的最大浓度预测结果如下。</w:t>
      </w:r>
    </w:p>
    <w:p w14:paraId="3ABAE79A">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距离 (m)   浓度出现时间     高峰 浓度    质心高度(m)    出现时间    质心浓度</w:t>
      </w:r>
    </w:p>
    <w:p w14:paraId="2702BBC6">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              (min)          (mg/m3)                      (min)      (mg/m3)</w:t>
      </w:r>
    </w:p>
    <w:p w14:paraId="0F737878">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1.0000E+01   2.0431E-01      2.9307E+03  0.0000E+00  2.0431E-01   2.9307E+03  </w:t>
      </w:r>
    </w:p>
    <w:p w14:paraId="64CA8C6A">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2.0000E+01   3.1644E-01      3.8815E+02  0.0000E+00  3.1644E-01   3.8815E+02  </w:t>
      </w:r>
    </w:p>
    <w:p w14:paraId="329E3052">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3.0000E+01   4.1078E-01      1.5643E+02  0.0000E+00  4.1078E-01   1.5643E+02  </w:t>
      </w:r>
    </w:p>
    <w:p w14:paraId="361EB542">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4.0000E+01   4.9903E-01      8.6220E+01  0.0000E+00  4.9903E-01   8.6220E+01  </w:t>
      </w:r>
    </w:p>
    <w:p w14:paraId="0507757C">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5.0000E+01   5.8390E-01      5.5070E+01  0.0000E+00  5.8390E-01   5.5070E+01  </w:t>
      </w:r>
    </w:p>
    <w:p w14:paraId="613A6FCD">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6.0000E+01   6.6650E-01      3.8275E+01  0.0000E+00  6.6650E-01   3.8275E+01  </w:t>
      </w:r>
    </w:p>
    <w:p w14:paraId="464C3384">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7.0000E+01   7.4743E-01      2.8137E+01  0.0000E+00  7.4743E-01   2.8137E+01  </w:t>
      </w:r>
    </w:p>
    <w:p w14:paraId="05D2B791">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8.0000E+01   8.2706E-01      2.1555E+01  0.0000E+00  8.2706E-01   2.1555E+01  </w:t>
      </w:r>
    </w:p>
    <w:p w14:paraId="6A852FE9">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9.0000E+01   9.0561E-01      1.7061E+01  0.0000E+00  9.0561E-01   1.7061E+01  </w:t>
      </w:r>
    </w:p>
    <w:p w14:paraId="0561335E">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1.0000E+02   9.8327E-01      1.3847E+01  0.0000E+00  9.8327E-01   1.3847E+01  </w:t>
      </w:r>
    </w:p>
    <w:p w14:paraId="251651FB">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2.0000E+02   1.7291E+00      3.4027E+00  0.0000E+00  1.7291E+00   3.4027E+00  </w:t>
      </w:r>
    </w:p>
    <w:p w14:paraId="673AEEE3">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2.5000E+02   2.0889E+00      2.1514E+00  0.0000E+00  2.0889E+00   2.1514E+00  </w:t>
      </w:r>
    </w:p>
    <w:p w14:paraId="44CEE876">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3.0000E+02   2.4431E+00      1.4781E+00  0.0000E+00  2.4431E+00   1.4781E+00  </w:t>
      </w:r>
    </w:p>
    <w:p w14:paraId="2F2E3BBE">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3.5000E+02   2.7929E+00      1.0742E+00  0.0000E+00  2.7929E+00   1.0742E+00  </w:t>
      </w:r>
    </w:p>
    <w:p w14:paraId="79018704">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4.0000E+02   3.1391E+00      8.1457E-01  0.0000E+00  3.1391E+00   8.1457E-01  </w:t>
      </w:r>
    </w:p>
    <w:p w14:paraId="5317E52A">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4.5000E+02   3.4823E+00      6.3764E-01  0.0000E+00  3.4823E+00   6.3764E-01  </w:t>
      </w:r>
    </w:p>
    <w:p w14:paraId="53492C23">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5.0000E+02   3.8229E+00      5.1247E-01  0.0000E+00  3.8229E+00   5.1247E-01  </w:t>
      </w:r>
    </w:p>
    <w:p w14:paraId="4924EB55">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1.0000E+03   7.1345E+00      1.2341E-01  0.0000E+00  7.1345E+00   1.2341E-01  </w:t>
      </w:r>
    </w:p>
    <w:p w14:paraId="7B7E8CE3">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1.5000E+03   1.0344E+01      5.4620E-02  0.0000E+00  1.0344E+01   5.4620E-02  </w:t>
      </w:r>
    </w:p>
    <w:p w14:paraId="6F82BD97">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2.0000E+03   1.3495E+01      3.0996E-02  0.0000E+00  1.3495E+01   3.0996E-02  </w:t>
      </w:r>
    </w:p>
    <w:p w14:paraId="78E8C8B2">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2.5000E+03   1.6604E+01      2.0149E-02  0.0000E+00  1.6604E+01   2.0149E-02  </w:t>
      </w:r>
    </w:p>
    <w:p w14:paraId="1FD77E55">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2.9900E+03   1.9622E+01      1.4318E-02  0.0000E+00  1.9622E+01   1.4318E-02  </w:t>
      </w:r>
    </w:p>
    <w:p w14:paraId="0A1539AC">
      <w:pPr>
        <w:spacing w:beforeLines="0" w:afterLines="0"/>
        <w:jc w:val="left"/>
        <w:rPr>
          <w:rFonts w:hint="eastAsia" w:ascii="宋体" w:hAnsi="宋体"/>
          <w:color w:val="000000" w:themeColor="text1"/>
          <w:sz w:val="18"/>
          <w:szCs w:val="24"/>
          <w:lang w:val="zh-CN"/>
          <w14:textFill>
            <w14:solidFill>
              <w14:schemeClr w14:val="tx1"/>
            </w14:solidFill>
          </w14:textFill>
        </w:rPr>
      </w:pPr>
      <w:r>
        <w:rPr>
          <w:rFonts w:hint="eastAsia" w:ascii="宋体" w:hAnsi="宋体"/>
          <w:color w:val="000000" w:themeColor="text1"/>
          <w:sz w:val="18"/>
          <w:szCs w:val="24"/>
          <w:lang w:val="zh-CN"/>
          <w14:textFill>
            <w14:solidFill>
              <w14:schemeClr w14:val="tx1"/>
            </w14:solidFill>
          </w14:textFill>
        </w:rPr>
        <w:t xml:space="preserve">3.0000E+03   1.9683E+01      1.4227E-02  0.0000E+00  1.9683E+01   1.4227E-02  </w:t>
      </w:r>
    </w:p>
    <w:p w14:paraId="05077C30">
      <w:pPr>
        <w:ind w:firstLine="480"/>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w:t>
      </w:r>
      <w:r>
        <w:rPr>
          <w:rFonts w:hint="eastAsia"/>
          <w:color w:val="000000" w:themeColor="text1"/>
          <w:highlight w:val="none"/>
          <w:lang w:val="en-US" w:eastAsia="zh-CN"/>
          <w14:textFill>
            <w14:solidFill>
              <w14:schemeClr w14:val="tx1"/>
            </w14:solidFill>
          </w14:textFill>
        </w:rPr>
        <w:t>乙类库</w:t>
      </w:r>
      <w:r>
        <w:rPr>
          <w:rFonts w:hint="eastAsia"/>
          <w:color w:val="000000" w:themeColor="text1"/>
          <w:highlight w:val="none"/>
          <w14:textFill>
            <w14:solidFill>
              <w14:schemeClr w14:val="tx1"/>
            </w14:solidFill>
          </w14:textFill>
        </w:rPr>
        <w:t>发生火灾爆炸导致</w:t>
      </w:r>
      <w:r>
        <w:rPr>
          <w:rFonts w:hint="eastAsia"/>
          <w:color w:val="000000" w:themeColor="text1"/>
          <w:highlight w:val="none"/>
          <w:lang w:val="en-US" w:eastAsia="zh-CN"/>
          <w14:textFill>
            <w14:solidFill>
              <w14:schemeClr w14:val="tx1"/>
            </w14:solidFill>
          </w14:textFill>
        </w:rPr>
        <w:t>SO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排放</w:t>
      </w:r>
      <w:r>
        <w:rPr>
          <w:color w:val="000000" w:themeColor="text1"/>
          <w:highlight w:val="none"/>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SO</w:t>
      </w:r>
      <w:r>
        <w:rPr>
          <w:rFonts w:hint="eastAsia"/>
          <w:color w:val="000000" w:themeColor="text1"/>
          <w:highlight w:val="none"/>
          <w:vertAlign w:val="subscript"/>
          <w:lang w:val="en-US" w:eastAsia="zh-CN"/>
          <w14:textFill>
            <w14:solidFill>
              <w14:schemeClr w14:val="tx1"/>
            </w14:solidFill>
          </w14:textFill>
        </w:rPr>
        <w:t>2</w:t>
      </w:r>
      <w:r>
        <w:rPr>
          <w:color w:val="000000" w:themeColor="text1"/>
          <w:highlight w:val="none"/>
          <w14:textFill>
            <w14:solidFill>
              <w14:schemeClr w14:val="tx1"/>
            </w14:solidFill>
          </w14:textFill>
        </w:rPr>
        <w:t>达到不同毒性终点浓度的最大影响区域图，可以看出：最不利气象条件下，</w:t>
      </w:r>
      <w:r>
        <w:rPr>
          <w:rFonts w:hint="eastAsia"/>
          <w:color w:val="000000" w:themeColor="text1"/>
          <w:highlight w:val="none"/>
          <w:lang w:val="en-US" w:eastAsia="zh-CN"/>
          <w14:textFill>
            <w14:solidFill>
              <w14:schemeClr w14:val="tx1"/>
            </w14:solidFill>
          </w14:textFill>
        </w:rPr>
        <w:t>SO</w:t>
      </w:r>
      <w:r>
        <w:rPr>
          <w:rFonts w:hint="eastAsia"/>
          <w:color w:val="000000" w:themeColor="text1"/>
          <w:highlight w:val="none"/>
          <w:vertAlign w:val="subscript"/>
          <w:lang w:val="en-US" w:eastAsia="zh-CN"/>
          <w14:textFill>
            <w14:solidFill>
              <w14:schemeClr w14:val="tx1"/>
            </w14:solidFill>
          </w14:textFill>
        </w:rPr>
        <w:t>2</w:t>
      </w:r>
      <w:r>
        <w:rPr>
          <w:color w:val="000000" w:themeColor="text1"/>
          <w:highlight w:val="none"/>
          <w14:textFill>
            <w14:solidFill>
              <w14:schemeClr w14:val="tx1"/>
            </w14:solidFill>
          </w14:textFill>
        </w:rPr>
        <w:t>大气毒性终点浓度</w:t>
      </w:r>
      <w:r>
        <w:rPr>
          <w:rFonts w:hint="eastAsia"/>
          <w:color w:val="000000" w:themeColor="text1"/>
          <w:highlight w:val="none"/>
          <w14:textFill>
            <w14:solidFill>
              <w14:schemeClr w14:val="tx1"/>
            </w14:solidFill>
          </w14:textFill>
        </w:rPr>
        <w:t>-1及</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的影响范围</w:t>
      </w:r>
      <w:r>
        <w:rPr>
          <w:rFonts w:hint="eastAsia"/>
          <w:color w:val="000000" w:themeColor="text1"/>
          <w:highlight w:val="none"/>
          <w:lang w:val="en-US" w:eastAsia="zh-CN"/>
          <w14:textFill>
            <w14:solidFill>
              <w14:schemeClr w14:val="tx1"/>
            </w14:solidFill>
          </w14:textFill>
        </w:rPr>
        <w:t>均不涉及敏感点分布</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主要为空地范围</w:t>
      </w:r>
      <w:r>
        <w:rPr>
          <w:color w:val="000000" w:themeColor="text1"/>
          <w:highlight w:val="none"/>
          <w14:textFill>
            <w14:solidFill>
              <w14:schemeClr w14:val="tx1"/>
            </w14:solidFill>
          </w14:textFill>
        </w:rPr>
        <w:t>。</w:t>
      </w:r>
    </w:p>
    <w:p w14:paraId="0F379ABC">
      <w:pPr>
        <w:pStyle w:val="3"/>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6.2 </w:t>
      </w:r>
      <w:r>
        <w:rPr>
          <w:rFonts w:hint="eastAsia"/>
          <w:color w:val="000000" w:themeColor="text1"/>
          <w:highlight w:val="none"/>
          <w:lang w:val="en-US" w:eastAsia="zh-CN"/>
          <w14:textFill>
            <w14:solidFill>
              <w14:schemeClr w14:val="tx1"/>
            </w14:solidFill>
          </w14:textFill>
        </w:rPr>
        <w:t>乙类库收集池</w:t>
      </w:r>
      <w:r>
        <w:rPr>
          <w:rFonts w:hint="eastAsia"/>
          <w:color w:val="000000" w:themeColor="text1"/>
          <w:highlight w:val="none"/>
          <w14:textFill>
            <w14:solidFill>
              <w14:schemeClr w14:val="tx1"/>
            </w14:solidFill>
          </w14:textFill>
        </w:rPr>
        <w:t>污染物泄漏环境影响分析</w:t>
      </w:r>
    </w:p>
    <w:p w14:paraId="117D6AE1">
      <w:pPr>
        <w:pStyle w:val="86"/>
        <w:keepNext w:val="0"/>
        <w:keepLines w:val="0"/>
        <w:pageBreakBefore w:val="0"/>
        <w:widowControl w:val="0"/>
        <w:kinsoku/>
        <w:wordWrap/>
        <w:overflowPunct/>
        <w:topLinePunct w:val="0"/>
        <w:autoSpaceDE w:val="0"/>
        <w:autoSpaceDN w:val="0"/>
        <w:bidi w:val="0"/>
        <w:adjustRightInd/>
        <w:snapToGrid/>
        <w:ind w:firstLine="480"/>
        <w:jc w:val="left"/>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本项目在乙类库为封闭结构，正常情况不涉及废水外排，一旦涉及水的渗漏可能会导致沾染物料有渗滤液产生，在乙类库设有导流渠和收集池，均设置为重点防渗区，防渗层</w:t>
      </w:r>
      <w:r>
        <w:rPr>
          <w:rFonts w:hint="eastAsia"/>
          <w:color w:val="000000" w:themeColor="text1"/>
          <w:sz w:val="24"/>
          <w:szCs w:val="24"/>
          <w:highlight w:val="none"/>
          <w:vertAlign w:val="baseline"/>
          <w:lang w:val="en-US" w:eastAsia="zh-CN"/>
          <w14:textFill>
            <w14:solidFill>
              <w14:schemeClr w14:val="tx1"/>
            </w14:solidFill>
          </w14:textFill>
        </w:rPr>
        <w:t>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产生后即刻抽出至厂区污水处理系统处理。</w:t>
      </w:r>
    </w:p>
    <w:p w14:paraId="44020E34">
      <w:pPr>
        <w:pStyle w:val="86"/>
        <w:ind w:firstLine="48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在采取上述防渗措施后，项目运行后，对周围地下水和土壤的污染可能性较低。</w:t>
      </w:r>
    </w:p>
    <w:p w14:paraId="089D765E">
      <w:pPr>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本次环评要求为避免影响下游区域地下水水质，要求建设单位加强管理，按照本报告及当地环保要求定期对地下水水质进行监测。同时建议建设单位制定污水收集及储存装置的破损检查制度，</w:t>
      </w:r>
      <w:r>
        <w:rPr>
          <w:rFonts w:hint="eastAsia"/>
          <w:color w:val="000000" w:themeColor="text1"/>
          <w:highlight w:val="none"/>
          <w:lang w:val="en-US" w:eastAsia="zh-CN"/>
          <w14:textFill>
            <w14:solidFill>
              <w14:schemeClr w14:val="tx1"/>
            </w14:solidFill>
          </w14:textFill>
        </w:rPr>
        <w:t>利用项目区下游现有监测井进行例行</w:t>
      </w:r>
      <w:r>
        <w:rPr>
          <w:rFonts w:hint="eastAsia"/>
          <w:color w:val="000000" w:themeColor="text1"/>
          <w:highlight w:val="none"/>
          <w14:textFill>
            <w14:solidFill>
              <w14:schemeClr w14:val="tx1"/>
            </w14:solidFill>
          </w14:textFill>
        </w:rPr>
        <w:t>监测，如果发生泄露，能够通过监测井及时发现并采取处理措施，将</w:t>
      </w:r>
      <w:r>
        <w:rPr>
          <w:rFonts w:hint="eastAsia"/>
          <w:color w:val="000000" w:themeColor="text1"/>
          <w:highlight w:val="none"/>
          <w:lang w:val="en-US" w:eastAsia="zh-CN"/>
          <w14:textFill>
            <w14:solidFill>
              <w14:schemeClr w14:val="tx1"/>
            </w14:solidFill>
          </w14:textFill>
        </w:rPr>
        <w:t>收集池</w:t>
      </w:r>
      <w:r>
        <w:rPr>
          <w:rFonts w:hint="eastAsia"/>
          <w:color w:val="000000" w:themeColor="text1"/>
          <w:highlight w:val="none"/>
          <w14:textFill>
            <w14:solidFill>
              <w14:schemeClr w14:val="tx1"/>
            </w14:solidFill>
          </w14:textFill>
        </w:rPr>
        <w:t>可能性破损进而影响下游敏感点地下水水质的危害降到最低。同时，发生污染物泄露事故后，必须立即启动应急预案，分析污染事故的发展趋势，并提出下一步预防和防治措施，迅速控制或切断事件灾害链，对污水进行封闭、截流，抽出污水送污水处理场集中处理，使污染扩散得到有效控制，最大限度地保护下游地下水水质安全，将损失降到最低限度。</w:t>
      </w:r>
    </w:p>
    <w:p w14:paraId="38B02137">
      <w:pPr>
        <w:pStyle w:val="3"/>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 其他环境风险影响分析</w:t>
      </w:r>
    </w:p>
    <w:p w14:paraId="3484334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（1）大气环境风险分析</w:t>
      </w:r>
    </w:p>
    <w:p w14:paraId="04E26A8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本项目运营期不进行生产活动，存储过程发生火灾的概率较低，仅在遇到明火或火花等条件下易发生火灾风险。项目在主体设计时</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类库房地面表层涂刷不发火涂层，且设计了声光灭火装置及消防设施，</w:t>
      </w:r>
      <w:r>
        <w:rPr>
          <w:rFonts w:hint="eastAsia"/>
          <w:color w:val="000000" w:themeColor="text1"/>
          <w:highlight w:val="none"/>
          <w:lang w:val="en-US" w:eastAsia="zh-CN"/>
          <w14:textFill>
            <w14:solidFill>
              <w14:schemeClr w14:val="tx1"/>
            </w14:solidFill>
          </w14:textFill>
        </w:rPr>
        <w:t>设置有毒气体探测装置、烟感、温感探头、自动报警等设施，</w:t>
      </w:r>
      <w:r>
        <w:rPr>
          <w:rFonts w:hint="eastAsia"/>
          <w:color w:val="000000" w:themeColor="text1"/>
          <w:highlight w:val="none"/>
          <w14:textFill>
            <w14:solidFill>
              <w14:schemeClr w14:val="tx1"/>
            </w14:solidFill>
          </w14:textFill>
        </w:rPr>
        <w:t>一旦发生火灾可以</w:t>
      </w:r>
      <w:r>
        <w:rPr>
          <w:rFonts w:hint="eastAsia"/>
          <w:color w:val="000000" w:themeColor="text1"/>
          <w:highlight w:val="none"/>
          <w:lang w:val="en-US" w:eastAsia="zh-CN"/>
          <w14:textFill>
            <w14:solidFill>
              <w14:schemeClr w14:val="tx1"/>
            </w14:solidFill>
          </w14:textFill>
        </w:rPr>
        <w:t>自动</w:t>
      </w:r>
      <w:r>
        <w:rPr>
          <w:rFonts w:hint="eastAsia"/>
          <w:color w:val="000000" w:themeColor="text1"/>
          <w:highlight w:val="none"/>
          <w14:textFill>
            <w14:solidFill>
              <w14:schemeClr w14:val="tx1"/>
            </w14:solidFill>
          </w14:textFill>
        </w:rPr>
        <w:t>报警，</w:t>
      </w:r>
      <w:r>
        <w:rPr>
          <w:rFonts w:hint="eastAsia"/>
          <w:color w:val="000000" w:themeColor="text1"/>
          <w:highlight w:val="none"/>
          <w:lang w:val="en-US" w:eastAsia="zh-CN"/>
          <w14:textFill>
            <w14:solidFill>
              <w14:schemeClr w14:val="tx1"/>
            </w14:solidFill>
          </w14:textFill>
        </w:rPr>
        <w:t>同事</w:t>
      </w:r>
      <w:r>
        <w:rPr>
          <w:rFonts w:hint="eastAsia"/>
          <w:color w:val="000000" w:themeColor="text1"/>
          <w:highlight w:val="none"/>
          <w14:textFill>
            <w14:solidFill>
              <w14:schemeClr w14:val="tx1"/>
            </w14:solidFill>
          </w14:textFill>
        </w:rPr>
        <w:t>启动消防设施进行灭火，降低火灾发生概率。</w:t>
      </w:r>
    </w:p>
    <w:p w14:paraId="54A25BEC">
      <w:pP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根据项目设计资料，本项目使用强排风设备，配置了</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台轴流风机。安装于库房内。</w:t>
      </w:r>
      <w:r>
        <w:rPr>
          <w:rFonts w:hint="eastAsia"/>
          <w:color w:val="000000" w:themeColor="text1"/>
          <w:highlight w:val="none"/>
          <w:lang w:val="en-US" w:eastAsia="zh-CN"/>
          <w14:textFill>
            <w14:solidFill>
              <w14:schemeClr w14:val="tx1"/>
            </w14:solidFill>
          </w14:textFill>
        </w:rPr>
        <w:t>事故状态下的烟气也可通过轴流风机外逸。</w:t>
      </w:r>
    </w:p>
    <w:p w14:paraId="78961CE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（2）水环境风险分析</w:t>
      </w:r>
    </w:p>
    <w:p w14:paraId="1C489CA7">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根据风险事故情形分析，</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类库房地面及墙面1m以下均进行了防渗处理，仓库内坡度整体从北向南有1%的坡度设计，并在东侧、西侧及南侧布设导流槽，深度为0.2m，并在仓库东南角设有一个</w:t>
      </w:r>
      <w:r>
        <w:rPr>
          <w:rFonts w:hint="eastAsia"/>
          <w:color w:val="000000" w:themeColor="text1"/>
          <w:highlight w:val="none"/>
          <w:lang w:eastAsia="zh-CN"/>
          <w14:textFill>
            <w14:solidFill>
              <w14:schemeClr w14:val="tx1"/>
            </w14:solidFill>
          </w14:textFill>
        </w:rPr>
        <w:t>事故池</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事故池</w:t>
      </w:r>
      <w:r>
        <w:rPr>
          <w:rFonts w:hint="eastAsia"/>
          <w:color w:val="000000" w:themeColor="text1"/>
          <w:highlight w:val="none"/>
          <w:lang w:val="en-US" w:eastAsia="zh-CN"/>
          <w14:textFill>
            <w14:solidFill>
              <w14:schemeClr w14:val="tx1"/>
            </w14:solidFill>
          </w14:textFill>
        </w:rPr>
        <w:t>容积</w:t>
      </w:r>
      <w:r>
        <w:rPr>
          <w:rFonts w:hint="eastAsia"/>
          <w:color w:val="000000" w:themeColor="text1"/>
          <w:highlight w:val="none"/>
          <w14:textFill>
            <w14:solidFill>
              <w14:schemeClr w14:val="tx1"/>
            </w14:solidFill>
          </w14:textFill>
        </w:rPr>
        <w:t>为0.64m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（0.8m×0.8m×1m），用于收集事故状态下的废液。</w:t>
      </w:r>
    </w:p>
    <w:p w14:paraId="1916E9FC">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乙类库地面采用耐酸砖，主要结构如下：1、20厚花岗石板用环氧胶泥铺砌，缝宽3~；2、6~8厚环氧胶泥结合层；3、1.5厚树脂玻璃钢（隔离层）；4、20厚DS M20预拌砂浆找平层；5、素水泥浆一道（内掺建筑胶）；6、0.2厚塑料膜浮铺；7、40厚挤塑聚苯板（XPS板，B1级）；8、0.2厚塑料膜浮铺；9、120厚C25抗渗砼，抗渗等级≥P6；10、基本找坡夯实，夯实系数≥0.9。</w:t>
      </w:r>
    </w:p>
    <w:p w14:paraId="7C8BF84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本项目存储的化学品具有易燃特性，一旦发生火灾，在扑灭火灾本项目设计严格按照《建筑设计防火规范》GB50016-2014的相关规定执行，设置室内外消火栓系统。本工程最大室外消火栓用水量40L/s，室内消防用水量10L/s，消火栓用水火灾延续时间为2h，库房内同时发生火灾为一次，消防废水产生量360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/次。</w:t>
      </w:r>
    </w:p>
    <w:p w14:paraId="2A943D8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综上，本项目运营期发生火灾事故时不会对地表水环境造成大的影响。</w:t>
      </w:r>
    </w:p>
    <w:p w14:paraId="55ADFCF4">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7.环境风险防范措施</w:t>
      </w:r>
    </w:p>
    <w:p w14:paraId="5131AD46">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1、总图布置风险防范措施</w:t>
      </w:r>
    </w:p>
    <w:p w14:paraId="45FC96C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程设计和施工中严格执行国家有关部门现行的设计规范、规定及标准“各生产装置之间严格按防火防爆间距布置，厂房及建筑物按《建筑设计防火规范》GB50016-2014规定等级设计，根据储存物质进行分类、分区布置。合理划分管理区及储运设施各区按其危害程度采取相应的安全防范措施进行管理。合理组织人流和货流，结合交通、消防的需要，装置区周出设置消防通道，以满足工艺流程、厂内外运输、检修及生产管理的要求。</w:t>
      </w:r>
    </w:p>
    <w:p w14:paraId="00F2068D">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2、大气坏境风险防范措施</w:t>
      </w:r>
    </w:p>
    <w:p w14:paraId="0122FA88">
      <w:pPr>
        <w:numPr>
          <w:ilvl w:val="0"/>
          <w:numId w:val="9"/>
        </w:num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类库区地面要有一定斜度，并设集液池。</w:t>
      </w:r>
    </w:p>
    <w:p w14:paraId="3A9B879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（2）库区配置与暂存物品相适应的灭火器材及处置物料，以便发生事故时及时处置。</w:t>
      </w:r>
    </w:p>
    <w:p w14:paraId="5AE738E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（3）化学品贮存容器要与暂存的物品相适应，电器设备选择防爆型的密闭器材，贮存地点设置明显的标识，避免发生意外事故。</w:t>
      </w:r>
    </w:p>
    <w:p w14:paraId="737A744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（4）加强库区日常巡查力度，对消防设备、存储容器进行经常性检查，一旦发现消防设施损坏、化学品渗漏情况，及时采取处置措施。</w:t>
      </w:r>
    </w:p>
    <w:p w14:paraId="1423110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（5）电气设计严格按照《爆炸危险场所电气安全规程》选择电机、照明灯具及其它电力设备、配备方式。</w:t>
      </w:r>
      <w:r>
        <w:rPr>
          <w:rFonts w:hint="eastAsia"/>
          <w:color w:val="000000" w:themeColor="text1"/>
          <w:highlight w:val="none"/>
          <w:lang w:val="en-US" w:eastAsia="zh-CN"/>
          <w14:textFill>
            <w14:solidFill>
              <w14:schemeClr w14:val="tx1"/>
            </w14:solidFill>
          </w14:textFill>
        </w:rPr>
        <w:t>乙</w:t>
      </w:r>
      <w:r>
        <w:rPr>
          <w:rFonts w:hint="eastAsia"/>
          <w:color w:val="000000" w:themeColor="text1"/>
          <w:highlight w:val="none"/>
          <w14:textFill>
            <w14:solidFill>
              <w14:schemeClr w14:val="tx1"/>
            </w14:solidFill>
          </w14:textFill>
        </w:rPr>
        <w:t>类生产厂房，电气设备均采用隔爆型，并配备相应的防爆开关、插座及防爆电机和防爆灯具等，设置紧急备用电源，设置人身、设备安全设施。</w:t>
      </w:r>
    </w:p>
    <w:p w14:paraId="48A74D8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根据《化工企业静电接地设计技术规定》，对于爆炸、火灾危险场所可能产生静电危害的物体，采取静电接地措施。库房内设备、管道均要求可靠接地，并连通到接地网系统。库房已设置可靠的防雷措施。</w:t>
      </w:r>
    </w:p>
    <w:p w14:paraId="0C40380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一旦有火情发生，探测器可及时报警，控制室火灾报警控制器接警的同时，总厂火灾报警中心也可接到报警，值班人员接警后可立刻拨打神华巴彦淖尔能源有限责任公司消防队，报警电话0478-7842119。</w:t>
      </w:r>
    </w:p>
    <w:p w14:paraId="7C4044B7">
      <w:pPr>
        <w:numPr>
          <w:ilvl w:val="0"/>
          <w:numId w:val="10"/>
        </w:num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w:t>
      </w:r>
      <w:r>
        <w:rPr>
          <w:rFonts w:hint="eastAsia"/>
          <w:color w:val="000000" w:themeColor="text1"/>
          <w:highlight w:val="none"/>
          <w:lang w:val="en-US" w:eastAsia="zh-CN"/>
          <w14:textFill>
            <w14:solidFill>
              <w14:schemeClr w14:val="tx1"/>
            </w14:solidFill>
          </w14:textFill>
        </w:rPr>
        <w:t>化学</w:t>
      </w:r>
      <w:r>
        <w:rPr>
          <w:rFonts w:hint="eastAsia"/>
          <w:color w:val="000000" w:themeColor="text1"/>
          <w:highlight w:val="none"/>
          <w14:textFill>
            <w14:solidFill>
              <w14:schemeClr w14:val="tx1"/>
            </w14:solidFill>
          </w14:textFill>
        </w:rPr>
        <w:t>品装卸、运输人员应按装运危险</w:t>
      </w:r>
      <w:r>
        <w:rPr>
          <w:rFonts w:hint="eastAsia"/>
          <w:color w:val="000000" w:themeColor="text1"/>
          <w:highlight w:val="none"/>
          <w:lang w:val="en-US" w:eastAsia="zh-CN"/>
          <w14:textFill>
            <w14:solidFill>
              <w14:schemeClr w14:val="tx1"/>
            </w14:solidFill>
          </w14:textFill>
        </w:rPr>
        <w:t>化学</w:t>
      </w:r>
      <w:r>
        <w:rPr>
          <w:rFonts w:hint="eastAsia"/>
          <w:color w:val="000000" w:themeColor="text1"/>
          <w:highlight w:val="none"/>
          <w14:textFill>
            <w14:solidFill>
              <w14:schemeClr w14:val="tx1"/>
            </w14:solidFill>
          </w14:textFill>
        </w:rPr>
        <w:t>品性质佩戴相应的防护用品，搬运应轻拿轻放，严禁撞击及拖拉；装运易燃、易爆危险化学品的机动车，应悬挂“危险</w:t>
      </w:r>
      <w:r>
        <w:rPr>
          <w:rFonts w:hint="eastAsia"/>
          <w:color w:val="000000" w:themeColor="text1"/>
          <w:highlight w:val="none"/>
          <w:lang w:val="en-US" w:eastAsia="zh-CN"/>
          <w14:textFill>
            <w14:solidFill>
              <w14:schemeClr w14:val="tx1"/>
            </w14:solidFill>
          </w14:textFill>
        </w:rPr>
        <w:t>化学</w:t>
      </w:r>
      <w:r>
        <w:rPr>
          <w:rFonts w:hint="eastAsia"/>
          <w:color w:val="000000" w:themeColor="text1"/>
          <w:highlight w:val="none"/>
          <w14:textFill>
            <w14:solidFill>
              <w14:schemeClr w14:val="tx1"/>
            </w14:solidFill>
          </w14:textFill>
        </w:rPr>
        <w:t>品”的信号要挂接电导链与地接触。装运危险化学品车辆不得在人员密集繁华街道行驶、停放，行车中要保持车距，严禁超速、超车和抢行会车。</w:t>
      </w:r>
    </w:p>
    <w:p w14:paraId="37146942">
      <w:pPr>
        <w:numPr>
          <w:ilvl w:val="0"/>
          <w:numId w:val="10"/>
        </w:numPr>
        <w:ind w:firstLine="480"/>
        <w:rPr>
          <w:color w:val="000000" w:themeColor="text1"/>
          <w:highlight w:val="none"/>
          <w14:textFill>
            <w14:solidFill>
              <w14:schemeClr w14:val="tx1"/>
            </w14:solidFill>
          </w14:textFill>
        </w:rPr>
      </w:pPr>
      <w:r>
        <w:rPr>
          <w:rFonts w:ascii="Arial" w:hAnsi="Arial" w:cs="Arial"/>
          <w:color w:val="000000" w:themeColor="text1"/>
          <w:highlight w:val="none"/>
          <w14:textFill>
            <w14:solidFill>
              <w14:schemeClr w14:val="tx1"/>
            </w14:solidFill>
          </w14:textFill>
        </w:rPr>
        <w:t>在</w:t>
      </w:r>
      <w:r>
        <w:rPr>
          <w:rFonts w:hint="eastAsia" w:ascii="Arial" w:hAnsi="Arial" w:cs="Arial"/>
          <w:color w:val="000000" w:themeColor="text1"/>
          <w:highlight w:val="none"/>
          <w:lang w:val="en-US" w:eastAsia="zh-CN"/>
          <w14:textFill>
            <w14:solidFill>
              <w14:schemeClr w14:val="tx1"/>
            </w14:solidFill>
          </w14:textFill>
        </w:rPr>
        <w:t>库区</w:t>
      </w:r>
      <w:r>
        <w:rPr>
          <w:rFonts w:ascii="Arial" w:hAnsi="Arial" w:cs="Arial"/>
          <w:color w:val="000000" w:themeColor="text1"/>
          <w:highlight w:val="none"/>
          <w14:textFill>
            <w14:solidFill>
              <w14:schemeClr w14:val="tx1"/>
            </w14:solidFill>
          </w14:textFill>
        </w:rPr>
        <w:t>发生火灾爆炸或泄漏事故情况下，有毒有害气态污染物或易燃易爆物质可能外溢、扩散到环境。为了防止这种转移，首先要切断泄漏源、火源，并在堵漏、灭火的同时，对临近的设备及空间必须采用水幕、喷淋措施进行冷却保护，对某些可通过物理、化学反应中和或吸收的泄漏气体，可喷相关雾状水幕进行中和或吸收降低其浓度等，采用这些措施切断气态污染物向环境转移的途径。</w:t>
      </w:r>
    </w:p>
    <w:p w14:paraId="738999EC">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3、水环境风险防范措施</w:t>
      </w:r>
    </w:p>
    <w:p w14:paraId="5C3BE3D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（1）建立环境风险防控体系，防止物料发生泄漏等风险事故时，泄漏物料外排进入周围环境。在仓库东南角设有一个</w:t>
      </w:r>
      <w:r>
        <w:rPr>
          <w:rFonts w:hint="eastAsia"/>
          <w:color w:val="000000" w:themeColor="text1"/>
          <w:highlight w:val="none"/>
          <w:lang w:eastAsia="zh-CN"/>
          <w14:textFill>
            <w14:solidFill>
              <w14:schemeClr w14:val="tx1"/>
            </w14:solidFill>
          </w14:textFill>
        </w:rPr>
        <w:t>事故池</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事故池</w:t>
      </w:r>
      <w:r>
        <w:rPr>
          <w:rFonts w:hint="eastAsia"/>
          <w:color w:val="000000" w:themeColor="text1"/>
          <w:highlight w:val="none"/>
          <w:lang w:val="en-US" w:eastAsia="zh-CN"/>
          <w14:textFill>
            <w14:solidFill>
              <w14:schemeClr w14:val="tx1"/>
            </w14:solidFill>
          </w14:textFill>
        </w:rPr>
        <w:t>容积</w:t>
      </w:r>
      <w:r>
        <w:rPr>
          <w:rFonts w:hint="eastAsia"/>
          <w:color w:val="000000" w:themeColor="text1"/>
          <w:highlight w:val="none"/>
          <w14:textFill>
            <w14:solidFill>
              <w14:schemeClr w14:val="tx1"/>
            </w14:solidFill>
          </w14:textFill>
        </w:rPr>
        <w:t>为0.64m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（0.8m×0.8m×1m），用于收集事故状态下的废液。渗透系数≤10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cm/s。</w:t>
      </w:r>
    </w:p>
    <w:p w14:paraId="0395A45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）建立有效的厂区内外环保应急隔离系统。</w:t>
      </w:r>
      <w:r>
        <w:rPr>
          <w:rFonts w:hint="eastAsia"/>
          <w:color w:val="000000" w:themeColor="text1"/>
          <w:highlight w:val="none"/>
          <w:lang w:val="en-US" w:eastAsia="zh-CN"/>
          <w14:textFill>
            <w14:solidFill>
              <w14:schemeClr w14:val="tx1"/>
            </w14:solidFill>
          </w14:textFill>
        </w:rPr>
        <w:t>充分依托厂区现有设施，</w:t>
      </w:r>
      <w:r>
        <w:rPr>
          <w:rFonts w:hint="eastAsia"/>
          <w:color w:val="000000" w:themeColor="text1"/>
          <w:highlight w:val="none"/>
          <w14:textFill>
            <w14:solidFill>
              <w14:schemeClr w14:val="tx1"/>
            </w14:solidFill>
          </w14:textFill>
        </w:rPr>
        <w:t>在污水排放口和雨（清）水排放口末端设置应急闸门或阀门，且落实专人管理，禁止污染物外排环境。</w:t>
      </w:r>
    </w:p>
    <w:p w14:paraId="2FF43A66">
      <w:pPr>
        <w:ind w:firstLine="480"/>
        <w:rPr>
          <w:rFonts w:hint="default" w:ascii="Arial" w:hAnsi="Arial" w:eastAsia="宋体" w:cs="Arial"/>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本项目事故状态下用水依托室外消防栓系统。</w:t>
      </w:r>
      <w:r>
        <w:rPr>
          <w:rFonts w:hint="eastAsia"/>
          <w:color w:val="000000" w:themeColor="text1"/>
          <w:highlight w:val="none"/>
          <w14:textFill>
            <w14:solidFill>
              <w14:schemeClr w14:val="tx1"/>
            </w14:solidFill>
          </w14:textFill>
        </w:rPr>
        <w:t>为控制事故时围堰损坏造成的物料泄漏或因事故处理产生的消防废水等可能对周边环境造成的污染，</w:t>
      </w:r>
      <w:r>
        <w:rPr>
          <w:rFonts w:hint="eastAsia"/>
          <w:color w:val="000000" w:themeColor="text1"/>
          <w:highlight w:val="none"/>
          <w:lang w:val="en-US" w:eastAsia="zh-CN"/>
          <w14:textFill>
            <w14:solidFill>
              <w14:schemeClr w14:val="tx1"/>
            </w14:solidFill>
          </w14:textFill>
        </w:rPr>
        <w:t>并且</w:t>
      </w:r>
      <w:r>
        <w:rPr>
          <w:rFonts w:hint="default" w:ascii="Arial" w:hAnsi="Arial" w:eastAsia="宋体" w:cs="Arial"/>
          <w:color w:val="000000" w:themeColor="text1"/>
          <w:sz w:val="24"/>
          <w:szCs w:val="24"/>
          <w:highlight w:val="none"/>
          <w:lang w:val="en-US" w:eastAsia="zh-CN"/>
          <w14:textFill>
            <w14:solidFill>
              <w14:schemeClr w14:val="tx1"/>
            </w14:solidFill>
          </w14:textFill>
        </w:rPr>
        <w:t>由于</w:t>
      </w:r>
      <w:r>
        <w:rPr>
          <w:rFonts w:hint="eastAsia" w:ascii="Arial" w:hAnsi="Arial" w:eastAsia="宋体" w:cs="Arial"/>
          <w:color w:val="000000" w:themeColor="text1"/>
          <w:sz w:val="24"/>
          <w:szCs w:val="24"/>
          <w:highlight w:val="none"/>
          <w:lang w:val="en-US" w:eastAsia="zh-CN"/>
          <w14:textFill>
            <w14:solidFill>
              <w14:schemeClr w14:val="tx1"/>
            </w14:solidFill>
          </w14:textFill>
        </w:rPr>
        <w:t>消防废水</w:t>
      </w:r>
      <w:r>
        <w:rPr>
          <w:rFonts w:hint="default" w:ascii="Arial" w:hAnsi="Arial" w:eastAsia="宋体" w:cs="Arial"/>
          <w:color w:val="000000" w:themeColor="text1"/>
          <w:sz w:val="24"/>
          <w:szCs w:val="24"/>
          <w:highlight w:val="none"/>
          <w:lang w:val="en-US" w:eastAsia="zh-CN"/>
          <w14:textFill>
            <w14:solidFill>
              <w14:schemeClr w14:val="tx1"/>
            </w14:solidFill>
          </w14:textFill>
        </w:rPr>
        <w:t>发生地的不确定性</w:t>
      </w:r>
      <w:r>
        <w:rPr>
          <w:rFonts w:hint="eastAsia" w:ascii="Arial" w:hAnsi="Arial" w:eastAsia="宋体" w:cs="Arial"/>
          <w:color w:val="000000" w:themeColor="text1"/>
          <w:sz w:val="24"/>
          <w:szCs w:val="24"/>
          <w:highlight w:val="none"/>
          <w:lang w:val="en-US" w:eastAsia="zh-CN"/>
          <w14:textFill>
            <w14:solidFill>
              <w14:schemeClr w14:val="tx1"/>
            </w14:solidFill>
          </w14:textFill>
        </w:rPr>
        <w:t>，所以</w:t>
      </w:r>
      <w:r>
        <w:rPr>
          <w:rFonts w:hint="default" w:ascii="Arial" w:hAnsi="Arial" w:eastAsia="宋体" w:cs="Arial"/>
          <w:color w:val="000000" w:themeColor="text1"/>
          <w:sz w:val="24"/>
          <w:szCs w:val="24"/>
          <w:highlight w:val="none"/>
          <w:lang w:val="en-US" w:eastAsia="zh-CN"/>
          <w14:textFill>
            <w14:solidFill>
              <w14:schemeClr w14:val="tx1"/>
            </w14:solidFill>
          </w14:textFill>
        </w:rPr>
        <w:t>消防废水从下水道进入格栅后，进入污水处理系统进行处置。</w:t>
      </w:r>
    </w:p>
    <w:p w14:paraId="5BC3F82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）一旦发生事故排放应立即通知下游的居民做好污染防治措施，防治污染水带进入</w:t>
      </w:r>
      <w:r>
        <w:rPr>
          <w:rFonts w:hint="eastAsia"/>
          <w:color w:val="000000" w:themeColor="text1"/>
          <w:highlight w:val="none"/>
          <w:lang w:val="en-US" w:eastAsia="zh-CN"/>
          <w14:textFill>
            <w14:solidFill>
              <w14:schemeClr w14:val="tx1"/>
            </w14:solidFill>
          </w14:textFill>
        </w:rPr>
        <w:t>土地</w:t>
      </w:r>
      <w:r>
        <w:rPr>
          <w:rFonts w:hint="eastAsia"/>
          <w:color w:val="000000" w:themeColor="text1"/>
          <w:highlight w:val="none"/>
          <w14:textFill>
            <w14:solidFill>
              <w14:schemeClr w14:val="tx1"/>
            </w14:solidFill>
          </w14:textFill>
        </w:rPr>
        <w:t>造成更大的污染。</w:t>
      </w:r>
    </w:p>
    <w:p w14:paraId="2589DD9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）在事故发生后当地的环境监测站应及时的出动，对污染带的转移作细致详细的监测报告，应24h的监测不同断面水体的污染程度，及时向上级部门报告，以便环保部门作更详细的治理和防治部署。</w:t>
      </w:r>
    </w:p>
    <w:p w14:paraId="5E91DA7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）发生事故后应立即向有关部门报告。</w:t>
      </w:r>
    </w:p>
    <w:p w14:paraId="2D45D4F9">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4、火灾与爆炸事故防范措施</w:t>
      </w:r>
    </w:p>
    <w:p w14:paraId="6F798EE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项目贮存物料为易燃物料，一旦发生泄漏，极有可能引起池火和爆炸。</w:t>
      </w:r>
    </w:p>
    <w:p w14:paraId="681BE4F6">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事故发生后，通常采取切断泄漏源、切断火源，隔离泄漏场所的措施，通过适当方式合理通风，加速有害物质的扩散，降低泄漏点的温度，避免引起爆炸。对泄漏点附近的下水道、边沟等限制性空气采取覆盖或用吸收剂吸收等方式，防止泄漏的物料进入，引发联锁性爆炸。</w:t>
      </w:r>
    </w:p>
    <w:p w14:paraId="1B437A8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此时根据泄漏性物料的性质可以在泄漏点附近采用喷雾状水或中和液进行稀释、溶解的措施，降低空气中泄漏物的浓度，避免发生爆炸。喷洒的稀释液会形成含污染物的废水，引出次生污染物，对这类废水应注意收集至污水系统，避免造成对地表水、地下水或土壤的污染。可燃或易燃泄漏物若遇明火将会引发火灾，发生次生灾害，火灾燃烧时产生的烟气为伴生污染物，将会对周围环境造成一定污染。发生火灾时，一方面对着火点实施救火，同时应对周围设施喷</w:t>
      </w:r>
      <w:r>
        <w:rPr>
          <w:rFonts w:hint="eastAsia"/>
          <w:color w:val="000000" w:themeColor="text1"/>
          <w:highlight w:val="none"/>
          <w:lang w:val="en-US" w:eastAsia="zh-CN"/>
          <w14:textFill>
            <w14:solidFill>
              <w14:schemeClr w14:val="tx1"/>
            </w14:solidFill>
          </w14:textFill>
        </w:rPr>
        <w:t>淋</w:t>
      </w:r>
      <w:r>
        <w:rPr>
          <w:rFonts w:hint="eastAsia"/>
          <w:color w:val="000000" w:themeColor="text1"/>
          <w:highlight w:val="none"/>
          <w14:textFill>
            <w14:solidFill>
              <w14:schemeClr w14:val="tx1"/>
            </w14:solidFill>
          </w14:textFill>
        </w:rPr>
        <w:t>降温，倒空物料。</w:t>
      </w:r>
    </w:p>
    <w:p w14:paraId="1FFB7695">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灾事故严重而措施不当时，可能引起爆炸等连锁反应。此时，应对相关装置紧急停车，尽可能倒空上、下游物料。在积极救火的同时，对周围装置及设施进行降温保护。这一过程将有燃烧烟气的伴生污染和消防水的次生污染发生。</w:t>
      </w:r>
    </w:p>
    <w:p w14:paraId="269797A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重叠引发事故指一个事故因求援不及时或措施不力，引发其他事故的重叠发生，若救火不及时或周围的降温阻火措施不力，其他</w:t>
      </w:r>
      <w:r>
        <w:rPr>
          <w:rFonts w:hint="eastAsia"/>
          <w:color w:val="000000" w:themeColor="text1"/>
          <w:highlight w:val="none"/>
          <w:lang w:val="en-US" w:eastAsia="zh-CN"/>
          <w14:textFill>
            <w14:solidFill>
              <w14:schemeClr w14:val="tx1"/>
            </w14:solidFill>
          </w14:textFill>
        </w:rPr>
        <w:t>易燃装置或区域</w:t>
      </w:r>
      <w:r>
        <w:rPr>
          <w:rFonts w:hint="eastAsia"/>
          <w:color w:val="000000" w:themeColor="text1"/>
          <w:highlight w:val="none"/>
          <w14:textFill>
            <w14:solidFill>
              <w14:schemeClr w14:val="tx1"/>
            </w14:solidFill>
          </w14:textFill>
        </w:rPr>
        <w:t>将会发生多米诺效应，相继着火爆炸，事故状态失控。</w:t>
      </w:r>
    </w:p>
    <w:p w14:paraId="4614B845">
      <w:pP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从本项目的安全管理措施及安全应急系统设置来看，设计中相关装置的安全防火距离、消防设施设置符合相关设计规范，可保证紧急状态下的消防要求。</w:t>
      </w:r>
      <w:r>
        <w:rPr>
          <w:rFonts w:hint="eastAsia"/>
          <w:color w:val="000000" w:themeColor="text1"/>
          <w:highlight w:val="none"/>
          <w:lang w:val="en-US" w:eastAsia="zh-CN"/>
          <w14:textFill>
            <w14:solidFill>
              <w14:schemeClr w14:val="tx1"/>
            </w14:solidFill>
          </w14:textFill>
        </w:rPr>
        <w:t>具体应急设备见下表。</w:t>
      </w:r>
    </w:p>
    <w:p w14:paraId="2FB961D2">
      <w:pPr>
        <w:spacing w:line="240" w:lineRule="auto"/>
        <w:ind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7-1   防火等应急设备一览表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959"/>
        <w:gridCol w:w="1705"/>
        <w:gridCol w:w="1295"/>
        <w:gridCol w:w="1173"/>
        <w:gridCol w:w="1057"/>
      </w:tblGrid>
      <w:tr w14:paraId="2158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14:paraId="100ED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序号</w:t>
            </w:r>
          </w:p>
        </w:tc>
        <w:tc>
          <w:tcPr>
            <w:tcW w:w="2959" w:type="dxa"/>
            <w:vAlign w:val="center"/>
          </w:tcPr>
          <w:p w14:paraId="1AAA4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名称</w:t>
            </w:r>
          </w:p>
        </w:tc>
        <w:tc>
          <w:tcPr>
            <w:tcW w:w="1705" w:type="dxa"/>
            <w:vAlign w:val="center"/>
          </w:tcPr>
          <w:p w14:paraId="26C6C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规格</w:t>
            </w:r>
          </w:p>
        </w:tc>
        <w:tc>
          <w:tcPr>
            <w:tcW w:w="1295" w:type="dxa"/>
            <w:vAlign w:val="center"/>
          </w:tcPr>
          <w:p w14:paraId="328F2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单位</w:t>
            </w:r>
          </w:p>
        </w:tc>
        <w:tc>
          <w:tcPr>
            <w:tcW w:w="1173" w:type="dxa"/>
            <w:vAlign w:val="center"/>
          </w:tcPr>
          <w:p w14:paraId="6C415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数量</w:t>
            </w:r>
          </w:p>
        </w:tc>
        <w:tc>
          <w:tcPr>
            <w:tcW w:w="1057" w:type="dxa"/>
            <w:vAlign w:val="center"/>
          </w:tcPr>
          <w:p w14:paraId="48762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备注</w:t>
            </w:r>
          </w:p>
        </w:tc>
      </w:tr>
      <w:tr w14:paraId="3DED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14:paraId="583C7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w:t>
            </w:r>
          </w:p>
        </w:tc>
        <w:tc>
          <w:tcPr>
            <w:tcW w:w="2959" w:type="dxa"/>
            <w:vAlign w:val="center"/>
          </w:tcPr>
          <w:p w14:paraId="1741F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手提式磷酸铵盐干粉灭火器</w:t>
            </w:r>
          </w:p>
        </w:tc>
        <w:tc>
          <w:tcPr>
            <w:tcW w:w="1705" w:type="dxa"/>
            <w:vAlign w:val="center"/>
          </w:tcPr>
          <w:p w14:paraId="55DA1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MF/ABC8</w:t>
            </w:r>
          </w:p>
        </w:tc>
        <w:tc>
          <w:tcPr>
            <w:tcW w:w="1295" w:type="dxa"/>
            <w:vAlign w:val="center"/>
          </w:tcPr>
          <w:p w14:paraId="21F00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具</w:t>
            </w:r>
          </w:p>
        </w:tc>
        <w:tc>
          <w:tcPr>
            <w:tcW w:w="1173" w:type="dxa"/>
            <w:vAlign w:val="center"/>
          </w:tcPr>
          <w:p w14:paraId="667EA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4</w:t>
            </w:r>
          </w:p>
        </w:tc>
        <w:tc>
          <w:tcPr>
            <w:tcW w:w="1057" w:type="dxa"/>
            <w:vAlign w:val="center"/>
          </w:tcPr>
          <w:p w14:paraId="758D8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氮气驱动</w:t>
            </w:r>
          </w:p>
        </w:tc>
      </w:tr>
      <w:tr w14:paraId="60C1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14:paraId="5DDDD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w:t>
            </w:r>
          </w:p>
        </w:tc>
        <w:tc>
          <w:tcPr>
            <w:tcW w:w="2959" w:type="dxa"/>
            <w:vAlign w:val="center"/>
          </w:tcPr>
          <w:p w14:paraId="70C30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灭火砂</w:t>
            </w:r>
          </w:p>
        </w:tc>
        <w:tc>
          <w:tcPr>
            <w:tcW w:w="1705" w:type="dxa"/>
            <w:vAlign w:val="center"/>
          </w:tcPr>
          <w:p w14:paraId="7D670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1295" w:type="dxa"/>
            <w:vAlign w:val="center"/>
          </w:tcPr>
          <w:p w14:paraId="5CDDE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1173" w:type="dxa"/>
            <w:vAlign w:val="center"/>
          </w:tcPr>
          <w:p w14:paraId="3D257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w:t>
            </w:r>
          </w:p>
        </w:tc>
        <w:tc>
          <w:tcPr>
            <w:tcW w:w="1057" w:type="dxa"/>
            <w:vAlign w:val="center"/>
          </w:tcPr>
          <w:p w14:paraId="635F1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p>
        </w:tc>
      </w:tr>
    </w:tbl>
    <w:p w14:paraId="6C06A6F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在保证设计、生产安全规范的条件下，在配备必要的应急处置设施以及应急救援系统的条件下，连锁效应和事故重叠发生的状态是可以避免的。</w:t>
      </w:r>
    </w:p>
    <w:p w14:paraId="0278833E">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5、物质储运风险防范措施</w:t>
      </w:r>
    </w:p>
    <w:p w14:paraId="7D7C6E44">
      <w:pPr>
        <w:keepNext w:val="0"/>
        <w:keepLines w:val="0"/>
        <w:suppressLineNumbers w:val="0"/>
        <w:spacing w:before="0" w:beforeAutospacing="0" w:after="0" w:afterAutospacing="0"/>
        <w:ind w:left="0" w:right="0" w:firstLine="48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val="en-US" w:eastAsia="zh-CN"/>
          <w14:textFill>
            <w14:solidFill>
              <w14:schemeClr w14:val="tx1"/>
            </w14:solidFill>
          </w14:textFill>
        </w:rPr>
        <w:t>危险化学品储存必须符合《危险化学品仓库储存通则》（</w:t>
      </w:r>
      <w:r>
        <w:rPr>
          <w:rFonts w:hint="eastAsia"/>
          <w:b w:val="0"/>
          <w:bCs w:val="0"/>
          <w:color w:val="000000" w:themeColor="text1"/>
          <w:highlight w:val="none"/>
          <w:lang w:val="en-US" w:eastAsia="zh-CN"/>
          <w14:textFill>
            <w14:solidFill>
              <w14:schemeClr w14:val="tx1"/>
            </w14:solidFill>
          </w14:textFill>
        </w:rPr>
        <w:t>GB15603-2022</w:t>
      </w:r>
      <w:r>
        <w:rPr>
          <w:rFonts w:hint="eastAsia"/>
          <w:color w:val="000000" w:themeColor="text1"/>
          <w:highlight w:val="none"/>
          <w:lang w:val="en-US" w:eastAsia="zh-CN"/>
          <w14:textFill>
            <w14:solidFill>
              <w14:schemeClr w14:val="tx1"/>
            </w14:solidFill>
          </w14:textFill>
        </w:rPr>
        <w:t>）的相关规定。</w:t>
      </w:r>
    </w:p>
    <w:p w14:paraId="79D7622B">
      <w:pPr>
        <w:keepNext w:val="0"/>
        <w:keepLines w:val="0"/>
        <w:suppressLineNumbers w:val="0"/>
        <w:spacing w:before="0" w:beforeAutospacing="0" w:after="0" w:afterAutospacing="0"/>
        <w:ind w:left="0" w:right="0"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危险化学品仓库、储存场应根据危险化学品性质设计相应的防火、防爆、防腐、泄压、通风、调节温度、防潮、防雨等设施，并应配备通讯报警装置和工作人员防护物品。</w:t>
      </w:r>
    </w:p>
    <w:p w14:paraId="4E90BF67">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sz w:val="24"/>
          <w:highlight w:val="none"/>
          <w14:textFill>
            <w14:solidFill>
              <w14:schemeClr w14:val="tx1"/>
            </w14:solidFill>
          </w14:textFill>
        </w:rPr>
        <w:t>危险化学品贮存过程中应加强管理工作：加强危险化学品管理，建立危险化学品</w:t>
      </w:r>
      <w:r>
        <w:rPr>
          <w:rFonts w:hint="eastAsia"/>
          <w:color w:val="000000" w:themeColor="text1"/>
          <w:sz w:val="24"/>
          <w:highlight w:val="none"/>
          <w:lang w:val="en-US" w:eastAsia="zh-CN"/>
          <w14:textFill>
            <w14:solidFill>
              <w14:schemeClr w14:val="tx1"/>
            </w14:solidFill>
          </w14:textFill>
        </w:rPr>
        <w:t>入库、出库</w:t>
      </w:r>
      <w:r>
        <w:rPr>
          <w:color w:val="000000" w:themeColor="text1"/>
          <w:sz w:val="24"/>
          <w:highlight w:val="none"/>
          <w14:textFill>
            <w14:solidFill>
              <w14:schemeClr w14:val="tx1"/>
            </w14:solidFill>
          </w14:textFill>
        </w:rPr>
        <w:t>登记制度，记录危险化学品种类和数量，并存档备查；根据危险化学品性能，分区分类存放，各类危险化学品不得与禁忌物料混合存放。</w:t>
      </w:r>
    </w:p>
    <w:p w14:paraId="0BAE8A3F">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④</w:t>
      </w:r>
      <w:r>
        <w:rPr>
          <w:rFonts w:hint="default"/>
          <w:color w:val="000000" w:themeColor="text1"/>
          <w:highlight w:val="none"/>
          <w14:textFill>
            <w14:solidFill>
              <w14:schemeClr w14:val="tx1"/>
            </w14:solidFill>
          </w14:textFill>
        </w:rPr>
        <w:t>运输危险化学品，应当根据危险化学品的危险特性采取相应的安全防护措施，并配备必要的防护用品和应急救援器材。</w:t>
      </w:r>
    </w:p>
    <w:p w14:paraId="0FE6E324">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运输危险化学品的驾驶人员、船员、装卸管理人员、押运人员、申报人员、集装箱装箱现场检查员，应当了解所运输的危险化学品的危险特性及其包装物、容器的使用要求和出现危险情况时的应急处置方法。</w:t>
      </w:r>
    </w:p>
    <w:p w14:paraId="6C7D067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default"/>
          <w:color w:val="000000" w:themeColor="text1"/>
          <w:highlight w:val="none"/>
          <w14:textFill>
            <w14:solidFill>
              <w14:schemeClr w14:val="tx1"/>
            </w14:solidFill>
          </w14:textFill>
        </w:rPr>
        <w:t>通过道路运输危险化学品的，托运人应当委托依法取得危险货物道路运输许可的企业承运。</w:t>
      </w:r>
    </w:p>
    <w:p w14:paraId="1C5F6964">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color w:val="000000" w:themeColor="text1"/>
          <w:highlight w:val="none"/>
          <w14:textFill>
            <w14:solidFill>
              <w14:schemeClr w14:val="tx1"/>
            </w14:solidFill>
          </w14:textFill>
        </w:rPr>
        <w:t>通过道路运输危险化学品的，应当按照运输车辆的核定载质量装载危险化学品，不得超载。</w:t>
      </w:r>
    </w:p>
    <w:p w14:paraId="035ABAAB">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危险化学品运输车辆应当符合国家标准要求的安全技术条件，并按照国家有关规定定期进行安全技术检验。</w:t>
      </w:r>
    </w:p>
    <w:p w14:paraId="2A3254C5">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危险化学品运输车辆应当悬挂或者喷涂符合国家标准要求的警示标志。</w:t>
      </w:r>
    </w:p>
    <w:p w14:paraId="21267247">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⑦</w:t>
      </w:r>
      <w:r>
        <w:rPr>
          <w:rFonts w:hint="default"/>
          <w:color w:val="000000" w:themeColor="text1"/>
          <w:highlight w:val="none"/>
          <w14:textFill>
            <w14:solidFill>
              <w14:schemeClr w14:val="tx1"/>
            </w14:solidFill>
          </w14:textFill>
        </w:rPr>
        <w:t>通过道路运输危险化学品的，应当配备押运人员，并保证所运输的危险化学品处于押运人员的监控之下。</w:t>
      </w:r>
    </w:p>
    <w:p w14:paraId="00F6DE89">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运输危险化学品途中因住宿或者发生影响正常运输的情况，需要较长时间停车的，驾驶人员、押运人员应当采取相应的安全防范措施；运输剧毒化学品或者易制爆危险化学品的，还应当向当地公安机关报告。</w:t>
      </w:r>
    </w:p>
    <w:p w14:paraId="1AB633A3">
      <w:pPr>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⑧</w:t>
      </w:r>
      <w:r>
        <w:rPr>
          <w:rFonts w:hint="default"/>
          <w:color w:val="000000" w:themeColor="text1"/>
          <w:highlight w:val="none"/>
          <w14:textFill>
            <w14:solidFill>
              <w14:schemeClr w14:val="tx1"/>
            </w14:solidFill>
          </w14:textFill>
        </w:rPr>
        <w:t>未经公安机关批准，运输危险化学品的车辆不得进入危险化学品运输车辆限制通行的区域。危险化学品运输车辆限制通行的区域由县级人民政府公安机关划定，并设置明显的标志。</w:t>
      </w:r>
    </w:p>
    <w:p w14:paraId="36FF8C73">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⑨</w:t>
      </w:r>
      <w:r>
        <w:rPr>
          <w:rFonts w:hint="default" w:ascii="Times New Roman" w:hAnsi="Times New Roman" w:eastAsia="宋体" w:cs="Times New Roman"/>
          <w:color w:val="000000" w:themeColor="text1"/>
          <w:highlight w:val="none"/>
          <w:lang w:val="en-US" w:eastAsia="zh-CN"/>
          <w14:textFill>
            <w14:solidFill>
              <w14:schemeClr w14:val="tx1"/>
            </w14:solidFill>
          </w14:textFill>
        </w:rPr>
        <w:t>通过道路运输剧毒化学品的，托运人应当向运输始发地或者目的地县级人民政府公安机关申请剧毒化学品道路运输通行证。</w:t>
      </w:r>
    </w:p>
    <w:p w14:paraId="26F83267">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6、安全管理措施</w:t>
      </w:r>
    </w:p>
    <w:p w14:paraId="439C2BD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认真贯彻落实《中华人民共和国安全生产法》、《中华人民共和国消防法》和《危险化学品安全管理条例》等法律、法规，依法对生产使用的危险化学品进行登记、归档管理，在生产使用车间和容器暂存地点设置明显的危险</w:t>
      </w:r>
      <w:r>
        <w:rPr>
          <w:rFonts w:hint="eastAsia"/>
          <w:color w:val="000000" w:themeColor="text1"/>
          <w:highlight w:val="none"/>
          <w:lang w:val="en-US" w:eastAsia="zh-CN"/>
          <w14:textFill>
            <w14:solidFill>
              <w14:schemeClr w14:val="tx1"/>
            </w14:solidFill>
          </w14:textFill>
        </w:rPr>
        <w:t>化学</w:t>
      </w:r>
      <w:r>
        <w:rPr>
          <w:rFonts w:hint="eastAsia"/>
          <w:color w:val="000000" w:themeColor="text1"/>
          <w:highlight w:val="none"/>
          <w14:textFill>
            <w14:solidFill>
              <w14:schemeClr w14:val="tx1"/>
            </w14:solidFill>
          </w14:textFill>
        </w:rPr>
        <w:t>品标志。建立、健全安全生产责任制度，把安全生产责任落实到岗位和个人。定期组织安全检查，及时消除事故隐患，强化对危险源的监控。</w:t>
      </w:r>
    </w:p>
    <w:p w14:paraId="1B98EA9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加强对从业人员安全宣传、教育和培训，严格实行从业人员资格和持证上岗制度，促使其提高安全防范意识，掌握预防和处置危化品初期泄露事故的技能，杜绝违规操作。</w:t>
      </w:r>
    </w:p>
    <w:p w14:paraId="7A328745">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本企业的生产规模和工艺特点，建立相应的兼职处置队伍，购置处置危化品泄露事故的相关设备、器材，经常组织应急处置人员熟悉本岗位、本工段、本车间、本单位危化品的种类、理化性质和生产工艺流程，使其掌握预防危化品泄露事故发生的知识和处置初期泄露事故的技能。</w:t>
      </w:r>
    </w:p>
    <w:p w14:paraId="2664964A">
      <w:pPr>
        <w:ind w:firstLine="482"/>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7、施工期风险防范措施：</w:t>
      </w:r>
    </w:p>
    <w:p w14:paraId="24CF7BE9">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现场安全管控</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在施工现场设置明显的安全警示标志，划定禁止区域，并保证只有经过相关培训和合格的人员可以进入施工现场。同时，应采取适当的防护措施，包括戴好安全帽、安全鞋、防护服等。</w:t>
      </w:r>
    </w:p>
    <w:p w14:paraId="474C242F">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安全培训和教育</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对施工人员进行必要的安全培训和教育，包括施工的相关知识和操作规程，以提高他们施工安全的意识和理解。</w:t>
      </w:r>
    </w:p>
    <w:p w14:paraId="1FF0E67C">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安全设备的应用</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使用适当的安全设备来保护施工人员的安全，例如使用安全带、安全绳等进行高空作业时的防护，使用防爆电器设备等。</w:t>
      </w:r>
    </w:p>
    <w:p w14:paraId="52133F75">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lang w:val="en-US" w:eastAsia="zh-CN"/>
          <w14:textFill>
            <w14:solidFill>
              <w14:schemeClr w14:val="tx1"/>
            </w14:solidFill>
          </w14:textFill>
        </w:rPr>
        <w:t>施工过程管理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对施工过程进行全程监控和管理，确保施工过程符合相关标准和规范，避免施工中产生安全事故。</w:t>
      </w:r>
    </w:p>
    <w:p w14:paraId="39DA14C4">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default"/>
          <w:color w:val="000000" w:themeColor="text1"/>
          <w:highlight w:val="none"/>
          <w:lang w:val="en-US" w:eastAsia="zh-CN"/>
          <w14:textFill>
            <w14:solidFill>
              <w14:schemeClr w14:val="tx1"/>
            </w14:solidFill>
          </w14:textFill>
        </w:rPr>
        <w:t>检验和试运行</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在施工完成后，对</w:t>
      </w:r>
      <w:r>
        <w:rPr>
          <w:rFonts w:hint="eastAsia"/>
          <w:color w:val="000000" w:themeColor="text1"/>
          <w:highlight w:val="none"/>
          <w:lang w:val="en-US" w:eastAsia="zh-CN"/>
          <w14:textFill>
            <w14:solidFill>
              <w14:schemeClr w14:val="tx1"/>
            </w14:solidFill>
          </w14:textFill>
        </w:rPr>
        <w:t>乙类库</w:t>
      </w:r>
      <w:r>
        <w:rPr>
          <w:rFonts w:hint="default"/>
          <w:color w:val="000000" w:themeColor="text1"/>
          <w:highlight w:val="none"/>
          <w:lang w:val="en-US" w:eastAsia="zh-CN"/>
          <w14:textFill>
            <w14:solidFill>
              <w14:schemeClr w14:val="tx1"/>
            </w14:solidFill>
          </w14:textFill>
        </w:rPr>
        <w:t>进行全面检验和试运行，确保安全性和性能符合要求。</w:t>
      </w:r>
    </w:p>
    <w:p w14:paraId="1E09CF73">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color w:val="000000" w:themeColor="text1"/>
          <w:highlight w:val="none"/>
          <w:lang w:val="en-US" w:eastAsia="zh-CN"/>
          <w14:textFill>
            <w14:solidFill>
              <w14:schemeClr w14:val="tx1"/>
            </w14:solidFill>
          </w14:textFill>
        </w:rPr>
        <w:t>应急处置措施</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制定应急预案，明确施工过程中可能出现的各类安全事故的预防和应急处置措施，确保能够及时有效地应对突发事件。</w:t>
      </w:r>
    </w:p>
    <w:p w14:paraId="64F0EF6E">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⑦</w:t>
      </w:r>
      <w:r>
        <w:rPr>
          <w:rFonts w:hint="default"/>
          <w:color w:val="000000" w:themeColor="text1"/>
          <w:highlight w:val="none"/>
          <w:lang w:val="en-US" w:eastAsia="zh-CN"/>
          <w14:textFill>
            <w14:solidFill>
              <w14:schemeClr w14:val="tx1"/>
            </w14:solidFill>
          </w14:textFill>
        </w:rPr>
        <w:t>定期维护和检修</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仓库</w:t>
      </w:r>
      <w:r>
        <w:rPr>
          <w:rFonts w:hint="default"/>
          <w:color w:val="000000" w:themeColor="text1"/>
          <w:highlight w:val="none"/>
          <w:lang w:val="en-US" w:eastAsia="zh-CN"/>
          <w14:textFill>
            <w14:solidFill>
              <w14:schemeClr w14:val="tx1"/>
            </w14:solidFill>
          </w14:textFill>
        </w:rPr>
        <w:t>进行定期的维护和检修，及时发现和处理</w:t>
      </w:r>
      <w:r>
        <w:rPr>
          <w:rFonts w:hint="eastAsia"/>
          <w:color w:val="000000" w:themeColor="text1"/>
          <w:highlight w:val="none"/>
          <w:lang w:val="en-US" w:eastAsia="zh-CN"/>
          <w14:textFill>
            <w14:solidFill>
              <w14:schemeClr w14:val="tx1"/>
            </w14:solidFill>
          </w14:textFill>
        </w:rPr>
        <w:t>仓库</w:t>
      </w:r>
      <w:r>
        <w:rPr>
          <w:rFonts w:hint="default"/>
          <w:color w:val="000000" w:themeColor="text1"/>
          <w:highlight w:val="none"/>
          <w:lang w:val="en-US" w:eastAsia="zh-CN"/>
          <w14:textFill>
            <w14:solidFill>
              <w14:schemeClr w14:val="tx1"/>
            </w14:solidFill>
          </w14:textFill>
        </w:rPr>
        <w:t>存在的安全隐患，以确保</w:t>
      </w:r>
      <w:r>
        <w:rPr>
          <w:rFonts w:hint="eastAsia"/>
          <w:color w:val="000000" w:themeColor="text1"/>
          <w:highlight w:val="none"/>
          <w:lang w:val="en-US" w:eastAsia="zh-CN"/>
          <w14:textFill>
            <w14:solidFill>
              <w14:schemeClr w14:val="tx1"/>
            </w14:solidFill>
          </w14:textFill>
        </w:rPr>
        <w:t>仓库</w:t>
      </w:r>
      <w:r>
        <w:rPr>
          <w:rFonts w:hint="default"/>
          <w:color w:val="000000" w:themeColor="text1"/>
          <w:highlight w:val="none"/>
          <w:lang w:val="en-US" w:eastAsia="zh-CN"/>
          <w14:textFill>
            <w14:solidFill>
              <w14:schemeClr w14:val="tx1"/>
            </w14:solidFill>
          </w14:textFill>
        </w:rPr>
        <w:t>在使用过程中的安全可靠</w:t>
      </w:r>
      <w:r>
        <w:rPr>
          <w:rFonts w:hint="eastAsia"/>
          <w:color w:val="000000" w:themeColor="text1"/>
          <w:highlight w:val="none"/>
          <w:lang w:val="en-US" w:eastAsia="zh-CN"/>
          <w14:textFill>
            <w14:solidFill>
              <w14:schemeClr w14:val="tx1"/>
            </w14:solidFill>
          </w14:textFill>
        </w:rPr>
        <w:t>。</w:t>
      </w:r>
    </w:p>
    <w:p w14:paraId="13815DDB">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⑧</w:t>
      </w:r>
      <w:r>
        <w:rPr>
          <w:rFonts w:hint="default"/>
          <w:color w:val="000000" w:themeColor="text1"/>
          <w:highlight w:val="none"/>
          <w:lang w:val="en-US" w:eastAsia="zh-CN"/>
          <w14:textFill>
            <w14:solidFill>
              <w14:schemeClr w14:val="tx1"/>
            </w14:solidFill>
          </w14:textFill>
        </w:rPr>
        <w:t>安全文化建设</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建立健全的安全管理体系，强化安全文化建设，通过奖惩机制和安全意识教育等方式，培养施工人员的安全责任感和安全习惯。</w:t>
      </w:r>
    </w:p>
    <w:p w14:paraId="05F367A7">
      <w:pPr>
        <w:ind w:firstLine="480"/>
        <w:rPr>
          <w:rFonts w:hint="eastAsia"/>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⑨</w:t>
      </w:r>
      <w:r>
        <w:rPr>
          <w:rFonts w:hint="default" w:ascii="Times New Roman" w:hAnsi="Times New Roman" w:cs="Times New Roman"/>
          <w:color w:val="000000" w:themeColor="text1"/>
          <w:highlight w:val="none"/>
          <w:lang w:val="en-US" w:eastAsia="zh-CN"/>
          <w14:textFill>
            <w14:solidFill>
              <w14:schemeClr w14:val="tx1"/>
            </w14:solidFill>
          </w14:textFill>
        </w:rPr>
        <w:t>设立禁火警示标志，对厂区定期进行巡检排除火灾、爆炸事故潜在危险源。定期开展火灾演习、演练使用消防器材等。</w:t>
      </w:r>
    </w:p>
    <w:p w14:paraId="221EEBCC">
      <w:pPr>
        <w:pStyle w:val="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8.应急预案</w:t>
      </w:r>
    </w:p>
    <w:p w14:paraId="5CD80A92">
      <w:pPr>
        <w:ind w:firstLine="48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应制定风险事故应急预案以便在发生风险事故时，能以最快的速度发挥最大的效能，有序的实施救援，尽快控制事态的发展，降低事故造成的危害，减少事故造成的损失。应急预案应包含以下内容，详见</w:t>
      </w:r>
      <w:r>
        <w:rPr>
          <w:rFonts w:hint="eastAsia"/>
          <w:color w:val="000000" w:themeColor="text1"/>
          <w:highlight w:val="none"/>
          <w:lang w:val="en-US" w:eastAsia="zh-CN"/>
          <w14:textFill>
            <w14:solidFill>
              <w14:schemeClr w14:val="tx1"/>
            </w14:solidFill>
          </w14:textFill>
        </w:rPr>
        <w:t>下</w:t>
      </w:r>
      <w:r>
        <w:rPr>
          <w:rFonts w:hint="eastAsia"/>
          <w:color w:val="000000" w:themeColor="text1"/>
          <w:highlight w:val="none"/>
          <w:lang w:eastAsia="zh-CN"/>
          <w14:textFill>
            <w14:solidFill>
              <w14:schemeClr w14:val="tx1"/>
            </w14:solidFill>
          </w14:textFill>
        </w:rPr>
        <w:t>表。</w:t>
      </w:r>
    </w:p>
    <w:p w14:paraId="0CAD7E41">
      <w:pPr>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 xml:space="preserve">8-1   </w:t>
      </w:r>
      <w:r>
        <w:rPr>
          <w:rFonts w:hint="eastAsia"/>
          <w:b/>
          <w:bCs/>
          <w:color w:val="000000" w:themeColor="text1"/>
          <w:sz w:val="21"/>
          <w:szCs w:val="21"/>
          <w:highlight w:val="none"/>
          <w14:textFill>
            <w14:solidFill>
              <w14:schemeClr w14:val="tx1"/>
            </w14:solidFill>
          </w14:textFill>
        </w:rPr>
        <w:t>应急预案的主要内容</w:t>
      </w:r>
    </w:p>
    <w:p w14:paraId="3DA6C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44820" cy="3296920"/>
            <wp:effectExtent l="0" t="0" r="17780" b="1778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7"/>
                    <a:stretch>
                      <a:fillRect/>
                    </a:stretch>
                  </pic:blipFill>
                  <pic:spPr>
                    <a:xfrm>
                      <a:off x="0" y="0"/>
                      <a:ext cx="5544820" cy="3296920"/>
                    </a:xfrm>
                    <a:prstGeom prst="rect">
                      <a:avLst/>
                    </a:prstGeom>
                    <a:noFill/>
                    <a:ln>
                      <a:noFill/>
                    </a:ln>
                  </pic:spPr>
                </pic:pic>
              </a:graphicData>
            </a:graphic>
          </wp:inline>
        </w:drawing>
      </w:r>
    </w:p>
    <w:p w14:paraId="3C34D43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39740" cy="3283585"/>
            <wp:effectExtent l="0" t="0" r="3810" b="1206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38"/>
                    <a:stretch>
                      <a:fillRect/>
                    </a:stretch>
                  </pic:blipFill>
                  <pic:spPr>
                    <a:xfrm>
                      <a:off x="0" y="0"/>
                      <a:ext cx="5539740" cy="3283585"/>
                    </a:xfrm>
                    <a:prstGeom prst="rect">
                      <a:avLst/>
                    </a:prstGeom>
                    <a:noFill/>
                    <a:ln>
                      <a:noFill/>
                    </a:ln>
                  </pic:spPr>
                </pic:pic>
              </a:graphicData>
            </a:graphic>
          </wp:inline>
        </w:drawing>
      </w:r>
    </w:p>
    <w:p w14:paraId="2F91A949">
      <w:pP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本项目主体已制定了有效的突发环境事件应急预案，并在主管部门备案。本项目建成后更新全厂（包括本项目在内的）环境风险应急预案。</w:t>
      </w:r>
    </w:p>
    <w:p w14:paraId="4D876729">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此外，企业也应加强对相关管理人员的日常培训，并对相关应急设施进行定期检修及维护，降低环境风险事故发生的概率，将事故范围降到最低。</w:t>
      </w:r>
    </w:p>
    <w:p w14:paraId="56D2D38C">
      <w:pPr>
        <w:ind w:firstLine="0" w:firstLineChars="0"/>
        <w:rPr>
          <w:b/>
          <w:bCs/>
          <w:color w:val="000000" w:themeColor="text1"/>
          <w:kern w:val="44"/>
          <w:sz w:val="30"/>
          <w:szCs w:val="30"/>
          <w:highlight w:val="none"/>
          <w14:textFill>
            <w14:solidFill>
              <w14:schemeClr w14:val="tx1"/>
            </w14:solidFill>
          </w14:textFill>
        </w:rPr>
      </w:pPr>
      <w:r>
        <w:rPr>
          <w:rFonts w:hint="eastAsia"/>
          <w:b/>
          <w:bCs/>
          <w:color w:val="000000" w:themeColor="text1"/>
          <w:kern w:val="44"/>
          <w:sz w:val="30"/>
          <w:szCs w:val="30"/>
          <w:highlight w:val="none"/>
          <w14:textFill>
            <w14:solidFill>
              <w14:schemeClr w14:val="tx1"/>
            </w14:solidFill>
          </w14:textFill>
        </w:rPr>
        <w:t>9.结论</w:t>
      </w:r>
    </w:p>
    <w:p w14:paraId="4590F14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根据上述分析，本项目运营期可能发生的环境风险事故为暂存的</w:t>
      </w:r>
      <w:r>
        <w:rPr>
          <w:rFonts w:hint="eastAsia"/>
          <w:color w:val="000000" w:themeColor="text1"/>
          <w:highlight w:val="none"/>
          <w:lang w:val="en-US" w:eastAsia="zh-CN"/>
          <w14:textFill>
            <w14:solidFill>
              <w14:schemeClr w14:val="tx1"/>
            </w14:solidFill>
          </w14:textFill>
        </w:rPr>
        <w:t>硫磺</w:t>
      </w:r>
      <w:r>
        <w:rPr>
          <w:rFonts w:hint="eastAsia"/>
          <w:color w:val="000000" w:themeColor="text1"/>
          <w:highlight w:val="none"/>
          <w14:textFill>
            <w14:solidFill>
              <w14:schemeClr w14:val="tx1"/>
            </w14:solidFill>
          </w14:textFill>
        </w:rPr>
        <w:t>在燃烧的条件下，可能产生次生污染物造成的大气环境风险，在企业认真做好环境风险防控措施的条件下，本项目环境风险可防控。企业应严格执行《企业事业单位突发环境事件应急预案备案管理办法（试行）》（环发[2015]4号文），及时编制环境风险应急预案，并进行风险防控演练，加强管理，防控环境风险。</w:t>
      </w:r>
    </w:p>
    <w:p w14:paraId="68750B4E">
      <w:pPr>
        <w:ind w:firstLine="422"/>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9</w:t>
      </w:r>
      <w:r>
        <w:rPr>
          <w:rFonts w:hint="eastAsia"/>
          <w:b/>
          <w:bCs/>
          <w:color w:val="000000" w:themeColor="text1"/>
          <w:sz w:val="21"/>
          <w:szCs w:val="21"/>
          <w:highlight w:val="none"/>
          <w14:textFill>
            <w14:solidFill>
              <w14:schemeClr w14:val="tx1"/>
            </w14:solidFill>
          </w14:textFill>
        </w:rPr>
        <w:t>-1 环境风险评价自查表</w:t>
      </w:r>
    </w:p>
    <w:tbl>
      <w:tblPr>
        <w:tblStyle w:val="88"/>
        <w:tblW w:w="946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1171"/>
        <w:gridCol w:w="1239"/>
        <w:gridCol w:w="311"/>
        <w:gridCol w:w="538"/>
        <w:gridCol w:w="851"/>
        <w:gridCol w:w="86"/>
        <w:gridCol w:w="665"/>
        <w:gridCol w:w="837"/>
        <w:gridCol w:w="753"/>
        <w:gridCol w:w="98"/>
        <w:gridCol w:w="903"/>
        <w:gridCol w:w="807"/>
        <w:gridCol w:w="807"/>
      </w:tblGrid>
      <w:tr w14:paraId="78E5E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572" w:type="dxa"/>
            <w:gridSpan w:val="2"/>
            <w:tcBorders>
              <w:top w:val="single" w:color="000000" w:sz="6" w:space="0"/>
              <w:left w:val="single" w:color="000000" w:sz="6" w:space="0"/>
            </w:tcBorders>
            <w:vAlign w:val="center"/>
          </w:tcPr>
          <w:p w14:paraId="7B2C646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工作内容</w:t>
            </w:r>
          </w:p>
        </w:tc>
        <w:tc>
          <w:tcPr>
            <w:tcW w:w="7895" w:type="dxa"/>
            <w:gridSpan w:val="12"/>
            <w:tcBorders>
              <w:top w:val="single" w:color="000000" w:sz="6" w:space="0"/>
              <w:right w:val="single" w:color="000000" w:sz="6" w:space="0"/>
            </w:tcBorders>
            <w:vAlign w:val="center"/>
          </w:tcPr>
          <w:p w14:paraId="1FC2149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完成情况</w:t>
            </w:r>
          </w:p>
        </w:tc>
      </w:tr>
      <w:tr w14:paraId="2953E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restart"/>
            <w:tcBorders>
              <w:left w:val="single" w:color="000000" w:sz="6" w:space="0"/>
              <w:bottom w:val="nil"/>
            </w:tcBorders>
            <w:vAlign w:val="center"/>
          </w:tcPr>
          <w:p w14:paraId="3FC6CAA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风险调查</w:t>
            </w:r>
          </w:p>
        </w:tc>
        <w:tc>
          <w:tcPr>
            <w:tcW w:w="1171" w:type="dxa"/>
            <w:vMerge w:val="restart"/>
            <w:tcBorders>
              <w:bottom w:val="nil"/>
            </w:tcBorders>
            <w:vAlign w:val="center"/>
          </w:tcPr>
          <w:p w14:paraId="543643C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危险物质</w:t>
            </w:r>
          </w:p>
        </w:tc>
        <w:tc>
          <w:tcPr>
            <w:tcW w:w="1239" w:type="dxa"/>
            <w:vAlign w:val="center"/>
          </w:tcPr>
          <w:p w14:paraId="0B19521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名称</w:t>
            </w:r>
          </w:p>
        </w:tc>
        <w:tc>
          <w:tcPr>
            <w:tcW w:w="849" w:type="dxa"/>
            <w:gridSpan w:val="2"/>
            <w:vAlign w:val="center"/>
          </w:tcPr>
          <w:p w14:paraId="1115F1A4">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硫磺</w:t>
            </w:r>
          </w:p>
        </w:tc>
        <w:tc>
          <w:tcPr>
            <w:tcW w:w="851" w:type="dxa"/>
            <w:vAlign w:val="center"/>
          </w:tcPr>
          <w:p w14:paraId="0D5B9FC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751" w:type="dxa"/>
            <w:gridSpan w:val="2"/>
            <w:vAlign w:val="center"/>
          </w:tcPr>
          <w:p w14:paraId="3346424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37" w:type="dxa"/>
            <w:vAlign w:val="center"/>
          </w:tcPr>
          <w:p w14:paraId="03C0711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51" w:type="dxa"/>
            <w:gridSpan w:val="2"/>
            <w:vAlign w:val="center"/>
          </w:tcPr>
          <w:p w14:paraId="180FC27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903" w:type="dxa"/>
            <w:vAlign w:val="center"/>
          </w:tcPr>
          <w:p w14:paraId="7C92E43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07" w:type="dxa"/>
            <w:vAlign w:val="center"/>
          </w:tcPr>
          <w:p w14:paraId="04E12A3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07" w:type="dxa"/>
            <w:tcBorders>
              <w:right w:val="single" w:color="000000" w:sz="6" w:space="0"/>
            </w:tcBorders>
            <w:vAlign w:val="center"/>
          </w:tcPr>
          <w:p w14:paraId="10DC92D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r>
      <w:tr w14:paraId="05BBA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continue"/>
            <w:tcBorders>
              <w:top w:val="nil"/>
              <w:left w:val="single" w:color="000000" w:sz="6" w:space="0"/>
              <w:bottom w:val="nil"/>
            </w:tcBorders>
            <w:textDirection w:val="tbRlV"/>
            <w:vAlign w:val="center"/>
          </w:tcPr>
          <w:p w14:paraId="2CFE56E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tcBorders>
            <w:vAlign w:val="center"/>
          </w:tcPr>
          <w:p w14:paraId="363E5F7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Align w:val="center"/>
          </w:tcPr>
          <w:p w14:paraId="3BF37DB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存在总量/t</w:t>
            </w:r>
          </w:p>
        </w:tc>
        <w:tc>
          <w:tcPr>
            <w:tcW w:w="849" w:type="dxa"/>
            <w:gridSpan w:val="2"/>
            <w:vAlign w:val="center"/>
          </w:tcPr>
          <w:p w14:paraId="387D9636">
            <w:pPr>
              <w:pStyle w:val="24"/>
              <w:spacing w:before="0" w:beforeAutospacing="0" w:after="0" w:afterAutospacing="0"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70</w:t>
            </w:r>
          </w:p>
        </w:tc>
        <w:tc>
          <w:tcPr>
            <w:tcW w:w="851" w:type="dxa"/>
            <w:vAlign w:val="center"/>
          </w:tcPr>
          <w:p w14:paraId="38DBBDA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751" w:type="dxa"/>
            <w:gridSpan w:val="2"/>
            <w:vAlign w:val="center"/>
          </w:tcPr>
          <w:p w14:paraId="199FCC8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37" w:type="dxa"/>
            <w:vAlign w:val="center"/>
          </w:tcPr>
          <w:p w14:paraId="3056D7C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51" w:type="dxa"/>
            <w:gridSpan w:val="2"/>
            <w:vAlign w:val="center"/>
          </w:tcPr>
          <w:p w14:paraId="1A80107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903" w:type="dxa"/>
            <w:vAlign w:val="center"/>
          </w:tcPr>
          <w:p w14:paraId="705CD05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07" w:type="dxa"/>
            <w:vAlign w:val="center"/>
          </w:tcPr>
          <w:p w14:paraId="166AC47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807" w:type="dxa"/>
            <w:tcBorders>
              <w:right w:val="single" w:color="000000" w:sz="6" w:space="0"/>
            </w:tcBorders>
            <w:vAlign w:val="center"/>
          </w:tcPr>
          <w:p w14:paraId="6649A25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r>
      <w:tr w14:paraId="1F6FF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401" w:type="dxa"/>
            <w:vMerge w:val="continue"/>
            <w:tcBorders>
              <w:top w:val="nil"/>
              <w:left w:val="single" w:color="000000" w:sz="6" w:space="0"/>
              <w:bottom w:val="nil"/>
            </w:tcBorders>
            <w:textDirection w:val="tbRlV"/>
            <w:vAlign w:val="center"/>
          </w:tcPr>
          <w:p w14:paraId="0F7B758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restart"/>
            <w:tcBorders>
              <w:bottom w:val="nil"/>
            </w:tcBorders>
            <w:vAlign w:val="center"/>
          </w:tcPr>
          <w:p w14:paraId="7BB9879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环境敏感性</w:t>
            </w:r>
          </w:p>
        </w:tc>
        <w:tc>
          <w:tcPr>
            <w:tcW w:w="1239" w:type="dxa"/>
            <w:vMerge w:val="restart"/>
            <w:tcBorders>
              <w:bottom w:val="nil"/>
            </w:tcBorders>
            <w:vAlign w:val="center"/>
          </w:tcPr>
          <w:p w14:paraId="0923A80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w:t>
            </w:r>
          </w:p>
        </w:tc>
        <w:tc>
          <w:tcPr>
            <w:tcW w:w="3288" w:type="dxa"/>
            <w:gridSpan w:val="6"/>
            <w:vAlign w:val="center"/>
          </w:tcPr>
          <w:p w14:paraId="4F3056F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500 m 范围内人口数</w:t>
            </w:r>
            <w:r>
              <w:rPr>
                <w:rFonts w:hint="eastAsia" w:ascii="Times New Roman" w:hAnsi="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color w:val="000000" w:themeColor="text1"/>
                <w:sz w:val="21"/>
                <w:szCs w:val="21"/>
                <w:highlight w:val="none"/>
                <w14:textFill>
                  <w14:solidFill>
                    <w14:schemeClr w14:val="tx1"/>
                  </w14:solidFill>
                </w14:textFill>
              </w:rPr>
              <w:t>人</w:t>
            </w:r>
          </w:p>
        </w:tc>
        <w:tc>
          <w:tcPr>
            <w:tcW w:w="3368" w:type="dxa"/>
            <w:gridSpan w:val="5"/>
            <w:tcBorders>
              <w:right w:val="single" w:color="000000" w:sz="6" w:space="0"/>
            </w:tcBorders>
            <w:vAlign w:val="center"/>
          </w:tcPr>
          <w:p w14:paraId="0AB1B2B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olor w:val="000000" w:themeColor="text1"/>
                <w:sz w:val="21"/>
                <w:szCs w:val="21"/>
                <w:highlight w:val="none"/>
                <w14:textFill>
                  <w14:solidFill>
                    <w14:schemeClr w14:val="tx1"/>
                  </w14:solidFill>
                </w14:textFill>
              </w:rPr>
              <w:t xml:space="preserve"> km 范围内人口数  人</w:t>
            </w:r>
          </w:p>
        </w:tc>
      </w:tr>
      <w:tr w14:paraId="76FD1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401" w:type="dxa"/>
            <w:vMerge w:val="continue"/>
            <w:tcBorders>
              <w:top w:val="nil"/>
              <w:left w:val="single" w:color="000000" w:sz="6" w:space="0"/>
              <w:bottom w:val="nil"/>
            </w:tcBorders>
            <w:textDirection w:val="tbRlV"/>
            <w:vAlign w:val="center"/>
          </w:tcPr>
          <w:p w14:paraId="5E2E04D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bottom w:val="nil"/>
            </w:tcBorders>
            <w:vAlign w:val="center"/>
          </w:tcPr>
          <w:p w14:paraId="0D2E1C8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Merge w:val="continue"/>
            <w:tcBorders>
              <w:top w:val="nil"/>
            </w:tcBorders>
            <w:vAlign w:val="center"/>
          </w:tcPr>
          <w:p w14:paraId="64C0B64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5042" w:type="dxa"/>
            <w:gridSpan w:val="9"/>
            <w:vAlign w:val="center"/>
          </w:tcPr>
          <w:p w14:paraId="4F29BE9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每公里管段周边 200 m 范围内人口数（最大）</w:t>
            </w:r>
          </w:p>
        </w:tc>
        <w:tc>
          <w:tcPr>
            <w:tcW w:w="1614" w:type="dxa"/>
            <w:gridSpan w:val="2"/>
            <w:tcBorders>
              <w:right w:val="single" w:color="000000" w:sz="6" w:space="0"/>
            </w:tcBorders>
            <w:vAlign w:val="center"/>
          </w:tcPr>
          <w:p w14:paraId="5B60FB0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人</w:t>
            </w:r>
          </w:p>
        </w:tc>
      </w:tr>
      <w:tr w14:paraId="0ED4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401" w:type="dxa"/>
            <w:vMerge w:val="continue"/>
            <w:tcBorders>
              <w:top w:val="nil"/>
              <w:left w:val="single" w:color="000000" w:sz="6" w:space="0"/>
              <w:bottom w:val="nil"/>
            </w:tcBorders>
            <w:textDirection w:val="tbRlV"/>
            <w:vAlign w:val="center"/>
          </w:tcPr>
          <w:p w14:paraId="6F55983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bottom w:val="nil"/>
            </w:tcBorders>
            <w:vAlign w:val="center"/>
          </w:tcPr>
          <w:p w14:paraId="0EE84BD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Merge w:val="restart"/>
            <w:tcBorders>
              <w:bottom w:val="nil"/>
            </w:tcBorders>
            <w:vAlign w:val="center"/>
          </w:tcPr>
          <w:p w14:paraId="4B4FC23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w:t>
            </w:r>
          </w:p>
        </w:tc>
        <w:tc>
          <w:tcPr>
            <w:tcW w:w="1786" w:type="dxa"/>
            <w:gridSpan w:val="4"/>
            <w:vAlign w:val="center"/>
          </w:tcPr>
          <w:p w14:paraId="5D61151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地表水功能敏感性</w:t>
            </w:r>
          </w:p>
        </w:tc>
        <w:tc>
          <w:tcPr>
            <w:tcW w:w="1502" w:type="dxa"/>
            <w:gridSpan w:val="2"/>
            <w:vAlign w:val="center"/>
          </w:tcPr>
          <w:p w14:paraId="460703D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F1  □</w:t>
            </w:r>
          </w:p>
        </w:tc>
        <w:tc>
          <w:tcPr>
            <w:tcW w:w="1754" w:type="dxa"/>
            <w:gridSpan w:val="3"/>
            <w:vAlign w:val="center"/>
          </w:tcPr>
          <w:p w14:paraId="1DC545F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F2  □</w:t>
            </w:r>
          </w:p>
        </w:tc>
        <w:tc>
          <w:tcPr>
            <w:tcW w:w="1614" w:type="dxa"/>
            <w:gridSpan w:val="2"/>
            <w:tcBorders>
              <w:right w:val="single" w:color="000000" w:sz="6" w:space="0"/>
            </w:tcBorders>
            <w:vAlign w:val="center"/>
          </w:tcPr>
          <w:p w14:paraId="420647E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F3  ☑</w:t>
            </w:r>
          </w:p>
        </w:tc>
      </w:tr>
      <w:tr w14:paraId="47163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401" w:type="dxa"/>
            <w:vMerge w:val="continue"/>
            <w:tcBorders>
              <w:top w:val="nil"/>
              <w:left w:val="single" w:color="000000" w:sz="6" w:space="0"/>
              <w:bottom w:val="nil"/>
            </w:tcBorders>
            <w:textDirection w:val="tbRlV"/>
            <w:vAlign w:val="center"/>
          </w:tcPr>
          <w:p w14:paraId="119165D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bottom w:val="nil"/>
            </w:tcBorders>
            <w:vAlign w:val="center"/>
          </w:tcPr>
          <w:p w14:paraId="39810C3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Merge w:val="continue"/>
            <w:tcBorders>
              <w:top w:val="nil"/>
            </w:tcBorders>
            <w:vAlign w:val="center"/>
          </w:tcPr>
          <w:p w14:paraId="3B42B87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786" w:type="dxa"/>
            <w:gridSpan w:val="4"/>
            <w:vAlign w:val="center"/>
          </w:tcPr>
          <w:p w14:paraId="45ADB36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环境敏感目标分级</w:t>
            </w:r>
          </w:p>
        </w:tc>
        <w:tc>
          <w:tcPr>
            <w:tcW w:w="1502" w:type="dxa"/>
            <w:gridSpan w:val="2"/>
            <w:vAlign w:val="center"/>
          </w:tcPr>
          <w:p w14:paraId="7075ED7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S1  □</w:t>
            </w:r>
          </w:p>
        </w:tc>
        <w:tc>
          <w:tcPr>
            <w:tcW w:w="1754" w:type="dxa"/>
            <w:gridSpan w:val="3"/>
            <w:vAlign w:val="center"/>
          </w:tcPr>
          <w:p w14:paraId="3C5EF49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S2  □</w:t>
            </w:r>
          </w:p>
        </w:tc>
        <w:tc>
          <w:tcPr>
            <w:tcW w:w="1614" w:type="dxa"/>
            <w:gridSpan w:val="2"/>
            <w:tcBorders>
              <w:right w:val="single" w:color="000000" w:sz="6" w:space="0"/>
            </w:tcBorders>
            <w:vAlign w:val="center"/>
          </w:tcPr>
          <w:p w14:paraId="091F723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S3  ☑</w:t>
            </w:r>
          </w:p>
        </w:tc>
      </w:tr>
      <w:tr w14:paraId="1EA10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continue"/>
            <w:tcBorders>
              <w:top w:val="nil"/>
              <w:left w:val="single" w:color="000000" w:sz="6" w:space="0"/>
              <w:bottom w:val="nil"/>
            </w:tcBorders>
            <w:textDirection w:val="tbRlV"/>
            <w:vAlign w:val="center"/>
          </w:tcPr>
          <w:p w14:paraId="19D4D27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bottom w:val="nil"/>
            </w:tcBorders>
            <w:vAlign w:val="center"/>
          </w:tcPr>
          <w:p w14:paraId="3663723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Merge w:val="restart"/>
            <w:tcBorders>
              <w:bottom w:val="nil"/>
            </w:tcBorders>
            <w:vAlign w:val="center"/>
          </w:tcPr>
          <w:p w14:paraId="587558A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w:t>
            </w:r>
          </w:p>
        </w:tc>
        <w:tc>
          <w:tcPr>
            <w:tcW w:w="1786" w:type="dxa"/>
            <w:gridSpan w:val="4"/>
            <w:vAlign w:val="center"/>
          </w:tcPr>
          <w:p w14:paraId="7DB38E4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地下水功能敏感性</w:t>
            </w:r>
          </w:p>
        </w:tc>
        <w:tc>
          <w:tcPr>
            <w:tcW w:w="1502" w:type="dxa"/>
            <w:gridSpan w:val="2"/>
            <w:vAlign w:val="center"/>
          </w:tcPr>
          <w:p w14:paraId="0D7DF47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G1  □</w:t>
            </w:r>
          </w:p>
        </w:tc>
        <w:tc>
          <w:tcPr>
            <w:tcW w:w="1754" w:type="dxa"/>
            <w:gridSpan w:val="3"/>
            <w:vAlign w:val="center"/>
          </w:tcPr>
          <w:p w14:paraId="7D1C3E0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G2  □</w:t>
            </w:r>
          </w:p>
        </w:tc>
        <w:tc>
          <w:tcPr>
            <w:tcW w:w="1614" w:type="dxa"/>
            <w:gridSpan w:val="2"/>
            <w:tcBorders>
              <w:right w:val="single" w:color="000000" w:sz="6" w:space="0"/>
            </w:tcBorders>
            <w:vAlign w:val="center"/>
          </w:tcPr>
          <w:p w14:paraId="37A0B1D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G3  ☑</w:t>
            </w:r>
          </w:p>
        </w:tc>
      </w:tr>
      <w:tr w14:paraId="28847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continue"/>
            <w:tcBorders>
              <w:top w:val="nil"/>
              <w:left w:val="single" w:color="000000" w:sz="6" w:space="0"/>
            </w:tcBorders>
            <w:textDirection w:val="tbRlV"/>
            <w:vAlign w:val="center"/>
          </w:tcPr>
          <w:p w14:paraId="68B6263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tcBorders>
            <w:vAlign w:val="center"/>
          </w:tcPr>
          <w:p w14:paraId="410E4D4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Merge w:val="continue"/>
            <w:tcBorders>
              <w:top w:val="nil"/>
            </w:tcBorders>
            <w:vAlign w:val="center"/>
          </w:tcPr>
          <w:p w14:paraId="0B8E169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786" w:type="dxa"/>
            <w:gridSpan w:val="4"/>
            <w:vAlign w:val="center"/>
          </w:tcPr>
          <w:p w14:paraId="0B0230F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包气带防污性能</w:t>
            </w:r>
          </w:p>
        </w:tc>
        <w:tc>
          <w:tcPr>
            <w:tcW w:w="1502" w:type="dxa"/>
            <w:gridSpan w:val="2"/>
            <w:vAlign w:val="center"/>
          </w:tcPr>
          <w:p w14:paraId="040D6BC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D1  ☑</w:t>
            </w:r>
          </w:p>
        </w:tc>
        <w:tc>
          <w:tcPr>
            <w:tcW w:w="1754" w:type="dxa"/>
            <w:gridSpan w:val="3"/>
            <w:vAlign w:val="center"/>
          </w:tcPr>
          <w:p w14:paraId="2FF495D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D2  □</w:t>
            </w:r>
          </w:p>
        </w:tc>
        <w:tc>
          <w:tcPr>
            <w:tcW w:w="1614" w:type="dxa"/>
            <w:gridSpan w:val="2"/>
            <w:tcBorders>
              <w:right w:val="single" w:color="000000" w:sz="6" w:space="0"/>
            </w:tcBorders>
            <w:vAlign w:val="center"/>
          </w:tcPr>
          <w:p w14:paraId="6955D7E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D3  □</w:t>
            </w:r>
          </w:p>
        </w:tc>
      </w:tr>
      <w:tr w14:paraId="0482A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1572" w:type="dxa"/>
            <w:gridSpan w:val="2"/>
            <w:vMerge w:val="restart"/>
            <w:tcBorders>
              <w:bottom w:val="nil"/>
            </w:tcBorders>
            <w:vAlign w:val="center"/>
          </w:tcPr>
          <w:p w14:paraId="547E68B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物质及工艺系统 危险性</w:t>
            </w:r>
          </w:p>
        </w:tc>
        <w:tc>
          <w:tcPr>
            <w:tcW w:w="1239" w:type="dxa"/>
            <w:vAlign w:val="center"/>
          </w:tcPr>
          <w:p w14:paraId="1331A5E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Q 值</w:t>
            </w:r>
          </w:p>
        </w:tc>
        <w:tc>
          <w:tcPr>
            <w:tcW w:w="1786" w:type="dxa"/>
            <w:gridSpan w:val="4"/>
            <w:vAlign w:val="center"/>
          </w:tcPr>
          <w:p w14:paraId="061791B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Q＜1  □</w:t>
            </w:r>
          </w:p>
        </w:tc>
        <w:tc>
          <w:tcPr>
            <w:tcW w:w="1502" w:type="dxa"/>
            <w:gridSpan w:val="2"/>
            <w:vAlign w:val="center"/>
          </w:tcPr>
          <w:p w14:paraId="3C92A97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1≤Q＜10  ☑</w:t>
            </w:r>
          </w:p>
        </w:tc>
        <w:tc>
          <w:tcPr>
            <w:tcW w:w="1754" w:type="dxa"/>
            <w:gridSpan w:val="3"/>
            <w:vAlign w:val="center"/>
          </w:tcPr>
          <w:p w14:paraId="1EFCDD9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10≤Q＜100  □</w:t>
            </w:r>
          </w:p>
        </w:tc>
        <w:tc>
          <w:tcPr>
            <w:tcW w:w="1614" w:type="dxa"/>
            <w:gridSpan w:val="2"/>
            <w:tcBorders>
              <w:right w:val="single" w:color="000000" w:sz="6" w:space="0"/>
            </w:tcBorders>
            <w:vAlign w:val="center"/>
          </w:tcPr>
          <w:p w14:paraId="2C59332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Q＞100  □</w:t>
            </w:r>
          </w:p>
        </w:tc>
      </w:tr>
      <w:tr w14:paraId="5505B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vMerge w:val="continue"/>
            <w:tcBorders>
              <w:top w:val="nil"/>
              <w:bottom w:val="nil"/>
            </w:tcBorders>
            <w:vAlign w:val="center"/>
          </w:tcPr>
          <w:p w14:paraId="47C3E66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Align w:val="center"/>
          </w:tcPr>
          <w:p w14:paraId="374A1CB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M值</w:t>
            </w:r>
          </w:p>
        </w:tc>
        <w:tc>
          <w:tcPr>
            <w:tcW w:w="1786" w:type="dxa"/>
            <w:gridSpan w:val="4"/>
            <w:vAlign w:val="center"/>
          </w:tcPr>
          <w:p w14:paraId="26A7B28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M1  □</w:t>
            </w:r>
          </w:p>
        </w:tc>
        <w:tc>
          <w:tcPr>
            <w:tcW w:w="1502" w:type="dxa"/>
            <w:gridSpan w:val="2"/>
            <w:vAlign w:val="center"/>
          </w:tcPr>
          <w:p w14:paraId="2AB5A33B">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M2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754" w:type="dxa"/>
            <w:gridSpan w:val="3"/>
            <w:vAlign w:val="center"/>
          </w:tcPr>
          <w:p w14:paraId="44140AB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M3  □</w:t>
            </w:r>
          </w:p>
        </w:tc>
        <w:tc>
          <w:tcPr>
            <w:tcW w:w="1614" w:type="dxa"/>
            <w:gridSpan w:val="2"/>
            <w:tcBorders>
              <w:right w:val="single" w:color="000000" w:sz="6" w:space="0"/>
            </w:tcBorders>
            <w:vAlign w:val="center"/>
          </w:tcPr>
          <w:p w14:paraId="6D777DDA">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M4  </w:t>
            </w:r>
            <w:r>
              <w:rPr>
                <w:rFonts w:hint="eastAsia" w:ascii="Times New Roman" w:hAnsi="Times New Roman"/>
                <w:color w:val="000000" w:themeColor="text1"/>
                <w:sz w:val="21"/>
                <w:szCs w:val="21"/>
                <w:highlight w:val="none"/>
                <w:lang w:eastAsia="zh-CN"/>
                <w14:textFill>
                  <w14:solidFill>
                    <w14:schemeClr w14:val="tx1"/>
                  </w14:solidFill>
                </w14:textFill>
              </w:rPr>
              <w:t>☑</w:t>
            </w:r>
          </w:p>
        </w:tc>
      </w:tr>
      <w:tr w14:paraId="5A100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vMerge w:val="continue"/>
            <w:tcBorders>
              <w:top w:val="nil"/>
            </w:tcBorders>
            <w:vAlign w:val="center"/>
          </w:tcPr>
          <w:p w14:paraId="5CF4047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Align w:val="center"/>
          </w:tcPr>
          <w:p w14:paraId="7F9B5D7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P 值</w:t>
            </w:r>
          </w:p>
        </w:tc>
        <w:tc>
          <w:tcPr>
            <w:tcW w:w="1786" w:type="dxa"/>
            <w:gridSpan w:val="4"/>
            <w:vAlign w:val="center"/>
          </w:tcPr>
          <w:p w14:paraId="7942DAE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P1  □</w:t>
            </w:r>
          </w:p>
        </w:tc>
        <w:tc>
          <w:tcPr>
            <w:tcW w:w="1502" w:type="dxa"/>
            <w:gridSpan w:val="2"/>
            <w:vAlign w:val="center"/>
          </w:tcPr>
          <w:p w14:paraId="51F041D2">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P2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754" w:type="dxa"/>
            <w:gridSpan w:val="3"/>
            <w:vAlign w:val="center"/>
          </w:tcPr>
          <w:p w14:paraId="48E4DF5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P3  □</w:t>
            </w:r>
          </w:p>
        </w:tc>
        <w:tc>
          <w:tcPr>
            <w:tcW w:w="1614" w:type="dxa"/>
            <w:gridSpan w:val="2"/>
            <w:tcBorders>
              <w:right w:val="single" w:color="000000" w:sz="6" w:space="0"/>
            </w:tcBorders>
            <w:vAlign w:val="center"/>
          </w:tcPr>
          <w:p w14:paraId="043C3635">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P4  </w:t>
            </w:r>
            <w:r>
              <w:rPr>
                <w:rFonts w:hint="eastAsia" w:ascii="Times New Roman" w:hAnsi="Times New Roman"/>
                <w:color w:val="000000" w:themeColor="text1"/>
                <w:sz w:val="21"/>
                <w:szCs w:val="21"/>
                <w:highlight w:val="none"/>
                <w:lang w:eastAsia="zh-CN"/>
                <w14:textFill>
                  <w14:solidFill>
                    <w14:schemeClr w14:val="tx1"/>
                  </w14:solidFill>
                </w14:textFill>
              </w:rPr>
              <w:t>☑</w:t>
            </w:r>
          </w:p>
        </w:tc>
      </w:tr>
      <w:tr w14:paraId="5D3EF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1572" w:type="dxa"/>
            <w:gridSpan w:val="2"/>
            <w:vMerge w:val="restart"/>
            <w:tcBorders>
              <w:bottom w:val="nil"/>
            </w:tcBorders>
            <w:vAlign w:val="center"/>
          </w:tcPr>
          <w:p w14:paraId="44D4BE3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环境敏感</w:t>
            </w:r>
          </w:p>
          <w:p w14:paraId="52A06D6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程度</w:t>
            </w:r>
          </w:p>
        </w:tc>
        <w:tc>
          <w:tcPr>
            <w:tcW w:w="1239" w:type="dxa"/>
            <w:vAlign w:val="center"/>
          </w:tcPr>
          <w:p w14:paraId="3452E61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w:t>
            </w:r>
          </w:p>
        </w:tc>
        <w:tc>
          <w:tcPr>
            <w:tcW w:w="1786" w:type="dxa"/>
            <w:gridSpan w:val="4"/>
            <w:vAlign w:val="center"/>
          </w:tcPr>
          <w:p w14:paraId="50D2EB1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E1  □</w:t>
            </w:r>
          </w:p>
        </w:tc>
        <w:tc>
          <w:tcPr>
            <w:tcW w:w="2255" w:type="dxa"/>
            <w:gridSpan w:val="3"/>
            <w:vAlign w:val="center"/>
          </w:tcPr>
          <w:p w14:paraId="452E9AD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E2  □</w:t>
            </w:r>
          </w:p>
        </w:tc>
        <w:tc>
          <w:tcPr>
            <w:tcW w:w="2615" w:type="dxa"/>
            <w:gridSpan w:val="4"/>
            <w:tcBorders>
              <w:right w:val="single" w:color="000000" w:sz="6" w:space="0"/>
            </w:tcBorders>
            <w:vAlign w:val="center"/>
          </w:tcPr>
          <w:p w14:paraId="22705F6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E3  ☑</w:t>
            </w:r>
          </w:p>
        </w:tc>
      </w:tr>
      <w:tr w14:paraId="160D6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vMerge w:val="continue"/>
            <w:tcBorders>
              <w:top w:val="nil"/>
              <w:bottom w:val="nil"/>
            </w:tcBorders>
            <w:vAlign w:val="center"/>
          </w:tcPr>
          <w:p w14:paraId="05E0C8A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Align w:val="center"/>
          </w:tcPr>
          <w:p w14:paraId="146FC70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w:t>
            </w:r>
          </w:p>
        </w:tc>
        <w:tc>
          <w:tcPr>
            <w:tcW w:w="1786" w:type="dxa"/>
            <w:gridSpan w:val="4"/>
            <w:vAlign w:val="center"/>
          </w:tcPr>
          <w:p w14:paraId="224FA8C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E1  □</w:t>
            </w:r>
          </w:p>
        </w:tc>
        <w:tc>
          <w:tcPr>
            <w:tcW w:w="2255" w:type="dxa"/>
            <w:gridSpan w:val="3"/>
            <w:vAlign w:val="center"/>
          </w:tcPr>
          <w:p w14:paraId="3CE44DB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E2  □</w:t>
            </w:r>
          </w:p>
        </w:tc>
        <w:tc>
          <w:tcPr>
            <w:tcW w:w="2615" w:type="dxa"/>
            <w:gridSpan w:val="4"/>
            <w:tcBorders>
              <w:right w:val="single" w:color="000000" w:sz="6" w:space="0"/>
            </w:tcBorders>
            <w:vAlign w:val="center"/>
          </w:tcPr>
          <w:p w14:paraId="2C824DC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E3  ☑</w:t>
            </w:r>
          </w:p>
        </w:tc>
      </w:tr>
      <w:tr w14:paraId="68B48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vMerge w:val="continue"/>
            <w:tcBorders>
              <w:top w:val="nil"/>
            </w:tcBorders>
            <w:vAlign w:val="center"/>
          </w:tcPr>
          <w:p w14:paraId="4BAE43D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239" w:type="dxa"/>
            <w:vAlign w:val="center"/>
          </w:tcPr>
          <w:p w14:paraId="467F1D3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w:t>
            </w:r>
          </w:p>
        </w:tc>
        <w:tc>
          <w:tcPr>
            <w:tcW w:w="1786" w:type="dxa"/>
            <w:gridSpan w:val="4"/>
            <w:vAlign w:val="center"/>
          </w:tcPr>
          <w:p w14:paraId="6F342B4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E1  □</w:t>
            </w:r>
          </w:p>
        </w:tc>
        <w:tc>
          <w:tcPr>
            <w:tcW w:w="2255" w:type="dxa"/>
            <w:gridSpan w:val="3"/>
            <w:vAlign w:val="center"/>
          </w:tcPr>
          <w:p w14:paraId="67AADB8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E2  ☑</w:t>
            </w:r>
          </w:p>
        </w:tc>
        <w:tc>
          <w:tcPr>
            <w:tcW w:w="2615" w:type="dxa"/>
            <w:gridSpan w:val="4"/>
            <w:tcBorders>
              <w:right w:val="single" w:color="000000" w:sz="6" w:space="0"/>
            </w:tcBorders>
            <w:vAlign w:val="center"/>
          </w:tcPr>
          <w:p w14:paraId="0ECF4B9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E3  □</w:t>
            </w:r>
          </w:p>
        </w:tc>
      </w:tr>
      <w:tr w14:paraId="3EC02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1572" w:type="dxa"/>
            <w:gridSpan w:val="2"/>
            <w:vAlign w:val="center"/>
          </w:tcPr>
          <w:p w14:paraId="7DF5360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环境风险</w:t>
            </w:r>
          </w:p>
          <w:p w14:paraId="24D45B0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潜势</w:t>
            </w:r>
          </w:p>
        </w:tc>
        <w:tc>
          <w:tcPr>
            <w:tcW w:w="1550" w:type="dxa"/>
            <w:gridSpan w:val="2"/>
            <w:vAlign w:val="center"/>
          </w:tcPr>
          <w:p w14:paraId="21DC958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Ⅳ+   □</w:t>
            </w:r>
          </w:p>
        </w:tc>
        <w:tc>
          <w:tcPr>
            <w:tcW w:w="1475" w:type="dxa"/>
            <w:gridSpan w:val="3"/>
            <w:vAlign w:val="center"/>
          </w:tcPr>
          <w:p w14:paraId="6D36C63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Ⅳ □</w:t>
            </w:r>
          </w:p>
        </w:tc>
        <w:tc>
          <w:tcPr>
            <w:tcW w:w="1502" w:type="dxa"/>
            <w:gridSpan w:val="2"/>
            <w:vAlign w:val="center"/>
          </w:tcPr>
          <w:p w14:paraId="7C08EF6E">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Ⅲ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754" w:type="dxa"/>
            <w:gridSpan w:val="3"/>
            <w:vAlign w:val="center"/>
          </w:tcPr>
          <w:p w14:paraId="625594CB">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Ⅱ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614" w:type="dxa"/>
            <w:gridSpan w:val="2"/>
            <w:tcBorders>
              <w:right w:val="single" w:color="000000" w:sz="6" w:space="0"/>
            </w:tcBorders>
            <w:vAlign w:val="center"/>
          </w:tcPr>
          <w:p w14:paraId="696BFE38">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I  </w:t>
            </w:r>
            <w:r>
              <w:rPr>
                <w:rFonts w:hint="eastAsia" w:ascii="Times New Roman" w:hAnsi="Times New Roman"/>
                <w:color w:val="000000" w:themeColor="text1"/>
                <w:sz w:val="21"/>
                <w:szCs w:val="21"/>
                <w:highlight w:val="none"/>
                <w:lang w:eastAsia="zh-CN"/>
                <w14:textFill>
                  <w14:solidFill>
                    <w14:schemeClr w14:val="tx1"/>
                  </w14:solidFill>
                </w14:textFill>
              </w:rPr>
              <w:t>☑</w:t>
            </w:r>
          </w:p>
        </w:tc>
      </w:tr>
      <w:tr w14:paraId="74B08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tcBorders>
              <w:left w:val="single" w:color="000000" w:sz="6" w:space="0"/>
            </w:tcBorders>
            <w:vAlign w:val="center"/>
          </w:tcPr>
          <w:p w14:paraId="1F3DB8D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评价等级</w:t>
            </w:r>
          </w:p>
        </w:tc>
        <w:tc>
          <w:tcPr>
            <w:tcW w:w="3025" w:type="dxa"/>
            <w:gridSpan w:val="5"/>
            <w:vAlign w:val="center"/>
          </w:tcPr>
          <w:p w14:paraId="53A30B7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一级 □</w:t>
            </w:r>
          </w:p>
        </w:tc>
        <w:tc>
          <w:tcPr>
            <w:tcW w:w="1502" w:type="dxa"/>
            <w:gridSpan w:val="2"/>
            <w:vAlign w:val="center"/>
          </w:tcPr>
          <w:p w14:paraId="4FE00E90">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二级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754" w:type="dxa"/>
            <w:gridSpan w:val="3"/>
            <w:vAlign w:val="center"/>
          </w:tcPr>
          <w:p w14:paraId="38461FAC">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三级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614" w:type="dxa"/>
            <w:gridSpan w:val="2"/>
            <w:tcBorders>
              <w:right w:val="single" w:color="000000" w:sz="6" w:space="0"/>
            </w:tcBorders>
            <w:vAlign w:val="center"/>
          </w:tcPr>
          <w:p w14:paraId="7B7B114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简单分析 □</w:t>
            </w:r>
          </w:p>
        </w:tc>
      </w:tr>
      <w:tr w14:paraId="1188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restart"/>
            <w:tcBorders>
              <w:left w:val="single" w:color="000000" w:sz="6" w:space="0"/>
              <w:bottom w:val="nil"/>
            </w:tcBorders>
            <w:vAlign w:val="center"/>
          </w:tcPr>
          <w:p w14:paraId="28F3720B">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风险识 别</w:t>
            </w:r>
          </w:p>
        </w:tc>
        <w:tc>
          <w:tcPr>
            <w:tcW w:w="1171" w:type="dxa"/>
            <w:vAlign w:val="center"/>
          </w:tcPr>
          <w:p w14:paraId="39AFFFF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物质危险性</w:t>
            </w:r>
          </w:p>
        </w:tc>
        <w:tc>
          <w:tcPr>
            <w:tcW w:w="3690" w:type="dxa"/>
            <w:gridSpan w:val="6"/>
            <w:vAlign w:val="center"/>
          </w:tcPr>
          <w:p w14:paraId="6E121FB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有毒有害 ☑</w:t>
            </w:r>
          </w:p>
        </w:tc>
        <w:tc>
          <w:tcPr>
            <w:tcW w:w="4205" w:type="dxa"/>
            <w:gridSpan w:val="6"/>
            <w:tcBorders>
              <w:right w:val="single" w:color="000000" w:sz="6" w:space="0"/>
            </w:tcBorders>
            <w:vAlign w:val="center"/>
          </w:tcPr>
          <w:p w14:paraId="3D16CC7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易燃易爆 ☑</w:t>
            </w:r>
          </w:p>
        </w:tc>
      </w:tr>
      <w:tr w14:paraId="66FB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401" w:type="dxa"/>
            <w:vMerge w:val="continue"/>
            <w:tcBorders>
              <w:top w:val="nil"/>
              <w:left w:val="single" w:color="000000" w:sz="6" w:space="0"/>
              <w:bottom w:val="nil"/>
            </w:tcBorders>
            <w:textDirection w:val="tbRlV"/>
            <w:vAlign w:val="center"/>
          </w:tcPr>
          <w:p w14:paraId="649D2C4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Align w:val="center"/>
          </w:tcPr>
          <w:p w14:paraId="542E211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环境风险类型</w:t>
            </w:r>
          </w:p>
        </w:tc>
        <w:tc>
          <w:tcPr>
            <w:tcW w:w="3025" w:type="dxa"/>
            <w:gridSpan w:val="5"/>
            <w:vAlign w:val="center"/>
          </w:tcPr>
          <w:p w14:paraId="7C3D918E">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泄漏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4870" w:type="dxa"/>
            <w:gridSpan w:val="7"/>
            <w:tcBorders>
              <w:right w:val="single" w:color="000000" w:sz="6" w:space="0"/>
            </w:tcBorders>
            <w:vAlign w:val="center"/>
          </w:tcPr>
          <w:p w14:paraId="440DF61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火灾、爆炸引发伴生/次生污染物排放 ☑</w:t>
            </w:r>
          </w:p>
        </w:tc>
      </w:tr>
      <w:tr w14:paraId="59698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continue"/>
            <w:tcBorders>
              <w:top w:val="nil"/>
              <w:left w:val="single" w:color="000000" w:sz="6" w:space="0"/>
            </w:tcBorders>
            <w:textDirection w:val="tbRlV"/>
            <w:vAlign w:val="center"/>
          </w:tcPr>
          <w:p w14:paraId="4F9F6042">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Align w:val="center"/>
          </w:tcPr>
          <w:p w14:paraId="43BCFDD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影响途径</w:t>
            </w:r>
          </w:p>
        </w:tc>
        <w:tc>
          <w:tcPr>
            <w:tcW w:w="3025" w:type="dxa"/>
            <w:gridSpan w:val="5"/>
            <w:vAlign w:val="center"/>
          </w:tcPr>
          <w:p w14:paraId="7A4F40A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 ☑</w:t>
            </w:r>
          </w:p>
        </w:tc>
        <w:tc>
          <w:tcPr>
            <w:tcW w:w="2255" w:type="dxa"/>
            <w:gridSpan w:val="3"/>
            <w:vAlign w:val="center"/>
          </w:tcPr>
          <w:p w14:paraId="7C25B8D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 □</w:t>
            </w:r>
          </w:p>
        </w:tc>
        <w:tc>
          <w:tcPr>
            <w:tcW w:w="2615" w:type="dxa"/>
            <w:gridSpan w:val="4"/>
            <w:tcBorders>
              <w:right w:val="single" w:color="000000" w:sz="6" w:space="0"/>
            </w:tcBorders>
            <w:vAlign w:val="center"/>
          </w:tcPr>
          <w:p w14:paraId="66D4CBD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 ☑</w:t>
            </w:r>
          </w:p>
        </w:tc>
      </w:tr>
      <w:tr w14:paraId="77D63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572" w:type="dxa"/>
            <w:gridSpan w:val="2"/>
            <w:tcBorders>
              <w:left w:val="single" w:color="000000" w:sz="6" w:space="0"/>
            </w:tcBorders>
            <w:vAlign w:val="center"/>
          </w:tcPr>
          <w:p w14:paraId="6D451356">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事故情形分析</w:t>
            </w:r>
          </w:p>
        </w:tc>
        <w:tc>
          <w:tcPr>
            <w:tcW w:w="1550" w:type="dxa"/>
            <w:gridSpan w:val="2"/>
            <w:vAlign w:val="center"/>
          </w:tcPr>
          <w:p w14:paraId="4B7DFC3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源强设定方法</w:t>
            </w:r>
          </w:p>
        </w:tc>
        <w:tc>
          <w:tcPr>
            <w:tcW w:w="1475" w:type="dxa"/>
            <w:gridSpan w:val="3"/>
            <w:vAlign w:val="center"/>
          </w:tcPr>
          <w:p w14:paraId="00B8E8C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计算法 ☑</w:t>
            </w:r>
          </w:p>
        </w:tc>
        <w:tc>
          <w:tcPr>
            <w:tcW w:w="2255" w:type="dxa"/>
            <w:gridSpan w:val="3"/>
            <w:vAlign w:val="center"/>
          </w:tcPr>
          <w:p w14:paraId="240FDD3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经验估算法 □</w:t>
            </w:r>
          </w:p>
        </w:tc>
        <w:tc>
          <w:tcPr>
            <w:tcW w:w="2615" w:type="dxa"/>
            <w:gridSpan w:val="4"/>
            <w:tcBorders>
              <w:right w:val="single" w:color="000000" w:sz="6" w:space="0"/>
            </w:tcBorders>
            <w:vAlign w:val="center"/>
          </w:tcPr>
          <w:p w14:paraId="05EDCE6E">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其他估算法 □</w:t>
            </w:r>
          </w:p>
        </w:tc>
      </w:tr>
      <w:tr w14:paraId="45D6A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401" w:type="dxa"/>
            <w:vMerge w:val="restart"/>
            <w:tcBorders>
              <w:left w:val="single" w:color="000000" w:sz="6" w:space="0"/>
              <w:bottom w:val="nil"/>
            </w:tcBorders>
            <w:vAlign w:val="center"/>
          </w:tcPr>
          <w:p w14:paraId="62A6EDF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风 险 预 测 与 评 价</w:t>
            </w:r>
          </w:p>
        </w:tc>
        <w:tc>
          <w:tcPr>
            <w:tcW w:w="1171" w:type="dxa"/>
            <w:vMerge w:val="restart"/>
            <w:tcBorders>
              <w:bottom w:val="nil"/>
            </w:tcBorders>
            <w:vAlign w:val="center"/>
          </w:tcPr>
          <w:p w14:paraId="1E63258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w:t>
            </w:r>
          </w:p>
        </w:tc>
        <w:tc>
          <w:tcPr>
            <w:tcW w:w="1550" w:type="dxa"/>
            <w:gridSpan w:val="2"/>
            <w:vAlign w:val="center"/>
          </w:tcPr>
          <w:p w14:paraId="74BF66A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预测模型</w:t>
            </w:r>
          </w:p>
        </w:tc>
        <w:tc>
          <w:tcPr>
            <w:tcW w:w="1475" w:type="dxa"/>
            <w:gridSpan w:val="3"/>
            <w:vAlign w:val="center"/>
          </w:tcPr>
          <w:p w14:paraId="141F4904">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SLAB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2255" w:type="dxa"/>
            <w:gridSpan w:val="3"/>
            <w:vAlign w:val="center"/>
          </w:tcPr>
          <w:p w14:paraId="33D1DC9D">
            <w:pPr>
              <w:pStyle w:val="24"/>
              <w:spacing w:before="0" w:beforeAutospacing="0" w:after="0" w:afterAutospacing="0"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AFTOX  </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2615" w:type="dxa"/>
            <w:gridSpan w:val="4"/>
            <w:tcBorders>
              <w:right w:val="single" w:color="000000" w:sz="6" w:space="0"/>
            </w:tcBorders>
            <w:vAlign w:val="center"/>
          </w:tcPr>
          <w:p w14:paraId="3135CF3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其他 □</w:t>
            </w:r>
          </w:p>
        </w:tc>
      </w:tr>
      <w:tr w14:paraId="3DB93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01" w:type="dxa"/>
            <w:vMerge w:val="continue"/>
            <w:tcBorders>
              <w:top w:val="nil"/>
              <w:left w:val="single" w:color="000000" w:sz="6" w:space="0"/>
              <w:bottom w:val="nil"/>
            </w:tcBorders>
            <w:textDirection w:val="tbRlV"/>
            <w:vAlign w:val="center"/>
          </w:tcPr>
          <w:p w14:paraId="40D6B75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bottom w:val="nil"/>
            </w:tcBorders>
            <w:vAlign w:val="center"/>
          </w:tcPr>
          <w:p w14:paraId="64AEB327">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0" w:type="dxa"/>
            <w:gridSpan w:val="2"/>
            <w:vMerge w:val="restart"/>
            <w:tcBorders>
              <w:bottom w:val="nil"/>
            </w:tcBorders>
            <w:vAlign w:val="center"/>
          </w:tcPr>
          <w:p w14:paraId="232BA39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预测结果</w:t>
            </w:r>
          </w:p>
        </w:tc>
        <w:tc>
          <w:tcPr>
            <w:tcW w:w="6345" w:type="dxa"/>
            <w:gridSpan w:val="10"/>
            <w:tcBorders>
              <w:right w:val="single" w:color="000000" w:sz="6" w:space="0"/>
            </w:tcBorders>
            <w:vAlign w:val="center"/>
          </w:tcPr>
          <w:p w14:paraId="48B7DB2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大气毒性终点浓度-1  最大影响范围</w:t>
            </w:r>
            <w:r>
              <w:rPr>
                <w:rFonts w:hint="eastAsia" w:ascii="Times New Roman" w:hAnsi="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color w:val="000000" w:themeColor="text1"/>
                <w:sz w:val="21"/>
                <w:szCs w:val="21"/>
                <w:highlight w:val="none"/>
                <w14:textFill>
                  <w14:solidFill>
                    <w14:schemeClr w14:val="tx1"/>
                  </w14:solidFill>
                </w14:textFill>
              </w:rPr>
              <w:t xml:space="preserve">  m</w:t>
            </w:r>
          </w:p>
        </w:tc>
      </w:tr>
      <w:tr w14:paraId="00F1A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401" w:type="dxa"/>
            <w:vMerge w:val="continue"/>
            <w:tcBorders>
              <w:top w:val="nil"/>
              <w:left w:val="single" w:color="000000" w:sz="6" w:space="0"/>
              <w:bottom w:val="nil"/>
            </w:tcBorders>
            <w:textDirection w:val="tbRlV"/>
            <w:vAlign w:val="center"/>
          </w:tcPr>
          <w:p w14:paraId="6A62769C">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tcBorders>
            <w:vAlign w:val="center"/>
          </w:tcPr>
          <w:p w14:paraId="06E22FC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0" w:type="dxa"/>
            <w:gridSpan w:val="2"/>
            <w:vMerge w:val="continue"/>
            <w:tcBorders>
              <w:top w:val="nil"/>
            </w:tcBorders>
            <w:vAlign w:val="center"/>
          </w:tcPr>
          <w:p w14:paraId="00795EB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6345" w:type="dxa"/>
            <w:gridSpan w:val="10"/>
            <w:tcBorders>
              <w:right w:val="single" w:color="000000" w:sz="6" w:space="0"/>
            </w:tcBorders>
            <w:vAlign w:val="center"/>
          </w:tcPr>
          <w:p w14:paraId="5CB8EB4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 xml:space="preserve">大气毒性终点浓度-2  最大影响范围 </w:t>
            </w:r>
            <w:r>
              <w:rPr>
                <w:rFonts w:hint="eastAsia" w:ascii="Times New Roman" w:hAnsi="Times New Roman"/>
                <w:color w:val="000000" w:themeColor="text1"/>
                <w:sz w:val="21"/>
                <w:szCs w:val="21"/>
                <w:highlight w:val="none"/>
                <w:lang w:val="en-US" w:eastAsia="zh-CN"/>
                <w14:textFill>
                  <w14:solidFill>
                    <w14:schemeClr w14:val="tx1"/>
                  </w14:solidFill>
                </w14:textFill>
              </w:rPr>
              <w:t>250</w:t>
            </w:r>
            <w:r>
              <w:rPr>
                <w:rFonts w:hint="eastAsia" w:ascii="Times New Roman" w:hAnsi="Times New Roman"/>
                <w:color w:val="000000" w:themeColor="text1"/>
                <w:sz w:val="21"/>
                <w:szCs w:val="21"/>
                <w:highlight w:val="none"/>
                <w14:textFill>
                  <w14:solidFill>
                    <w14:schemeClr w14:val="tx1"/>
                  </w14:solidFill>
                </w14:textFill>
              </w:rPr>
              <w:t xml:space="preserve">  m</w:t>
            </w:r>
          </w:p>
        </w:tc>
      </w:tr>
      <w:tr w14:paraId="077D6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01" w:type="dxa"/>
            <w:vMerge w:val="continue"/>
            <w:tcBorders>
              <w:top w:val="nil"/>
              <w:left w:val="single" w:color="000000" w:sz="6" w:space="0"/>
              <w:bottom w:val="nil"/>
            </w:tcBorders>
            <w:textDirection w:val="tbRlV"/>
            <w:vAlign w:val="center"/>
          </w:tcPr>
          <w:p w14:paraId="3B138685">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Align w:val="center"/>
          </w:tcPr>
          <w:p w14:paraId="608E10B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地表水</w:t>
            </w:r>
          </w:p>
        </w:tc>
        <w:tc>
          <w:tcPr>
            <w:tcW w:w="7895" w:type="dxa"/>
            <w:gridSpan w:val="12"/>
            <w:tcBorders>
              <w:right w:val="single" w:color="000000" w:sz="6" w:space="0"/>
            </w:tcBorders>
            <w:vAlign w:val="center"/>
          </w:tcPr>
          <w:p w14:paraId="3750B870">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最近环境敏感目标      ，到达时间       h</w:t>
            </w:r>
          </w:p>
        </w:tc>
      </w:tr>
      <w:tr w14:paraId="5B03E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401" w:type="dxa"/>
            <w:vMerge w:val="continue"/>
            <w:tcBorders>
              <w:top w:val="nil"/>
              <w:left w:val="single" w:color="000000" w:sz="6" w:space="0"/>
              <w:bottom w:val="nil"/>
            </w:tcBorders>
            <w:textDirection w:val="tbRlV"/>
            <w:vAlign w:val="center"/>
          </w:tcPr>
          <w:p w14:paraId="4F717CE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restart"/>
            <w:tcBorders>
              <w:bottom w:val="nil"/>
            </w:tcBorders>
            <w:vAlign w:val="center"/>
          </w:tcPr>
          <w:p w14:paraId="6B48954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地下水</w:t>
            </w:r>
          </w:p>
        </w:tc>
        <w:tc>
          <w:tcPr>
            <w:tcW w:w="7895" w:type="dxa"/>
            <w:gridSpan w:val="12"/>
            <w:tcBorders>
              <w:right w:val="single" w:color="000000" w:sz="6" w:space="0"/>
            </w:tcBorders>
            <w:vAlign w:val="center"/>
          </w:tcPr>
          <w:p w14:paraId="4F3F9FEF">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下游厂区边界到达时间       d</w:t>
            </w:r>
          </w:p>
        </w:tc>
      </w:tr>
      <w:tr w14:paraId="56AAA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01" w:type="dxa"/>
            <w:vMerge w:val="continue"/>
            <w:tcBorders>
              <w:top w:val="nil"/>
              <w:left w:val="single" w:color="000000" w:sz="6" w:space="0"/>
            </w:tcBorders>
            <w:textDirection w:val="tbRlV"/>
            <w:vAlign w:val="center"/>
          </w:tcPr>
          <w:p w14:paraId="6CBCCBC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171" w:type="dxa"/>
            <w:vMerge w:val="continue"/>
            <w:tcBorders>
              <w:top w:val="nil"/>
            </w:tcBorders>
            <w:vAlign w:val="center"/>
          </w:tcPr>
          <w:p w14:paraId="24DD8728">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7895" w:type="dxa"/>
            <w:gridSpan w:val="12"/>
            <w:tcBorders>
              <w:right w:val="single" w:color="000000" w:sz="6" w:space="0"/>
            </w:tcBorders>
            <w:vAlign w:val="center"/>
          </w:tcPr>
          <w:p w14:paraId="37FD152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最近环境敏感目标      ，到达时间           d</w:t>
            </w:r>
          </w:p>
        </w:tc>
      </w:tr>
      <w:tr w14:paraId="0FE3A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jc w:val="center"/>
        </w:trPr>
        <w:tc>
          <w:tcPr>
            <w:tcW w:w="1572" w:type="dxa"/>
            <w:gridSpan w:val="2"/>
            <w:tcBorders>
              <w:left w:val="single" w:color="000000" w:sz="6" w:space="0"/>
            </w:tcBorders>
            <w:vAlign w:val="center"/>
          </w:tcPr>
          <w:p w14:paraId="3602818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重点风险防范 措施</w:t>
            </w:r>
          </w:p>
        </w:tc>
        <w:tc>
          <w:tcPr>
            <w:tcW w:w="7895" w:type="dxa"/>
            <w:gridSpan w:val="12"/>
            <w:tcBorders>
              <w:right w:val="single" w:color="000000" w:sz="6" w:space="0"/>
            </w:tcBorders>
            <w:vAlign w:val="center"/>
          </w:tcPr>
          <w:p w14:paraId="3AB7F3AA">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①对于</w:t>
            </w:r>
            <w:r>
              <w:rPr>
                <w:rFonts w:hint="eastAsia" w:ascii="Times New Roman" w:hAnsi="Times New Roman"/>
                <w:color w:val="000000" w:themeColor="text1"/>
                <w:sz w:val="21"/>
                <w:szCs w:val="21"/>
                <w:highlight w:val="none"/>
                <w:lang w:val="en-US" w:eastAsia="zh-CN"/>
                <w14:textFill>
                  <w14:solidFill>
                    <w14:schemeClr w14:val="tx1"/>
                  </w14:solidFill>
                </w14:textFill>
              </w:rPr>
              <w:t>乙</w:t>
            </w:r>
            <w:r>
              <w:rPr>
                <w:rFonts w:hint="eastAsia" w:ascii="Times New Roman" w:hAnsi="Times New Roman"/>
                <w:color w:val="000000" w:themeColor="text1"/>
                <w:sz w:val="21"/>
                <w:szCs w:val="21"/>
                <w:highlight w:val="none"/>
                <w14:textFill>
                  <w14:solidFill>
                    <w14:schemeClr w14:val="tx1"/>
                  </w14:solidFill>
                </w14:textFill>
              </w:rPr>
              <w:t>类库设计需按照相关规定管理执行；</w:t>
            </w:r>
          </w:p>
          <w:p w14:paraId="4CCBEDE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②消防及灭火警报系统要完善；</w:t>
            </w:r>
          </w:p>
          <w:p w14:paraId="054FB35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③加强员工教育培训，熟练掌握泄漏时应采取的个人防护措施及应急处置措施，加强巡检，发现隐患及时排除；</w:t>
            </w:r>
          </w:p>
          <w:p w14:paraId="561C41C3">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④一旦发生事故情况须进行应急监测。</w:t>
            </w:r>
          </w:p>
          <w:p w14:paraId="5EBA0494">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p>
        </w:tc>
      </w:tr>
      <w:tr w14:paraId="07DCF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jc w:val="center"/>
        </w:trPr>
        <w:tc>
          <w:tcPr>
            <w:tcW w:w="1572" w:type="dxa"/>
            <w:gridSpan w:val="2"/>
            <w:tcBorders>
              <w:left w:val="single" w:color="000000" w:sz="6" w:space="0"/>
            </w:tcBorders>
            <w:vAlign w:val="center"/>
          </w:tcPr>
          <w:p w14:paraId="40F92199">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评价结论与建议</w:t>
            </w:r>
          </w:p>
        </w:tc>
        <w:tc>
          <w:tcPr>
            <w:tcW w:w="7895" w:type="dxa"/>
            <w:gridSpan w:val="12"/>
            <w:tcBorders>
              <w:right w:val="single" w:color="000000" w:sz="6" w:space="0"/>
            </w:tcBorders>
            <w:vAlign w:val="center"/>
          </w:tcPr>
          <w:p w14:paraId="5E0232E1">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环境风险可控</w:t>
            </w:r>
          </w:p>
        </w:tc>
      </w:tr>
      <w:tr w14:paraId="156FB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9467" w:type="dxa"/>
            <w:gridSpan w:val="14"/>
            <w:tcBorders>
              <w:left w:val="single" w:color="000000" w:sz="6" w:space="0"/>
              <w:bottom w:val="single" w:color="000000" w:sz="6" w:space="0"/>
              <w:right w:val="single" w:color="000000" w:sz="6" w:space="0"/>
            </w:tcBorders>
            <w:vAlign w:val="center"/>
          </w:tcPr>
          <w:p w14:paraId="0C0AB5FD">
            <w:pPr>
              <w:pStyle w:val="24"/>
              <w:spacing w:before="0" w:beforeAutospacing="0" w:after="0" w:afterAutospacing="0"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注：“□”为勾选项，“    ”为填写项。</w:t>
            </w:r>
          </w:p>
        </w:tc>
      </w:tr>
    </w:tbl>
    <w:p w14:paraId="6B8B6608">
      <w:pPr>
        <w:ind w:firstLine="480"/>
        <w:rPr>
          <w:color w:val="000000" w:themeColor="text1"/>
          <w:highlight w:val="none"/>
          <w14:textFill>
            <w14:solidFill>
              <w14:schemeClr w14:val="tx1"/>
            </w14:solidFill>
          </w14:textFill>
        </w:rPr>
      </w:pPr>
    </w:p>
    <w:p w14:paraId="482DC61D">
      <w:pPr>
        <w:ind w:firstLine="480"/>
        <w:rPr>
          <w:color w:val="000000" w:themeColor="text1"/>
          <w:highlight w:val="none"/>
          <w14:textFill>
            <w14:solidFill>
              <w14:schemeClr w14:val="tx1"/>
            </w14:solidFill>
          </w14:textFill>
        </w:rPr>
      </w:pPr>
    </w:p>
    <w:p w14:paraId="39DF4779">
      <w:pPr>
        <w:ind w:firstLine="480"/>
        <w:rPr>
          <w:color w:val="000000" w:themeColor="text1"/>
          <w:highlight w:val="none"/>
          <w14:textFill>
            <w14:solidFill>
              <w14:schemeClr w14:val="tx1"/>
            </w14:solidFill>
          </w14:textFill>
        </w:rPr>
      </w:pPr>
    </w:p>
    <w:p w14:paraId="5A34BD9B">
      <w:pPr>
        <w:ind w:firstLine="480"/>
        <w:rPr>
          <w:color w:val="000000" w:themeColor="text1"/>
          <w:highlight w:val="none"/>
          <w14:textFill>
            <w14:solidFill>
              <w14:schemeClr w14:val="tx1"/>
            </w14:solidFill>
          </w14:textFill>
        </w:rPr>
        <w:sectPr>
          <w:footerReference r:id="rId10" w:type="default"/>
          <w:pgSz w:w="11906" w:h="16838"/>
          <w:pgMar w:top="1417" w:right="1587" w:bottom="1417" w:left="1587" w:header="851" w:footer="851" w:gutter="0"/>
          <w:pgBorders>
            <w:top w:val="none" w:sz="0" w:space="0"/>
            <w:left w:val="none" w:sz="0" w:space="0"/>
            <w:bottom w:val="none" w:sz="0" w:space="0"/>
            <w:right w:val="none" w:sz="0" w:space="0"/>
          </w:pgBorders>
          <w:cols w:space="720" w:num="1"/>
          <w:docGrid w:linePitch="312" w:charSpace="0"/>
        </w:sectPr>
      </w:pPr>
    </w:p>
    <w:p w14:paraId="25490207">
      <w:pPr>
        <w:pStyle w:val="24"/>
        <w:adjustRightInd w:val="0"/>
        <w:snapToGrid w:val="0"/>
        <w:spacing w:before="0" w:beforeAutospacing="0" w:after="0" w:afterAutospacing="0" w:line="240" w:lineRule="auto"/>
        <w:ind w:left="0" w:leftChars="0" w:firstLine="0" w:firstLineChars="0"/>
        <w:outlineLvl w:val="0"/>
        <w:rPr>
          <w:rFonts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14:paraId="2BA633C1">
      <w:pPr>
        <w:pStyle w:val="24"/>
        <w:adjustRightInd w:val="0"/>
        <w:snapToGrid w:val="0"/>
        <w:spacing w:before="0" w:beforeAutospacing="0" w:after="0" w:afterAutospacing="0" w:line="240" w:lineRule="auto"/>
        <w:ind w:firstLine="0" w:firstLineChars="0"/>
        <w:jc w:val="center"/>
        <w:outlineLvl w:val="0"/>
        <w:rPr>
          <w:rFonts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28"/>
        <w:tblW w:w="13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91"/>
        <w:gridCol w:w="1206"/>
      </w:tblGrid>
      <w:tr w14:paraId="02463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noWrap/>
            <w:tcMar>
              <w:left w:w="28" w:type="dxa"/>
              <w:right w:w="28" w:type="dxa"/>
            </w:tcMar>
            <w:vAlign w:val="center"/>
          </w:tcPr>
          <w:p w14:paraId="352A5167">
            <w:pPr>
              <w:pStyle w:val="35"/>
              <w:keepNext w:val="0"/>
              <w:keepLines w:val="0"/>
              <w:suppressLineNumbers w:val="0"/>
              <w:spacing w:before="0" w:beforeAutospacing="0" w:after="0" w:afterAutospacing="0"/>
              <w:ind w:left="0" w:right="0"/>
              <w:jc w:val="right"/>
              <w:rPr>
                <w:rFonts w:hint="default"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项目</w:t>
            </w:r>
          </w:p>
          <w:p w14:paraId="4D4B994D">
            <w:pPr>
              <w:pStyle w:val="35"/>
              <w:keepNext w:val="0"/>
              <w:keepLines w:val="0"/>
              <w:suppressLineNumbers w:val="0"/>
              <w:spacing w:before="0" w:beforeAutospacing="0" w:after="0" w:afterAutospacing="0"/>
              <w:ind w:left="0" w:right="0"/>
              <w:jc w:val="left"/>
              <w:rPr>
                <w:rFonts w:hint="default"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分类</w:t>
            </w:r>
          </w:p>
        </w:tc>
        <w:tc>
          <w:tcPr>
            <w:tcW w:w="1417" w:type="dxa"/>
            <w:noWrap/>
            <w:tcMar>
              <w:left w:w="28" w:type="dxa"/>
              <w:right w:w="28" w:type="dxa"/>
            </w:tcMar>
            <w:vAlign w:val="center"/>
          </w:tcPr>
          <w:p w14:paraId="3735AEAF">
            <w:pPr>
              <w:pStyle w:val="35"/>
              <w:keepNext w:val="0"/>
              <w:keepLines w:val="0"/>
              <w:suppressLineNumbers w:val="0"/>
              <w:spacing w:before="0" w:beforeAutospacing="0" w:after="0" w:afterAutospacing="0"/>
              <w:ind w:left="0" w:right="0"/>
              <w:rPr>
                <w:rFonts w:hint="default"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污染物名称</w:t>
            </w:r>
          </w:p>
        </w:tc>
        <w:tc>
          <w:tcPr>
            <w:tcW w:w="1701" w:type="dxa"/>
            <w:noWrap/>
            <w:tcMar>
              <w:left w:w="28" w:type="dxa"/>
              <w:right w:w="28" w:type="dxa"/>
            </w:tcMar>
            <w:vAlign w:val="center"/>
          </w:tcPr>
          <w:p w14:paraId="703C45F0">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现有工程</w:t>
            </w:r>
          </w:p>
          <w:p w14:paraId="11F24CF6">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hint="default"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hint="default" w:ascii="黑体" w:hAnsi="黑体" w:eastAsia="黑体"/>
                <w:snapToGrid w:val="0"/>
                <w:color w:val="000000" w:themeColor="text1"/>
                <w:spacing w:val="-6"/>
                <w:kern w:val="21"/>
                <w:szCs w:val="21"/>
                <w:highlight w:val="none"/>
                <w14:textFill>
                  <w14:solidFill>
                    <w14:schemeClr w14:val="tx1"/>
                  </w14:solidFill>
                </w14:textFill>
              </w:rPr>
              <w:t>产生量）</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①</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276" w:type="dxa"/>
            <w:noWrap/>
            <w:tcMar>
              <w:left w:w="28" w:type="dxa"/>
              <w:right w:w="28" w:type="dxa"/>
            </w:tcMar>
            <w:vAlign w:val="center"/>
          </w:tcPr>
          <w:p w14:paraId="3B15D7EF">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现有工程</w:t>
            </w:r>
          </w:p>
          <w:p w14:paraId="528B5883">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许可排放量</w:t>
            </w:r>
          </w:p>
          <w:p w14:paraId="4621114D">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highlight w:val="none"/>
                <w14:textFill>
                  <w14:solidFill>
                    <w14:schemeClr w14:val="tx1"/>
                  </w14:solidFill>
                </w14:textFill>
              </w:rPr>
              <w:t>②</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701" w:type="dxa"/>
            <w:noWrap/>
            <w:tcMar>
              <w:left w:w="28" w:type="dxa"/>
              <w:right w:w="28" w:type="dxa"/>
            </w:tcMar>
            <w:vAlign w:val="center"/>
          </w:tcPr>
          <w:p w14:paraId="26F024F2">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在建工程</w:t>
            </w:r>
          </w:p>
          <w:p w14:paraId="03EA51E6">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hint="default"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hint="default" w:ascii="黑体" w:hAnsi="黑体" w:eastAsia="黑体"/>
                <w:snapToGrid w:val="0"/>
                <w:color w:val="000000" w:themeColor="text1"/>
                <w:spacing w:val="-6"/>
                <w:kern w:val="21"/>
                <w:szCs w:val="21"/>
                <w:highlight w:val="none"/>
                <w14:textFill>
                  <w14:solidFill>
                    <w14:schemeClr w14:val="tx1"/>
                  </w14:solidFill>
                </w14:textFill>
              </w:rPr>
              <w:t>产生量）</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③</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559" w:type="dxa"/>
            <w:noWrap/>
            <w:tcMar>
              <w:left w:w="28" w:type="dxa"/>
              <w:right w:w="28" w:type="dxa"/>
            </w:tcMar>
            <w:vAlign w:val="center"/>
          </w:tcPr>
          <w:p w14:paraId="6C3C19EE">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本项目</w:t>
            </w:r>
          </w:p>
          <w:p w14:paraId="58843A96">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hint="default"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hint="default" w:ascii="黑体" w:hAnsi="黑体" w:eastAsia="黑体"/>
                <w:snapToGrid w:val="0"/>
                <w:color w:val="000000" w:themeColor="text1"/>
                <w:spacing w:val="-6"/>
                <w:kern w:val="21"/>
                <w:szCs w:val="21"/>
                <w:highlight w:val="none"/>
                <w14:textFill>
                  <w14:solidFill>
                    <w14:schemeClr w14:val="tx1"/>
                  </w14:solidFill>
                </w14:textFill>
              </w:rPr>
              <w:t>产生量）</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④</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761" w:type="dxa"/>
            <w:noWrap/>
            <w:tcMar>
              <w:left w:w="28" w:type="dxa"/>
              <w:right w:w="28" w:type="dxa"/>
            </w:tcMar>
            <w:vAlign w:val="center"/>
          </w:tcPr>
          <w:p w14:paraId="5E1C3637">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16"/>
                <w:kern w:val="21"/>
                <w:szCs w:val="21"/>
                <w:highlight w:val="none"/>
                <w14:textFill>
                  <w14:solidFill>
                    <w14:schemeClr w14:val="tx1"/>
                  </w14:solidFill>
                </w14:textFill>
              </w:rPr>
            </w:pPr>
            <w:r>
              <w:rPr>
                <w:rFonts w:hint="default" w:ascii="黑体" w:hAnsi="黑体" w:eastAsia="黑体"/>
                <w:snapToGrid w:val="0"/>
                <w:color w:val="000000" w:themeColor="text1"/>
                <w:spacing w:val="-16"/>
                <w:kern w:val="21"/>
                <w:szCs w:val="21"/>
                <w:highlight w:val="none"/>
                <w14:textFill>
                  <w14:solidFill>
                    <w14:schemeClr w14:val="tx1"/>
                  </w14:solidFill>
                </w14:textFill>
              </w:rPr>
              <w:t>以新带老削减量</w:t>
            </w:r>
          </w:p>
          <w:p w14:paraId="366C86E8">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16"/>
                <w:kern w:val="21"/>
                <w:szCs w:val="21"/>
                <w:highlight w:val="none"/>
                <w14:textFill>
                  <w14:solidFill>
                    <w14:schemeClr w14:val="tx1"/>
                  </w14:solidFill>
                </w14:textFill>
              </w:rPr>
            </w:pPr>
            <w:r>
              <w:rPr>
                <w:rFonts w:hint="default" w:ascii="黑体" w:hAnsi="黑体" w:eastAsia="黑体"/>
                <w:snapToGrid w:val="0"/>
                <w:color w:val="000000" w:themeColor="text1"/>
                <w:spacing w:val="-16"/>
                <w:kern w:val="21"/>
                <w:szCs w:val="21"/>
                <w:highlight w:val="none"/>
                <w14:textFill>
                  <w14:solidFill>
                    <w14:schemeClr w14:val="tx1"/>
                  </w14:solidFill>
                </w14:textFill>
              </w:rPr>
              <w:t>（新建项目不填）</w: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⑤</w: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end"/>
            </w:r>
          </w:p>
        </w:tc>
        <w:tc>
          <w:tcPr>
            <w:tcW w:w="1691" w:type="dxa"/>
            <w:noWrap/>
            <w:tcMar>
              <w:left w:w="28" w:type="dxa"/>
              <w:right w:w="28" w:type="dxa"/>
            </w:tcMar>
            <w:vAlign w:val="center"/>
          </w:tcPr>
          <w:p w14:paraId="7911D20E">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16"/>
                <w:kern w:val="21"/>
                <w:szCs w:val="21"/>
                <w:highlight w:val="none"/>
                <w14:textFill>
                  <w14:solidFill>
                    <w14:schemeClr w14:val="tx1"/>
                  </w14:solidFill>
                </w14:textFill>
              </w:rPr>
            </w:pPr>
            <w:r>
              <w:rPr>
                <w:rFonts w:hint="default" w:ascii="黑体" w:hAnsi="黑体" w:eastAsia="黑体"/>
                <w:snapToGrid w:val="0"/>
                <w:color w:val="000000" w:themeColor="text1"/>
                <w:spacing w:val="-16"/>
                <w:kern w:val="21"/>
                <w:szCs w:val="21"/>
                <w:highlight w:val="none"/>
                <w14:textFill>
                  <w14:solidFill>
                    <w14:schemeClr w14:val="tx1"/>
                  </w14:solidFill>
                </w14:textFill>
              </w:rPr>
              <w:t>本项目建成后</w:t>
            </w:r>
          </w:p>
          <w:p w14:paraId="4FB7E7A6">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16"/>
                <w:kern w:val="21"/>
                <w:szCs w:val="21"/>
                <w:highlight w:val="none"/>
                <w14:textFill>
                  <w14:solidFill>
                    <w14:schemeClr w14:val="tx1"/>
                  </w14:solidFill>
                </w14:textFill>
              </w:rPr>
            </w:pPr>
            <w:r>
              <w:rPr>
                <w:rFonts w:hint="eastAsia" w:ascii="黑体" w:hAnsi="黑体" w:eastAsia="黑体"/>
                <w:snapToGrid w:val="0"/>
                <w:color w:val="000000" w:themeColor="text1"/>
                <w:spacing w:val="-16"/>
                <w:kern w:val="21"/>
                <w:szCs w:val="21"/>
                <w:highlight w:val="none"/>
                <w14:textFill>
                  <w14:solidFill>
                    <w14:schemeClr w14:val="tx1"/>
                  </w14:solidFill>
                </w14:textFill>
              </w:rPr>
              <w:t>全厂</w:t>
            </w:r>
            <w:r>
              <w:rPr>
                <w:rFonts w:hint="default" w:ascii="黑体" w:hAnsi="黑体" w:eastAsia="黑体"/>
                <w:snapToGrid w:val="0"/>
                <w:color w:val="000000" w:themeColor="text1"/>
                <w:spacing w:val="-1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16"/>
                <w:kern w:val="21"/>
                <w:szCs w:val="21"/>
                <w:highlight w:val="none"/>
                <w14:textFill>
                  <w14:solidFill>
                    <w14:schemeClr w14:val="tx1"/>
                  </w14:solidFill>
                </w14:textFill>
              </w:rPr>
              <w:t>体</w:t>
            </w:r>
            <w:r>
              <w:rPr>
                <w:rFonts w:hint="default" w:ascii="黑体" w:hAnsi="黑体" w:eastAsia="黑体"/>
                <w:snapToGrid w:val="0"/>
                <w:color w:val="000000" w:themeColor="text1"/>
                <w:spacing w:val="-16"/>
                <w:kern w:val="21"/>
                <w:szCs w:val="21"/>
                <w:highlight w:val="none"/>
                <w14:textFill>
                  <w14:solidFill>
                    <w14:schemeClr w14:val="tx1"/>
                  </w14:solidFill>
                </w14:textFill>
              </w:rPr>
              <w:t>废</w:t>
            </w:r>
            <w:r>
              <w:rPr>
                <w:rFonts w:hint="eastAsia" w:ascii="黑体" w:hAnsi="黑体" w:eastAsia="黑体"/>
                <w:snapToGrid w:val="0"/>
                <w:color w:val="000000" w:themeColor="text1"/>
                <w:spacing w:val="-16"/>
                <w:kern w:val="21"/>
                <w:szCs w:val="21"/>
                <w:highlight w:val="none"/>
                <w14:textFill>
                  <w14:solidFill>
                    <w14:schemeClr w14:val="tx1"/>
                  </w14:solidFill>
                </w14:textFill>
              </w:rPr>
              <w:t>物</w:t>
            </w:r>
            <w:r>
              <w:rPr>
                <w:rFonts w:hint="default" w:ascii="黑体" w:hAnsi="黑体" w:eastAsia="黑体"/>
                <w:snapToGrid w:val="0"/>
                <w:color w:val="000000" w:themeColor="text1"/>
                <w:spacing w:val="-16"/>
                <w:kern w:val="21"/>
                <w:szCs w:val="21"/>
                <w:highlight w:val="none"/>
                <w14:textFill>
                  <w14:solidFill>
                    <w14:schemeClr w14:val="tx1"/>
                  </w14:solidFill>
                </w14:textFill>
              </w:rPr>
              <w:t>产生量）</w: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⑥</w:t>
            </w:r>
            <w:r>
              <w:rPr>
                <w:rFonts w:hint="default" w:ascii="黑体" w:hAnsi="黑体" w:eastAsia="黑体"/>
                <w:snapToGrid w:val="0"/>
                <w:color w:val="000000" w:themeColor="text1"/>
                <w:spacing w:val="-16"/>
                <w:kern w:val="21"/>
                <w:szCs w:val="21"/>
                <w:highlight w:val="none"/>
                <w14:textFill>
                  <w14:solidFill>
                    <w14:schemeClr w14:val="tx1"/>
                  </w14:solidFill>
                </w14:textFill>
              </w:rPr>
              <w:fldChar w:fldCharType="end"/>
            </w:r>
          </w:p>
        </w:tc>
        <w:tc>
          <w:tcPr>
            <w:tcW w:w="1206" w:type="dxa"/>
            <w:noWrap/>
            <w:tcMar>
              <w:left w:w="28" w:type="dxa"/>
              <w:right w:w="28" w:type="dxa"/>
            </w:tcMar>
            <w:vAlign w:val="center"/>
          </w:tcPr>
          <w:p w14:paraId="00B87A23">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t>变化量</w:t>
            </w:r>
          </w:p>
          <w:p w14:paraId="43DFB291">
            <w:pPr>
              <w:pStyle w:val="35"/>
              <w:keepNext w:val="0"/>
              <w:keepLines w:val="0"/>
              <w:suppressLineNumbers w:val="0"/>
              <w:spacing w:before="0" w:beforeAutospacing="0" w:after="0" w:afterAutospacing="0"/>
              <w:ind w:left="0" w:right="0"/>
              <w:rPr>
                <w:rFonts w:hint="default" w:ascii="黑体" w:hAnsi="黑体" w:eastAsia="黑体"/>
                <w:snapToGrid w:val="0"/>
                <w:color w:val="000000" w:themeColor="text1"/>
                <w:spacing w:val="-6"/>
                <w:kern w:val="21"/>
                <w:szCs w:val="21"/>
                <w:highlight w:val="none"/>
                <w14:textFill>
                  <w14:solidFill>
                    <w14:schemeClr w14:val="tx1"/>
                  </w14:solidFill>
                </w14:textFill>
              </w:rPr>
            </w:pP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hint="default" w:ascii="黑体" w:hAnsi="黑体"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⑦</w:t>
            </w:r>
            <w:r>
              <w:rPr>
                <w:rFonts w:hint="default" w:ascii="黑体" w:hAnsi="黑体" w:eastAsia="黑体"/>
                <w:snapToGrid w:val="0"/>
                <w:color w:val="000000" w:themeColor="text1"/>
                <w:spacing w:val="-6"/>
                <w:kern w:val="21"/>
                <w:szCs w:val="21"/>
                <w:highlight w:val="none"/>
                <w14:textFill>
                  <w14:solidFill>
                    <w14:schemeClr w14:val="tx1"/>
                  </w14:solidFill>
                </w14:textFill>
              </w:rPr>
              <w:fldChar w:fldCharType="end"/>
            </w:r>
          </w:p>
        </w:tc>
      </w:tr>
      <w:tr w14:paraId="125E4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ign w:val="center"/>
          </w:tcPr>
          <w:p w14:paraId="60801E47">
            <w:pPr>
              <w:pStyle w:val="35"/>
              <w:keepNext w:val="0"/>
              <w:keepLines w:val="0"/>
              <w:suppressLineNumbers w:val="0"/>
              <w:spacing w:before="0" w:beforeAutospacing="0" w:after="0" w:afterAutospacing="0"/>
              <w:ind w:left="0" w:right="0"/>
              <w:rPr>
                <w:rFonts w:hint="default"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废气</w:t>
            </w:r>
          </w:p>
        </w:tc>
        <w:tc>
          <w:tcPr>
            <w:tcW w:w="1417" w:type="dxa"/>
            <w:noWrap/>
            <w:vAlign w:val="center"/>
          </w:tcPr>
          <w:p w14:paraId="0C03D169">
            <w:pPr>
              <w:keepNext w:val="0"/>
              <w:keepLines w:val="0"/>
              <w:suppressLineNumbers w:val="0"/>
              <w:spacing w:before="0" w:beforeAutospacing="0" w:after="0" w:afterAutospacing="0" w:line="240" w:lineRule="auto"/>
              <w:ind w:left="0" w:right="0" w:firstLine="0" w:firstLineChars="0"/>
              <w:jc w:val="center"/>
              <w:rPr>
                <w:rFonts w:hint="eastAsia" w:eastAsia="宋体"/>
                <w:snapToGrid w:val="0"/>
                <w:color w:val="000000" w:themeColor="text1"/>
                <w:kern w:val="21"/>
                <w:szCs w:val="21"/>
                <w:highlight w:val="none"/>
                <w:lang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颗粒物</w:t>
            </w:r>
          </w:p>
        </w:tc>
        <w:tc>
          <w:tcPr>
            <w:tcW w:w="1701" w:type="dxa"/>
            <w:noWrap/>
            <w:vAlign w:val="center"/>
          </w:tcPr>
          <w:p w14:paraId="2C858508">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p>
        </w:tc>
        <w:tc>
          <w:tcPr>
            <w:tcW w:w="1276" w:type="dxa"/>
            <w:noWrap/>
            <w:vAlign w:val="center"/>
          </w:tcPr>
          <w:p w14:paraId="3A1818AD">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701" w:type="dxa"/>
            <w:noWrap/>
            <w:vAlign w:val="center"/>
          </w:tcPr>
          <w:p w14:paraId="04A92BFF">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59" w:type="dxa"/>
            <w:noWrap/>
            <w:vAlign w:val="center"/>
          </w:tcPr>
          <w:p w14:paraId="20B07B6A">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01</w:t>
            </w:r>
            <w:r>
              <w:rPr>
                <w:rFonts w:hint="default"/>
                <w:snapToGrid w:val="0"/>
                <w:color w:val="000000" w:themeColor="text1"/>
                <w:kern w:val="21"/>
                <w:szCs w:val="21"/>
                <w:highlight w:val="none"/>
                <w14:textFill>
                  <w14:solidFill>
                    <w14:schemeClr w14:val="tx1"/>
                  </w14:solidFill>
                </w14:textFill>
              </w:rPr>
              <w:t>t/a</w:t>
            </w:r>
          </w:p>
        </w:tc>
        <w:tc>
          <w:tcPr>
            <w:tcW w:w="1761" w:type="dxa"/>
            <w:noWrap/>
            <w:vAlign w:val="center"/>
          </w:tcPr>
          <w:p w14:paraId="0F9A31E1">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91" w:type="dxa"/>
            <w:noWrap/>
            <w:vAlign w:val="center"/>
          </w:tcPr>
          <w:p w14:paraId="6D312A9A">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0.</w:t>
            </w:r>
            <w:r>
              <w:rPr>
                <w:rFonts w:hint="eastAsia"/>
                <w:snapToGrid w:val="0"/>
                <w:color w:val="000000" w:themeColor="text1"/>
                <w:kern w:val="21"/>
                <w:szCs w:val="21"/>
                <w:highlight w:val="none"/>
                <w:lang w:val="en-US" w:eastAsia="zh-CN"/>
                <w14:textFill>
                  <w14:solidFill>
                    <w14:schemeClr w14:val="tx1"/>
                  </w14:solidFill>
                </w14:textFill>
              </w:rPr>
              <w:t>01</w:t>
            </w:r>
            <w:r>
              <w:rPr>
                <w:rFonts w:hint="default"/>
                <w:snapToGrid w:val="0"/>
                <w:color w:val="000000" w:themeColor="text1"/>
                <w:kern w:val="21"/>
                <w:szCs w:val="21"/>
                <w:highlight w:val="none"/>
                <w14:textFill>
                  <w14:solidFill>
                    <w14:schemeClr w14:val="tx1"/>
                  </w14:solidFill>
                </w14:textFill>
              </w:rPr>
              <w:t>t/a</w:t>
            </w:r>
          </w:p>
        </w:tc>
        <w:tc>
          <w:tcPr>
            <w:tcW w:w="1206" w:type="dxa"/>
            <w:noWrap/>
            <w:vAlign w:val="center"/>
          </w:tcPr>
          <w:p w14:paraId="233F99E4">
            <w:pPr>
              <w:keepNext w:val="0"/>
              <w:keepLines w:val="0"/>
              <w:suppressLineNumbers w:val="0"/>
              <w:spacing w:before="0" w:beforeAutospacing="0" w:after="0" w:afterAutospacing="0" w:line="240" w:lineRule="auto"/>
              <w:ind w:left="0" w:right="0" w:firstLine="0" w:firstLineChars="0"/>
              <w:jc w:val="center"/>
              <w:rPr>
                <w:rFonts w:hint="default"/>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+0.</w:t>
            </w:r>
            <w:r>
              <w:rPr>
                <w:rFonts w:hint="eastAsia"/>
                <w:snapToGrid w:val="0"/>
                <w:color w:val="000000" w:themeColor="text1"/>
                <w:kern w:val="21"/>
                <w:szCs w:val="21"/>
                <w:highlight w:val="none"/>
                <w:lang w:val="en-US" w:eastAsia="zh-CN"/>
                <w14:textFill>
                  <w14:solidFill>
                    <w14:schemeClr w14:val="tx1"/>
                  </w14:solidFill>
                </w14:textFill>
              </w:rPr>
              <w:t>01</w:t>
            </w:r>
            <w:r>
              <w:rPr>
                <w:rFonts w:hint="default"/>
                <w:snapToGrid w:val="0"/>
                <w:color w:val="000000" w:themeColor="text1"/>
                <w:kern w:val="21"/>
                <w:szCs w:val="21"/>
                <w:highlight w:val="none"/>
                <w14:textFill>
                  <w14:solidFill>
                    <w14:schemeClr w14:val="tx1"/>
                  </w14:solidFill>
                </w14:textFill>
              </w:rPr>
              <w:t>t/a</w:t>
            </w:r>
          </w:p>
        </w:tc>
      </w:tr>
      <w:tr w14:paraId="580E0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ign w:val="center"/>
          </w:tcPr>
          <w:p w14:paraId="57C5199C">
            <w:pPr>
              <w:pStyle w:val="35"/>
              <w:keepNext w:val="0"/>
              <w:keepLines w:val="0"/>
              <w:suppressLineNumbers w:val="0"/>
              <w:spacing w:before="0" w:beforeAutospacing="0" w:after="0" w:afterAutospacing="0"/>
              <w:ind w:left="0" w:right="0"/>
              <w:rPr>
                <w:rFonts w:hint="default"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废水</w:t>
            </w:r>
          </w:p>
        </w:tc>
        <w:tc>
          <w:tcPr>
            <w:tcW w:w="1417" w:type="dxa"/>
            <w:noWrap/>
            <w:vAlign w:val="center"/>
          </w:tcPr>
          <w:p w14:paraId="39096864">
            <w:pPr>
              <w:pStyle w:val="35"/>
              <w:keepNext w:val="0"/>
              <w:keepLines w:val="0"/>
              <w:suppressLineNumbers w:val="0"/>
              <w:spacing w:before="0" w:beforeAutospacing="0" w:after="0" w:afterAutospacing="0"/>
              <w:ind w:left="0" w:right="0"/>
              <w:rPr>
                <w:rFonts w:hint="default" w:ascii="Times New Roman"/>
                <w:color w:val="000000" w:themeColor="text1"/>
                <w:sz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0CAF548F">
            <w:pPr>
              <w:pStyle w:val="35"/>
              <w:keepNext w:val="0"/>
              <w:keepLines w:val="0"/>
              <w:suppressLineNumbers w:val="0"/>
              <w:spacing w:before="0" w:beforeAutospacing="0" w:after="0" w:afterAutospacing="0"/>
              <w:ind w:left="0" w:right="0"/>
              <w:rPr>
                <w:rFonts w:hint="default" w:ascii="Times New Roman"/>
                <w:color w:val="000000" w:themeColor="text1"/>
                <w:sz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noWrap/>
            <w:vAlign w:val="center"/>
          </w:tcPr>
          <w:p w14:paraId="308199AA">
            <w:pPr>
              <w:pStyle w:val="35"/>
              <w:keepNext w:val="0"/>
              <w:keepLines w:val="0"/>
              <w:suppressLineNumbers w:val="0"/>
              <w:spacing w:before="0" w:beforeAutospacing="0" w:after="0" w:afterAutospacing="0"/>
              <w:ind w:left="0" w:right="0"/>
              <w:rPr>
                <w:rFonts w:hint="default"/>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1A842ADF">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noWrap/>
            <w:vAlign w:val="center"/>
          </w:tcPr>
          <w:p w14:paraId="5544A0DA">
            <w:pPr>
              <w:pStyle w:val="35"/>
              <w:keepNext w:val="0"/>
              <w:keepLines w:val="0"/>
              <w:suppressLineNumbers w:val="0"/>
              <w:spacing w:before="0" w:beforeAutospacing="0" w:after="0" w:afterAutospacing="0"/>
              <w:ind w:left="0" w:right="0"/>
              <w:rPr>
                <w:rFonts w:hint="default" w:ascii="Times New Roman"/>
                <w:color w:val="000000" w:themeColor="text1"/>
                <w:sz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noWrap/>
            <w:vAlign w:val="center"/>
          </w:tcPr>
          <w:p w14:paraId="5DDD60FC">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691" w:type="dxa"/>
            <w:noWrap/>
            <w:vAlign w:val="center"/>
          </w:tcPr>
          <w:p w14:paraId="45B0D094">
            <w:pPr>
              <w:pStyle w:val="35"/>
              <w:keepNext w:val="0"/>
              <w:keepLines w:val="0"/>
              <w:suppressLineNumbers w:val="0"/>
              <w:spacing w:before="0" w:beforeAutospacing="0" w:after="0" w:afterAutospacing="0"/>
              <w:ind w:left="0" w:right="0"/>
              <w:rPr>
                <w:rFonts w:hint="default" w:ascii="Times New Roman"/>
                <w:color w:val="000000" w:themeColor="text1"/>
                <w:sz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06" w:type="dxa"/>
            <w:noWrap/>
            <w:vAlign w:val="center"/>
          </w:tcPr>
          <w:p w14:paraId="4D169320">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r>
      <w:tr w14:paraId="5E77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ign w:val="center"/>
          </w:tcPr>
          <w:p w14:paraId="2AF202CA">
            <w:pPr>
              <w:pStyle w:val="35"/>
              <w:keepNext w:val="0"/>
              <w:keepLines w:val="0"/>
              <w:suppressLineNumbers w:val="0"/>
              <w:spacing w:before="0" w:beforeAutospacing="0" w:after="0" w:afterAutospacing="0"/>
              <w:ind w:left="0" w:right="0"/>
              <w:rPr>
                <w:rFonts w:hint="default"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一般工业</w:t>
            </w:r>
          </w:p>
          <w:p w14:paraId="115C1F2F">
            <w:pPr>
              <w:pStyle w:val="35"/>
              <w:keepNext w:val="0"/>
              <w:keepLines w:val="0"/>
              <w:suppressLineNumbers w:val="0"/>
              <w:spacing w:before="0" w:beforeAutospacing="0" w:after="0" w:afterAutospacing="0"/>
              <w:ind w:left="0" w:right="0"/>
              <w:rPr>
                <w:rFonts w:hint="default"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固体废物</w:t>
            </w:r>
          </w:p>
        </w:tc>
        <w:tc>
          <w:tcPr>
            <w:tcW w:w="1417" w:type="dxa"/>
            <w:noWrap/>
            <w:vAlign w:val="center"/>
          </w:tcPr>
          <w:p w14:paraId="1D3EC65A">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6F589CD9">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noWrap/>
            <w:vAlign w:val="center"/>
          </w:tcPr>
          <w:p w14:paraId="103F7188">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17FD7697">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noWrap/>
            <w:vAlign w:val="center"/>
          </w:tcPr>
          <w:p w14:paraId="61FF2518">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noWrap/>
            <w:vAlign w:val="center"/>
          </w:tcPr>
          <w:p w14:paraId="29E0DC41">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691" w:type="dxa"/>
            <w:noWrap/>
            <w:vAlign w:val="center"/>
          </w:tcPr>
          <w:p w14:paraId="7FA2DB99">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06" w:type="dxa"/>
            <w:noWrap/>
            <w:vAlign w:val="center"/>
          </w:tcPr>
          <w:p w14:paraId="7F00E516">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r>
      <w:tr w14:paraId="0DE0C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ign w:val="center"/>
          </w:tcPr>
          <w:p w14:paraId="4E37C6E2">
            <w:pPr>
              <w:pStyle w:val="35"/>
              <w:keepNext w:val="0"/>
              <w:keepLines w:val="0"/>
              <w:suppressLineNumbers w:val="0"/>
              <w:spacing w:before="0" w:beforeAutospacing="0" w:after="0" w:afterAutospacing="0"/>
              <w:ind w:left="0" w:right="0"/>
              <w:rPr>
                <w:rFonts w:hint="default"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危险废物</w:t>
            </w:r>
          </w:p>
        </w:tc>
        <w:tc>
          <w:tcPr>
            <w:tcW w:w="1417" w:type="dxa"/>
            <w:noWrap/>
            <w:vAlign w:val="center"/>
          </w:tcPr>
          <w:p w14:paraId="6042ADF9">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0FBB86AA">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noWrap/>
            <w:vAlign w:val="center"/>
          </w:tcPr>
          <w:p w14:paraId="2D4AED8A">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noWrap/>
            <w:vAlign w:val="center"/>
          </w:tcPr>
          <w:p w14:paraId="63157821">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noWrap/>
            <w:vAlign w:val="center"/>
          </w:tcPr>
          <w:p w14:paraId="2B1B053C">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noWrap/>
            <w:vAlign w:val="center"/>
          </w:tcPr>
          <w:p w14:paraId="47F119B9">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691" w:type="dxa"/>
            <w:noWrap/>
            <w:vAlign w:val="center"/>
          </w:tcPr>
          <w:p w14:paraId="36AA4A17">
            <w:pPr>
              <w:pStyle w:val="35"/>
              <w:keepNext w:val="0"/>
              <w:keepLines w:val="0"/>
              <w:suppressLineNumbers w:val="0"/>
              <w:spacing w:before="0" w:beforeAutospacing="0" w:after="0" w:afterAutospacing="0"/>
              <w:ind w:left="0" w:right="0"/>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06" w:type="dxa"/>
            <w:noWrap/>
            <w:vAlign w:val="center"/>
          </w:tcPr>
          <w:p w14:paraId="71E2DFC8">
            <w:pPr>
              <w:pStyle w:val="24"/>
              <w:keepNext w:val="0"/>
              <w:keepLines w:val="0"/>
              <w:suppressLineNumbers w:val="0"/>
              <w:spacing w:before="0" w:beforeAutospacing="0" w:after="0" w:afterAutospacing="0" w:line="240" w:lineRule="auto"/>
              <w:ind w:left="0" w:right="0" w:firstLine="0" w:firstLineChars="0"/>
              <w:jc w:val="center"/>
              <w:rPr>
                <w:rFonts w:hint="default" w:ascii="Times New Roman"/>
                <w:snapToGrid w:val="0"/>
                <w:color w:val="000000" w:themeColor="text1"/>
                <w:kern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w:t>
            </w:r>
          </w:p>
        </w:tc>
      </w:tr>
    </w:tbl>
    <w:p w14:paraId="673F9A66">
      <w:pPr>
        <w:pStyle w:val="35"/>
        <w:spacing w:beforeLines="80" w:after="24"/>
        <w:ind w:firstLine="420"/>
        <w:jc w:val="left"/>
        <w:rPr>
          <w:rFonts w:hAnsi="宋体"/>
          <w:snapToGrid w:val="0"/>
          <w:color w:val="000000" w:themeColor="text1"/>
          <w:spacing w:val="-6"/>
          <w:kern w:val="21"/>
          <w:szCs w:val="21"/>
          <w:highlight w:val="none"/>
          <w14:textFill>
            <w14:solidFill>
              <w14:schemeClr w14:val="tx1"/>
            </w14:solidFill>
          </w14:textFill>
        </w:rPr>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14:paraId="7AADBDF3">
      <w:pPr>
        <w:pStyle w:val="36"/>
        <w:ind w:firstLine="0" w:firstLineChars="0"/>
        <w:jc w:val="center"/>
        <w:rPr>
          <w:rFonts w:hint="eastAsia" w:ascii="Times New Roman" w:hAnsi="Times New Roman" w:eastAsia="宋体"/>
          <w:b/>
          <w:bCs/>
          <w:color w:val="000000" w:themeColor="text1"/>
          <w:highlight w:val="none"/>
          <w:lang w:eastAsia="zh-CN"/>
          <w14:textFill>
            <w14:solidFill>
              <w14:schemeClr w14:val="tx1"/>
            </w14:solidFill>
          </w14:textFill>
        </w:rPr>
      </w:pPr>
    </w:p>
    <w:sectPr>
      <w:footerReference r:id="rId12"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A9CAFC-89BA-4E0E-A1D7-92E5E2A6D5F8}"/>
  </w:font>
  <w:font w:name="黑体">
    <w:panose1 w:val="02010609060101010101"/>
    <w:charset w:val="86"/>
    <w:family w:val="auto"/>
    <w:pitch w:val="default"/>
    <w:sig w:usb0="800002BF" w:usb1="38CF7CFA" w:usb2="00000016" w:usb3="00000000" w:csb0="00040001" w:csb1="00000000"/>
    <w:embedRegular r:id="rId2" w:fontKey="{E6DA5926-9DDA-4CE4-825B-A40B117E86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4B2FA05-AE7F-4B1E-9C3F-2ED17143F03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4" w:fontKey="{5DA8723A-E8D1-45A3-AFF9-DC91EECCD86A}"/>
  </w:font>
  <w:font w:name="方正小标宋_GBK">
    <w:panose1 w:val="03000509000000000000"/>
    <w:charset w:val="86"/>
    <w:family w:val="auto"/>
    <w:pitch w:val="default"/>
    <w:sig w:usb0="00000001" w:usb1="080E0000" w:usb2="00000000" w:usb3="00000000" w:csb0="00040000" w:csb1="00000000"/>
    <w:embedRegular r:id="rId5" w:fontKey="{5E2DC74A-E6A7-4C34-991D-E78E3D58A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4C9D">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9B58E">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77723A0">
                          <w:pPr>
                            <w:pStyle w:val="17"/>
                            <w:ind w:firstLine="360"/>
                          </w:pPr>
                          <w:r>
                            <w:fldChar w:fldCharType="begin"/>
                          </w:r>
                          <w:r>
                            <w:instrText xml:space="preserve"> PAGE  \* MERGEFORMAT </w:instrText>
                          </w:r>
                          <w:r>
                            <w:fldChar w:fldCharType="separate"/>
                          </w:r>
                          <w:r>
                            <w:t>15</w:t>
                          </w:r>
                          <w:r>
                            <w:fldChar w:fldCharType="end"/>
                          </w:r>
                        </w:p>
                      </w:txbxContent>
                    </wps:txbx>
                    <wps:bodyPr vert="horz" wrap="none" lIns="0" tIns="0" rIns="0" bIns="0" anchor="t" anchorCtr="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7IEvnd8BAADEAwAADgAAAAAA&#10;AAABACAAAAAeAQAAZHJzL2Uyb0RvYy54bWxQSwUGAAAAAAYABgBZAQAAbwUAAAAA&#10;">
              <v:fill on="f" focussize="0,0"/>
              <v:stroke on="f"/>
              <v:imagedata o:title=""/>
              <o:lock v:ext="edit" aspectratio="f"/>
              <v:textbox inset="0mm,0mm,0mm,0mm" style="mso-fit-shape-to-text:t;">
                <w:txbxContent>
                  <w:p w14:paraId="277723A0">
                    <w:pPr>
                      <w:pStyle w:val="17"/>
                      <w:ind w:firstLine="36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578BB">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4777225">
                          <w:pPr>
                            <w:pStyle w:val="17"/>
                            <w:ind w:firstLine="360"/>
                          </w:pPr>
                          <w:r>
                            <w:fldChar w:fldCharType="begin"/>
                          </w:r>
                          <w:r>
                            <w:instrText xml:space="preserve"> PAGE  \* MERGEFORMAT </w:instrText>
                          </w:r>
                          <w:r>
                            <w:fldChar w:fldCharType="separate"/>
                          </w:r>
                          <w:r>
                            <w:t>45</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NCC4XdAQAAwwMAAA4AAAAAAAAA&#10;AQAgAAAAHgEAAGRycy9lMm9Eb2MueG1sUEsFBgAAAAAGAAYAWQEAAG0FAAAAAA==&#10;">
              <v:fill on="f" focussize="0,0"/>
              <v:stroke on="f"/>
              <v:imagedata o:title=""/>
              <o:lock v:ext="edit" aspectratio="f"/>
              <v:textbox inset="0mm,0mm,0mm,0mm" style="mso-fit-shape-to-text:t;">
                <w:txbxContent>
                  <w:p w14:paraId="04777225">
                    <w:pPr>
                      <w:pStyle w:val="17"/>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7E99">
    <w:pPr>
      <w:pStyle w:val="17"/>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BFAD766">
                          <w:pPr>
                            <w:pStyle w:val="17"/>
                            <w:ind w:firstLine="360"/>
                          </w:pPr>
                          <w:r>
                            <w:fldChar w:fldCharType="begin"/>
                          </w:r>
                          <w:r>
                            <w:instrText xml:space="preserve"> PAGE  \* MERGEFORMAT </w:instrText>
                          </w:r>
                          <w:r>
                            <w:fldChar w:fldCharType="separate"/>
                          </w:r>
                          <w:r>
                            <w:t>99</w:t>
                          </w:r>
                          <w:r>
                            <w:fldChar w:fldCharType="end"/>
                          </w:r>
                        </w:p>
                      </w:txbxContent>
                    </wps:txbx>
                    <wps:bodyPr vert="horz" wrap="none" lIns="0" tIns="0" rIns="0" bIns="0" anchor="t" anchorCtr="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IdhN8BAADEAwAADgAAAAAA&#10;AAABACAAAAAeAQAAZHJzL2Uyb0RvYy54bWxQSwUGAAAAAAYABgBZAQAAbwUAAAAA&#10;">
              <v:fill on="f" focussize="0,0"/>
              <v:stroke on="f"/>
              <v:imagedata o:title=""/>
              <o:lock v:ext="edit" aspectratio="f"/>
              <v:textbox inset="0mm,0mm,0mm,0mm" style="mso-fit-shape-to-text:t;">
                <w:txbxContent>
                  <w:p w14:paraId="3BFAD766">
                    <w:pPr>
                      <w:pStyle w:val="17"/>
                      <w:ind w:firstLine="360"/>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AA10C">
    <w:pPr>
      <w:pStyle w:val="17"/>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3AD7D09">
                          <w:pPr>
                            <w:pStyle w:val="17"/>
                            <w:ind w:firstLine="360"/>
                          </w:pPr>
                          <w:r>
                            <w:fldChar w:fldCharType="begin"/>
                          </w:r>
                          <w:r>
                            <w:instrText xml:space="preserve"> PAGE  \* MERGEFORMAT </w:instrText>
                          </w:r>
                          <w:r>
                            <w:fldChar w:fldCharType="separate"/>
                          </w:r>
                          <w:r>
                            <w:t>99</w:t>
                          </w:r>
                          <w:r>
                            <w:fldChar w:fldCharType="end"/>
                          </w:r>
                        </w:p>
                      </w:txbxContent>
                    </wps:txbx>
                    <wps:bodyPr vert="horz" wrap="none" lIns="0" tIns="0" rIns="0" bIns="0" anchor="t" anchorCtr="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QPjeJ3gEAAMMDAAAOAAAAAAAA&#10;AAEAIAAAAB4BAABkcnMvZTJvRG9jLnhtbFBLBQYAAAAABgAGAFkBAABuBQAAAAA=&#10;">
              <v:fill on="f" focussize="0,0"/>
              <v:stroke on="f"/>
              <v:imagedata o:title=""/>
              <o:lock v:ext="edit" aspectratio="f"/>
              <v:textbox inset="0mm,0mm,0mm,0mm" style="mso-fit-shape-to-text:t;">
                <w:txbxContent>
                  <w:p w14:paraId="73AD7D09">
                    <w:pPr>
                      <w:pStyle w:val="17"/>
                      <w:ind w:firstLine="360"/>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17D62">
    <w:pPr>
      <w:pStyle w:val="1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798C">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F7D19">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C317B"/>
    <w:multiLevelType w:val="singleLevel"/>
    <w:tmpl w:val="87FC317B"/>
    <w:lvl w:ilvl="0" w:tentative="0">
      <w:start w:val="1"/>
      <w:numFmt w:val="decimal"/>
      <w:suff w:val="nothing"/>
      <w:lvlText w:val="%1、"/>
      <w:lvlJc w:val="left"/>
      <w:rPr>
        <w:rFonts w:hint="default" w:ascii="Times New Roman" w:hAnsi="Times New Roman" w:cs="Times New Roman"/>
      </w:rPr>
    </w:lvl>
  </w:abstractNum>
  <w:abstractNum w:abstractNumId="1">
    <w:nsid w:val="9B19D2FD"/>
    <w:multiLevelType w:val="singleLevel"/>
    <w:tmpl w:val="9B19D2FD"/>
    <w:lvl w:ilvl="0" w:tentative="0">
      <w:start w:val="4"/>
      <w:numFmt w:val="decimal"/>
      <w:suff w:val="nothing"/>
      <w:lvlText w:val="（%1）"/>
      <w:lvlJc w:val="left"/>
    </w:lvl>
  </w:abstractNum>
  <w:abstractNum w:abstractNumId="2">
    <w:nsid w:val="D725C187"/>
    <w:multiLevelType w:val="singleLevel"/>
    <w:tmpl w:val="D725C187"/>
    <w:lvl w:ilvl="0" w:tentative="0">
      <w:start w:val="1"/>
      <w:numFmt w:val="decimal"/>
      <w:suff w:val="nothing"/>
      <w:lvlText w:val="（%1）"/>
      <w:lvlJc w:val="left"/>
    </w:lvl>
  </w:abstractNum>
  <w:abstractNum w:abstractNumId="3">
    <w:nsid w:val="EB96ADF2"/>
    <w:multiLevelType w:val="singleLevel"/>
    <w:tmpl w:val="EB96ADF2"/>
    <w:lvl w:ilvl="0" w:tentative="0">
      <w:start w:val="2"/>
      <w:numFmt w:val="decimal"/>
      <w:suff w:val="space"/>
      <w:lvlText w:val="%1."/>
      <w:lvlJc w:val="left"/>
    </w:lvl>
  </w:abstractNum>
  <w:abstractNum w:abstractNumId="4">
    <w:nsid w:val="FE10E5DF"/>
    <w:multiLevelType w:val="singleLevel"/>
    <w:tmpl w:val="FE10E5DF"/>
    <w:lvl w:ilvl="0" w:tentative="0">
      <w:start w:val="6"/>
      <w:numFmt w:val="decimal"/>
      <w:suff w:val="nothing"/>
      <w:lvlText w:val="（%1）"/>
      <w:lvlJc w:val="left"/>
    </w:lvl>
  </w:abstractNum>
  <w:abstractNum w:abstractNumId="5">
    <w:nsid w:val="16DF2990"/>
    <w:multiLevelType w:val="multilevel"/>
    <w:tmpl w:val="16DF2990"/>
    <w:lvl w:ilvl="0" w:tentative="0">
      <w:start w:val="1"/>
      <w:numFmt w:val="decimal"/>
      <w:pStyle w:val="58"/>
      <w:lvlText w:val="%1"/>
      <w:lvlJc w:val="left"/>
      <w:pPr>
        <w:tabs>
          <w:tab w:val="left" w:pos="792"/>
        </w:tabs>
        <w:ind w:left="792" w:hanging="432"/>
      </w:pPr>
    </w:lvl>
    <w:lvl w:ilvl="1" w:tentative="0">
      <w:start w:val="1"/>
      <w:numFmt w:val="decimal"/>
      <w:pStyle w:val="57"/>
      <w:lvlText w:val="%1.%2"/>
      <w:lvlJc w:val="left"/>
      <w:pPr>
        <w:tabs>
          <w:tab w:val="left" w:pos="1086"/>
        </w:tabs>
        <w:ind w:left="1086" w:hanging="576"/>
      </w:pPr>
    </w:lvl>
    <w:lvl w:ilvl="2" w:tentative="0">
      <w:start w:val="1"/>
      <w:numFmt w:val="decimal"/>
      <w:pStyle w:val="56"/>
      <w:lvlText w:val="%1.%2.%3"/>
      <w:lvlJc w:val="left"/>
      <w:pPr>
        <w:tabs>
          <w:tab w:val="left" w:pos="2700"/>
        </w:tabs>
        <w:ind w:left="2700" w:hanging="720"/>
      </w:pPr>
    </w:lvl>
    <w:lvl w:ilvl="3" w:tentative="0">
      <w:start w:val="1"/>
      <w:numFmt w:val="decimal"/>
      <w:pStyle w:val="54"/>
      <w:lvlText w:val="%1.%2.%3.%4"/>
      <w:lvlJc w:val="left"/>
      <w:pPr>
        <w:tabs>
          <w:tab w:val="left" w:pos="1574"/>
        </w:tabs>
        <w:ind w:left="15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6">
    <w:nsid w:val="175A0861"/>
    <w:multiLevelType w:val="singleLevel"/>
    <w:tmpl w:val="175A0861"/>
    <w:lvl w:ilvl="0" w:tentative="0">
      <w:start w:val="4"/>
      <w:numFmt w:val="decimal"/>
      <w:suff w:val="nothing"/>
      <w:lvlText w:val="%1、"/>
      <w:lvlJc w:val="left"/>
    </w:lvl>
  </w:abstractNum>
  <w:abstractNum w:abstractNumId="7">
    <w:nsid w:val="4A01E9D3"/>
    <w:multiLevelType w:val="singleLevel"/>
    <w:tmpl w:val="4A01E9D3"/>
    <w:lvl w:ilvl="0" w:tentative="0">
      <w:start w:val="1"/>
      <w:numFmt w:val="decimal"/>
      <w:suff w:val="nothing"/>
      <w:lvlText w:val="%1、"/>
      <w:lvlJc w:val="left"/>
    </w:lvl>
  </w:abstractNum>
  <w:abstractNum w:abstractNumId="8">
    <w:nsid w:val="7308B05E"/>
    <w:multiLevelType w:val="singleLevel"/>
    <w:tmpl w:val="7308B05E"/>
    <w:lvl w:ilvl="0" w:tentative="0">
      <w:start w:val="2"/>
      <w:numFmt w:val="decimal"/>
      <w:suff w:val="nothing"/>
      <w:lvlText w:val="%1、"/>
      <w:lvlJc w:val="left"/>
    </w:lvl>
  </w:abstractNum>
  <w:abstractNum w:abstractNumId="9">
    <w:nsid w:val="751F7BB1"/>
    <w:multiLevelType w:val="singleLevel"/>
    <w:tmpl w:val="751F7BB1"/>
    <w:lvl w:ilvl="0" w:tentative="0">
      <w:start w:val="3"/>
      <w:numFmt w:val="decimal"/>
      <w:suff w:val="nothing"/>
      <w:lvlText w:val="（%1）"/>
      <w:lvlJc w:val="left"/>
    </w:lvl>
  </w:abstractNum>
  <w:num w:numId="1">
    <w:abstractNumId w:val="5"/>
  </w:num>
  <w:num w:numId="2">
    <w:abstractNumId w:val="7"/>
  </w:num>
  <w:num w:numId="3">
    <w:abstractNumId w:val="3"/>
  </w:num>
  <w:num w:numId="4">
    <w:abstractNumId w:val="6"/>
  </w:num>
  <w:num w:numId="5">
    <w:abstractNumId w:val="9"/>
  </w:num>
  <w:num w:numId="6">
    <w:abstractNumId w:val="1"/>
  </w:num>
  <w:num w:numId="7">
    <w:abstractNumId w:val="0"/>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hideSpellingErrors/>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xMjJkMTFlZTMxY2NmZGNkNWJkMjViNDFmYjBjY2EifQ=="/>
  </w:docVars>
  <w:rsids>
    <w:rsidRoot w:val="00A14947"/>
    <w:rsid w:val="000022AB"/>
    <w:rsid w:val="00005F5C"/>
    <w:rsid w:val="000060B3"/>
    <w:rsid w:val="000079FB"/>
    <w:rsid w:val="0001216F"/>
    <w:rsid w:val="000158E1"/>
    <w:rsid w:val="00017C26"/>
    <w:rsid w:val="00021109"/>
    <w:rsid w:val="0002516E"/>
    <w:rsid w:val="0002729D"/>
    <w:rsid w:val="000324F7"/>
    <w:rsid w:val="00032AC9"/>
    <w:rsid w:val="00034810"/>
    <w:rsid w:val="00035A27"/>
    <w:rsid w:val="00042220"/>
    <w:rsid w:val="0004364B"/>
    <w:rsid w:val="00044982"/>
    <w:rsid w:val="000449B1"/>
    <w:rsid w:val="00052C4D"/>
    <w:rsid w:val="0005604E"/>
    <w:rsid w:val="00060346"/>
    <w:rsid w:val="00061B1F"/>
    <w:rsid w:val="00062AD4"/>
    <w:rsid w:val="000633A4"/>
    <w:rsid w:val="0006435B"/>
    <w:rsid w:val="00064EE5"/>
    <w:rsid w:val="00064FD9"/>
    <w:rsid w:val="000667FA"/>
    <w:rsid w:val="00070C23"/>
    <w:rsid w:val="00071A5D"/>
    <w:rsid w:val="000733C4"/>
    <w:rsid w:val="00074783"/>
    <w:rsid w:val="00076914"/>
    <w:rsid w:val="0008070B"/>
    <w:rsid w:val="000810AC"/>
    <w:rsid w:val="00081A02"/>
    <w:rsid w:val="00082231"/>
    <w:rsid w:val="000826A9"/>
    <w:rsid w:val="000834BE"/>
    <w:rsid w:val="00087685"/>
    <w:rsid w:val="00092D38"/>
    <w:rsid w:val="0009377B"/>
    <w:rsid w:val="00093A2A"/>
    <w:rsid w:val="000A20C9"/>
    <w:rsid w:val="000A46E0"/>
    <w:rsid w:val="000B058F"/>
    <w:rsid w:val="000B0BC7"/>
    <w:rsid w:val="000B4467"/>
    <w:rsid w:val="000B4DB9"/>
    <w:rsid w:val="000B6477"/>
    <w:rsid w:val="000B739F"/>
    <w:rsid w:val="000C09AC"/>
    <w:rsid w:val="000C30EB"/>
    <w:rsid w:val="000C406F"/>
    <w:rsid w:val="000C42BB"/>
    <w:rsid w:val="000C5A0A"/>
    <w:rsid w:val="000C767F"/>
    <w:rsid w:val="000D020E"/>
    <w:rsid w:val="000D3AAE"/>
    <w:rsid w:val="000D3CD2"/>
    <w:rsid w:val="000D4C8B"/>
    <w:rsid w:val="000D4F4A"/>
    <w:rsid w:val="000D58AA"/>
    <w:rsid w:val="000D5A44"/>
    <w:rsid w:val="000D6184"/>
    <w:rsid w:val="000E11FF"/>
    <w:rsid w:val="000E3AE1"/>
    <w:rsid w:val="000E3ED2"/>
    <w:rsid w:val="000E4FED"/>
    <w:rsid w:val="000E5C87"/>
    <w:rsid w:val="000E7E90"/>
    <w:rsid w:val="000F20AB"/>
    <w:rsid w:val="000F5B59"/>
    <w:rsid w:val="001003C9"/>
    <w:rsid w:val="001024EE"/>
    <w:rsid w:val="00102FC3"/>
    <w:rsid w:val="001110D6"/>
    <w:rsid w:val="00112F80"/>
    <w:rsid w:val="00113870"/>
    <w:rsid w:val="00114DD5"/>
    <w:rsid w:val="00117F4F"/>
    <w:rsid w:val="00120011"/>
    <w:rsid w:val="001202A1"/>
    <w:rsid w:val="001204BD"/>
    <w:rsid w:val="00127896"/>
    <w:rsid w:val="0013182A"/>
    <w:rsid w:val="00131F42"/>
    <w:rsid w:val="00133945"/>
    <w:rsid w:val="001344A6"/>
    <w:rsid w:val="001357F1"/>
    <w:rsid w:val="0013740B"/>
    <w:rsid w:val="001408E7"/>
    <w:rsid w:val="00140FA8"/>
    <w:rsid w:val="00142CB2"/>
    <w:rsid w:val="00142FEB"/>
    <w:rsid w:val="00143A2D"/>
    <w:rsid w:val="001456BF"/>
    <w:rsid w:val="00145A41"/>
    <w:rsid w:val="00150159"/>
    <w:rsid w:val="001513EC"/>
    <w:rsid w:val="00151675"/>
    <w:rsid w:val="00151AE4"/>
    <w:rsid w:val="001544D8"/>
    <w:rsid w:val="00155295"/>
    <w:rsid w:val="0015543C"/>
    <w:rsid w:val="00156633"/>
    <w:rsid w:val="00156A78"/>
    <w:rsid w:val="00157435"/>
    <w:rsid w:val="00160ABF"/>
    <w:rsid w:val="00162AA9"/>
    <w:rsid w:val="00171172"/>
    <w:rsid w:val="00171B45"/>
    <w:rsid w:val="00172023"/>
    <w:rsid w:val="00172287"/>
    <w:rsid w:val="001732AD"/>
    <w:rsid w:val="0017377E"/>
    <w:rsid w:val="0017504D"/>
    <w:rsid w:val="00175BDA"/>
    <w:rsid w:val="00176381"/>
    <w:rsid w:val="0017671A"/>
    <w:rsid w:val="00177422"/>
    <w:rsid w:val="00177B30"/>
    <w:rsid w:val="00184590"/>
    <w:rsid w:val="001870D1"/>
    <w:rsid w:val="0018781E"/>
    <w:rsid w:val="0019262D"/>
    <w:rsid w:val="001963BD"/>
    <w:rsid w:val="00197079"/>
    <w:rsid w:val="001970D4"/>
    <w:rsid w:val="001A1B35"/>
    <w:rsid w:val="001A48A2"/>
    <w:rsid w:val="001A6F61"/>
    <w:rsid w:val="001A709D"/>
    <w:rsid w:val="001B027F"/>
    <w:rsid w:val="001B03AF"/>
    <w:rsid w:val="001B03F9"/>
    <w:rsid w:val="001B1E8B"/>
    <w:rsid w:val="001B4A5D"/>
    <w:rsid w:val="001B6DC3"/>
    <w:rsid w:val="001B72B8"/>
    <w:rsid w:val="001C1FAB"/>
    <w:rsid w:val="001C69B3"/>
    <w:rsid w:val="001C69B8"/>
    <w:rsid w:val="001D5595"/>
    <w:rsid w:val="001D7874"/>
    <w:rsid w:val="001D7F22"/>
    <w:rsid w:val="001E57C8"/>
    <w:rsid w:val="001E5A25"/>
    <w:rsid w:val="001F0F17"/>
    <w:rsid w:val="001F2CAD"/>
    <w:rsid w:val="001F3347"/>
    <w:rsid w:val="001F476F"/>
    <w:rsid w:val="001F69E4"/>
    <w:rsid w:val="001F7974"/>
    <w:rsid w:val="00201032"/>
    <w:rsid w:val="0020575A"/>
    <w:rsid w:val="00205A3D"/>
    <w:rsid w:val="002125B4"/>
    <w:rsid w:val="002134DA"/>
    <w:rsid w:val="002155B8"/>
    <w:rsid w:val="00216694"/>
    <w:rsid w:val="0021787A"/>
    <w:rsid w:val="0022165A"/>
    <w:rsid w:val="002232AD"/>
    <w:rsid w:val="00224839"/>
    <w:rsid w:val="002249B2"/>
    <w:rsid w:val="00226574"/>
    <w:rsid w:val="002278EC"/>
    <w:rsid w:val="002320EE"/>
    <w:rsid w:val="0023266D"/>
    <w:rsid w:val="0023280E"/>
    <w:rsid w:val="00235011"/>
    <w:rsid w:val="00236C0B"/>
    <w:rsid w:val="002377D1"/>
    <w:rsid w:val="0024326B"/>
    <w:rsid w:val="00246D06"/>
    <w:rsid w:val="002503FD"/>
    <w:rsid w:val="002506BC"/>
    <w:rsid w:val="00250958"/>
    <w:rsid w:val="00252F02"/>
    <w:rsid w:val="00254345"/>
    <w:rsid w:val="00261F5D"/>
    <w:rsid w:val="0026359C"/>
    <w:rsid w:val="00264557"/>
    <w:rsid w:val="00265DE3"/>
    <w:rsid w:val="00266EB1"/>
    <w:rsid w:val="00271515"/>
    <w:rsid w:val="00274218"/>
    <w:rsid w:val="00276942"/>
    <w:rsid w:val="002805AB"/>
    <w:rsid w:val="00280BE6"/>
    <w:rsid w:val="00281AB9"/>
    <w:rsid w:val="00284204"/>
    <w:rsid w:val="002844C8"/>
    <w:rsid w:val="00285DE2"/>
    <w:rsid w:val="00291773"/>
    <w:rsid w:val="00291A06"/>
    <w:rsid w:val="00296603"/>
    <w:rsid w:val="00297505"/>
    <w:rsid w:val="002A13BE"/>
    <w:rsid w:val="002A168C"/>
    <w:rsid w:val="002A3610"/>
    <w:rsid w:val="002A3733"/>
    <w:rsid w:val="002A3DC7"/>
    <w:rsid w:val="002A46B2"/>
    <w:rsid w:val="002A50BA"/>
    <w:rsid w:val="002A51E9"/>
    <w:rsid w:val="002A74DE"/>
    <w:rsid w:val="002A7C12"/>
    <w:rsid w:val="002B061B"/>
    <w:rsid w:val="002B2E0E"/>
    <w:rsid w:val="002B334E"/>
    <w:rsid w:val="002B49E2"/>
    <w:rsid w:val="002B7B00"/>
    <w:rsid w:val="002B7C44"/>
    <w:rsid w:val="002C2B17"/>
    <w:rsid w:val="002C330D"/>
    <w:rsid w:val="002C3BF1"/>
    <w:rsid w:val="002C47F0"/>
    <w:rsid w:val="002C5A2A"/>
    <w:rsid w:val="002C5EC1"/>
    <w:rsid w:val="002C64B4"/>
    <w:rsid w:val="002C6F35"/>
    <w:rsid w:val="002C7D06"/>
    <w:rsid w:val="002D1944"/>
    <w:rsid w:val="002D1A22"/>
    <w:rsid w:val="002D24D9"/>
    <w:rsid w:val="002D3C4D"/>
    <w:rsid w:val="002D3DD0"/>
    <w:rsid w:val="002D470B"/>
    <w:rsid w:val="002D6D7E"/>
    <w:rsid w:val="002E0A4F"/>
    <w:rsid w:val="002E1922"/>
    <w:rsid w:val="002E1F3A"/>
    <w:rsid w:val="002E298A"/>
    <w:rsid w:val="002E2CAF"/>
    <w:rsid w:val="002E35B1"/>
    <w:rsid w:val="002F3489"/>
    <w:rsid w:val="002F7B69"/>
    <w:rsid w:val="00301198"/>
    <w:rsid w:val="00301978"/>
    <w:rsid w:val="0030332C"/>
    <w:rsid w:val="00303BC7"/>
    <w:rsid w:val="0030500D"/>
    <w:rsid w:val="003051C2"/>
    <w:rsid w:val="0030521B"/>
    <w:rsid w:val="0030536C"/>
    <w:rsid w:val="0030669F"/>
    <w:rsid w:val="0031065E"/>
    <w:rsid w:val="00311892"/>
    <w:rsid w:val="00312296"/>
    <w:rsid w:val="00314F0E"/>
    <w:rsid w:val="00317EC3"/>
    <w:rsid w:val="00321D8E"/>
    <w:rsid w:val="00325928"/>
    <w:rsid w:val="00326703"/>
    <w:rsid w:val="0032672F"/>
    <w:rsid w:val="003305A8"/>
    <w:rsid w:val="0033174C"/>
    <w:rsid w:val="00332085"/>
    <w:rsid w:val="00332863"/>
    <w:rsid w:val="003345C5"/>
    <w:rsid w:val="0033684D"/>
    <w:rsid w:val="00337B42"/>
    <w:rsid w:val="00337E84"/>
    <w:rsid w:val="00341B42"/>
    <w:rsid w:val="0034348F"/>
    <w:rsid w:val="003444E9"/>
    <w:rsid w:val="00344CC3"/>
    <w:rsid w:val="003456B7"/>
    <w:rsid w:val="0034608E"/>
    <w:rsid w:val="00346C6D"/>
    <w:rsid w:val="003477AE"/>
    <w:rsid w:val="003517D1"/>
    <w:rsid w:val="00353E84"/>
    <w:rsid w:val="00356653"/>
    <w:rsid w:val="0035743F"/>
    <w:rsid w:val="00357BE2"/>
    <w:rsid w:val="00360115"/>
    <w:rsid w:val="003609CA"/>
    <w:rsid w:val="0036170C"/>
    <w:rsid w:val="00365C96"/>
    <w:rsid w:val="003667B8"/>
    <w:rsid w:val="00366E0F"/>
    <w:rsid w:val="00367F48"/>
    <w:rsid w:val="00371E46"/>
    <w:rsid w:val="00371ECA"/>
    <w:rsid w:val="0037347E"/>
    <w:rsid w:val="0037564B"/>
    <w:rsid w:val="00376B22"/>
    <w:rsid w:val="00381A72"/>
    <w:rsid w:val="00384104"/>
    <w:rsid w:val="00384676"/>
    <w:rsid w:val="00384F6D"/>
    <w:rsid w:val="00387EF6"/>
    <w:rsid w:val="00390857"/>
    <w:rsid w:val="003949DF"/>
    <w:rsid w:val="00395602"/>
    <w:rsid w:val="0039744D"/>
    <w:rsid w:val="003A0A72"/>
    <w:rsid w:val="003A3E3B"/>
    <w:rsid w:val="003A4BF3"/>
    <w:rsid w:val="003A5E88"/>
    <w:rsid w:val="003A6C78"/>
    <w:rsid w:val="003A768D"/>
    <w:rsid w:val="003A792B"/>
    <w:rsid w:val="003B0C8C"/>
    <w:rsid w:val="003B420D"/>
    <w:rsid w:val="003B7C0D"/>
    <w:rsid w:val="003C1BB6"/>
    <w:rsid w:val="003C2A20"/>
    <w:rsid w:val="003C627F"/>
    <w:rsid w:val="003C6C16"/>
    <w:rsid w:val="003C7061"/>
    <w:rsid w:val="003D100B"/>
    <w:rsid w:val="003D1C84"/>
    <w:rsid w:val="003D1E50"/>
    <w:rsid w:val="003D23EA"/>
    <w:rsid w:val="003D38CB"/>
    <w:rsid w:val="003D58BC"/>
    <w:rsid w:val="003D604B"/>
    <w:rsid w:val="003D794D"/>
    <w:rsid w:val="003E0FAF"/>
    <w:rsid w:val="003E3058"/>
    <w:rsid w:val="003E4D47"/>
    <w:rsid w:val="003E76A9"/>
    <w:rsid w:val="003F0809"/>
    <w:rsid w:val="003F32B4"/>
    <w:rsid w:val="003F538A"/>
    <w:rsid w:val="003F6A8C"/>
    <w:rsid w:val="003F6E6E"/>
    <w:rsid w:val="003F755C"/>
    <w:rsid w:val="00400C86"/>
    <w:rsid w:val="00405526"/>
    <w:rsid w:val="0040593F"/>
    <w:rsid w:val="00406F01"/>
    <w:rsid w:val="00410594"/>
    <w:rsid w:val="00412C2C"/>
    <w:rsid w:val="00412FC1"/>
    <w:rsid w:val="00414E76"/>
    <w:rsid w:val="00416D50"/>
    <w:rsid w:val="00416FD5"/>
    <w:rsid w:val="00417772"/>
    <w:rsid w:val="00420E6A"/>
    <w:rsid w:val="00421305"/>
    <w:rsid w:val="004223C8"/>
    <w:rsid w:val="00422589"/>
    <w:rsid w:val="00423DD0"/>
    <w:rsid w:val="00425A9E"/>
    <w:rsid w:val="00425EB7"/>
    <w:rsid w:val="00426D6B"/>
    <w:rsid w:val="0043042C"/>
    <w:rsid w:val="00431E6C"/>
    <w:rsid w:val="00432C37"/>
    <w:rsid w:val="00433898"/>
    <w:rsid w:val="00433CE7"/>
    <w:rsid w:val="00434421"/>
    <w:rsid w:val="00434B4E"/>
    <w:rsid w:val="004373AC"/>
    <w:rsid w:val="004377C0"/>
    <w:rsid w:val="00442519"/>
    <w:rsid w:val="00443B96"/>
    <w:rsid w:val="00444A53"/>
    <w:rsid w:val="0044672F"/>
    <w:rsid w:val="00452738"/>
    <w:rsid w:val="0045397B"/>
    <w:rsid w:val="004541C5"/>
    <w:rsid w:val="00456091"/>
    <w:rsid w:val="00460FE9"/>
    <w:rsid w:val="00463703"/>
    <w:rsid w:val="0046476E"/>
    <w:rsid w:val="00465158"/>
    <w:rsid w:val="00466321"/>
    <w:rsid w:val="0046732E"/>
    <w:rsid w:val="004824EF"/>
    <w:rsid w:val="004832A8"/>
    <w:rsid w:val="00484B9B"/>
    <w:rsid w:val="004855F6"/>
    <w:rsid w:val="0048620B"/>
    <w:rsid w:val="0048661E"/>
    <w:rsid w:val="0049181C"/>
    <w:rsid w:val="00494285"/>
    <w:rsid w:val="00494670"/>
    <w:rsid w:val="0049534D"/>
    <w:rsid w:val="004A057B"/>
    <w:rsid w:val="004A17FD"/>
    <w:rsid w:val="004A3823"/>
    <w:rsid w:val="004C08B8"/>
    <w:rsid w:val="004C2A22"/>
    <w:rsid w:val="004C4589"/>
    <w:rsid w:val="004C693C"/>
    <w:rsid w:val="004D186B"/>
    <w:rsid w:val="004D1BD4"/>
    <w:rsid w:val="004D4310"/>
    <w:rsid w:val="004E1FDC"/>
    <w:rsid w:val="004E5CFE"/>
    <w:rsid w:val="004E6946"/>
    <w:rsid w:val="004F1AD8"/>
    <w:rsid w:val="004F2812"/>
    <w:rsid w:val="004F7416"/>
    <w:rsid w:val="004F7F29"/>
    <w:rsid w:val="0050082E"/>
    <w:rsid w:val="005039CB"/>
    <w:rsid w:val="00504720"/>
    <w:rsid w:val="0050558F"/>
    <w:rsid w:val="00505B00"/>
    <w:rsid w:val="00506286"/>
    <w:rsid w:val="00510813"/>
    <w:rsid w:val="00511596"/>
    <w:rsid w:val="00511990"/>
    <w:rsid w:val="00511DE0"/>
    <w:rsid w:val="00514870"/>
    <w:rsid w:val="00514A6C"/>
    <w:rsid w:val="00514B9B"/>
    <w:rsid w:val="00517F02"/>
    <w:rsid w:val="0052047C"/>
    <w:rsid w:val="00521412"/>
    <w:rsid w:val="00521CB7"/>
    <w:rsid w:val="00524303"/>
    <w:rsid w:val="005258A2"/>
    <w:rsid w:val="00527065"/>
    <w:rsid w:val="00527F3E"/>
    <w:rsid w:val="00536758"/>
    <w:rsid w:val="005401AE"/>
    <w:rsid w:val="005411EB"/>
    <w:rsid w:val="00542E07"/>
    <w:rsid w:val="00542F8C"/>
    <w:rsid w:val="00544653"/>
    <w:rsid w:val="00545424"/>
    <w:rsid w:val="00547F4F"/>
    <w:rsid w:val="00550C54"/>
    <w:rsid w:val="005547B8"/>
    <w:rsid w:val="005549AE"/>
    <w:rsid w:val="00554A7B"/>
    <w:rsid w:val="0055572C"/>
    <w:rsid w:val="00556AAA"/>
    <w:rsid w:val="00556AB2"/>
    <w:rsid w:val="00557BFD"/>
    <w:rsid w:val="00557E0C"/>
    <w:rsid w:val="005604E5"/>
    <w:rsid w:val="0056106A"/>
    <w:rsid w:val="00564C70"/>
    <w:rsid w:val="00565CCA"/>
    <w:rsid w:val="00567680"/>
    <w:rsid w:val="00567844"/>
    <w:rsid w:val="005720AE"/>
    <w:rsid w:val="00573468"/>
    <w:rsid w:val="00574541"/>
    <w:rsid w:val="005763E5"/>
    <w:rsid w:val="00580343"/>
    <w:rsid w:val="005810E5"/>
    <w:rsid w:val="00586FB5"/>
    <w:rsid w:val="00590726"/>
    <w:rsid w:val="00593C35"/>
    <w:rsid w:val="00594D77"/>
    <w:rsid w:val="005969E4"/>
    <w:rsid w:val="00596E06"/>
    <w:rsid w:val="005A06B7"/>
    <w:rsid w:val="005A0E4C"/>
    <w:rsid w:val="005A1759"/>
    <w:rsid w:val="005A45AA"/>
    <w:rsid w:val="005A68A7"/>
    <w:rsid w:val="005B1BD8"/>
    <w:rsid w:val="005B315B"/>
    <w:rsid w:val="005B71F6"/>
    <w:rsid w:val="005C22BA"/>
    <w:rsid w:val="005C68DC"/>
    <w:rsid w:val="005D0760"/>
    <w:rsid w:val="005D164B"/>
    <w:rsid w:val="005D2DAD"/>
    <w:rsid w:val="005D3262"/>
    <w:rsid w:val="005D36AB"/>
    <w:rsid w:val="005D44D8"/>
    <w:rsid w:val="005D46C3"/>
    <w:rsid w:val="005D7EF9"/>
    <w:rsid w:val="005E2312"/>
    <w:rsid w:val="005E367C"/>
    <w:rsid w:val="005E3D03"/>
    <w:rsid w:val="005E5298"/>
    <w:rsid w:val="005E72BC"/>
    <w:rsid w:val="005F553A"/>
    <w:rsid w:val="005F5565"/>
    <w:rsid w:val="005F63D0"/>
    <w:rsid w:val="005F77D6"/>
    <w:rsid w:val="006072CC"/>
    <w:rsid w:val="00612F93"/>
    <w:rsid w:val="00613D83"/>
    <w:rsid w:val="00615CFB"/>
    <w:rsid w:val="00617CC3"/>
    <w:rsid w:val="006225F2"/>
    <w:rsid w:val="006231B3"/>
    <w:rsid w:val="00625198"/>
    <w:rsid w:val="00625587"/>
    <w:rsid w:val="0062570A"/>
    <w:rsid w:val="006315EF"/>
    <w:rsid w:val="00633386"/>
    <w:rsid w:val="00633E0A"/>
    <w:rsid w:val="00633FE1"/>
    <w:rsid w:val="006377A6"/>
    <w:rsid w:val="00637A3D"/>
    <w:rsid w:val="006411EF"/>
    <w:rsid w:val="00652A3C"/>
    <w:rsid w:val="00656347"/>
    <w:rsid w:val="00667083"/>
    <w:rsid w:val="00670123"/>
    <w:rsid w:val="00670C74"/>
    <w:rsid w:val="0067253F"/>
    <w:rsid w:val="00673A2F"/>
    <w:rsid w:val="006748B8"/>
    <w:rsid w:val="00675805"/>
    <w:rsid w:val="00675CE5"/>
    <w:rsid w:val="006775C3"/>
    <w:rsid w:val="00681EC5"/>
    <w:rsid w:val="00683B4D"/>
    <w:rsid w:val="006844A6"/>
    <w:rsid w:val="00686767"/>
    <w:rsid w:val="0069290A"/>
    <w:rsid w:val="006943E7"/>
    <w:rsid w:val="0069775A"/>
    <w:rsid w:val="00697813"/>
    <w:rsid w:val="00697A38"/>
    <w:rsid w:val="00697F60"/>
    <w:rsid w:val="006A0936"/>
    <w:rsid w:val="006A2476"/>
    <w:rsid w:val="006A25C2"/>
    <w:rsid w:val="006A3EE8"/>
    <w:rsid w:val="006A5711"/>
    <w:rsid w:val="006A681A"/>
    <w:rsid w:val="006A72BF"/>
    <w:rsid w:val="006A74A5"/>
    <w:rsid w:val="006A7EC0"/>
    <w:rsid w:val="006A7F62"/>
    <w:rsid w:val="006B03F2"/>
    <w:rsid w:val="006B1AB9"/>
    <w:rsid w:val="006B37DC"/>
    <w:rsid w:val="006B4F68"/>
    <w:rsid w:val="006B62EC"/>
    <w:rsid w:val="006B7346"/>
    <w:rsid w:val="006C0592"/>
    <w:rsid w:val="006C13EE"/>
    <w:rsid w:val="006C23C1"/>
    <w:rsid w:val="006C272E"/>
    <w:rsid w:val="006C50F1"/>
    <w:rsid w:val="006C5479"/>
    <w:rsid w:val="006C5E49"/>
    <w:rsid w:val="006D1088"/>
    <w:rsid w:val="006D13B5"/>
    <w:rsid w:val="006D13F8"/>
    <w:rsid w:val="006D2ED7"/>
    <w:rsid w:val="006D34C8"/>
    <w:rsid w:val="006D439A"/>
    <w:rsid w:val="006D5391"/>
    <w:rsid w:val="006D572A"/>
    <w:rsid w:val="006E12FF"/>
    <w:rsid w:val="006E14F5"/>
    <w:rsid w:val="006E607E"/>
    <w:rsid w:val="006F1386"/>
    <w:rsid w:val="006F4D1A"/>
    <w:rsid w:val="006F63B9"/>
    <w:rsid w:val="00702457"/>
    <w:rsid w:val="00703F97"/>
    <w:rsid w:val="00703FD4"/>
    <w:rsid w:val="00706C5D"/>
    <w:rsid w:val="00716977"/>
    <w:rsid w:val="007171A2"/>
    <w:rsid w:val="00727D7F"/>
    <w:rsid w:val="00727E90"/>
    <w:rsid w:val="007310C4"/>
    <w:rsid w:val="00732922"/>
    <w:rsid w:val="007345A6"/>
    <w:rsid w:val="00737BA8"/>
    <w:rsid w:val="0074405D"/>
    <w:rsid w:val="0074499C"/>
    <w:rsid w:val="00745601"/>
    <w:rsid w:val="0075162E"/>
    <w:rsid w:val="00752528"/>
    <w:rsid w:val="00753853"/>
    <w:rsid w:val="00754034"/>
    <w:rsid w:val="00754387"/>
    <w:rsid w:val="00754BB1"/>
    <w:rsid w:val="00756556"/>
    <w:rsid w:val="007618C4"/>
    <w:rsid w:val="007671BB"/>
    <w:rsid w:val="0076746E"/>
    <w:rsid w:val="00767980"/>
    <w:rsid w:val="00770B19"/>
    <w:rsid w:val="0077463F"/>
    <w:rsid w:val="007753A8"/>
    <w:rsid w:val="00777A9E"/>
    <w:rsid w:val="0078219B"/>
    <w:rsid w:val="007836EA"/>
    <w:rsid w:val="00784CDA"/>
    <w:rsid w:val="00785728"/>
    <w:rsid w:val="00786877"/>
    <w:rsid w:val="00786EDE"/>
    <w:rsid w:val="007879E2"/>
    <w:rsid w:val="00787A8A"/>
    <w:rsid w:val="007900A0"/>
    <w:rsid w:val="007906C4"/>
    <w:rsid w:val="00791507"/>
    <w:rsid w:val="007940EA"/>
    <w:rsid w:val="0079585B"/>
    <w:rsid w:val="007967E8"/>
    <w:rsid w:val="007A0185"/>
    <w:rsid w:val="007A1658"/>
    <w:rsid w:val="007A2170"/>
    <w:rsid w:val="007A22BF"/>
    <w:rsid w:val="007A3323"/>
    <w:rsid w:val="007A3BDC"/>
    <w:rsid w:val="007A3F69"/>
    <w:rsid w:val="007A4339"/>
    <w:rsid w:val="007B72B8"/>
    <w:rsid w:val="007B7338"/>
    <w:rsid w:val="007B7A58"/>
    <w:rsid w:val="007C03CE"/>
    <w:rsid w:val="007C21B5"/>
    <w:rsid w:val="007C423F"/>
    <w:rsid w:val="007C49BF"/>
    <w:rsid w:val="007C506D"/>
    <w:rsid w:val="007C6B7A"/>
    <w:rsid w:val="007C6BE6"/>
    <w:rsid w:val="007D1369"/>
    <w:rsid w:val="007D1D14"/>
    <w:rsid w:val="007D397A"/>
    <w:rsid w:val="007D5D21"/>
    <w:rsid w:val="007D65C9"/>
    <w:rsid w:val="007D7102"/>
    <w:rsid w:val="007E00A9"/>
    <w:rsid w:val="007E238F"/>
    <w:rsid w:val="007E4BD2"/>
    <w:rsid w:val="007E5BA2"/>
    <w:rsid w:val="007E7B95"/>
    <w:rsid w:val="007F0AF9"/>
    <w:rsid w:val="007F1C01"/>
    <w:rsid w:val="007F1D4B"/>
    <w:rsid w:val="007F1FDE"/>
    <w:rsid w:val="007F44D4"/>
    <w:rsid w:val="007F45D9"/>
    <w:rsid w:val="007F7804"/>
    <w:rsid w:val="008000FB"/>
    <w:rsid w:val="008004E9"/>
    <w:rsid w:val="00801393"/>
    <w:rsid w:val="00802F88"/>
    <w:rsid w:val="00804071"/>
    <w:rsid w:val="00804234"/>
    <w:rsid w:val="00811282"/>
    <w:rsid w:val="0081163E"/>
    <w:rsid w:val="0081293E"/>
    <w:rsid w:val="0081333A"/>
    <w:rsid w:val="00815465"/>
    <w:rsid w:val="00815556"/>
    <w:rsid w:val="00816355"/>
    <w:rsid w:val="00817E9A"/>
    <w:rsid w:val="008201B2"/>
    <w:rsid w:val="0082104A"/>
    <w:rsid w:val="00822CA2"/>
    <w:rsid w:val="0082372D"/>
    <w:rsid w:val="00824429"/>
    <w:rsid w:val="0082536C"/>
    <w:rsid w:val="00826A7E"/>
    <w:rsid w:val="00830091"/>
    <w:rsid w:val="008306BD"/>
    <w:rsid w:val="00831A80"/>
    <w:rsid w:val="00832942"/>
    <w:rsid w:val="00833743"/>
    <w:rsid w:val="008340A4"/>
    <w:rsid w:val="0083711A"/>
    <w:rsid w:val="00841532"/>
    <w:rsid w:val="008415A4"/>
    <w:rsid w:val="00850913"/>
    <w:rsid w:val="00855794"/>
    <w:rsid w:val="0085749F"/>
    <w:rsid w:val="00857608"/>
    <w:rsid w:val="00861492"/>
    <w:rsid w:val="00861931"/>
    <w:rsid w:val="008624C7"/>
    <w:rsid w:val="00867816"/>
    <w:rsid w:val="00870B73"/>
    <w:rsid w:val="00870F26"/>
    <w:rsid w:val="0087135F"/>
    <w:rsid w:val="0087145D"/>
    <w:rsid w:val="00872013"/>
    <w:rsid w:val="00872D94"/>
    <w:rsid w:val="00873C6C"/>
    <w:rsid w:val="00877DB4"/>
    <w:rsid w:val="0088004A"/>
    <w:rsid w:val="00880364"/>
    <w:rsid w:val="00880EA3"/>
    <w:rsid w:val="00881A7E"/>
    <w:rsid w:val="008847A6"/>
    <w:rsid w:val="00887965"/>
    <w:rsid w:val="008879D0"/>
    <w:rsid w:val="008902EE"/>
    <w:rsid w:val="00890881"/>
    <w:rsid w:val="00891592"/>
    <w:rsid w:val="0089166B"/>
    <w:rsid w:val="00891E9E"/>
    <w:rsid w:val="00893CBC"/>
    <w:rsid w:val="008A2F68"/>
    <w:rsid w:val="008A5CAE"/>
    <w:rsid w:val="008A6045"/>
    <w:rsid w:val="008A712A"/>
    <w:rsid w:val="008A783D"/>
    <w:rsid w:val="008B088C"/>
    <w:rsid w:val="008B2A93"/>
    <w:rsid w:val="008B44AE"/>
    <w:rsid w:val="008B4FA6"/>
    <w:rsid w:val="008B5282"/>
    <w:rsid w:val="008B665E"/>
    <w:rsid w:val="008B6D94"/>
    <w:rsid w:val="008B6EC9"/>
    <w:rsid w:val="008B7C17"/>
    <w:rsid w:val="008C0FFA"/>
    <w:rsid w:val="008C114E"/>
    <w:rsid w:val="008C2D01"/>
    <w:rsid w:val="008C40E6"/>
    <w:rsid w:val="008C4F5E"/>
    <w:rsid w:val="008C5D8D"/>
    <w:rsid w:val="008D012D"/>
    <w:rsid w:val="008D0F7A"/>
    <w:rsid w:val="008D3D20"/>
    <w:rsid w:val="008D61F0"/>
    <w:rsid w:val="008D68E4"/>
    <w:rsid w:val="008D7A3A"/>
    <w:rsid w:val="008D7C5B"/>
    <w:rsid w:val="008E0506"/>
    <w:rsid w:val="008E0CFF"/>
    <w:rsid w:val="008E3AD9"/>
    <w:rsid w:val="008E3DE0"/>
    <w:rsid w:val="008E5D15"/>
    <w:rsid w:val="008E5D6B"/>
    <w:rsid w:val="008E5DED"/>
    <w:rsid w:val="008E76F0"/>
    <w:rsid w:val="008E7D95"/>
    <w:rsid w:val="008F15FE"/>
    <w:rsid w:val="008F2CAD"/>
    <w:rsid w:val="008F2D29"/>
    <w:rsid w:val="008F3FAE"/>
    <w:rsid w:val="008F436D"/>
    <w:rsid w:val="008F5187"/>
    <w:rsid w:val="008F60D8"/>
    <w:rsid w:val="00902727"/>
    <w:rsid w:val="00902D5E"/>
    <w:rsid w:val="0090312B"/>
    <w:rsid w:val="00907E38"/>
    <w:rsid w:val="00911354"/>
    <w:rsid w:val="00914187"/>
    <w:rsid w:val="0091736D"/>
    <w:rsid w:val="00921367"/>
    <w:rsid w:val="00927D78"/>
    <w:rsid w:val="0093037A"/>
    <w:rsid w:val="00932443"/>
    <w:rsid w:val="00933BEE"/>
    <w:rsid w:val="00933EA1"/>
    <w:rsid w:val="00934F4B"/>
    <w:rsid w:val="00936C2E"/>
    <w:rsid w:val="0094154D"/>
    <w:rsid w:val="00950718"/>
    <w:rsid w:val="0095155F"/>
    <w:rsid w:val="00952269"/>
    <w:rsid w:val="009542FC"/>
    <w:rsid w:val="00954429"/>
    <w:rsid w:val="00955059"/>
    <w:rsid w:val="00955944"/>
    <w:rsid w:val="009563CE"/>
    <w:rsid w:val="00960998"/>
    <w:rsid w:val="0096362A"/>
    <w:rsid w:val="009636A9"/>
    <w:rsid w:val="009639C5"/>
    <w:rsid w:val="009641F6"/>
    <w:rsid w:val="00964642"/>
    <w:rsid w:val="009665DF"/>
    <w:rsid w:val="009714FA"/>
    <w:rsid w:val="00973140"/>
    <w:rsid w:val="00973D98"/>
    <w:rsid w:val="00974CD7"/>
    <w:rsid w:val="00976328"/>
    <w:rsid w:val="0097680D"/>
    <w:rsid w:val="009807ED"/>
    <w:rsid w:val="009815F8"/>
    <w:rsid w:val="00982438"/>
    <w:rsid w:val="00983636"/>
    <w:rsid w:val="00983822"/>
    <w:rsid w:val="0098404C"/>
    <w:rsid w:val="00985283"/>
    <w:rsid w:val="00986F6E"/>
    <w:rsid w:val="00987E95"/>
    <w:rsid w:val="00995992"/>
    <w:rsid w:val="00997AE8"/>
    <w:rsid w:val="009A03E5"/>
    <w:rsid w:val="009A0F3B"/>
    <w:rsid w:val="009A1491"/>
    <w:rsid w:val="009A1BB4"/>
    <w:rsid w:val="009A2628"/>
    <w:rsid w:val="009A3200"/>
    <w:rsid w:val="009A57AA"/>
    <w:rsid w:val="009B0897"/>
    <w:rsid w:val="009B0DF0"/>
    <w:rsid w:val="009B12C1"/>
    <w:rsid w:val="009B283F"/>
    <w:rsid w:val="009B7BD9"/>
    <w:rsid w:val="009C58C7"/>
    <w:rsid w:val="009C6310"/>
    <w:rsid w:val="009C7DD5"/>
    <w:rsid w:val="009D1EEE"/>
    <w:rsid w:val="009D3244"/>
    <w:rsid w:val="009D6D8C"/>
    <w:rsid w:val="009E0E1C"/>
    <w:rsid w:val="009E227D"/>
    <w:rsid w:val="009E5019"/>
    <w:rsid w:val="009E5B33"/>
    <w:rsid w:val="009E5D8A"/>
    <w:rsid w:val="009F14DE"/>
    <w:rsid w:val="009F2254"/>
    <w:rsid w:val="00A04F1B"/>
    <w:rsid w:val="00A0501B"/>
    <w:rsid w:val="00A05A3E"/>
    <w:rsid w:val="00A06A8D"/>
    <w:rsid w:val="00A10408"/>
    <w:rsid w:val="00A1312E"/>
    <w:rsid w:val="00A14947"/>
    <w:rsid w:val="00A151F8"/>
    <w:rsid w:val="00A23A7A"/>
    <w:rsid w:val="00A249E3"/>
    <w:rsid w:val="00A24CAD"/>
    <w:rsid w:val="00A26719"/>
    <w:rsid w:val="00A2732F"/>
    <w:rsid w:val="00A27A2A"/>
    <w:rsid w:val="00A30C80"/>
    <w:rsid w:val="00A31CA6"/>
    <w:rsid w:val="00A32A83"/>
    <w:rsid w:val="00A34085"/>
    <w:rsid w:val="00A34468"/>
    <w:rsid w:val="00A368DB"/>
    <w:rsid w:val="00A37819"/>
    <w:rsid w:val="00A410A0"/>
    <w:rsid w:val="00A423AA"/>
    <w:rsid w:val="00A462E7"/>
    <w:rsid w:val="00A46509"/>
    <w:rsid w:val="00A53EC6"/>
    <w:rsid w:val="00A55835"/>
    <w:rsid w:val="00A55C0F"/>
    <w:rsid w:val="00A625B7"/>
    <w:rsid w:val="00A64B8B"/>
    <w:rsid w:val="00A708F9"/>
    <w:rsid w:val="00A71A60"/>
    <w:rsid w:val="00A73BE6"/>
    <w:rsid w:val="00A7489E"/>
    <w:rsid w:val="00A74A54"/>
    <w:rsid w:val="00A74C98"/>
    <w:rsid w:val="00A76E7A"/>
    <w:rsid w:val="00A76F0A"/>
    <w:rsid w:val="00A84B01"/>
    <w:rsid w:val="00A852B5"/>
    <w:rsid w:val="00A8713F"/>
    <w:rsid w:val="00A90BA1"/>
    <w:rsid w:val="00A94A3C"/>
    <w:rsid w:val="00A9650A"/>
    <w:rsid w:val="00A97A9A"/>
    <w:rsid w:val="00AA0671"/>
    <w:rsid w:val="00AA181C"/>
    <w:rsid w:val="00AA2531"/>
    <w:rsid w:val="00AB02E5"/>
    <w:rsid w:val="00AB1E09"/>
    <w:rsid w:val="00AB31A3"/>
    <w:rsid w:val="00AB42F4"/>
    <w:rsid w:val="00AB5330"/>
    <w:rsid w:val="00AB5F48"/>
    <w:rsid w:val="00AB7747"/>
    <w:rsid w:val="00AC072B"/>
    <w:rsid w:val="00AC123F"/>
    <w:rsid w:val="00AC14CE"/>
    <w:rsid w:val="00AC2A56"/>
    <w:rsid w:val="00AC50E3"/>
    <w:rsid w:val="00AC78C4"/>
    <w:rsid w:val="00AC7E58"/>
    <w:rsid w:val="00AD055E"/>
    <w:rsid w:val="00AD0F33"/>
    <w:rsid w:val="00AD3CFE"/>
    <w:rsid w:val="00AD44B9"/>
    <w:rsid w:val="00AD47A7"/>
    <w:rsid w:val="00AD5550"/>
    <w:rsid w:val="00AD5811"/>
    <w:rsid w:val="00AD7153"/>
    <w:rsid w:val="00AD7A16"/>
    <w:rsid w:val="00AD7CA1"/>
    <w:rsid w:val="00AE041E"/>
    <w:rsid w:val="00AF052C"/>
    <w:rsid w:val="00AF0CBF"/>
    <w:rsid w:val="00AF257F"/>
    <w:rsid w:val="00AF33CF"/>
    <w:rsid w:val="00AF3EE8"/>
    <w:rsid w:val="00AF4D50"/>
    <w:rsid w:val="00AF5A86"/>
    <w:rsid w:val="00AF5CEA"/>
    <w:rsid w:val="00AF6179"/>
    <w:rsid w:val="00AF6336"/>
    <w:rsid w:val="00AF68B6"/>
    <w:rsid w:val="00B000C4"/>
    <w:rsid w:val="00B03A87"/>
    <w:rsid w:val="00B06E07"/>
    <w:rsid w:val="00B0763C"/>
    <w:rsid w:val="00B10BC0"/>
    <w:rsid w:val="00B11F51"/>
    <w:rsid w:val="00B1295A"/>
    <w:rsid w:val="00B13AA8"/>
    <w:rsid w:val="00B179C3"/>
    <w:rsid w:val="00B20A45"/>
    <w:rsid w:val="00B215A0"/>
    <w:rsid w:val="00B22C5C"/>
    <w:rsid w:val="00B24CE7"/>
    <w:rsid w:val="00B24F30"/>
    <w:rsid w:val="00B256B4"/>
    <w:rsid w:val="00B259B0"/>
    <w:rsid w:val="00B259B6"/>
    <w:rsid w:val="00B3093E"/>
    <w:rsid w:val="00B31ABF"/>
    <w:rsid w:val="00B32897"/>
    <w:rsid w:val="00B33BE3"/>
    <w:rsid w:val="00B37BDD"/>
    <w:rsid w:val="00B4030C"/>
    <w:rsid w:val="00B41915"/>
    <w:rsid w:val="00B420B4"/>
    <w:rsid w:val="00B44270"/>
    <w:rsid w:val="00B45E91"/>
    <w:rsid w:val="00B51C56"/>
    <w:rsid w:val="00B53B5D"/>
    <w:rsid w:val="00B56BE1"/>
    <w:rsid w:val="00B603BE"/>
    <w:rsid w:val="00B6055E"/>
    <w:rsid w:val="00B61359"/>
    <w:rsid w:val="00B6263C"/>
    <w:rsid w:val="00B6317D"/>
    <w:rsid w:val="00B636B0"/>
    <w:rsid w:val="00B748E1"/>
    <w:rsid w:val="00B759A4"/>
    <w:rsid w:val="00B75E4B"/>
    <w:rsid w:val="00B7607C"/>
    <w:rsid w:val="00B7723F"/>
    <w:rsid w:val="00B80534"/>
    <w:rsid w:val="00B8433C"/>
    <w:rsid w:val="00B86FBF"/>
    <w:rsid w:val="00B87491"/>
    <w:rsid w:val="00B87751"/>
    <w:rsid w:val="00B90898"/>
    <w:rsid w:val="00B975B3"/>
    <w:rsid w:val="00BA251B"/>
    <w:rsid w:val="00BA2785"/>
    <w:rsid w:val="00BA29E9"/>
    <w:rsid w:val="00BA4ADA"/>
    <w:rsid w:val="00BA5752"/>
    <w:rsid w:val="00BA67F3"/>
    <w:rsid w:val="00BA7142"/>
    <w:rsid w:val="00BB237C"/>
    <w:rsid w:val="00BB41A3"/>
    <w:rsid w:val="00BB7272"/>
    <w:rsid w:val="00BC05F5"/>
    <w:rsid w:val="00BC1F04"/>
    <w:rsid w:val="00BC32DC"/>
    <w:rsid w:val="00BC35B6"/>
    <w:rsid w:val="00BC43B0"/>
    <w:rsid w:val="00BC6EDB"/>
    <w:rsid w:val="00BC7F18"/>
    <w:rsid w:val="00BD0A06"/>
    <w:rsid w:val="00BD1B51"/>
    <w:rsid w:val="00BD4596"/>
    <w:rsid w:val="00BD477A"/>
    <w:rsid w:val="00BD5451"/>
    <w:rsid w:val="00BD75E4"/>
    <w:rsid w:val="00BE1405"/>
    <w:rsid w:val="00BE2C8C"/>
    <w:rsid w:val="00BE312D"/>
    <w:rsid w:val="00BF1427"/>
    <w:rsid w:val="00BF1C20"/>
    <w:rsid w:val="00BF2F28"/>
    <w:rsid w:val="00BF317A"/>
    <w:rsid w:val="00BF7A96"/>
    <w:rsid w:val="00C00BCD"/>
    <w:rsid w:val="00C00FEE"/>
    <w:rsid w:val="00C03360"/>
    <w:rsid w:val="00C04542"/>
    <w:rsid w:val="00C10578"/>
    <w:rsid w:val="00C12119"/>
    <w:rsid w:val="00C135BC"/>
    <w:rsid w:val="00C135F8"/>
    <w:rsid w:val="00C15C95"/>
    <w:rsid w:val="00C17491"/>
    <w:rsid w:val="00C21F4D"/>
    <w:rsid w:val="00C2596A"/>
    <w:rsid w:val="00C2675A"/>
    <w:rsid w:val="00C27537"/>
    <w:rsid w:val="00C326CC"/>
    <w:rsid w:val="00C328FE"/>
    <w:rsid w:val="00C33507"/>
    <w:rsid w:val="00C363B7"/>
    <w:rsid w:val="00C36DB1"/>
    <w:rsid w:val="00C4152C"/>
    <w:rsid w:val="00C4409D"/>
    <w:rsid w:val="00C44C78"/>
    <w:rsid w:val="00C44E72"/>
    <w:rsid w:val="00C45A06"/>
    <w:rsid w:val="00C4625D"/>
    <w:rsid w:val="00C4731F"/>
    <w:rsid w:val="00C47E5B"/>
    <w:rsid w:val="00C51881"/>
    <w:rsid w:val="00C52617"/>
    <w:rsid w:val="00C52E86"/>
    <w:rsid w:val="00C54302"/>
    <w:rsid w:val="00C55DDD"/>
    <w:rsid w:val="00C61E4B"/>
    <w:rsid w:val="00C63C0E"/>
    <w:rsid w:val="00C64BFF"/>
    <w:rsid w:val="00C704E9"/>
    <w:rsid w:val="00C7083D"/>
    <w:rsid w:val="00C70FF9"/>
    <w:rsid w:val="00C756D1"/>
    <w:rsid w:val="00C763C9"/>
    <w:rsid w:val="00C76710"/>
    <w:rsid w:val="00C80057"/>
    <w:rsid w:val="00C801B0"/>
    <w:rsid w:val="00C82232"/>
    <w:rsid w:val="00C82913"/>
    <w:rsid w:val="00C83AD8"/>
    <w:rsid w:val="00C83D3E"/>
    <w:rsid w:val="00C8512B"/>
    <w:rsid w:val="00C9157F"/>
    <w:rsid w:val="00C92468"/>
    <w:rsid w:val="00C92E5E"/>
    <w:rsid w:val="00C93DCF"/>
    <w:rsid w:val="00C94597"/>
    <w:rsid w:val="00C972B1"/>
    <w:rsid w:val="00C9796B"/>
    <w:rsid w:val="00CA2483"/>
    <w:rsid w:val="00CA2CCE"/>
    <w:rsid w:val="00CA43FD"/>
    <w:rsid w:val="00CA5362"/>
    <w:rsid w:val="00CA7EF8"/>
    <w:rsid w:val="00CB0C14"/>
    <w:rsid w:val="00CB12CA"/>
    <w:rsid w:val="00CC2AD7"/>
    <w:rsid w:val="00CC489B"/>
    <w:rsid w:val="00CC7BE2"/>
    <w:rsid w:val="00CD189D"/>
    <w:rsid w:val="00CD2BCD"/>
    <w:rsid w:val="00CD3A4C"/>
    <w:rsid w:val="00CD3B98"/>
    <w:rsid w:val="00CE03B9"/>
    <w:rsid w:val="00CE10E9"/>
    <w:rsid w:val="00CE1B3E"/>
    <w:rsid w:val="00CE27C8"/>
    <w:rsid w:val="00CE2910"/>
    <w:rsid w:val="00CE2D8A"/>
    <w:rsid w:val="00CE5165"/>
    <w:rsid w:val="00CE5393"/>
    <w:rsid w:val="00CE7923"/>
    <w:rsid w:val="00CF022D"/>
    <w:rsid w:val="00CF0B0D"/>
    <w:rsid w:val="00CF36BE"/>
    <w:rsid w:val="00CF4A63"/>
    <w:rsid w:val="00CF6000"/>
    <w:rsid w:val="00CF6B4F"/>
    <w:rsid w:val="00D003F3"/>
    <w:rsid w:val="00D03284"/>
    <w:rsid w:val="00D0364F"/>
    <w:rsid w:val="00D04549"/>
    <w:rsid w:val="00D06834"/>
    <w:rsid w:val="00D111BB"/>
    <w:rsid w:val="00D164AC"/>
    <w:rsid w:val="00D308ED"/>
    <w:rsid w:val="00D31B39"/>
    <w:rsid w:val="00D346F3"/>
    <w:rsid w:val="00D36D86"/>
    <w:rsid w:val="00D413E7"/>
    <w:rsid w:val="00D428AA"/>
    <w:rsid w:val="00D45F6E"/>
    <w:rsid w:val="00D50A34"/>
    <w:rsid w:val="00D529CC"/>
    <w:rsid w:val="00D52C2B"/>
    <w:rsid w:val="00D5354B"/>
    <w:rsid w:val="00D53EFA"/>
    <w:rsid w:val="00D56A59"/>
    <w:rsid w:val="00D61095"/>
    <w:rsid w:val="00D623C5"/>
    <w:rsid w:val="00D637F8"/>
    <w:rsid w:val="00D6539B"/>
    <w:rsid w:val="00D66BB5"/>
    <w:rsid w:val="00D67B34"/>
    <w:rsid w:val="00D71751"/>
    <w:rsid w:val="00D72CF9"/>
    <w:rsid w:val="00D77061"/>
    <w:rsid w:val="00D826B0"/>
    <w:rsid w:val="00D82D1A"/>
    <w:rsid w:val="00D84A13"/>
    <w:rsid w:val="00D873F0"/>
    <w:rsid w:val="00D87C3B"/>
    <w:rsid w:val="00D90021"/>
    <w:rsid w:val="00D92E0D"/>
    <w:rsid w:val="00D9492A"/>
    <w:rsid w:val="00D94A7C"/>
    <w:rsid w:val="00D94F22"/>
    <w:rsid w:val="00D95896"/>
    <w:rsid w:val="00D95F0B"/>
    <w:rsid w:val="00D97A61"/>
    <w:rsid w:val="00DA102A"/>
    <w:rsid w:val="00DA226C"/>
    <w:rsid w:val="00DA4D60"/>
    <w:rsid w:val="00DA6C20"/>
    <w:rsid w:val="00DA6D4A"/>
    <w:rsid w:val="00DB0258"/>
    <w:rsid w:val="00DB125B"/>
    <w:rsid w:val="00DB1665"/>
    <w:rsid w:val="00DB1A16"/>
    <w:rsid w:val="00DB2983"/>
    <w:rsid w:val="00DB2B40"/>
    <w:rsid w:val="00DB5E22"/>
    <w:rsid w:val="00DB7067"/>
    <w:rsid w:val="00DC1257"/>
    <w:rsid w:val="00DC2ABD"/>
    <w:rsid w:val="00DC3DC0"/>
    <w:rsid w:val="00DC42D8"/>
    <w:rsid w:val="00DC4E8C"/>
    <w:rsid w:val="00DC5B2B"/>
    <w:rsid w:val="00DC5B64"/>
    <w:rsid w:val="00DC6B3B"/>
    <w:rsid w:val="00DD20AD"/>
    <w:rsid w:val="00DD318D"/>
    <w:rsid w:val="00DD3A75"/>
    <w:rsid w:val="00DD3E08"/>
    <w:rsid w:val="00DD4E95"/>
    <w:rsid w:val="00DD7AC9"/>
    <w:rsid w:val="00DE11BE"/>
    <w:rsid w:val="00DE25FA"/>
    <w:rsid w:val="00DE4277"/>
    <w:rsid w:val="00DF2E12"/>
    <w:rsid w:val="00DF35D9"/>
    <w:rsid w:val="00DF3A13"/>
    <w:rsid w:val="00DF4312"/>
    <w:rsid w:val="00DF514A"/>
    <w:rsid w:val="00DF52D2"/>
    <w:rsid w:val="00DF6690"/>
    <w:rsid w:val="00DF6804"/>
    <w:rsid w:val="00DF6CAE"/>
    <w:rsid w:val="00DF793B"/>
    <w:rsid w:val="00E00310"/>
    <w:rsid w:val="00E0224A"/>
    <w:rsid w:val="00E027B9"/>
    <w:rsid w:val="00E033C0"/>
    <w:rsid w:val="00E0358D"/>
    <w:rsid w:val="00E03CBA"/>
    <w:rsid w:val="00E04323"/>
    <w:rsid w:val="00E0668F"/>
    <w:rsid w:val="00E0687E"/>
    <w:rsid w:val="00E06B5B"/>
    <w:rsid w:val="00E070A2"/>
    <w:rsid w:val="00E110E8"/>
    <w:rsid w:val="00E1630B"/>
    <w:rsid w:val="00E219F7"/>
    <w:rsid w:val="00E21E49"/>
    <w:rsid w:val="00E23702"/>
    <w:rsid w:val="00E2645B"/>
    <w:rsid w:val="00E2656A"/>
    <w:rsid w:val="00E26604"/>
    <w:rsid w:val="00E30309"/>
    <w:rsid w:val="00E35484"/>
    <w:rsid w:val="00E35847"/>
    <w:rsid w:val="00E412D0"/>
    <w:rsid w:val="00E42258"/>
    <w:rsid w:val="00E42494"/>
    <w:rsid w:val="00E42A84"/>
    <w:rsid w:val="00E44FD4"/>
    <w:rsid w:val="00E56322"/>
    <w:rsid w:val="00E56A05"/>
    <w:rsid w:val="00E57740"/>
    <w:rsid w:val="00E60982"/>
    <w:rsid w:val="00E62546"/>
    <w:rsid w:val="00E62C62"/>
    <w:rsid w:val="00E654C1"/>
    <w:rsid w:val="00E65D97"/>
    <w:rsid w:val="00E65EBF"/>
    <w:rsid w:val="00E65FBF"/>
    <w:rsid w:val="00E66B06"/>
    <w:rsid w:val="00E66F1F"/>
    <w:rsid w:val="00E719A8"/>
    <w:rsid w:val="00E72A5A"/>
    <w:rsid w:val="00E72D9C"/>
    <w:rsid w:val="00E73354"/>
    <w:rsid w:val="00E7501D"/>
    <w:rsid w:val="00E764DE"/>
    <w:rsid w:val="00E81C8B"/>
    <w:rsid w:val="00E829A8"/>
    <w:rsid w:val="00E9138F"/>
    <w:rsid w:val="00E9242D"/>
    <w:rsid w:val="00E95151"/>
    <w:rsid w:val="00E96DE8"/>
    <w:rsid w:val="00EA0F33"/>
    <w:rsid w:val="00EA269D"/>
    <w:rsid w:val="00EA7D54"/>
    <w:rsid w:val="00EB224C"/>
    <w:rsid w:val="00EB3505"/>
    <w:rsid w:val="00EB4AA0"/>
    <w:rsid w:val="00EB5209"/>
    <w:rsid w:val="00EB5255"/>
    <w:rsid w:val="00EB5C47"/>
    <w:rsid w:val="00EC1ACB"/>
    <w:rsid w:val="00EC34A5"/>
    <w:rsid w:val="00EC406B"/>
    <w:rsid w:val="00EC4753"/>
    <w:rsid w:val="00EC5ACF"/>
    <w:rsid w:val="00ED0639"/>
    <w:rsid w:val="00ED068B"/>
    <w:rsid w:val="00ED1ABC"/>
    <w:rsid w:val="00ED40D9"/>
    <w:rsid w:val="00ED53E2"/>
    <w:rsid w:val="00ED56DC"/>
    <w:rsid w:val="00ED5BB0"/>
    <w:rsid w:val="00ED7134"/>
    <w:rsid w:val="00ED720A"/>
    <w:rsid w:val="00ED7C4C"/>
    <w:rsid w:val="00EE0B94"/>
    <w:rsid w:val="00EE459D"/>
    <w:rsid w:val="00EE5A53"/>
    <w:rsid w:val="00EE71BB"/>
    <w:rsid w:val="00EE7D65"/>
    <w:rsid w:val="00EF1578"/>
    <w:rsid w:val="00EF1CE1"/>
    <w:rsid w:val="00EF1D37"/>
    <w:rsid w:val="00EF4755"/>
    <w:rsid w:val="00EF494A"/>
    <w:rsid w:val="00EF61C3"/>
    <w:rsid w:val="00EF7135"/>
    <w:rsid w:val="00F00ADD"/>
    <w:rsid w:val="00F027DB"/>
    <w:rsid w:val="00F039FE"/>
    <w:rsid w:val="00F044D8"/>
    <w:rsid w:val="00F06BFE"/>
    <w:rsid w:val="00F14A7A"/>
    <w:rsid w:val="00F20A7D"/>
    <w:rsid w:val="00F227D8"/>
    <w:rsid w:val="00F22985"/>
    <w:rsid w:val="00F23E16"/>
    <w:rsid w:val="00F334D1"/>
    <w:rsid w:val="00F3383E"/>
    <w:rsid w:val="00F37EF7"/>
    <w:rsid w:val="00F413AF"/>
    <w:rsid w:val="00F42859"/>
    <w:rsid w:val="00F431C6"/>
    <w:rsid w:val="00F43DA4"/>
    <w:rsid w:val="00F444C9"/>
    <w:rsid w:val="00F465A7"/>
    <w:rsid w:val="00F50453"/>
    <w:rsid w:val="00F50B7C"/>
    <w:rsid w:val="00F51677"/>
    <w:rsid w:val="00F5245D"/>
    <w:rsid w:val="00F550E6"/>
    <w:rsid w:val="00F57B1A"/>
    <w:rsid w:val="00F57B67"/>
    <w:rsid w:val="00F57F4D"/>
    <w:rsid w:val="00F67B39"/>
    <w:rsid w:val="00F7244F"/>
    <w:rsid w:val="00F73529"/>
    <w:rsid w:val="00F73E0C"/>
    <w:rsid w:val="00F74345"/>
    <w:rsid w:val="00F753BF"/>
    <w:rsid w:val="00F75755"/>
    <w:rsid w:val="00F80A0A"/>
    <w:rsid w:val="00F82B19"/>
    <w:rsid w:val="00F84A15"/>
    <w:rsid w:val="00F86BB6"/>
    <w:rsid w:val="00F9212D"/>
    <w:rsid w:val="00F93920"/>
    <w:rsid w:val="00F93982"/>
    <w:rsid w:val="00F952EB"/>
    <w:rsid w:val="00F965DA"/>
    <w:rsid w:val="00FA039B"/>
    <w:rsid w:val="00FA0AFD"/>
    <w:rsid w:val="00FA406A"/>
    <w:rsid w:val="00FA4317"/>
    <w:rsid w:val="00FA5062"/>
    <w:rsid w:val="00FA7A20"/>
    <w:rsid w:val="00FB28FB"/>
    <w:rsid w:val="00FB2C4A"/>
    <w:rsid w:val="00FB503A"/>
    <w:rsid w:val="00FB516C"/>
    <w:rsid w:val="00FB5A4C"/>
    <w:rsid w:val="00FC4105"/>
    <w:rsid w:val="00FC70C9"/>
    <w:rsid w:val="00FD0236"/>
    <w:rsid w:val="00FD18F4"/>
    <w:rsid w:val="00FD25D7"/>
    <w:rsid w:val="00FD2603"/>
    <w:rsid w:val="00FD2A38"/>
    <w:rsid w:val="00FD537D"/>
    <w:rsid w:val="00FD54DB"/>
    <w:rsid w:val="00FD619F"/>
    <w:rsid w:val="00FD61E3"/>
    <w:rsid w:val="00FE3A1D"/>
    <w:rsid w:val="00FE551B"/>
    <w:rsid w:val="00FE60B4"/>
    <w:rsid w:val="00FF00AE"/>
    <w:rsid w:val="00FF02AF"/>
    <w:rsid w:val="00FF1D24"/>
    <w:rsid w:val="00FF5EB3"/>
    <w:rsid w:val="0116312F"/>
    <w:rsid w:val="01290F7E"/>
    <w:rsid w:val="015D1E09"/>
    <w:rsid w:val="01A00C4B"/>
    <w:rsid w:val="01A82395"/>
    <w:rsid w:val="01CB7A06"/>
    <w:rsid w:val="02697903"/>
    <w:rsid w:val="02ED2202"/>
    <w:rsid w:val="02F96569"/>
    <w:rsid w:val="03195159"/>
    <w:rsid w:val="03C65DBA"/>
    <w:rsid w:val="03D251BA"/>
    <w:rsid w:val="03D74E23"/>
    <w:rsid w:val="03EA7B21"/>
    <w:rsid w:val="0406356C"/>
    <w:rsid w:val="046C5F22"/>
    <w:rsid w:val="04E95BB4"/>
    <w:rsid w:val="051366DA"/>
    <w:rsid w:val="05937986"/>
    <w:rsid w:val="05CB68B5"/>
    <w:rsid w:val="05DB5D6D"/>
    <w:rsid w:val="05F83EAE"/>
    <w:rsid w:val="063E7D85"/>
    <w:rsid w:val="06DF657B"/>
    <w:rsid w:val="06EF0673"/>
    <w:rsid w:val="0706279E"/>
    <w:rsid w:val="07293586"/>
    <w:rsid w:val="07295285"/>
    <w:rsid w:val="074D7F40"/>
    <w:rsid w:val="07636392"/>
    <w:rsid w:val="076E3F95"/>
    <w:rsid w:val="07770C56"/>
    <w:rsid w:val="07A11FDE"/>
    <w:rsid w:val="08582ED2"/>
    <w:rsid w:val="08877C9F"/>
    <w:rsid w:val="08EB616F"/>
    <w:rsid w:val="08F037F9"/>
    <w:rsid w:val="092217DD"/>
    <w:rsid w:val="093A7294"/>
    <w:rsid w:val="09B843BD"/>
    <w:rsid w:val="0A263993"/>
    <w:rsid w:val="0A2D3AC2"/>
    <w:rsid w:val="0A3A5453"/>
    <w:rsid w:val="0A9D3EED"/>
    <w:rsid w:val="0AA755DF"/>
    <w:rsid w:val="0AB100FE"/>
    <w:rsid w:val="0B120D44"/>
    <w:rsid w:val="0B3D1979"/>
    <w:rsid w:val="0BBD01F8"/>
    <w:rsid w:val="0BD27BF6"/>
    <w:rsid w:val="0C193064"/>
    <w:rsid w:val="0C3B3C7D"/>
    <w:rsid w:val="0C555F04"/>
    <w:rsid w:val="0C8A7039"/>
    <w:rsid w:val="0CAB2EAE"/>
    <w:rsid w:val="0D621C7D"/>
    <w:rsid w:val="0D98311E"/>
    <w:rsid w:val="0DB34076"/>
    <w:rsid w:val="0E0E67C5"/>
    <w:rsid w:val="0E1A3B33"/>
    <w:rsid w:val="0E73034D"/>
    <w:rsid w:val="0EBC2928"/>
    <w:rsid w:val="0F13775A"/>
    <w:rsid w:val="0F361EF6"/>
    <w:rsid w:val="0F5F45FE"/>
    <w:rsid w:val="0F6639A0"/>
    <w:rsid w:val="0F9A112B"/>
    <w:rsid w:val="10263DBE"/>
    <w:rsid w:val="104D3C42"/>
    <w:rsid w:val="106D2F64"/>
    <w:rsid w:val="10B63710"/>
    <w:rsid w:val="10ED6224"/>
    <w:rsid w:val="10F10820"/>
    <w:rsid w:val="111C2F7A"/>
    <w:rsid w:val="11665CA1"/>
    <w:rsid w:val="11F713A0"/>
    <w:rsid w:val="125A2508"/>
    <w:rsid w:val="12997AF9"/>
    <w:rsid w:val="12E55068"/>
    <w:rsid w:val="13167988"/>
    <w:rsid w:val="131D5AED"/>
    <w:rsid w:val="1383047B"/>
    <w:rsid w:val="13951726"/>
    <w:rsid w:val="13B0325D"/>
    <w:rsid w:val="14001AD7"/>
    <w:rsid w:val="14396509"/>
    <w:rsid w:val="143F057F"/>
    <w:rsid w:val="14DD2C3C"/>
    <w:rsid w:val="153E0A4F"/>
    <w:rsid w:val="16087E1D"/>
    <w:rsid w:val="16DC672F"/>
    <w:rsid w:val="16E17E7E"/>
    <w:rsid w:val="17701D14"/>
    <w:rsid w:val="17735226"/>
    <w:rsid w:val="179A1A12"/>
    <w:rsid w:val="17AD5A18"/>
    <w:rsid w:val="183D4FEE"/>
    <w:rsid w:val="189F624C"/>
    <w:rsid w:val="18A87743"/>
    <w:rsid w:val="19031D93"/>
    <w:rsid w:val="19894BF4"/>
    <w:rsid w:val="1A1C66C0"/>
    <w:rsid w:val="1A3316EC"/>
    <w:rsid w:val="1A42393B"/>
    <w:rsid w:val="1A4A739A"/>
    <w:rsid w:val="1A665DA4"/>
    <w:rsid w:val="1AAD45DE"/>
    <w:rsid w:val="1AB73371"/>
    <w:rsid w:val="1AE10D32"/>
    <w:rsid w:val="1B046F80"/>
    <w:rsid w:val="1B3267B5"/>
    <w:rsid w:val="1B40161D"/>
    <w:rsid w:val="1B441859"/>
    <w:rsid w:val="1B6606B1"/>
    <w:rsid w:val="1B9E63AA"/>
    <w:rsid w:val="1BA84574"/>
    <w:rsid w:val="1C053422"/>
    <w:rsid w:val="1C2144F1"/>
    <w:rsid w:val="1C2F4C4D"/>
    <w:rsid w:val="1C5E7925"/>
    <w:rsid w:val="1CBB55FC"/>
    <w:rsid w:val="1CE27306"/>
    <w:rsid w:val="1CFD070F"/>
    <w:rsid w:val="1D0F3AEC"/>
    <w:rsid w:val="1D5F6196"/>
    <w:rsid w:val="1D6132A5"/>
    <w:rsid w:val="1D8E56D5"/>
    <w:rsid w:val="1D927132"/>
    <w:rsid w:val="1DAB704C"/>
    <w:rsid w:val="1DAD230E"/>
    <w:rsid w:val="1E3E561C"/>
    <w:rsid w:val="1E7A43DA"/>
    <w:rsid w:val="1EB3628C"/>
    <w:rsid w:val="1F29178E"/>
    <w:rsid w:val="1F4822D7"/>
    <w:rsid w:val="1F9C084C"/>
    <w:rsid w:val="1FE7539E"/>
    <w:rsid w:val="20671BE0"/>
    <w:rsid w:val="209027CA"/>
    <w:rsid w:val="20963CB8"/>
    <w:rsid w:val="20A81A1B"/>
    <w:rsid w:val="20B07FB6"/>
    <w:rsid w:val="20B646FB"/>
    <w:rsid w:val="211E0B3D"/>
    <w:rsid w:val="213B74B1"/>
    <w:rsid w:val="215A2310"/>
    <w:rsid w:val="21A96C7E"/>
    <w:rsid w:val="21DE318A"/>
    <w:rsid w:val="21EF5B80"/>
    <w:rsid w:val="22576990"/>
    <w:rsid w:val="22F47480"/>
    <w:rsid w:val="23410850"/>
    <w:rsid w:val="235C60DC"/>
    <w:rsid w:val="23933D4F"/>
    <w:rsid w:val="23DE1C48"/>
    <w:rsid w:val="240210CD"/>
    <w:rsid w:val="24094F90"/>
    <w:rsid w:val="24B1204B"/>
    <w:rsid w:val="24BF09F7"/>
    <w:rsid w:val="24C176D8"/>
    <w:rsid w:val="24FD1D8D"/>
    <w:rsid w:val="252D53FE"/>
    <w:rsid w:val="25AF74A0"/>
    <w:rsid w:val="25E06179"/>
    <w:rsid w:val="25EC2D81"/>
    <w:rsid w:val="263C42B1"/>
    <w:rsid w:val="26E234C6"/>
    <w:rsid w:val="27451D7A"/>
    <w:rsid w:val="276C1B3A"/>
    <w:rsid w:val="277057A2"/>
    <w:rsid w:val="27977892"/>
    <w:rsid w:val="27E337EF"/>
    <w:rsid w:val="28E026ED"/>
    <w:rsid w:val="29206EB8"/>
    <w:rsid w:val="29447520"/>
    <w:rsid w:val="29595666"/>
    <w:rsid w:val="29874881"/>
    <w:rsid w:val="2998610E"/>
    <w:rsid w:val="29C41FA9"/>
    <w:rsid w:val="29E325E0"/>
    <w:rsid w:val="2A036F19"/>
    <w:rsid w:val="2A3E48F2"/>
    <w:rsid w:val="2A452503"/>
    <w:rsid w:val="2A7F3F47"/>
    <w:rsid w:val="2A8B7E3A"/>
    <w:rsid w:val="2AAE0992"/>
    <w:rsid w:val="2AE87B13"/>
    <w:rsid w:val="2AEF3056"/>
    <w:rsid w:val="2B704458"/>
    <w:rsid w:val="2B786182"/>
    <w:rsid w:val="2B854A84"/>
    <w:rsid w:val="2BA936A8"/>
    <w:rsid w:val="2C1C49B0"/>
    <w:rsid w:val="2C2B2E80"/>
    <w:rsid w:val="2C315A5A"/>
    <w:rsid w:val="2C3D3E6A"/>
    <w:rsid w:val="2C482373"/>
    <w:rsid w:val="2C4B1C25"/>
    <w:rsid w:val="2D1A2253"/>
    <w:rsid w:val="2D9E56F5"/>
    <w:rsid w:val="2E667F96"/>
    <w:rsid w:val="2E7E44F8"/>
    <w:rsid w:val="2E8226AB"/>
    <w:rsid w:val="2E9D7568"/>
    <w:rsid w:val="2EF12B63"/>
    <w:rsid w:val="2F2811EE"/>
    <w:rsid w:val="2F662ECB"/>
    <w:rsid w:val="2F7161E5"/>
    <w:rsid w:val="2FD065E6"/>
    <w:rsid w:val="2FD96870"/>
    <w:rsid w:val="3007151C"/>
    <w:rsid w:val="30467125"/>
    <w:rsid w:val="30580BC9"/>
    <w:rsid w:val="308D62B2"/>
    <w:rsid w:val="30914927"/>
    <w:rsid w:val="311E2ED7"/>
    <w:rsid w:val="312D1C4B"/>
    <w:rsid w:val="313528AE"/>
    <w:rsid w:val="31532D34"/>
    <w:rsid w:val="315619EE"/>
    <w:rsid w:val="315C449C"/>
    <w:rsid w:val="31A27A59"/>
    <w:rsid w:val="31B82709"/>
    <w:rsid w:val="31D05482"/>
    <w:rsid w:val="31EE1A21"/>
    <w:rsid w:val="320A7897"/>
    <w:rsid w:val="32400B34"/>
    <w:rsid w:val="329E6876"/>
    <w:rsid w:val="32CD6F3E"/>
    <w:rsid w:val="32D95221"/>
    <w:rsid w:val="333015F2"/>
    <w:rsid w:val="334B6320"/>
    <w:rsid w:val="3377668C"/>
    <w:rsid w:val="33A54B3B"/>
    <w:rsid w:val="33D068BE"/>
    <w:rsid w:val="33D934D4"/>
    <w:rsid w:val="33FE2F6A"/>
    <w:rsid w:val="340E07E5"/>
    <w:rsid w:val="34235BF7"/>
    <w:rsid w:val="34DE2186"/>
    <w:rsid w:val="34DE594D"/>
    <w:rsid w:val="35392EB5"/>
    <w:rsid w:val="3551600B"/>
    <w:rsid w:val="35786B63"/>
    <w:rsid w:val="358C5FA8"/>
    <w:rsid w:val="35934598"/>
    <w:rsid w:val="35C15DF1"/>
    <w:rsid w:val="36074A7F"/>
    <w:rsid w:val="361E7DB5"/>
    <w:rsid w:val="36923549"/>
    <w:rsid w:val="36B75FBF"/>
    <w:rsid w:val="36BD0C45"/>
    <w:rsid w:val="36D668E1"/>
    <w:rsid w:val="36F522F2"/>
    <w:rsid w:val="37E00298"/>
    <w:rsid w:val="38005B26"/>
    <w:rsid w:val="38B302F9"/>
    <w:rsid w:val="38F12CD3"/>
    <w:rsid w:val="38F94775"/>
    <w:rsid w:val="38FC78A8"/>
    <w:rsid w:val="39040E01"/>
    <w:rsid w:val="392456E2"/>
    <w:rsid w:val="392971ED"/>
    <w:rsid w:val="39325651"/>
    <w:rsid w:val="39477622"/>
    <w:rsid w:val="397523E2"/>
    <w:rsid w:val="397B6787"/>
    <w:rsid w:val="39DA5CA1"/>
    <w:rsid w:val="3A3850B4"/>
    <w:rsid w:val="3A4C1BEB"/>
    <w:rsid w:val="3A872856"/>
    <w:rsid w:val="3AF36F1D"/>
    <w:rsid w:val="3B3763D1"/>
    <w:rsid w:val="3B860E72"/>
    <w:rsid w:val="3BC62F25"/>
    <w:rsid w:val="3C0A0A1D"/>
    <w:rsid w:val="3C2F6E1E"/>
    <w:rsid w:val="3C4F64BA"/>
    <w:rsid w:val="3C81694E"/>
    <w:rsid w:val="3CDA245A"/>
    <w:rsid w:val="3D080BF3"/>
    <w:rsid w:val="3D1E06B7"/>
    <w:rsid w:val="3D566ECC"/>
    <w:rsid w:val="3D673163"/>
    <w:rsid w:val="3D8516BA"/>
    <w:rsid w:val="3DF31642"/>
    <w:rsid w:val="3E093F3B"/>
    <w:rsid w:val="3E435081"/>
    <w:rsid w:val="3E727BA1"/>
    <w:rsid w:val="3E7E5894"/>
    <w:rsid w:val="3EDA0523"/>
    <w:rsid w:val="3EF067F6"/>
    <w:rsid w:val="3F3A3882"/>
    <w:rsid w:val="407A6407"/>
    <w:rsid w:val="40AE48FA"/>
    <w:rsid w:val="41B557C0"/>
    <w:rsid w:val="41D76C3C"/>
    <w:rsid w:val="4200449D"/>
    <w:rsid w:val="423A3BCC"/>
    <w:rsid w:val="4241152D"/>
    <w:rsid w:val="424E57D2"/>
    <w:rsid w:val="42A40837"/>
    <w:rsid w:val="42B26C49"/>
    <w:rsid w:val="42CF2A90"/>
    <w:rsid w:val="42E74F69"/>
    <w:rsid w:val="433A6FE6"/>
    <w:rsid w:val="43480868"/>
    <w:rsid w:val="4350713C"/>
    <w:rsid w:val="436653E0"/>
    <w:rsid w:val="43805C0B"/>
    <w:rsid w:val="43C4431A"/>
    <w:rsid w:val="43CB0894"/>
    <w:rsid w:val="43EB47C2"/>
    <w:rsid w:val="43ED10DF"/>
    <w:rsid w:val="44B951CC"/>
    <w:rsid w:val="44CD14E0"/>
    <w:rsid w:val="44F20B0B"/>
    <w:rsid w:val="45241026"/>
    <w:rsid w:val="452E5F4C"/>
    <w:rsid w:val="45612018"/>
    <w:rsid w:val="458946E9"/>
    <w:rsid w:val="45A47C0E"/>
    <w:rsid w:val="46577FD6"/>
    <w:rsid w:val="4668369F"/>
    <w:rsid w:val="468A530C"/>
    <w:rsid w:val="4698326B"/>
    <w:rsid w:val="46D955A7"/>
    <w:rsid w:val="46DB13AA"/>
    <w:rsid w:val="46FB75DC"/>
    <w:rsid w:val="47133957"/>
    <w:rsid w:val="473803C4"/>
    <w:rsid w:val="47A07E0C"/>
    <w:rsid w:val="480F48C7"/>
    <w:rsid w:val="48197125"/>
    <w:rsid w:val="4870272E"/>
    <w:rsid w:val="48965A61"/>
    <w:rsid w:val="49DC7715"/>
    <w:rsid w:val="4A023139"/>
    <w:rsid w:val="4A0E00FD"/>
    <w:rsid w:val="4A394D65"/>
    <w:rsid w:val="4A7B576F"/>
    <w:rsid w:val="4AF561A9"/>
    <w:rsid w:val="4B09477A"/>
    <w:rsid w:val="4B0B4F1C"/>
    <w:rsid w:val="4BA359F7"/>
    <w:rsid w:val="4BD17F51"/>
    <w:rsid w:val="4C1166BB"/>
    <w:rsid w:val="4C4A0649"/>
    <w:rsid w:val="4C7E5ECA"/>
    <w:rsid w:val="4C876AA5"/>
    <w:rsid w:val="4D0E00FB"/>
    <w:rsid w:val="4D176606"/>
    <w:rsid w:val="4DEC4FB0"/>
    <w:rsid w:val="4E075D8A"/>
    <w:rsid w:val="4E3729EE"/>
    <w:rsid w:val="4E5965D7"/>
    <w:rsid w:val="4EC00FAD"/>
    <w:rsid w:val="4EC20E4A"/>
    <w:rsid w:val="4F670CB2"/>
    <w:rsid w:val="4F9843DC"/>
    <w:rsid w:val="4FBE251C"/>
    <w:rsid w:val="4FC62A8C"/>
    <w:rsid w:val="4FE20F0D"/>
    <w:rsid w:val="4FE51552"/>
    <w:rsid w:val="5016338D"/>
    <w:rsid w:val="50342F85"/>
    <w:rsid w:val="50504C4B"/>
    <w:rsid w:val="50690C2F"/>
    <w:rsid w:val="5080038B"/>
    <w:rsid w:val="509C6E7C"/>
    <w:rsid w:val="50C56A7E"/>
    <w:rsid w:val="511A0DB8"/>
    <w:rsid w:val="5162104E"/>
    <w:rsid w:val="516A21C9"/>
    <w:rsid w:val="517A224E"/>
    <w:rsid w:val="517C0ECE"/>
    <w:rsid w:val="51F64DD4"/>
    <w:rsid w:val="52942819"/>
    <w:rsid w:val="52E9158F"/>
    <w:rsid w:val="53215442"/>
    <w:rsid w:val="53A039CC"/>
    <w:rsid w:val="53A1505A"/>
    <w:rsid w:val="53F4399C"/>
    <w:rsid w:val="54063E08"/>
    <w:rsid w:val="543437E8"/>
    <w:rsid w:val="54972910"/>
    <w:rsid w:val="54F73313"/>
    <w:rsid w:val="54F80955"/>
    <w:rsid w:val="5501462D"/>
    <w:rsid w:val="55182D5C"/>
    <w:rsid w:val="55247E81"/>
    <w:rsid w:val="552A5F97"/>
    <w:rsid w:val="555170A7"/>
    <w:rsid w:val="556517EC"/>
    <w:rsid w:val="5587536D"/>
    <w:rsid w:val="559B174B"/>
    <w:rsid w:val="55CE0CF4"/>
    <w:rsid w:val="55D31A72"/>
    <w:rsid w:val="563B30BC"/>
    <w:rsid w:val="568E01DD"/>
    <w:rsid w:val="56B22A9C"/>
    <w:rsid w:val="56E04EE6"/>
    <w:rsid w:val="570A7E89"/>
    <w:rsid w:val="57B72A76"/>
    <w:rsid w:val="57C3426C"/>
    <w:rsid w:val="57CE1F93"/>
    <w:rsid w:val="57D540ED"/>
    <w:rsid w:val="5867223B"/>
    <w:rsid w:val="58704048"/>
    <w:rsid w:val="588743D1"/>
    <w:rsid w:val="5887701A"/>
    <w:rsid w:val="58EF6F11"/>
    <w:rsid w:val="591A49F9"/>
    <w:rsid w:val="596F2563"/>
    <w:rsid w:val="59C0439F"/>
    <w:rsid w:val="59DD395F"/>
    <w:rsid w:val="5ABE2233"/>
    <w:rsid w:val="5ADB7A62"/>
    <w:rsid w:val="5AEB04DF"/>
    <w:rsid w:val="5AF93789"/>
    <w:rsid w:val="5B0241F9"/>
    <w:rsid w:val="5B1F5061"/>
    <w:rsid w:val="5B4517BC"/>
    <w:rsid w:val="5B8A4DCE"/>
    <w:rsid w:val="5BDF5D95"/>
    <w:rsid w:val="5BFE7528"/>
    <w:rsid w:val="5C2A13BA"/>
    <w:rsid w:val="5C2F5AAA"/>
    <w:rsid w:val="5C4517F8"/>
    <w:rsid w:val="5CBD0CC6"/>
    <w:rsid w:val="5DF03535"/>
    <w:rsid w:val="5E050417"/>
    <w:rsid w:val="5E2467F1"/>
    <w:rsid w:val="5E75252C"/>
    <w:rsid w:val="5F1A2B43"/>
    <w:rsid w:val="5F273A4F"/>
    <w:rsid w:val="5F5129CE"/>
    <w:rsid w:val="5F5C5FB8"/>
    <w:rsid w:val="5FB837BB"/>
    <w:rsid w:val="6089786A"/>
    <w:rsid w:val="60CC405A"/>
    <w:rsid w:val="60E35A51"/>
    <w:rsid w:val="617D532B"/>
    <w:rsid w:val="61967FFD"/>
    <w:rsid w:val="61E215D8"/>
    <w:rsid w:val="621B3775"/>
    <w:rsid w:val="62225B80"/>
    <w:rsid w:val="62364782"/>
    <w:rsid w:val="6394356A"/>
    <w:rsid w:val="63A4401B"/>
    <w:rsid w:val="63C61B2C"/>
    <w:rsid w:val="63D40BE9"/>
    <w:rsid w:val="63FE69AC"/>
    <w:rsid w:val="64102431"/>
    <w:rsid w:val="6449399F"/>
    <w:rsid w:val="644D07A0"/>
    <w:rsid w:val="645F5962"/>
    <w:rsid w:val="64A5243A"/>
    <w:rsid w:val="64F531DE"/>
    <w:rsid w:val="65233130"/>
    <w:rsid w:val="65373578"/>
    <w:rsid w:val="653E2944"/>
    <w:rsid w:val="669730E8"/>
    <w:rsid w:val="669B55EE"/>
    <w:rsid w:val="66B849C6"/>
    <w:rsid w:val="671F124A"/>
    <w:rsid w:val="67530DBD"/>
    <w:rsid w:val="677A33C6"/>
    <w:rsid w:val="681F6961"/>
    <w:rsid w:val="684E5A28"/>
    <w:rsid w:val="68610A2F"/>
    <w:rsid w:val="68805514"/>
    <w:rsid w:val="690050B1"/>
    <w:rsid w:val="692F585A"/>
    <w:rsid w:val="69316E2F"/>
    <w:rsid w:val="694E2071"/>
    <w:rsid w:val="69766163"/>
    <w:rsid w:val="697A3B33"/>
    <w:rsid w:val="69CF5E4B"/>
    <w:rsid w:val="69D44760"/>
    <w:rsid w:val="69F44F99"/>
    <w:rsid w:val="6A270942"/>
    <w:rsid w:val="6A440E91"/>
    <w:rsid w:val="6A520EC7"/>
    <w:rsid w:val="6A6443C4"/>
    <w:rsid w:val="6AF87E20"/>
    <w:rsid w:val="6B322639"/>
    <w:rsid w:val="6BD85B75"/>
    <w:rsid w:val="6C636C38"/>
    <w:rsid w:val="6CCA5253"/>
    <w:rsid w:val="6DB34098"/>
    <w:rsid w:val="6DB545B6"/>
    <w:rsid w:val="6DE02FB4"/>
    <w:rsid w:val="6E0763E3"/>
    <w:rsid w:val="6E4305F7"/>
    <w:rsid w:val="6E4A1D2F"/>
    <w:rsid w:val="6E514CED"/>
    <w:rsid w:val="6E78007E"/>
    <w:rsid w:val="6E846FB1"/>
    <w:rsid w:val="6E961145"/>
    <w:rsid w:val="6EB563D5"/>
    <w:rsid w:val="6EC37F61"/>
    <w:rsid w:val="6ED92677"/>
    <w:rsid w:val="6F225983"/>
    <w:rsid w:val="6F475783"/>
    <w:rsid w:val="6FDD1480"/>
    <w:rsid w:val="6FFC5590"/>
    <w:rsid w:val="702D5940"/>
    <w:rsid w:val="706050A2"/>
    <w:rsid w:val="706D1DD0"/>
    <w:rsid w:val="70856B87"/>
    <w:rsid w:val="70A17A2D"/>
    <w:rsid w:val="70D527EE"/>
    <w:rsid w:val="715B5300"/>
    <w:rsid w:val="71763E02"/>
    <w:rsid w:val="71A5490B"/>
    <w:rsid w:val="71C752D4"/>
    <w:rsid w:val="71D27F8A"/>
    <w:rsid w:val="71E424C4"/>
    <w:rsid w:val="721F5421"/>
    <w:rsid w:val="72553024"/>
    <w:rsid w:val="72EC6569"/>
    <w:rsid w:val="73122968"/>
    <w:rsid w:val="731F5D5E"/>
    <w:rsid w:val="732D2E0A"/>
    <w:rsid w:val="734403EF"/>
    <w:rsid w:val="734F03AE"/>
    <w:rsid w:val="73B33DF2"/>
    <w:rsid w:val="73BA38FA"/>
    <w:rsid w:val="73C51AD5"/>
    <w:rsid w:val="73DE2356"/>
    <w:rsid w:val="741E793C"/>
    <w:rsid w:val="743F7C10"/>
    <w:rsid w:val="745443C6"/>
    <w:rsid w:val="745E3944"/>
    <w:rsid w:val="75A62D7F"/>
    <w:rsid w:val="75CE393A"/>
    <w:rsid w:val="75EA640D"/>
    <w:rsid w:val="7635099D"/>
    <w:rsid w:val="77047070"/>
    <w:rsid w:val="770E3ADA"/>
    <w:rsid w:val="77762421"/>
    <w:rsid w:val="77B56B1F"/>
    <w:rsid w:val="780F09F4"/>
    <w:rsid w:val="788C6B22"/>
    <w:rsid w:val="78A90480"/>
    <w:rsid w:val="78AB555A"/>
    <w:rsid w:val="791B346D"/>
    <w:rsid w:val="794A3A35"/>
    <w:rsid w:val="7A364017"/>
    <w:rsid w:val="7A4024A0"/>
    <w:rsid w:val="7A8265E1"/>
    <w:rsid w:val="7B1D1EE3"/>
    <w:rsid w:val="7B2157FE"/>
    <w:rsid w:val="7B4F65A2"/>
    <w:rsid w:val="7B686D42"/>
    <w:rsid w:val="7B841746"/>
    <w:rsid w:val="7C3776F7"/>
    <w:rsid w:val="7C6C5AC7"/>
    <w:rsid w:val="7C866042"/>
    <w:rsid w:val="7CC6544B"/>
    <w:rsid w:val="7D0239FF"/>
    <w:rsid w:val="7D5E40CD"/>
    <w:rsid w:val="7DCD56F2"/>
    <w:rsid w:val="7DF10ED8"/>
    <w:rsid w:val="7E3D4297"/>
    <w:rsid w:val="7E725B75"/>
    <w:rsid w:val="7E787854"/>
    <w:rsid w:val="7ED8380B"/>
    <w:rsid w:val="7EEC1022"/>
    <w:rsid w:val="7EF55927"/>
    <w:rsid w:val="7F001CE7"/>
    <w:rsid w:val="7F400069"/>
    <w:rsid w:val="7F934BAD"/>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qFormat="1" w:unhideWhenUsed="0" w:uiPriority="0"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qFormat="1" w:uiPriority="39" w:semiHidden="0" w:name="toc 8" w:locked="1"/>
    <w:lsdException w:uiPriority="0" w:name="toc 9" w:locked="1"/>
    <w:lsdException w:qFormat="1"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qFormat="1" w:unhideWhenUsed="0" w:uiPriority="0" w:semiHidden="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qFormat="1" w:unhideWhenUsed="0" w:uiPriority="0" w:semiHidden="0" w:name="endnote text" w:locked="1"/>
    <w:lsdException w:qFormat="1"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uiPriority="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99"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ind w:firstLine="0" w:firstLineChars="0"/>
      <w:jc w:val="center"/>
      <w:outlineLvl w:val="0"/>
    </w:pPr>
    <w:rPr>
      <w:b/>
      <w:bCs/>
      <w:color w:val="000000"/>
      <w:kern w:val="44"/>
      <w:sz w:val="30"/>
      <w:szCs w:val="30"/>
    </w:rPr>
  </w:style>
  <w:style w:type="paragraph" w:styleId="3">
    <w:name w:val="heading 2"/>
    <w:basedOn w:val="1"/>
    <w:next w:val="1"/>
    <w:link w:val="71"/>
    <w:autoRedefine/>
    <w:unhideWhenUsed/>
    <w:qFormat/>
    <w:locked/>
    <w:uiPriority w:val="0"/>
    <w:pPr>
      <w:keepNext/>
      <w:keepLines/>
      <w:outlineLvl w:val="1"/>
    </w:pPr>
    <w:rPr>
      <w:rFonts w:cstheme="majorBidi"/>
      <w:b/>
      <w:bCs/>
      <w:sz w:val="28"/>
      <w:szCs w:val="32"/>
    </w:rPr>
  </w:style>
  <w:style w:type="paragraph" w:styleId="4">
    <w:name w:val="heading 3"/>
    <w:basedOn w:val="1"/>
    <w:next w:val="1"/>
    <w:link w:val="72"/>
    <w:autoRedefine/>
    <w:unhideWhenUsed/>
    <w:qFormat/>
    <w:locked/>
    <w:uiPriority w:val="0"/>
    <w:pPr>
      <w:keepNext/>
      <w:keepLines/>
      <w:spacing w:line="360" w:lineRule="auto"/>
      <w:outlineLvl w:val="2"/>
    </w:pPr>
    <w:rPr>
      <w:rFonts w:ascii="Times New Roman" w:hAnsi="Times New Roman" w:eastAsia="宋体"/>
      <w:b/>
      <w:bCs/>
      <w:sz w:val="24"/>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able of authorities"/>
    <w:basedOn w:val="1"/>
    <w:next w:val="1"/>
    <w:qFormat/>
    <w:locked/>
    <w:uiPriority w:val="0"/>
    <w:pPr>
      <w:ind w:left="420" w:leftChars="200"/>
    </w:pPr>
  </w:style>
  <w:style w:type="paragraph" w:styleId="6">
    <w:name w:val="Normal Indent"/>
    <w:basedOn w:val="1"/>
    <w:next w:val="1"/>
    <w:unhideWhenUsed/>
    <w:qFormat/>
    <w:locked/>
    <w:uiPriority w:val="0"/>
    <w:pPr>
      <w:spacing w:line="240" w:lineRule="auto"/>
      <w:ind w:firstLine="420"/>
    </w:pPr>
  </w:style>
  <w:style w:type="paragraph" w:styleId="7">
    <w:name w:val="caption"/>
    <w:basedOn w:val="1"/>
    <w:next w:val="1"/>
    <w:autoRedefine/>
    <w:qFormat/>
    <w:locked/>
    <w:uiPriority w:val="0"/>
    <w:pPr>
      <w:tabs>
        <w:tab w:val="left" w:pos="170"/>
        <w:tab w:val="left" w:pos="420"/>
        <w:tab w:val="left" w:pos="792"/>
      </w:tabs>
      <w:spacing w:beforeLines="50" w:afterLines="25" w:line="240" w:lineRule="auto"/>
      <w:ind w:left="792" w:firstLine="0" w:firstLineChars="0"/>
      <w:jc w:val="center"/>
    </w:pPr>
    <w:rPr>
      <w:rFonts w:eastAsia="黑体"/>
    </w:rPr>
  </w:style>
  <w:style w:type="paragraph" w:styleId="8">
    <w:name w:val="Document Map"/>
    <w:basedOn w:val="1"/>
    <w:link w:val="59"/>
    <w:autoRedefine/>
    <w:qFormat/>
    <w:locked/>
    <w:uiPriority w:val="0"/>
    <w:rPr>
      <w:rFonts w:ascii="宋体"/>
      <w:sz w:val="18"/>
      <w:szCs w:val="18"/>
    </w:rPr>
  </w:style>
  <w:style w:type="paragraph" w:styleId="9">
    <w:name w:val="annotation text"/>
    <w:basedOn w:val="1"/>
    <w:link w:val="37"/>
    <w:autoRedefine/>
    <w:semiHidden/>
    <w:qFormat/>
    <w:uiPriority w:val="0"/>
    <w:pPr>
      <w:jc w:val="left"/>
    </w:pPr>
    <w:rPr>
      <w:kern w:val="0"/>
      <w:szCs w:val="20"/>
    </w:rPr>
  </w:style>
  <w:style w:type="paragraph" w:styleId="10">
    <w:name w:val="Body Text"/>
    <w:basedOn w:val="1"/>
    <w:link w:val="38"/>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
    <w:link w:val="39"/>
    <w:autoRedefine/>
    <w:qFormat/>
    <w:uiPriority w:val="0"/>
    <w:pPr>
      <w:spacing w:after="120"/>
      <w:ind w:left="420" w:leftChars="200"/>
    </w:pPr>
    <w:rPr>
      <w:kern w:val="0"/>
      <w:szCs w:val="20"/>
    </w:rPr>
  </w:style>
  <w:style w:type="paragraph" w:styleId="12">
    <w:name w:val="Plain Text"/>
    <w:basedOn w:val="1"/>
    <w:autoRedefine/>
    <w:qFormat/>
    <w:locked/>
    <w:uiPriority w:val="99"/>
    <w:rPr>
      <w:rFonts w:cs="Courier New"/>
      <w:szCs w:val="21"/>
    </w:rPr>
  </w:style>
  <w:style w:type="paragraph" w:styleId="13">
    <w:name w:val="toc 8"/>
    <w:next w:val="1"/>
    <w:autoRedefine/>
    <w:unhideWhenUsed/>
    <w:qFormat/>
    <w:locked/>
    <w:uiPriority w:val="39"/>
    <w:pPr>
      <w:widowControl w:val="0"/>
      <w:ind w:left="1540"/>
      <w:jc w:val="both"/>
    </w:pPr>
    <w:rPr>
      <w:rFonts w:ascii="Calibri" w:hAnsi="Calibri" w:eastAsia="宋体" w:cs="Calibri"/>
      <w:kern w:val="2"/>
      <w:sz w:val="18"/>
      <w:szCs w:val="18"/>
      <w:lang w:val="en-US" w:eastAsia="zh-CN" w:bidi="ar-SA"/>
    </w:rPr>
  </w:style>
  <w:style w:type="paragraph" w:styleId="14">
    <w:name w:val="Date"/>
    <w:basedOn w:val="1"/>
    <w:next w:val="1"/>
    <w:link w:val="40"/>
    <w:autoRedefine/>
    <w:qFormat/>
    <w:uiPriority w:val="0"/>
    <w:pPr>
      <w:ind w:left="100" w:leftChars="2500"/>
    </w:pPr>
    <w:rPr>
      <w:kern w:val="0"/>
      <w:szCs w:val="20"/>
    </w:rPr>
  </w:style>
  <w:style w:type="paragraph" w:styleId="15">
    <w:name w:val="endnote text"/>
    <w:basedOn w:val="1"/>
    <w:autoRedefine/>
    <w:qFormat/>
    <w:locked/>
    <w:uiPriority w:val="0"/>
    <w:pPr>
      <w:snapToGrid w:val="0"/>
      <w:jc w:val="left"/>
    </w:pPr>
  </w:style>
  <w:style w:type="paragraph" w:styleId="16">
    <w:name w:val="Balloon Text"/>
    <w:basedOn w:val="1"/>
    <w:link w:val="41"/>
    <w:autoRedefine/>
    <w:semiHidden/>
    <w:qFormat/>
    <w:uiPriority w:val="0"/>
    <w:rPr>
      <w:kern w:val="0"/>
      <w:sz w:val="18"/>
      <w:szCs w:val="20"/>
    </w:rPr>
  </w:style>
  <w:style w:type="paragraph" w:styleId="17">
    <w:name w:val="footer"/>
    <w:basedOn w:val="1"/>
    <w:link w:val="42"/>
    <w:autoRedefine/>
    <w:qFormat/>
    <w:uiPriority w:val="99"/>
    <w:pPr>
      <w:tabs>
        <w:tab w:val="center" w:pos="4153"/>
        <w:tab w:val="right" w:pos="8306"/>
      </w:tabs>
      <w:snapToGrid w:val="0"/>
      <w:jc w:val="left"/>
    </w:pPr>
    <w:rPr>
      <w:kern w:val="0"/>
      <w:sz w:val="18"/>
      <w:szCs w:val="20"/>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Subtitle"/>
    <w:basedOn w:val="1"/>
    <w:link w:val="78"/>
    <w:autoRedefine/>
    <w:qFormat/>
    <w:locked/>
    <w:uiPriority w:val="0"/>
    <w:pPr>
      <w:widowControl/>
      <w:adjustRightInd w:val="0"/>
      <w:snapToGrid w:val="0"/>
      <w:ind w:firstLine="0" w:firstLineChars="0"/>
      <w:jc w:val="center"/>
    </w:pPr>
    <w:rPr>
      <w:rFonts w:eastAsia="仿宋"/>
      <w:szCs w:val="22"/>
    </w:rPr>
  </w:style>
  <w:style w:type="paragraph" w:styleId="20">
    <w:name w:val="footnote text"/>
    <w:basedOn w:val="1"/>
    <w:link w:val="61"/>
    <w:autoRedefine/>
    <w:qFormat/>
    <w:locked/>
    <w:uiPriority w:val="0"/>
    <w:pPr>
      <w:snapToGrid w:val="0"/>
      <w:jc w:val="left"/>
    </w:pPr>
    <w:rPr>
      <w:sz w:val="18"/>
      <w:szCs w:val="18"/>
    </w:rPr>
  </w:style>
  <w:style w:type="paragraph" w:styleId="21">
    <w:name w:val="Body Text Indent 3"/>
    <w:basedOn w:val="1"/>
    <w:link w:val="76"/>
    <w:autoRedefine/>
    <w:qFormat/>
    <w:locked/>
    <w:uiPriority w:val="0"/>
    <w:pPr>
      <w:spacing w:after="120" w:line="240" w:lineRule="auto"/>
      <w:ind w:left="420" w:leftChars="200" w:firstLine="0" w:firstLineChars="0"/>
    </w:pPr>
    <w:rPr>
      <w:sz w:val="16"/>
      <w:szCs w:val="16"/>
    </w:rPr>
  </w:style>
  <w:style w:type="paragraph" w:styleId="22">
    <w:name w:val="toc 2"/>
    <w:basedOn w:val="1"/>
    <w:next w:val="1"/>
    <w:autoRedefine/>
    <w:qFormat/>
    <w:locked/>
    <w:uiPriority w:val="0"/>
    <w:rPr>
      <w:sz w:val="28"/>
    </w:rPr>
  </w:style>
  <w:style w:type="paragraph" w:styleId="23">
    <w:name w:val="HTML Preformatted"/>
    <w:basedOn w:val="1"/>
    <w:link w:val="65"/>
    <w:autoRedefine/>
    <w:semiHidden/>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cs="宋体"/>
      <w:kern w:val="0"/>
    </w:rPr>
  </w:style>
  <w:style w:type="paragraph" w:styleId="24">
    <w:name w:val="Normal (Web)"/>
    <w:basedOn w:val="1"/>
    <w:link w:val="44"/>
    <w:autoRedefine/>
    <w:qFormat/>
    <w:uiPriority w:val="0"/>
    <w:pPr>
      <w:widowControl/>
      <w:spacing w:before="100" w:beforeAutospacing="1" w:after="100" w:afterAutospacing="1"/>
      <w:jc w:val="left"/>
    </w:pPr>
    <w:rPr>
      <w:rFonts w:ascii="宋体" w:hAnsi="宋体"/>
      <w:kern w:val="0"/>
      <w:szCs w:val="20"/>
    </w:rPr>
  </w:style>
  <w:style w:type="paragraph" w:styleId="25">
    <w:name w:val="annotation subject"/>
    <w:basedOn w:val="9"/>
    <w:next w:val="9"/>
    <w:link w:val="45"/>
    <w:autoRedefine/>
    <w:semiHidden/>
    <w:qFormat/>
    <w:uiPriority w:val="0"/>
    <w:rPr>
      <w:b/>
      <w:kern w:val="2"/>
    </w:rPr>
  </w:style>
  <w:style w:type="paragraph" w:styleId="26">
    <w:name w:val="Body Text First Indent"/>
    <w:basedOn w:val="10"/>
    <w:next w:val="27"/>
    <w:link w:val="68"/>
    <w:autoRedefine/>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1"/>
    <w:next w:val="1"/>
    <w:link w:val="69"/>
    <w:autoRedefine/>
    <w:unhideWhenUsed/>
    <w:qFormat/>
    <w:locked/>
    <w:uiPriority w:val="0"/>
    <w:pPr>
      <w:ind w:firstLine="420"/>
    </w:pPr>
    <w:rPr>
      <w:kern w:val="2"/>
      <w:sz w:val="21"/>
      <w:szCs w:val="24"/>
    </w:rPr>
  </w:style>
  <w:style w:type="table" w:styleId="29">
    <w:name w:val="Table Grid"/>
    <w:basedOn w:val="28"/>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autoRedefine/>
    <w:qFormat/>
    <w:locked/>
    <w:uiPriority w:val="0"/>
  </w:style>
  <w:style w:type="character" w:styleId="32">
    <w:name w:val="Hyperlink"/>
    <w:autoRedefine/>
    <w:unhideWhenUsed/>
    <w:qFormat/>
    <w:locked/>
    <w:uiPriority w:val="99"/>
    <w:rPr>
      <w:color w:val="0000FF"/>
      <w:u w:val="single"/>
    </w:rPr>
  </w:style>
  <w:style w:type="character" w:styleId="33">
    <w:name w:val="annotation reference"/>
    <w:autoRedefine/>
    <w:qFormat/>
    <w:uiPriority w:val="0"/>
    <w:rPr>
      <w:sz w:val="21"/>
    </w:rPr>
  </w:style>
  <w:style w:type="character" w:styleId="34">
    <w:name w:val="footnote reference"/>
    <w:qFormat/>
    <w:locked/>
    <w:uiPriority w:val="0"/>
    <w:rPr>
      <w:vertAlign w:val="superscript"/>
    </w:rPr>
  </w:style>
  <w:style w:type="paragraph" w:customStyle="1" w:styleId="35">
    <w:name w:val="表格"/>
    <w:basedOn w:val="1"/>
    <w:next w:val="1"/>
    <w:link w:val="48"/>
    <w:autoRedefine/>
    <w:qFormat/>
    <w:uiPriority w:val="0"/>
    <w:pPr>
      <w:adjustRightInd w:val="0"/>
      <w:snapToGrid w:val="0"/>
      <w:spacing w:line="240" w:lineRule="auto"/>
      <w:ind w:firstLine="0" w:firstLineChars="0"/>
      <w:jc w:val="center"/>
    </w:pPr>
    <w:rPr>
      <w:rFonts w:ascii="宋体"/>
      <w:kern w:val="0"/>
      <w:szCs w:val="20"/>
    </w:rPr>
  </w:style>
  <w:style w:type="paragraph" w:customStyle="1" w:styleId="36">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37">
    <w:name w:val="批注文字 Char"/>
    <w:link w:val="9"/>
    <w:autoRedefine/>
    <w:qFormat/>
    <w:locked/>
    <w:uiPriority w:val="0"/>
    <w:rPr>
      <w:rFonts w:ascii="Times New Roman" w:hAnsi="Times New Roman" w:eastAsia="宋体"/>
      <w:sz w:val="24"/>
    </w:rPr>
  </w:style>
  <w:style w:type="character" w:customStyle="1" w:styleId="38">
    <w:name w:val="正文文本 Char"/>
    <w:link w:val="10"/>
    <w:autoRedefine/>
    <w:qFormat/>
    <w:locked/>
    <w:uiPriority w:val="0"/>
    <w:rPr>
      <w:sz w:val="18"/>
    </w:rPr>
  </w:style>
  <w:style w:type="character" w:customStyle="1" w:styleId="39">
    <w:name w:val="正文文本缩进 Char"/>
    <w:link w:val="11"/>
    <w:semiHidden/>
    <w:qFormat/>
    <w:locked/>
    <w:uiPriority w:val="0"/>
    <w:rPr>
      <w:rFonts w:ascii="Times New Roman" w:hAnsi="Times New Roman" w:eastAsia="宋体"/>
      <w:sz w:val="24"/>
    </w:rPr>
  </w:style>
  <w:style w:type="character" w:customStyle="1" w:styleId="40">
    <w:name w:val="日期 Char"/>
    <w:link w:val="14"/>
    <w:qFormat/>
    <w:locked/>
    <w:uiPriority w:val="0"/>
    <w:rPr>
      <w:rFonts w:ascii="Times New Roman" w:hAnsi="Times New Roman" w:eastAsia="宋体"/>
      <w:sz w:val="24"/>
    </w:rPr>
  </w:style>
  <w:style w:type="character" w:customStyle="1" w:styleId="41">
    <w:name w:val="批注框文本 Char"/>
    <w:link w:val="16"/>
    <w:autoRedefine/>
    <w:semiHidden/>
    <w:qFormat/>
    <w:locked/>
    <w:uiPriority w:val="0"/>
    <w:rPr>
      <w:rFonts w:ascii="Times New Roman" w:hAnsi="Times New Roman" w:eastAsia="宋体"/>
      <w:sz w:val="18"/>
    </w:rPr>
  </w:style>
  <w:style w:type="character" w:customStyle="1" w:styleId="42">
    <w:name w:val="页脚 Char"/>
    <w:link w:val="17"/>
    <w:qFormat/>
    <w:locked/>
    <w:uiPriority w:val="99"/>
    <w:rPr>
      <w:sz w:val="18"/>
    </w:rPr>
  </w:style>
  <w:style w:type="character" w:customStyle="1" w:styleId="43">
    <w:name w:val="页眉 Char"/>
    <w:link w:val="18"/>
    <w:qFormat/>
    <w:locked/>
    <w:uiPriority w:val="0"/>
    <w:rPr>
      <w:sz w:val="18"/>
    </w:rPr>
  </w:style>
  <w:style w:type="character" w:customStyle="1" w:styleId="44">
    <w:name w:val="普通(网站) Char"/>
    <w:link w:val="24"/>
    <w:autoRedefine/>
    <w:qFormat/>
    <w:locked/>
    <w:uiPriority w:val="0"/>
    <w:rPr>
      <w:rFonts w:ascii="宋体" w:hAnsi="宋体" w:eastAsia="宋体"/>
      <w:sz w:val="24"/>
    </w:rPr>
  </w:style>
  <w:style w:type="character" w:customStyle="1" w:styleId="45">
    <w:name w:val="批注主题 Char"/>
    <w:link w:val="25"/>
    <w:semiHidden/>
    <w:qFormat/>
    <w:locked/>
    <w:uiPriority w:val="0"/>
    <w:rPr>
      <w:rFonts w:ascii="Times New Roman" w:hAnsi="Times New Roman" w:eastAsia="宋体"/>
      <w:b/>
      <w:kern w:val="2"/>
      <w:sz w:val="24"/>
    </w:rPr>
  </w:style>
  <w:style w:type="character" w:customStyle="1" w:styleId="46">
    <w:name w:val="页脚 字符"/>
    <w:basedOn w:val="30"/>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35"/>
    <w:autoRedefine/>
    <w:qFormat/>
    <w:locked/>
    <w:uiPriority w:val="0"/>
    <w:rPr>
      <w:rFonts w:ascii="宋体"/>
      <w:sz w:val="21"/>
    </w:rPr>
  </w:style>
  <w:style w:type="character" w:customStyle="1" w:styleId="49">
    <w:name w:val="日期 字符"/>
    <w:autoRedefine/>
    <w:semiHidden/>
    <w:qFormat/>
    <w:uiPriority w:val="0"/>
    <w:rPr>
      <w:rFonts w:ascii="Times New Roman" w:hAnsi="Times New Roman" w:eastAsia="宋体"/>
      <w:sz w:val="24"/>
    </w:rPr>
  </w:style>
  <w:style w:type="character" w:customStyle="1" w:styleId="50">
    <w:name w:val="批注文字 字符1"/>
    <w:autoRedefine/>
    <w:semiHidden/>
    <w:qFormat/>
    <w:uiPriority w:val="0"/>
    <w:rPr>
      <w:rFonts w:ascii="Times New Roman" w:hAnsi="Times New Roman" w:eastAsia="宋体"/>
      <w:sz w:val="24"/>
    </w:rPr>
  </w:style>
  <w:style w:type="paragraph" w:customStyle="1" w:styleId="51">
    <w:name w:val="正文_10"/>
    <w:autoRedefine/>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3">
    <w:name w:val="样式5"/>
    <w:basedOn w:val="1"/>
    <w:link w:val="60"/>
    <w:qFormat/>
    <w:uiPriority w:val="0"/>
    <w:pPr>
      <w:snapToGrid w:val="0"/>
    </w:pPr>
  </w:style>
  <w:style w:type="paragraph" w:customStyle="1" w:styleId="54">
    <w:name w:val="样式7"/>
    <w:basedOn w:val="1"/>
    <w:autoRedefine/>
    <w:qFormat/>
    <w:uiPriority w:val="0"/>
    <w:pPr>
      <w:numPr>
        <w:ilvl w:val="3"/>
        <w:numId w:val="1"/>
      </w:numPr>
      <w:adjustRightInd w:val="0"/>
      <w:snapToGrid w:val="0"/>
      <w:outlineLvl w:val="3"/>
    </w:pPr>
    <w:rPr>
      <w:kern w:val="0"/>
    </w:rPr>
  </w:style>
  <w:style w:type="paragraph" w:customStyle="1" w:styleId="55">
    <w:name w:val="样式6 + 段前: 0.5 行 段后: 0.5 行"/>
    <w:basedOn w:val="56"/>
    <w:autoRedefine/>
    <w:qFormat/>
    <w:uiPriority w:val="0"/>
    <w:pPr>
      <w:tabs>
        <w:tab w:val="left" w:pos="987"/>
        <w:tab w:val="left" w:pos="1086"/>
      </w:tabs>
      <w:spacing w:before="120" w:after="120"/>
    </w:pPr>
    <w:rPr>
      <w:rFonts w:cs="宋体"/>
      <w:b w:val="0"/>
      <w:szCs w:val="20"/>
    </w:rPr>
  </w:style>
  <w:style w:type="paragraph" w:customStyle="1" w:styleId="56">
    <w:name w:val="样式6"/>
    <w:basedOn w:val="57"/>
    <w:autoRedefine/>
    <w:qFormat/>
    <w:uiPriority w:val="0"/>
    <w:pPr>
      <w:numPr>
        <w:ilvl w:val="2"/>
      </w:numPr>
      <w:tabs>
        <w:tab w:val="left" w:pos="987"/>
        <w:tab w:val="left" w:pos="1086"/>
      </w:tabs>
      <w:outlineLvl w:val="2"/>
    </w:pPr>
    <w:rPr>
      <w:rFonts w:eastAsia="宋体"/>
    </w:rPr>
  </w:style>
  <w:style w:type="paragraph" w:customStyle="1" w:styleId="57">
    <w:name w:val="样式4"/>
    <w:basedOn w:val="1"/>
    <w:autoRedefine/>
    <w:qFormat/>
    <w:uiPriority w:val="0"/>
    <w:pPr>
      <w:numPr>
        <w:ilvl w:val="1"/>
        <w:numId w:val="1"/>
      </w:numPr>
      <w:tabs>
        <w:tab w:val="left" w:pos="987"/>
      </w:tabs>
      <w:adjustRightInd w:val="0"/>
      <w:snapToGrid w:val="0"/>
      <w:spacing w:beforeLines="50" w:afterLines="50"/>
      <w:jc w:val="left"/>
      <w:outlineLvl w:val="1"/>
    </w:pPr>
    <w:rPr>
      <w:rFonts w:eastAsia="黑体"/>
      <w:b/>
      <w:kern w:val="0"/>
    </w:rPr>
  </w:style>
  <w:style w:type="paragraph" w:customStyle="1" w:styleId="58">
    <w:name w:val="样式1"/>
    <w:basedOn w:val="1"/>
    <w:autoRedefine/>
    <w:qFormat/>
    <w:uiPriority w:val="0"/>
    <w:pPr>
      <w:numPr>
        <w:ilvl w:val="0"/>
        <w:numId w:val="1"/>
      </w:numPr>
      <w:adjustRightInd w:val="0"/>
      <w:snapToGrid w:val="0"/>
      <w:spacing w:after="100" w:afterAutospacing="1"/>
      <w:jc w:val="left"/>
      <w:outlineLvl w:val="0"/>
    </w:pPr>
    <w:rPr>
      <w:rFonts w:ascii="黑体" w:eastAsia="黑体"/>
      <w:b/>
      <w:kern w:val="0"/>
      <w:sz w:val="28"/>
    </w:rPr>
  </w:style>
  <w:style w:type="character" w:customStyle="1" w:styleId="59">
    <w:name w:val="文档结构图 Char"/>
    <w:link w:val="8"/>
    <w:autoRedefine/>
    <w:qFormat/>
    <w:uiPriority w:val="0"/>
    <w:rPr>
      <w:rFonts w:ascii="宋体"/>
      <w:kern w:val="2"/>
      <w:sz w:val="18"/>
      <w:szCs w:val="18"/>
    </w:rPr>
  </w:style>
  <w:style w:type="character" w:customStyle="1" w:styleId="60">
    <w:name w:val="样式5 Char1"/>
    <w:link w:val="53"/>
    <w:autoRedefine/>
    <w:qFormat/>
    <w:uiPriority w:val="0"/>
    <w:rPr>
      <w:kern w:val="2"/>
      <w:sz w:val="24"/>
      <w:szCs w:val="24"/>
    </w:rPr>
  </w:style>
  <w:style w:type="character" w:customStyle="1" w:styleId="61">
    <w:name w:val="脚注文本 Char"/>
    <w:link w:val="20"/>
    <w:autoRedefine/>
    <w:qFormat/>
    <w:uiPriority w:val="0"/>
    <w:rPr>
      <w:kern w:val="2"/>
      <w:sz w:val="18"/>
      <w:szCs w:val="18"/>
    </w:rPr>
  </w:style>
  <w:style w:type="paragraph" w:customStyle="1" w:styleId="62">
    <w:name w:val="M正文"/>
    <w:basedOn w:val="1"/>
    <w:autoRedefine/>
    <w:qFormat/>
    <w:uiPriority w:val="0"/>
    <w:pPr>
      <w:topLinePunct/>
    </w:pPr>
    <w:rPr>
      <w:rFonts w:ascii="Calibri" w:hAnsi="Calibri" w:cs="Calibri"/>
      <w:kern w:val="0"/>
      <w:szCs w:val="21"/>
    </w:rPr>
  </w:style>
  <w:style w:type="paragraph" w:customStyle="1" w:styleId="63">
    <w:name w:val="表"/>
    <w:basedOn w:val="1"/>
    <w:link w:val="64"/>
    <w:autoRedefine/>
    <w:qFormat/>
    <w:uiPriority w:val="0"/>
    <w:pPr>
      <w:spacing w:line="240" w:lineRule="auto"/>
      <w:ind w:firstLine="0" w:firstLineChars="0"/>
      <w:jc w:val="center"/>
    </w:pPr>
    <w:rPr>
      <w:color w:val="000000"/>
      <w:szCs w:val="21"/>
    </w:rPr>
  </w:style>
  <w:style w:type="character" w:customStyle="1" w:styleId="64">
    <w:name w:val="表 字符"/>
    <w:basedOn w:val="39"/>
    <w:link w:val="63"/>
    <w:autoRedefine/>
    <w:qFormat/>
    <w:uiPriority w:val="0"/>
    <w:rPr>
      <w:rFonts w:ascii="Times New Roman" w:hAnsi="Times New Roman" w:eastAsia="宋体"/>
      <w:color w:val="000000"/>
      <w:kern w:val="2"/>
      <w:sz w:val="21"/>
      <w:szCs w:val="21"/>
    </w:rPr>
  </w:style>
  <w:style w:type="character" w:customStyle="1" w:styleId="65">
    <w:name w:val="HTML 预设格式 Char"/>
    <w:basedOn w:val="30"/>
    <w:link w:val="23"/>
    <w:semiHidden/>
    <w:qFormat/>
    <w:uiPriority w:val="99"/>
    <w:rPr>
      <w:rFonts w:ascii="宋体" w:hAnsi="宋体" w:cs="宋体"/>
      <w:sz w:val="24"/>
      <w:szCs w:val="24"/>
    </w:rPr>
  </w:style>
  <w:style w:type="paragraph" w:customStyle="1" w:styleId="66">
    <w:name w:val="普通(网站)1"/>
    <w:basedOn w:val="1"/>
    <w:qFormat/>
    <w:uiPriority w:val="0"/>
    <w:pPr>
      <w:widowControl/>
      <w:spacing w:beforeAutospacing="1" w:afterAutospacing="1" w:line="240" w:lineRule="auto"/>
      <w:ind w:firstLine="0" w:firstLineChars="0"/>
      <w:jc w:val="left"/>
    </w:pPr>
    <w:rPr>
      <w:rFonts w:hint="eastAsia" w:ascii="宋体" w:hAnsi="宋体"/>
      <w:szCs w:val="20"/>
    </w:rPr>
  </w:style>
  <w:style w:type="character" w:customStyle="1" w:styleId="67">
    <w:name w:val="样式5 Char"/>
    <w:qFormat/>
    <w:uiPriority w:val="0"/>
    <w:rPr>
      <w:kern w:val="2"/>
      <w:sz w:val="24"/>
      <w:szCs w:val="24"/>
    </w:rPr>
  </w:style>
  <w:style w:type="character" w:customStyle="1" w:styleId="68">
    <w:name w:val="正文首行缩进 Char"/>
    <w:basedOn w:val="38"/>
    <w:link w:val="26"/>
    <w:autoRedefine/>
    <w:qFormat/>
    <w:uiPriority w:val="0"/>
    <w:rPr>
      <w:kern w:val="2"/>
      <w:sz w:val="21"/>
      <w:szCs w:val="24"/>
    </w:rPr>
  </w:style>
  <w:style w:type="character" w:customStyle="1" w:styleId="69">
    <w:name w:val="正文首行缩进 2 Char"/>
    <w:basedOn w:val="39"/>
    <w:link w:val="27"/>
    <w:qFormat/>
    <w:uiPriority w:val="0"/>
    <w:rPr>
      <w:rFonts w:ascii="Times New Roman" w:hAnsi="Times New Roman" w:eastAsia="宋体"/>
      <w:kern w:val="2"/>
      <w:sz w:val="21"/>
      <w:szCs w:val="24"/>
    </w:rPr>
  </w:style>
  <w:style w:type="paragraph" w:customStyle="1" w:styleId="70">
    <w:name w:val="表格文字"/>
    <w:basedOn w:val="1"/>
    <w:autoRedefine/>
    <w:qFormat/>
    <w:uiPriority w:val="0"/>
    <w:pPr>
      <w:snapToGrid w:val="0"/>
      <w:spacing w:line="240" w:lineRule="auto"/>
      <w:ind w:firstLine="0" w:firstLineChars="0"/>
      <w:jc w:val="center"/>
    </w:pPr>
    <w:rPr>
      <w:szCs w:val="21"/>
    </w:rPr>
  </w:style>
  <w:style w:type="character" w:customStyle="1" w:styleId="71">
    <w:name w:val="标题 2 Char"/>
    <w:basedOn w:val="30"/>
    <w:link w:val="3"/>
    <w:semiHidden/>
    <w:qFormat/>
    <w:uiPriority w:val="0"/>
    <w:rPr>
      <w:rFonts w:ascii="Times New Roman" w:hAnsi="Times New Roman" w:eastAsia="宋体" w:cstheme="majorBidi"/>
      <w:b/>
      <w:bCs/>
      <w:kern w:val="2"/>
      <w:sz w:val="28"/>
      <w:szCs w:val="32"/>
    </w:rPr>
  </w:style>
  <w:style w:type="character" w:customStyle="1" w:styleId="72">
    <w:name w:val="标题 3 Char"/>
    <w:basedOn w:val="30"/>
    <w:link w:val="4"/>
    <w:autoRedefine/>
    <w:qFormat/>
    <w:uiPriority w:val="0"/>
    <w:rPr>
      <w:rFonts w:ascii="Times New Roman" w:hAnsi="Times New Roman" w:eastAsia="宋体"/>
      <w:b/>
      <w:bCs/>
      <w:kern w:val="2"/>
      <w:sz w:val="24"/>
      <w:szCs w:val="32"/>
    </w:rPr>
  </w:style>
  <w:style w:type="paragraph" w:customStyle="1" w:styleId="73">
    <w:name w:val="❤正缩"/>
    <w:basedOn w:val="1"/>
    <w:link w:val="74"/>
    <w:autoRedefine/>
    <w:qFormat/>
    <w:uiPriority w:val="0"/>
    <w:pPr>
      <w:ind w:firstLine="480"/>
    </w:pPr>
    <w:rPr>
      <w:kern w:val="0"/>
      <w:szCs w:val="20"/>
    </w:rPr>
  </w:style>
  <w:style w:type="character" w:customStyle="1" w:styleId="74">
    <w:name w:val="❤正缩 Char"/>
    <w:link w:val="73"/>
    <w:qFormat/>
    <w:uiPriority w:val="0"/>
    <w:rPr>
      <w:sz w:val="24"/>
    </w:rPr>
  </w:style>
  <w:style w:type="paragraph" w:customStyle="1" w:styleId="75">
    <w:name w:val="❤表"/>
    <w:qFormat/>
    <w:uiPriority w:val="0"/>
    <w:pPr>
      <w:spacing w:line="276" w:lineRule="auto"/>
      <w:jc w:val="center"/>
    </w:pPr>
    <w:rPr>
      <w:rFonts w:hint="eastAsia" w:ascii="Times New Roman" w:hAnsi="Times New Roman" w:eastAsia="仿宋" w:cs="Times New Roman"/>
      <w:sz w:val="21"/>
      <w:szCs w:val="21"/>
      <w:lang w:val="en-US" w:eastAsia="zh-CN" w:bidi="ar-SA"/>
    </w:rPr>
  </w:style>
  <w:style w:type="character" w:customStyle="1" w:styleId="76">
    <w:name w:val="正文文本缩进 3 Char"/>
    <w:basedOn w:val="30"/>
    <w:link w:val="21"/>
    <w:qFormat/>
    <w:uiPriority w:val="0"/>
    <w:rPr>
      <w:kern w:val="2"/>
      <w:sz w:val="16"/>
      <w:szCs w:val="16"/>
    </w:rPr>
  </w:style>
  <w:style w:type="character" w:customStyle="1" w:styleId="77">
    <w:name w:val="样式5 Char2"/>
    <w:qFormat/>
    <w:uiPriority w:val="0"/>
    <w:rPr>
      <w:rFonts w:eastAsia="宋体"/>
      <w:kern w:val="2"/>
      <w:sz w:val="24"/>
      <w:szCs w:val="24"/>
      <w:lang w:val="en-US" w:eastAsia="zh-CN" w:bidi="ar-SA"/>
    </w:rPr>
  </w:style>
  <w:style w:type="character" w:customStyle="1" w:styleId="78">
    <w:name w:val="副标题 Char"/>
    <w:basedOn w:val="30"/>
    <w:link w:val="19"/>
    <w:qFormat/>
    <w:uiPriority w:val="0"/>
    <w:rPr>
      <w:rFonts w:eastAsia="仿宋"/>
      <w:kern w:val="2"/>
      <w:sz w:val="21"/>
      <w:szCs w:val="22"/>
    </w:rPr>
  </w:style>
  <w:style w:type="paragraph" w:customStyle="1" w:styleId="79">
    <w:name w:val="正文A"/>
    <w:basedOn w:val="1"/>
    <w:qFormat/>
    <w:uiPriority w:val="0"/>
    <w:pPr>
      <w:ind w:firstLine="720"/>
    </w:pPr>
  </w:style>
  <w:style w:type="paragraph" w:customStyle="1" w:styleId="80">
    <w:name w:val="表格标题"/>
    <w:basedOn w:val="1"/>
    <w:next w:val="81"/>
    <w:qFormat/>
    <w:uiPriority w:val="0"/>
    <w:pPr>
      <w:adjustRightInd w:val="0"/>
      <w:snapToGrid w:val="0"/>
      <w:jc w:val="center"/>
      <w:textAlignment w:val="baseline"/>
    </w:pPr>
    <w:rPr>
      <w:b/>
      <w:bCs/>
      <w:spacing w:val="8"/>
      <w:kern w:val="0"/>
      <w:szCs w:val="20"/>
    </w:rPr>
  </w:style>
  <w:style w:type="paragraph" w:customStyle="1" w:styleId="81">
    <w:name w:val="报告书正文"/>
    <w:basedOn w:val="26"/>
    <w:next w:val="1"/>
    <w:autoRedefine/>
    <w:qFormat/>
    <w:uiPriority w:val="0"/>
    <w:pPr>
      <w:tabs>
        <w:tab w:val="left" w:pos="0"/>
      </w:tabs>
    </w:pPr>
    <w:rPr>
      <w:szCs w:val="20"/>
    </w:rPr>
  </w:style>
  <w:style w:type="paragraph" w:customStyle="1" w:styleId="82">
    <w:name w:val="正文-衡立泰要求格式"/>
    <w:basedOn w:val="1"/>
    <w:qFormat/>
    <w:uiPriority w:val="0"/>
    <w:pPr>
      <w:snapToGrid w:val="0"/>
      <w:spacing w:line="560" w:lineRule="exact"/>
      <w:ind w:firstLine="560"/>
    </w:pPr>
    <w:rPr>
      <w:rFonts w:hint="eastAsia"/>
      <w:sz w:val="28"/>
      <w:szCs w:val="28"/>
    </w:rPr>
  </w:style>
  <w:style w:type="paragraph" w:customStyle="1" w:styleId="83">
    <w:name w:val="表中文字"/>
    <w:basedOn w:val="12"/>
    <w:next w:val="1"/>
    <w:qFormat/>
    <w:uiPriority w:val="0"/>
    <w:pPr>
      <w:tabs>
        <w:tab w:val="left" w:pos="0"/>
      </w:tabs>
      <w:spacing w:line="240" w:lineRule="auto"/>
      <w:ind w:firstLine="0" w:firstLineChars="0"/>
      <w:jc w:val="center"/>
    </w:pPr>
  </w:style>
  <w:style w:type="paragraph" w:customStyle="1" w:styleId="84">
    <w:name w:val="表格内容格式-衡立泰"/>
    <w:basedOn w:val="1"/>
    <w:qFormat/>
    <w:uiPriority w:val="0"/>
    <w:pPr>
      <w:snapToGrid w:val="0"/>
      <w:spacing w:line="240" w:lineRule="atLeast"/>
      <w:ind w:firstLine="0" w:firstLineChars="0"/>
      <w:jc w:val="center"/>
    </w:pPr>
    <w:rPr>
      <w:rFonts w:hint="eastAsia"/>
      <w:sz w:val="21"/>
      <w:szCs w:val="21"/>
    </w:rPr>
  </w:style>
  <w:style w:type="character" w:customStyle="1" w:styleId="85">
    <w:name w:val="fontstyle01"/>
    <w:basedOn w:val="30"/>
    <w:qFormat/>
    <w:uiPriority w:val="0"/>
    <w:rPr>
      <w:rFonts w:hint="eastAsia" w:ascii="宋体" w:hAnsi="宋体" w:eastAsia="宋体"/>
      <w:color w:val="000000"/>
      <w:sz w:val="24"/>
      <w:szCs w:val="24"/>
    </w:rPr>
  </w:style>
  <w:style w:type="paragraph" w:customStyle="1" w:styleId="86">
    <w:name w:val="[1]正文"/>
    <w:basedOn w:val="1"/>
    <w:qFormat/>
    <w:uiPriority w:val="0"/>
    <w:pPr>
      <w:autoSpaceDE w:val="0"/>
      <w:autoSpaceDN w:val="0"/>
    </w:pPr>
    <w:rPr>
      <w:color w:val="000000"/>
      <w:kern w:val="0"/>
      <w:lang w:val="zh-CN"/>
    </w:rPr>
  </w:style>
  <w:style w:type="paragraph" w:customStyle="1" w:styleId="87">
    <w:name w:val="Table Text"/>
    <w:basedOn w:val="1"/>
    <w:autoRedefine/>
    <w:semiHidden/>
    <w:qFormat/>
    <w:uiPriority w:val="0"/>
    <w:rPr>
      <w:rFonts w:ascii="宋体" w:hAnsi="宋体" w:cs="宋体"/>
      <w:lang w:eastAsia="en-US"/>
    </w:rPr>
  </w:style>
  <w:style w:type="table" w:customStyle="1" w:styleId="88">
    <w:name w:val="Table Normal"/>
    <w:semiHidden/>
    <w:unhideWhenUsed/>
    <w:qFormat/>
    <w:uiPriority w:val="0"/>
    <w:tblPr>
      <w:tblCellMar>
        <w:top w:w="0" w:type="dxa"/>
        <w:left w:w="0" w:type="dxa"/>
        <w:bottom w:w="0" w:type="dxa"/>
        <w:right w:w="0" w:type="dxa"/>
      </w:tblCellMar>
    </w:tblPr>
  </w:style>
  <w:style w:type="character" w:customStyle="1" w:styleId="89">
    <w:name w:val="font11"/>
    <w:basedOn w:val="30"/>
    <w:qFormat/>
    <w:uiPriority w:val="0"/>
    <w:rPr>
      <w:rFonts w:hint="default" w:ascii="Times New Roman" w:hAnsi="Times New Roman" w:cs="Times New Roman"/>
      <w:color w:val="000000"/>
      <w:sz w:val="24"/>
      <w:szCs w:val="24"/>
      <w:u w:val="none"/>
    </w:rPr>
  </w:style>
  <w:style w:type="character" w:customStyle="1" w:styleId="90">
    <w:name w:val="font41"/>
    <w:basedOn w:val="30"/>
    <w:qFormat/>
    <w:uiPriority w:val="0"/>
    <w:rPr>
      <w:rFonts w:ascii="仿宋" w:hAnsi="仿宋" w:eastAsia="仿宋" w:cs="仿宋"/>
      <w:color w:val="000000"/>
      <w:sz w:val="24"/>
      <w:szCs w:val="24"/>
      <w:u w:val="none"/>
    </w:rPr>
  </w:style>
  <w:style w:type="character" w:customStyle="1" w:styleId="91">
    <w:name w:val="font31"/>
    <w:basedOn w:val="30"/>
    <w:autoRedefine/>
    <w:qFormat/>
    <w:uiPriority w:val="0"/>
    <w:rPr>
      <w:rFonts w:hint="eastAsia" w:ascii="仿宋" w:hAnsi="仿宋" w:eastAsia="仿宋" w:cs="仿宋"/>
      <w:color w:val="000000"/>
      <w:sz w:val="24"/>
      <w:szCs w:val="24"/>
      <w:u w:val="none"/>
    </w:rPr>
  </w:style>
  <w:style w:type="character" w:customStyle="1" w:styleId="92">
    <w:name w:val="font21"/>
    <w:basedOn w:val="30"/>
    <w:autoRedefine/>
    <w:qFormat/>
    <w:uiPriority w:val="0"/>
    <w:rPr>
      <w:rFonts w:hint="default" w:ascii="Times New Roman" w:hAnsi="Times New Roman" w:cs="Times New Roman"/>
      <w:color w:val="000000"/>
      <w:sz w:val="24"/>
      <w:szCs w:val="24"/>
      <w:u w:val="none"/>
    </w:rPr>
  </w:style>
  <w:style w:type="paragraph" w:customStyle="1" w:styleId="93">
    <w:name w:val="【正文】"/>
    <w:qFormat/>
    <w:uiPriority w:val="0"/>
    <w:pPr>
      <w:spacing w:line="460" w:lineRule="exact"/>
      <w:ind w:firstLine="200" w:firstLineChars="200"/>
      <w:jc w:val="both"/>
    </w:pPr>
    <w:rPr>
      <w:rFonts w:ascii="Times New Roman" w:hAnsi="Times New Roman" w:eastAsia="宋体" w:cs="宋体"/>
      <w:color w:val="000000"/>
      <w:sz w:val="24"/>
      <w:lang w:val="en-US" w:eastAsia="zh-CN" w:bidi="ar-SA"/>
    </w:rPr>
  </w:style>
  <w:style w:type="paragraph" w:customStyle="1" w:styleId="94">
    <w:name w:val="YYH表头"/>
    <w:basedOn w:val="1"/>
    <w:autoRedefine/>
    <w:qFormat/>
    <w:uiPriority w:val="0"/>
    <w:pPr>
      <w:jc w:val="center"/>
    </w:pPr>
    <w:rPr>
      <w:b/>
    </w:rPr>
  </w:style>
  <w:style w:type="paragraph" w:customStyle="1" w:styleId="95">
    <w:name w:val="YYH表格"/>
    <w:basedOn w:val="1"/>
    <w:autoRedefine/>
    <w:qFormat/>
    <w:uiPriority w:val="0"/>
    <w:pPr>
      <w:jc w:val="center"/>
    </w:pPr>
    <w:rPr>
      <w:color w:val="000000"/>
    </w:rPr>
  </w:style>
  <w:style w:type="paragraph" w:customStyle="1" w:styleId="96">
    <w:name w:val="YYH正文"/>
    <w:basedOn w:val="1"/>
    <w:qFormat/>
    <w:uiPriority w:val="0"/>
  </w:style>
  <w:style w:type="paragraph" w:customStyle="1" w:styleId="97">
    <w:name w:val="张丹丹正文"/>
    <w:qFormat/>
    <w:uiPriority w:val="0"/>
    <w:pPr>
      <w:widowControl w:val="0"/>
      <w:spacing w:line="360" w:lineRule="auto"/>
      <w:ind w:firstLine="723" w:firstLineChars="200"/>
      <w:jc w:val="both"/>
    </w:pPr>
    <w:rPr>
      <w:rFonts w:hint="eastAsia" w:ascii="Times New Roman" w:hAnsi="Times New Roman" w:eastAsia="宋体" w:cs="Times New Roman"/>
      <w:kern w:val="2"/>
      <w:sz w:val="24"/>
      <w:szCs w:val="24"/>
      <w:lang w:val="en-US" w:eastAsia="zh-CN" w:bidi="ar-SA"/>
    </w:rPr>
  </w:style>
  <w:style w:type="paragraph" w:customStyle="1" w:styleId="98">
    <w:name w:val="！正文"/>
    <w:basedOn w:val="1"/>
    <w:autoRedefine/>
    <w:qFormat/>
    <w:uiPriority w:val="0"/>
    <w:pPr>
      <w:jc w:val="center"/>
    </w:pPr>
  </w:style>
  <w:style w:type="character" w:customStyle="1" w:styleId="99">
    <w:name w:val="15"/>
    <w:basedOn w:val="30"/>
    <w:qFormat/>
    <w:uiPriority w:val="0"/>
    <w:rPr>
      <w:rFonts w:hint="default" w:ascii="Times New Roman" w:hAnsi="Times New Roman" w:cs="Times New Roman"/>
      <w:sz w:val="21"/>
      <w:szCs w:val="21"/>
    </w:rPr>
  </w:style>
  <w:style w:type="paragraph" w:customStyle="1" w:styleId="100">
    <w:name w:val="xl36"/>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rPr>
  </w:style>
  <w:style w:type="paragraph" w:customStyle="1" w:styleId="101">
    <w:name w:val="表内字"/>
    <w:basedOn w:val="1"/>
    <w:qFormat/>
    <w:uiPriority w:val="0"/>
    <w:pPr>
      <w:spacing w:line="240" w:lineRule="auto"/>
      <w:ind w:firstLine="0" w:firstLineChars="0"/>
      <w:jc w:val="center"/>
    </w:pPr>
    <w:rPr>
      <w:kern w:val="0"/>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wmf"/><Relationship Id="rId25" Type="http://schemas.openxmlformats.org/officeDocument/2006/relationships/oleObject" Target="embeddings/oleObject2.bin"/><Relationship Id="rId24" Type="http://schemas.openxmlformats.org/officeDocument/2006/relationships/image" Target="media/image10.wmf"/><Relationship Id="rId23" Type="http://schemas.openxmlformats.org/officeDocument/2006/relationships/oleObject" Target="embeddings/oleObject1.bin"/><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22</Pages>
  <Words>15872</Words>
  <Characters>17088</Characters>
  <Lines>1</Lines>
  <Paragraphs>1</Paragraphs>
  <TotalTime>162</TotalTime>
  <ScaleCrop>false</ScaleCrop>
  <LinksUpToDate>false</LinksUpToDate>
  <CharactersWithSpaces>17143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2024-04-08T13:56:00Z</dcterms:created>
  <dc:creator>lhj</dc:creator>
  <cp:lastModifiedBy>乌拉特中旗大数据中心</cp:lastModifiedBy>
  <cp:lastPrinted>2020-12-29T02:43:00Z</cp:lastPrinted>
  <dcterms:modified xsi:type="dcterms:W3CDTF">2024-11-22T08:12:10Z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BFCB35D7F4864813AF3DBAB90E9622D4_13</vt:lpwstr>
  </property>
</Properties>
</file>