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1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乌拉特中旗</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2024年法治政府建设工作计划</w:t>
      </w:r>
    </w:p>
    <w:p w14:paraId="427D6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44"/>
          <w:szCs w:val="52"/>
          <w14:textFill>
            <w14:solidFill>
              <w14:schemeClr w14:val="tx1"/>
            </w14:solidFill>
          </w14:textFill>
        </w:rPr>
      </w:pPr>
    </w:p>
    <w:p w14:paraId="0EE49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40"/>
          <w14:textFill>
            <w14:solidFill>
              <w14:schemeClr w14:val="tx1"/>
            </w14:solidFill>
          </w14:textFill>
        </w:rPr>
      </w:pPr>
      <w:r>
        <w:rPr>
          <w:rFonts w:hint="default" w:ascii="Times New Roman" w:hAnsi="Times New Roman" w:eastAsia="仿宋_GB2312" w:cs="Times New Roman"/>
          <w:color w:val="000000" w:themeColor="text1"/>
          <w:sz w:val="32"/>
          <w:szCs w:val="40"/>
          <w14:textFill>
            <w14:solidFill>
              <w14:schemeClr w14:val="tx1"/>
            </w14:solidFill>
          </w14:textFill>
        </w:rPr>
        <w:t>为全面贯彻落实党的二十大和二十届二中</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三中</w:t>
      </w:r>
      <w:r>
        <w:rPr>
          <w:rFonts w:hint="default" w:ascii="Times New Roman" w:hAnsi="Times New Roman" w:eastAsia="仿宋_GB2312" w:cs="Times New Roman"/>
          <w:color w:val="000000" w:themeColor="text1"/>
          <w:sz w:val="32"/>
          <w:szCs w:val="40"/>
          <w14:textFill>
            <w14:solidFill>
              <w14:schemeClr w14:val="tx1"/>
            </w14:solidFill>
          </w14:textFill>
        </w:rPr>
        <w:t>全会精神，深入学习贯彻习近平法治思想，坚持以铸牢中华民族共同体意识为主线</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扎实推进法治政府建设各项工作，</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为聚焦旗域经济总体思路和“三四五”整体布局</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推动现代化</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乌拉特中旗</w:t>
      </w:r>
      <w:r>
        <w:rPr>
          <w:rFonts w:hint="default" w:ascii="Times New Roman" w:hAnsi="Times New Roman" w:eastAsia="仿宋_GB2312" w:cs="Times New Roman"/>
          <w:color w:val="000000" w:themeColor="text1"/>
          <w:sz w:val="32"/>
          <w:szCs w:val="40"/>
          <w14:textFill>
            <w14:solidFill>
              <w14:schemeClr w14:val="tx1"/>
            </w14:solidFill>
          </w14:textFill>
        </w:rPr>
        <w:t>建设提供坚强法治保障</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根据党中央、国务院印发的《法治政府建设实施纲要</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2021</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2025年</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内蒙古自治区党委、政府印发的《内蒙古自治区贯彻</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&lt;</w:t>
      </w:r>
      <w:r>
        <w:rPr>
          <w:rFonts w:hint="default" w:ascii="Times New Roman" w:hAnsi="Times New Roman" w:eastAsia="仿宋_GB2312" w:cs="Times New Roman"/>
          <w:color w:val="000000" w:themeColor="text1"/>
          <w:sz w:val="32"/>
          <w:szCs w:val="40"/>
          <w14:textFill>
            <w14:solidFill>
              <w14:schemeClr w14:val="tx1"/>
            </w14:solidFill>
          </w14:textFill>
        </w:rPr>
        <w:t>法治政府建设实施纲要</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2021</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2025年</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&gt;</w:t>
      </w:r>
      <w:r>
        <w:rPr>
          <w:rFonts w:hint="default" w:ascii="Times New Roman" w:hAnsi="Times New Roman" w:eastAsia="仿宋_GB2312" w:cs="Times New Roman"/>
          <w:color w:val="000000" w:themeColor="text1"/>
          <w:sz w:val="32"/>
          <w:szCs w:val="40"/>
          <w14:textFill>
            <w14:solidFill>
              <w14:schemeClr w14:val="tx1"/>
            </w14:solidFill>
          </w14:textFill>
        </w:rPr>
        <w:t>实施方案》</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巴彦淖尔市委</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政府印发的《巴彦淖尔市贯彻</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&lt;</w:t>
      </w:r>
      <w:r>
        <w:rPr>
          <w:rFonts w:hint="default" w:ascii="Times New Roman" w:hAnsi="Times New Roman" w:eastAsia="仿宋_GB2312" w:cs="Times New Roman"/>
          <w:color w:val="000000" w:themeColor="text1"/>
          <w:sz w:val="32"/>
          <w:szCs w:val="40"/>
          <w14:textFill>
            <w14:solidFill>
              <w14:schemeClr w14:val="tx1"/>
            </w14:solidFill>
          </w14:textFill>
        </w:rPr>
        <w:t>法治政府建设实施纲要</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2021</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2025年</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&gt;</w:t>
      </w:r>
      <w:r>
        <w:rPr>
          <w:rFonts w:hint="default" w:ascii="Times New Roman" w:hAnsi="Times New Roman" w:eastAsia="仿宋_GB2312" w:cs="Times New Roman"/>
          <w:color w:val="000000" w:themeColor="text1"/>
          <w:sz w:val="32"/>
          <w:szCs w:val="40"/>
          <w14:textFill>
            <w14:solidFill>
              <w14:schemeClr w14:val="tx1"/>
            </w14:solidFill>
          </w14:textFill>
        </w:rPr>
        <w:t>实施方案》</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和乌拉特中旗委、政府印发的《乌拉特中旗贯彻&lt;法治政府建设实施纲要（2021—2025年）&gt;实施方案》</w:t>
      </w:r>
      <w:r>
        <w:rPr>
          <w:rFonts w:hint="default" w:ascii="Times New Roman" w:hAnsi="Times New Roman" w:eastAsia="仿宋_GB2312" w:cs="Times New Roman"/>
          <w:color w:val="000000" w:themeColor="text1"/>
          <w:sz w:val="32"/>
          <w:szCs w:val="40"/>
          <w14:textFill>
            <w14:solidFill>
              <w14:schemeClr w14:val="tx1"/>
            </w14:solidFill>
          </w14:textFill>
        </w:rPr>
        <w:t>精神，</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结合我旗实际</w:t>
      </w:r>
      <w:r>
        <w:rPr>
          <w:rFonts w:hint="default" w:ascii="Times New Roman" w:hAnsi="Times New Roman" w:eastAsia="仿宋_GB2312" w:cs="Times New Roman"/>
          <w:color w:val="000000" w:themeColor="text1"/>
          <w:sz w:val="32"/>
          <w:szCs w:val="40"/>
          <w14:textFill>
            <w14:solidFill>
              <w14:schemeClr w14:val="tx1"/>
            </w14:solidFill>
          </w14:textFill>
        </w:rPr>
        <w:t>，制定本计划。</w:t>
      </w:r>
    </w:p>
    <w:p w14:paraId="6E8D2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一、健全政府机构职能体系</w:t>
      </w:r>
    </w:p>
    <w:p w14:paraId="49921E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themeColor="text1"/>
          <w:sz w:val="32"/>
          <w:szCs w:val="40"/>
          <w:lang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一</w:t>
      </w: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推进政府机构职能优化协同高效。</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做好机构改革组织实施工作，</w:t>
      </w:r>
      <w:r>
        <w:rPr>
          <w:rFonts w:hint="default" w:ascii="Times New Roman" w:hAnsi="Times New Roman" w:eastAsia="仿宋_GB2312" w:cs="Times New Roman"/>
          <w:b w:val="0"/>
          <w:bCs w:val="0"/>
          <w:color w:val="000000" w:themeColor="text1"/>
          <w:sz w:val="32"/>
          <w:szCs w:val="40"/>
          <w14:textFill>
            <w14:solidFill>
              <w14:schemeClr w14:val="tx1"/>
            </w14:solidFill>
          </w14:textFill>
        </w:rPr>
        <w:t>推进机构、</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职</w:t>
      </w:r>
      <w:r>
        <w:rPr>
          <w:rFonts w:hint="default" w:ascii="Times New Roman" w:hAnsi="Times New Roman" w:eastAsia="仿宋_GB2312" w:cs="Times New Roman"/>
          <w:b w:val="0"/>
          <w:bCs w:val="0"/>
          <w:color w:val="000000" w:themeColor="text1"/>
          <w:sz w:val="32"/>
          <w:szCs w:val="40"/>
          <w14:textFill>
            <w14:solidFill>
              <w14:schemeClr w14:val="tx1"/>
            </w14:solidFill>
          </w14:textFill>
        </w:rPr>
        <w:t>能</w:t>
      </w:r>
      <w:r>
        <w:rPr>
          <w:rFonts w:hint="default" w:ascii="Times New Roman" w:hAnsi="Times New Roman" w:eastAsia="仿宋_GB2312" w:cs="Times New Roman"/>
          <w:color w:val="000000" w:themeColor="text1"/>
          <w:sz w:val="32"/>
          <w:szCs w:val="40"/>
          <w14:textFill>
            <w14:solidFill>
              <w14:schemeClr w14:val="tx1"/>
            </w14:solidFill>
          </w14:textFill>
        </w:rPr>
        <w:t>、权限、程序、责任法定化，依法设置机构、配置职能、明确权限和责任，提高行政效率和公信力</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深化事业单位改革。</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40"/>
          <w14:textFill>
            <w14:solidFill>
              <w14:schemeClr w14:val="tx1"/>
            </w14:solidFill>
          </w14:textFill>
        </w:rPr>
        <w:t>政府权责清单制度及其动态管理机制，推动同一权力事项名称、主体、责任事项等规范统一。</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牵头单位</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eastAsia" w:ascii="黑体" w:hAnsi="黑体" w:eastAsia="黑体" w:cs="黑体"/>
          <w:b w:val="0"/>
          <w:bCs w:val="0"/>
          <w:color w:val="000000" w:themeColor="text1"/>
          <w:sz w:val="32"/>
          <w:szCs w:val="40"/>
          <w14:textFill>
            <w14:solidFill>
              <w14:schemeClr w14:val="tx1"/>
            </w14:solidFill>
          </w14:textFill>
        </w:rPr>
        <w:t>委编办</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责任单位</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eastAsia" w:ascii="黑体" w:hAnsi="黑体" w:eastAsia="黑体" w:cs="黑体"/>
          <w:b w:val="0"/>
          <w:bCs w:val="0"/>
          <w:color w:val="000000" w:themeColor="text1"/>
          <w:sz w:val="32"/>
          <w:szCs w:val="40"/>
          <w14:textFill>
            <w14:solidFill>
              <w14:schemeClr w14:val="tx1"/>
            </w14:solidFill>
          </w14:textFill>
        </w:rPr>
        <w:t>政府各部门</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各苏木镇政府</w:t>
      </w:r>
      <w:r>
        <w:rPr>
          <w:rFonts w:hint="eastAsia" w:ascii="黑体" w:hAnsi="黑体" w:eastAsia="黑体" w:cs="黑体"/>
          <w:b w:val="0"/>
          <w:bCs w:val="0"/>
          <w:color w:val="000000" w:themeColor="text1"/>
          <w:sz w:val="32"/>
          <w:szCs w:val="40"/>
          <w:lang w:eastAsia="zh-CN"/>
          <w14:textFill>
            <w14:solidFill>
              <w14:schemeClr w14:val="tx1"/>
            </w14:solidFill>
          </w14:textFill>
        </w:rPr>
        <w:t>）</w:t>
      </w:r>
    </w:p>
    <w:p w14:paraId="21CC78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themeColor="text1"/>
          <w:sz w:val="32"/>
          <w:szCs w:val="40"/>
          <w:lang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二</w:t>
      </w: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提升政务服务水平。</w:t>
      </w:r>
      <w:r>
        <w:rPr>
          <w:rFonts w:hint="default" w:ascii="Times New Roman" w:hAnsi="Times New Roman" w:eastAsia="仿宋_GB2312" w:cs="Times New Roman"/>
          <w:color w:val="000000" w:themeColor="text1"/>
          <w:sz w:val="32"/>
          <w:szCs w:val="40"/>
          <w14:textFill>
            <w14:solidFill>
              <w14:schemeClr w14:val="tx1"/>
            </w14:solidFill>
          </w14:textFill>
        </w:rPr>
        <w:t>严格执行行政审批告知承诺制，降低准入门槛。推动</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旗</w:t>
      </w:r>
      <w:r>
        <w:rPr>
          <w:rFonts w:hint="default" w:ascii="Times New Roman" w:hAnsi="Times New Roman" w:eastAsia="仿宋_GB2312" w:cs="Times New Roman"/>
          <w:color w:val="000000" w:themeColor="text1"/>
          <w:sz w:val="32"/>
          <w:szCs w:val="40"/>
          <w14:textFill>
            <w14:solidFill>
              <w14:schemeClr w14:val="tx1"/>
            </w14:solidFill>
          </w14:textFill>
        </w:rPr>
        <w:t>本级政务服务中心服务事项应进</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必进。</w:t>
      </w:r>
      <w:r>
        <w:rPr>
          <w:rFonts w:hint="default" w:ascii="Times New Roman" w:hAnsi="Times New Roman" w:eastAsia="仿宋_GB2312" w:cs="Times New Roman"/>
          <w:color w:val="000000" w:themeColor="text1"/>
          <w:sz w:val="32"/>
          <w:szCs w:val="40"/>
          <w14:textFill>
            <w14:solidFill>
              <w14:schemeClr w14:val="tx1"/>
            </w14:solidFill>
          </w14:textFill>
        </w:rPr>
        <w:t>以“高效办成一件事”为目标，持续提升全</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旗</w:t>
      </w:r>
      <w:r>
        <w:rPr>
          <w:rFonts w:hint="default" w:ascii="Times New Roman" w:hAnsi="Times New Roman" w:eastAsia="仿宋_GB2312" w:cs="Times New Roman"/>
          <w:color w:val="000000" w:themeColor="text1"/>
          <w:sz w:val="32"/>
          <w:szCs w:val="40"/>
          <w14:textFill>
            <w14:solidFill>
              <w14:schemeClr w14:val="tx1"/>
            </w14:solidFill>
          </w14:textFill>
        </w:rPr>
        <w:t>政务服务标准化</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规范化、便利化水平</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推进政务服务线上线下融合互通</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推动政务服务事项“一网通办”和跨地区、跨部门、跨层级协同办理</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eastAsia="zh-CN"/>
          <w14:textFill>
            <w14:solidFill>
              <w14:schemeClr w14:val="tx1"/>
            </w14:solidFill>
          </w14:textFill>
        </w:rPr>
        <w:t>政</w:t>
      </w:r>
      <w:r>
        <w:rPr>
          <w:rFonts w:hint="default" w:ascii="黑体" w:hAnsi="黑体" w:eastAsia="黑体" w:cs="黑体"/>
          <w:b w:val="0"/>
          <w:bCs w:val="0"/>
          <w:color w:val="000000" w:themeColor="text1"/>
          <w:sz w:val="32"/>
          <w:szCs w:val="40"/>
          <w:lang w:val="en-US" w:eastAsia="zh-CN"/>
          <w14:textFill>
            <w14:solidFill>
              <w14:schemeClr w14:val="tx1"/>
            </w14:solidFill>
          </w14:textFill>
        </w:rPr>
        <w:t>数</w:t>
      </w:r>
      <w:r>
        <w:rPr>
          <w:rFonts w:hint="default" w:ascii="黑体" w:hAnsi="黑体" w:eastAsia="黑体" w:cs="黑体"/>
          <w:b w:val="0"/>
          <w:bCs w:val="0"/>
          <w:color w:val="000000" w:themeColor="text1"/>
          <w:sz w:val="32"/>
          <w:szCs w:val="40"/>
          <w:lang w:eastAsia="zh-CN"/>
          <w14:textFill>
            <w14:solidFill>
              <w14:schemeClr w14:val="tx1"/>
            </w14:solidFill>
          </w14:textFill>
        </w:rPr>
        <w:t>局</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eastAsia="zh-CN"/>
          <w14:textFill>
            <w14:solidFill>
              <w14:schemeClr w14:val="tx1"/>
            </w14:solidFill>
          </w14:textFill>
        </w:rPr>
        <w:t>政府各部门、</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各苏木镇政府</w:t>
      </w:r>
      <w:r>
        <w:rPr>
          <w:rFonts w:hint="eastAsia" w:ascii="黑体" w:hAnsi="黑体" w:eastAsia="黑体" w:cs="黑体"/>
          <w:b w:val="0"/>
          <w:bCs w:val="0"/>
          <w:color w:val="000000" w:themeColor="text1"/>
          <w:sz w:val="32"/>
          <w:szCs w:val="40"/>
          <w:lang w:eastAsia="zh-CN"/>
          <w14:textFill>
            <w14:solidFill>
              <w14:schemeClr w14:val="tx1"/>
            </w14:solidFill>
          </w14:textFill>
        </w:rPr>
        <w:t>）</w:t>
      </w:r>
    </w:p>
    <w:p w14:paraId="3E9A76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三</w:t>
      </w: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加快推进政</w:t>
      </w: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府</w:t>
      </w:r>
      <w:r>
        <w:rPr>
          <w:rFonts w:hint="eastAsia" w:ascii="楷体_GB2312" w:hAnsi="楷体_GB2312" w:eastAsia="楷体_GB2312" w:cs="楷体_GB2312"/>
          <w:b/>
          <w:bCs/>
          <w:color w:val="000000" w:themeColor="text1"/>
          <w:sz w:val="32"/>
          <w:szCs w:val="40"/>
          <w14:textFill>
            <w14:solidFill>
              <w14:schemeClr w14:val="tx1"/>
            </w14:solidFill>
          </w14:textFill>
        </w:rPr>
        <w:t>诚信建设。</w:t>
      </w:r>
      <w:r>
        <w:rPr>
          <w:rFonts w:hint="default" w:ascii="Times New Roman" w:hAnsi="Times New Roman" w:eastAsia="仿宋_GB2312" w:cs="Times New Roman"/>
          <w:color w:val="000000" w:themeColor="text1"/>
          <w:sz w:val="32"/>
          <w:szCs w:val="40"/>
          <w14:textFill>
            <w14:solidFill>
              <w14:schemeClr w14:val="tx1"/>
            </w14:solidFill>
          </w14:textFill>
        </w:rPr>
        <w:t>健全政府守信践诺机制，</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全面及时</w:t>
      </w:r>
      <w:r>
        <w:rPr>
          <w:rFonts w:hint="default" w:ascii="Times New Roman" w:hAnsi="Times New Roman" w:eastAsia="仿宋_GB2312" w:cs="Times New Roman"/>
          <w:color w:val="000000" w:themeColor="text1"/>
          <w:sz w:val="32"/>
          <w:szCs w:val="40"/>
          <w14:textFill>
            <w14:solidFill>
              <w14:schemeClr w14:val="tx1"/>
            </w14:solidFill>
          </w14:textFill>
        </w:rPr>
        <w:t>履行依法作出的政策承诺和依法签订的各类合同、协议。完善政务诚信社会监督机制，</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建立政务诚信监测治理机制，建立健全政务失信记录制度和政府失信</w:t>
      </w:r>
      <w:r>
        <w:rPr>
          <w:rFonts w:hint="default" w:ascii="Times New Roman" w:hAnsi="Times New Roman" w:eastAsia="仿宋_GB2312" w:cs="Times New Roman"/>
          <w:color w:val="000000" w:themeColor="text1"/>
          <w:sz w:val="32"/>
          <w:szCs w:val="40"/>
          <w14:textFill>
            <w14:solidFill>
              <w14:schemeClr w14:val="tx1"/>
            </w14:solidFill>
          </w14:textFill>
        </w:rPr>
        <w:t>责任追究制度，拓宽政务失信问题线索获取渠道，治理债务融资、政府采购、招标投标、招商引资等领域的政府失信行为，加大失信惩戒力度。</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在政府采购、政府与社会主体的合作、招标投标、招商引资的全过程，优化提升政府公信力和政府管理能力，公平透明、诚信履约、严格依法、营造可预期、可信赖、可发展的营商环境，打造政府、社会主体、人民群众共赢的局面，实现良性循环。</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w:t>
      </w:r>
      <w:r>
        <w:rPr>
          <w:rFonts w:hint="eastAsia" w:ascii="黑体" w:hAnsi="黑体" w:eastAsia="黑体" w:cs="黑体"/>
          <w:b w:val="0"/>
          <w:bCs w:val="0"/>
          <w:color w:val="000000" w:themeColor="text1"/>
          <w:sz w:val="32"/>
          <w:szCs w:val="40"/>
          <w:lang w:val="en-US" w:eastAsia="zh-CN"/>
          <w14:textFill>
            <w14:solidFill>
              <w14:schemeClr w14:val="tx1"/>
            </w14:solidFill>
          </w14:textFill>
        </w:rPr>
        <w:t>发改委</w:t>
      </w:r>
      <w:r>
        <w:rPr>
          <w:rFonts w:hint="default" w:ascii="黑体" w:hAnsi="黑体" w:eastAsia="黑体" w:cs="黑体"/>
          <w:b w:val="0"/>
          <w:bCs w:val="0"/>
          <w:color w:val="000000" w:themeColor="text1"/>
          <w:sz w:val="32"/>
          <w:szCs w:val="40"/>
          <w:lang w:val="en-US"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司法局</w:t>
      </w:r>
      <w:r>
        <w:rPr>
          <w:rFonts w:hint="default" w:ascii="黑体" w:hAnsi="黑体" w:eastAsia="黑体" w:cs="黑体"/>
          <w:b w:val="0"/>
          <w:bCs w:val="0"/>
          <w:color w:val="000000" w:themeColor="text1"/>
          <w:sz w:val="32"/>
          <w:szCs w:val="40"/>
          <w:lang w:val="en-US"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政数局</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；责任单位：旗政府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各</w:t>
      </w:r>
      <w:r>
        <w:rPr>
          <w:rFonts w:hint="default" w:ascii="黑体" w:hAnsi="黑体" w:eastAsia="黑体" w:cs="黑体"/>
          <w:b w:val="0"/>
          <w:bCs w:val="0"/>
          <w:color w:val="000000" w:themeColor="text1"/>
          <w:sz w:val="32"/>
          <w:szCs w:val="40"/>
          <w:lang w:val="en-US" w:eastAsia="zh-CN"/>
          <w14:textFill>
            <w14:solidFill>
              <w14:schemeClr w14:val="tx1"/>
            </w14:solidFill>
          </w14:textFill>
        </w:rPr>
        <w:t>部门、</w:t>
      </w:r>
      <w:r>
        <w:rPr>
          <w:rFonts w:hint="eastAsia" w:ascii="黑体" w:hAnsi="黑体" w:eastAsia="黑体" w:cs="黑体"/>
          <w:b w:val="0"/>
          <w:bCs w:val="0"/>
          <w:color w:val="000000" w:themeColor="text1"/>
          <w:sz w:val="32"/>
          <w:szCs w:val="40"/>
          <w:shd w:val="clear"/>
          <w:lang w:val="en-US" w:eastAsia="zh-CN"/>
          <w14:textFill>
            <w14:solidFill>
              <w14:schemeClr w14:val="tx1"/>
            </w14:solidFill>
          </w14:textFill>
        </w:rPr>
        <w:t>投促中心</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各苏木镇政府）</w:t>
      </w:r>
    </w:p>
    <w:p w14:paraId="647E74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themeColor="text1"/>
          <w:sz w:val="32"/>
          <w:szCs w:val="40"/>
          <w:lang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四</w:t>
      </w:r>
      <w:r>
        <w:rPr>
          <w:rFonts w:hint="eastAsia" w:ascii="楷体_GB2312" w:hAnsi="楷体_GB2312" w:eastAsia="楷体_GB2312" w:cs="楷体_GB2312"/>
          <w:b/>
          <w:bCs/>
          <w:color w:val="000000" w:themeColor="text1"/>
          <w:sz w:val="32"/>
          <w:szCs w:val="40"/>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40"/>
          <w14:textFill>
            <w14:solidFill>
              <w14:schemeClr w14:val="tx1"/>
            </w14:solidFill>
          </w14:textFill>
        </w:rPr>
        <w:t>持续优化法治化营商环境。</w:t>
      </w:r>
      <w:r>
        <w:rPr>
          <w:rFonts w:hint="default" w:ascii="Times New Roman" w:hAnsi="Times New Roman" w:eastAsia="仿宋_GB2312" w:cs="Times New Roman"/>
          <w:color w:val="000000" w:themeColor="text1"/>
          <w:sz w:val="32"/>
          <w:szCs w:val="40"/>
          <w14:textFill>
            <w14:solidFill>
              <w14:schemeClr w14:val="tx1"/>
            </w14:solidFill>
          </w14:textFill>
        </w:rPr>
        <w:t>贯彻落实《优化营商环境条例》，深入落实公平竞争审查制度，及时清理、废除妨碍统一市场和公平竞争的各种规定和做法</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加大反不正当竞争执法力度</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健全知识产权保护机制</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健全以“双随机、一公开”监管和“互联网+监管”为基本手段、以重点监管为补充、以信用监管为基础的新型监管机制，完善与创新创造相适应的包容审慎监管方式</w:t>
      </w:r>
      <w:r>
        <w:rPr>
          <w:rFonts w:hint="eastAsia"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促进新技术、新产业、新业</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态、</w:t>
      </w:r>
      <w:r>
        <w:rPr>
          <w:rFonts w:hint="default" w:ascii="Times New Roman" w:hAnsi="Times New Roman" w:eastAsia="仿宋_GB2312" w:cs="Times New Roman"/>
          <w:color w:val="000000" w:themeColor="text1"/>
          <w:sz w:val="32"/>
          <w:szCs w:val="40"/>
          <w14:textFill>
            <w14:solidFill>
              <w14:schemeClr w14:val="tx1"/>
            </w14:solidFill>
          </w14:textFill>
        </w:rPr>
        <w:t>新模式发展。</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40"/>
          <w14:textFill>
            <w14:solidFill>
              <w14:schemeClr w14:val="tx1"/>
            </w14:solidFill>
          </w14:textFill>
        </w:rPr>
        <w:t>市场监管、质量监管、安全监管，对直接涉及公共安全和人民群众生命健康等特殊行业和重点领域、实行重点监管、全链条监管。严格落实外商投资准入前国民待遇加负面清单管理制度</w:t>
      </w:r>
      <w:r>
        <w:rPr>
          <w:rFonts w:hint="default" w:ascii="Times New Roman" w:hAnsi="Times New Roman" w:eastAsia="仿宋_GB2312" w:cs="Times New Roman"/>
          <w:color w:val="000000" w:themeColor="text1"/>
          <w:sz w:val="32"/>
          <w:szCs w:val="40"/>
          <w:lang w:eastAsia="zh-CN"/>
          <w14:textFill>
            <w14:solidFill>
              <w14:schemeClr w14:val="tx1"/>
            </w14:solidFill>
          </w14:textFill>
        </w:rPr>
        <w:t>。</w:t>
      </w:r>
      <w:r>
        <w:rPr>
          <w:rFonts w:hint="default" w:ascii="Times New Roman" w:hAnsi="Times New Roman" w:eastAsia="仿宋_GB2312" w:cs="Times New Roman"/>
          <w:color w:val="000000" w:themeColor="text1"/>
          <w:sz w:val="32"/>
          <w:szCs w:val="40"/>
          <w14:textFill>
            <w14:solidFill>
              <w14:schemeClr w14:val="tx1"/>
            </w14:solidFill>
          </w14:textFill>
        </w:rPr>
        <w:t>优化外贸外资企业经营环境，深化国际贸易“单一窗口”建设，提高进出口通关效率和跨境贸易便利度。构建亲清新型政商关系，发挥企业和行业协会商会作用，充分听取其意见和建议。</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旗委政法委、旗委依法治旗办、旗发改委、工信局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商务局、市监局、政数局、</w:t>
      </w:r>
      <w:r>
        <w:rPr>
          <w:rFonts w:hint="default" w:ascii="黑体" w:hAnsi="黑体" w:eastAsia="黑体" w:cs="黑体"/>
          <w:b w:val="0"/>
          <w:bCs w:val="0"/>
          <w:color w:val="000000" w:themeColor="text1"/>
          <w:sz w:val="32"/>
          <w:szCs w:val="40"/>
          <w:highlight w:val="none"/>
          <w:shd w:val="clear"/>
          <w:lang w:val="en-US" w:eastAsia="zh-CN"/>
          <w14:textFill>
            <w14:solidFill>
              <w14:schemeClr w14:val="tx1"/>
            </w14:solidFill>
          </w14:textFill>
        </w:rPr>
        <w:t>工商联</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旗纪委监委机关、人民法院、人民检察院、公安局、旗政府有关部门、中国人民银行乌拉特中旗支行、各苏木镇政府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46E58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40"/>
          <w14:textFill>
            <w14:solidFill>
              <w14:schemeClr w14:val="tx1"/>
            </w14:solidFill>
          </w14:textFill>
        </w:rPr>
      </w:pPr>
      <w:r>
        <w:rPr>
          <w:rFonts w:hint="default" w:ascii="黑体" w:hAnsi="黑体" w:eastAsia="黑体" w:cs="黑体"/>
          <w:b w:val="0"/>
          <w:bCs w:val="0"/>
          <w:color w:val="000000" w:themeColor="text1"/>
          <w:sz w:val="32"/>
          <w:szCs w:val="40"/>
          <w14:textFill>
            <w14:solidFill>
              <w14:schemeClr w14:val="tx1"/>
            </w14:solidFill>
          </w14:textFill>
        </w:rPr>
        <w:t>二、健全依法行政制度体系</w:t>
      </w:r>
    </w:p>
    <w:p w14:paraId="1F66C2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（五）加强行政规范性文件制定监督管理。</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严格执行《内蒙古自治区行政规范性文件管理办法》。严格规范性文件制定程序制度，加强合法性审核、备案审查监督。加强备案审查工作队伍建设，提高备案审查工作质量和规范化水平。围绕铸牢中华民族共同体意识主线，开展规范性文件清理工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旗政府办、司法局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旗人大机关、旗政府有关部门，</w:t>
      </w:r>
      <w:r>
        <w:rPr>
          <w:rFonts w:hint="eastAsia" w:ascii="黑体" w:hAnsi="黑体" w:eastAsia="黑体" w:cs="黑体"/>
          <w:b w:val="0"/>
          <w:bCs w:val="0"/>
          <w:color w:val="000000" w:themeColor="text1"/>
          <w:sz w:val="32"/>
          <w:szCs w:val="40"/>
          <w:lang w:val="en-US" w:eastAsia="zh-CN"/>
          <w14:textFill>
            <w14:solidFill>
              <w14:schemeClr w14:val="tx1"/>
            </w14:solidFill>
          </w14:textFill>
        </w:rPr>
        <w:t>各苏木镇</w:t>
      </w:r>
      <w:r>
        <w:rPr>
          <w:rFonts w:hint="default" w:ascii="黑体" w:hAnsi="黑体" w:eastAsia="黑体" w:cs="黑体"/>
          <w:b w:val="0"/>
          <w:bCs w:val="0"/>
          <w:color w:val="000000" w:themeColor="text1"/>
          <w:sz w:val="32"/>
          <w:szCs w:val="40"/>
          <w:lang w:val="en-US" w:eastAsia="zh-CN"/>
          <w14:textFill>
            <w14:solidFill>
              <w14:schemeClr w14:val="tx1"/>
            </w14:solidFill>
          </w14:textFill>
        </w:rPr>
        <w:t>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0FD8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三、健全完善行政决策制度体系</w:t>
      </w:r>
    </w:p>
    <w:p w14:paraId="712697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（六）强化依法决策意识。</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完善政府法律顾问制度，创新法律顾问运行机制，畅通沟通渠道，切实发挥法律顾问、公职律师作用，实现从“有形覆盖”向“有效覆盖”转变。把是否遵守决策程序制度、做到依法决策作为对人民政府及政府部门党组（党委）开展巡察和对行政机关领导班子及主要负责人开展考核督察、经济责任审计的重要内容。</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旗政府办、旗委组织部、旗委依法治旗办、旗委巡察办、司法局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审计局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7E6352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（七）严格落实重大行政决策程序。</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严格执行《重大行政决策程序暂行条例》《内蒙古自治区重大行政决策程序规定》，严格遵循法定程序作出决策，强化合法性审查和集体讨论决定刚性约束。严格落实《内蒙古自治区重大行政决策目录管理办法》（内政办发〔2024〕14号），依法公开重大行政决策事项年度目录。健全决策过程记录和材料归档制度。涉及社会公众切身利益的重要规划、重大公共政策和措施、重大公共建设项目等，主动通过召开听证会、征求意见等形式加大公众参与和专家论证力度。</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旗政府办</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旗司法局及政府其他部门、各苏木镇政府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0B7D2B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（八）加强行政决策执行和评估。</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完善行政决策执行机制，严格落实重大行政决策终身责任追究制度和责任倒查机制。加强行政决策管理监督，充分运用“法治巴彦淖尔智能化一体平台”按时报备重大行政决策。加强重大决策执行情况的跟踪督促，落实决策后评估制度，将决策后评估结果作为调整重大行政决策的重要依据。</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旗政府各部门、各苏木镇政府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3421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四、健全行政执法工作体系</w:t>
      </w:r>
    </w:p>
    <w:p w14:paraId="717B3B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（九）持续深化行政执法体制改革。</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加强综合行政执法体制机制建设</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持续协调编制部门优化综合行政执法部门机构设置、科学划定综合行政执法事项权限。贯彻《内蒙古自治区基层综合行政执法条例》，健全苏木镇与旗政府相关部门行政执法案件移送协调协作机制，加强对苏木镇综合行政执法工作指导。健全综合行政执法主管部门、相关行业管理部门、综合行政执法队伍间协调配合、信息共享机制。推进跨领域跨部门联合执法，实现违法线索互联、执法标准互通、处理结果互认。完善行政执法与刑事司法衔接机制，畅通案件移交渠道，增强部门工作合力。加强“两法街接”信息平台应用，推进信息共享机制化、案件移送标准和程序规范化。加强培训引导，组织</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全旗行政</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执法人员学习“两法衔接”相关制度规定，不断提升行刑衔接案件办理能力。</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旗委编办、司法局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51E4C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（十）加强行政执法规范化建设。</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依据《内蒙古自治区提升行政执法质量三年行动计划</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2023</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实施方案》</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《巴彦淖尔市</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提升行政执法质量三年行动计划</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2023</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实施方案</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，我旗制定了《乌拉特中旗提升行政执法质量三年行动计划</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2023</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实施方案》，推进严格规范公正文明执法，加强行政执法主体管理，明确行政执法主体的资格条件、确认程序和执法职责。严格执行《内蒙古自治区行政执法证件管理办法》，全面实行行政执法人员持证上岗和资格管理制度，持续推进行政执法纸质证件和电子证件双证运行，确保执法人员持证、亮证执法。严格遵守正当程序原则，规范行政执法程序。落实行政裁量权基准制度，进一步细化量化行政裁量权基准，依托“巴彦淖尔市行政执法监督公示平台”加强行政裁量权基准的动态管理和备案审查。梳理、规范行政执法事项，凡没有法律法规规章依据的一律取消。全面落实一次性告知制度</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规范涉企行政检查和处罚，充分保障行政相对人陈述、申辩、提出听证申请等权利，严格规范行政执法程序。深入推进“互联网+”监管执法。</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06A936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（十一）加大重点领域行政执法力度。</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持续加大对安全生产、食品药品、公共卫生、自然资源、生态环境、劳动保障、城市管理、交通运输、金融服务、教育培训、野生动物保护等关系群众切身利益的重点领域执法力度，分领域梳理群众反映强烈的突出问题，开展集中专项整治。畅通违法行为投诉举报渠道，发挥人民群众对违法行为的监督作用，对举报严重违法违规行为和重大风险隐患的有功人员依法予以奖励和严格保护。</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旗公安局、财政局、人社局、自然资源局、住建局、交通局、水利局、农</w:t>
      </w:r>
      <w:r>
        <w:rPr>
          <w:rFonts w:hint="eastAsia" w:ascii="黑体" w:hAnsi="黑体" w:eastAsia="黑体" w:cs="黑体"/>
          <w:b w:val="0"/>
          <w:bCs w:val="0"/>
          <w:color w:val="000000" w:themeColor="text1"/>
          <w:sz w:val="32"/>
          <w:szCs w:val="40"/>
          <w:lang w:val="en-US" w:eastAsia="zh-CN"/>
          <w14:textFill>
            <w14:solidFill>
              <w14:schemeClr w14:val="tx1"/>
            </w14:solidFill>
          </w14:textFill>
        </w:rPr>
        <w:t>科</w:t>
      </w:r>
      <w:r>
        <w:rPr>
          <w:rFonts w:hint="default" w:ascii="黑体" w:hAnsi="黑体" w:eastAsia="黑体" w:cs="黑体"/>
          <w:b w:val="0"/>
          <w:bCs w:val="0"/>
          <w:color w:val="000000" w:themeColor="text1"/>
          <w:sz w:val="32"/>
          <w:szCs w:val="40"/>
          <w:lang w:val="en-US" w:eastAsia="zh-CN"/>
          <w14:textFill>
            <w14:solidFill>
              <w14:schemeClr w14:val="tx1"/>
            </w14:solidFill>
          </w14:textFill>
        </w:rPr>
        <w:t>局、文</w:t>
      </w:r>
      <w:r>
        <w:rPr>
          <w:rFonts w:hint="eastAsia" w:ascii="黑体" w:hAnsi="黑体" w:eastAsia="黑体" w:cs="黑体"/>
          <w:b w:val="0"/>
          <w:bCs w:val="0"/>
          <w:color w:val="000000" w:themeColor="text1"/>
          <w:sz w:val="32"/>
          <w:szCs w:val="40"/>
          <w:lang w:val="en-US" w:eastAsia="zh-CN"/>
          <w14:textFill>
            <w14:solidFill>
              <w14:schemeClr w14:val="tx1"/>
            </w14:solidFill>
          </w14:textFill>
        </w:rPr>
        <w:t>体</w:t>
      </w:r>
      <w:r>
        <w:rPr>
          <w:rFonts w:hint="default" w:ascii="黑体" w:hAnsi="黑体" w:eastAsia="黑体" w:cs="黑体"/>
          <w:b w:val="0"/>
          <w:bCs w:val="0"/>
          <w:color w:val="000000" w:themeColor="text1"/>
          <w:sz w:val="32"/>
          <w:szCs w:val="40"/>
          <w:lang w:val="en-US" w:eastAsia="zh-CN"/>
          <w14:textFill>
            <w14:solidFill>
              <w14:schemeClr w14:val="tx1"/>
            </w14:solidFill>
          </w14:textFill>
        </w:rPr>
        <w:t>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卫健委、应急管理局、市监局、林草局、生态环境分局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0EF613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（十二）创新行政执法方式。</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各级行政执法部门应</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广泛运用说服教育、劝导示范、警示告诫、指导约谈等柔性执法方式，全面推行“免罚”清单和“轻罚”清单。推行行政执法典型案例指导制度、</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配合</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编制全</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行政执法典型案例汇编</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充分发挥案例指导作用，以案促改助推规范</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行政</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执法增优提效。建立行政执法案卷年度评查制度，强化评查结果运用。</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32E44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（十三）落实“谁执法谁普法”责任制。</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实现普法责任清单全覆盖、持续加强以案释法，推动“谁执法谁普法”和“以案释法”的常态化、规范化和制度化。要发挥地方性法规在推进社会治理新体系建设中的重要作用，加大对养犬管理、大气污染防治等地方性法规的普及宣传力度，以人民群众喜闻乐见的普法方式，进一步增强地方性法规的社会知晓率和影响力，营造全社会依法守法的法治氛围，推动地方性法规落地生效。</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旗公安局、司法局、生态环境分局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4FDD3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五、健全完善突发事件应对体系</w:t>
      </w:r>
    </w:p>
    <w:p w14:paraId="488E53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（十四）完善突发事件应对制度。</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进一步健全旗应急预案体系</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加强突发事件监测预警、信息报告、应急响应、恢复重建、调查评估等机制建设，完善突发事件状态下征收、征用、救助、补偿制度。推进重要应急物资监管、生产、储备、调拨和紧急配送体系建设。</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旗委网信办、</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发改委</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工信局、公安局、财政局、卫健委</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应急管理局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3FD127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（十五）提高突发事件依法处置能力。</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深化应急管理综合行政执法改革，完善各类突发事件应急响应处置程序和协调联动机制。开展应急演练，加强突发事件信息公开和危机沟通。强化安全生产监管执法保障。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旗公安局、卫健委</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应急管理局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人民法院、人民检察院、政府有关部门，各苏木镇政府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1FF06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（十六）引导、规范基层组织和社会力量参与突发事件应对。</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完善苏木镇、嘎查村</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社区</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应急处置组织体系。强化公众自防自治、群防群治、自救互救能力。健全社会应急力量备案登记、调用补偿、保险保障等方面制度，完善社会组织、慈善组织、社会工作者、志愿者等参与突发事件应对的激励保障机制。</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旗公安局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民政局、卫健委</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应急管理局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旗委政法委、司法局、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政府有关部门、红十字会，各苏木镇政府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714C2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六、健全社会矛盾纠纷多元化解工作体系</w:t>
      </w:r>
    </w:p>
    <w:p w14:paraId="69260A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（十七）加强行政调解工作。</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健全依法预防和化解纠纷机制，深入排查梳理重大风险隐患，畅通群众诉求表达、利益协调和权益保障渠道，引导群众通过法律途径解决矛盾纠纷。依法加强消费者权益保护、交通损害赔偿、治安管理、环境污染、社会保障、房屋土地征收、知识产权、农村牧区土地草原承包经营权等方面的行政调解。深入推进多层次、多领域依法治理，强化行政调解与人民调解、司法调解有效衔接，形成及时稳妥化解矛盾纠纷的合力。提供“一站式”纠纷解决服务。</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旗委政法委、</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人民法院、人民检察院</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公安局、司法局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人社局、自然资源局、住建局、农科局、市监局、林草局、信访局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生态环境分局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0CAA5B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（十八）充分发挥行政复议化解行政争议主渠道作用。</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宣传贯彻《行政复议法》，推进行政复议规范化、专业化、信息化建设，建立相关政府部门、专家、学者等参与的行政复议委员会。加强行政复议案件调解和解工作。建立行政争议调解协调联动机制，推进行政争议应调尽调。</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453D4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（十九）加强和规范行政应诉工作。</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落实行政机关负责人出庭应诉定期通报制度、实现行政机关负责人出庭应诉率100%。加强行政争议实质性化解，强化府院联动，支持法院依法审理行政案件，切实履行生效裁判。支持检察院开展行政诉讼监督工作和行政公益诉讼，认真做好司法建议、检察建议落实和反馈，提升办复率。建立健全行政应诉培训制度，开展集中培训，旁听庭审等活动，提高行政机关负责人、行政执法人员等相关人员的行政应诉能力。</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旗委依法治旗办、</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人民法院、人民检察院、司法局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1CBADF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（二十）规范信访工作程序。</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坚持和发展新时代“枫桥经验”，全面贯彻落实《内蒙古自治区矛盾纠纷多元化解条例》，</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加强矛盾纠纷多元化解和诉源治理。深入推行信访代办制，全面推进信访预防、受理、办理、监督追责、维护秩序法治化。开展重点领域信访突出问题化解攻坚，努力将矛盾纠纷吸附在基层、解决在萌芽状态。</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信访局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5E3BB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七、健全行政权力制约和监督体系</w:t>
      </w:r>
    </w:p>
    <w:p w14:paraId="7E0AB3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（二十一）形成监督合力。</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突出党内监督主导地位，</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推进纪律监督、监察监督、派驻监督、巡察监督统筹衔接，推动党内监督与人大监督、民主监督、行政监督、司法监督、群众监督、舆论监督等各类监督有机贯通，相互协调。积极发挥审计监督、统计监督、执法监督、行政复议等监督作用，加强和规范政府督查工作。重点对党中央、国务院重大决策部署落实情况、上级和本级政府重要工作部署落实情况、督查对象法定职责履行情况、政府行政效能开展监督检查。</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旗纪委监委机关、旗委办、旗政府办、人大机关、政协机关、</w:t>
      </w:r>
      <w:r>
        <w:rPr>
          <w:rFonts w:hint="eastAsia" w:ascii="黑体" w:hAnsi="黑体" w:eastAsia="黑体" w:cs="黑体"/>
          <w:b w:val="0"/>
          <w:bCs w:val="0"/>
          <w:color w:val="000000" w:themeColor="text1"/>
          <w:sz w:val="32"/>
          <w:szCs w:val="40"/>
          <w:lang w:val="en-US" w:eastAsia="zh-CN"/>
          <w14:textFill>
            <w14:solidFill>
              <w14:schemeClr w14:val="tx1"/>
            </w14:solidFill>
          </w14:textFill>
        </w:rPr>
        <w:t>旗委</w:t>
      </w:r>
      <w:r>
        <w:rPr>
          <w:rFonts w:hint="default" w:ascii="黑体" w:hAnsi="黑体" w:eastAsia="黑体" w:cs="黑体"/>
          <w:b w:val="0"/>
          <w:bCs w:val="0"/>
          <w:color w:val="000000" w:themeColor="text1"/>
          <w:sz w:val="32"/>
          <w:szCs w:val="40"/>
          <w:lang w:val="en-US" w:eastAsia="zh-CN"/>
          <w14:textFill>
            <w14:solidFill>
              <w14:schemeClr w14:val="tx1"/>
            </w14:solidFill>
          </w14:textFill>
        </w:rPr>
        <w:t>宣传部、政法委、巡察办、</w:t>
      </w:r>
      <w:r>
        <w:rPr>
          <w:rFonts w:hint="eastAsia" w:ascii="黑体" w:hAnsi="黑体" w:eastAsia="黑体" w:cs="黑体"/>
          <w:b w:val="0"/>
          <w:bCs w:val="0"/>
          <w:color w:val="000000" w:themeColor="text1"/>
          <w:sz w:val="32"/>
          <w:szCs w:val="40"/>
          <w:lang w:val="en-US" w:eastAsia="zh-CN"/>
          <w14:textFill>
            <w14:solidFill>
              <w14:schemeClr w14:val="tx1"/>
            </w14:solidFill>
          </w14:textFill>
        </w:rPr>
        <w:t>旗</w:t>
      </w:r>
      <w:r>
        <w:rPr>
          <w:rFonts w:hint="default" w:ascii="黑体" w:hAnsi="黑体" w:eastAsia="黑体" w:cs="黑体"/>
          <w:b w:val="0"/>
          <w:bCs w:val="0"/>
          <w:color w:val="000000" w:themeColor="text1"/>
          <w:sz w:val="32"/>
          <w:szCs w:val="40"/>
          <w:lang w:val="en-US" w:eastAsia="zh-CN"/>
          <w14:textFill>
            <w14:solidFill>
              <w14:schemeClr w14:val="tx1"/>
            </w14:solidFill>
          </w14:textFill>
        </w:rPr>
        <w:t>人民法院、人民检察院、财政局、司法局、审计局、统计局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信访局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旗政府各部门，各苏木镇政府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1043DA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（二十二）加强对行政执法的制约和监督。</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健全行政执法监督工作体系，严格履行行政执法监督职能，拓宽行政执法监督渠道，充分运用行政执法监督结果。</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年底前基本建成市旗苏木镇三级全覆盖的行政执法协调监督工作体系。加强苏木镇司法所人员配备</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编制司法所开展行政执法协调监督工作指引，明确司法所执法监督工作职责，细化司法所开展执法监督工作的方式方法，推动司法所规范开展行政执法监督工作。组织选聘行政执法社会监督员，推进社会监督员工作规范化运行。重点开展执法一线监督、个案监督。对行政复议被纠错和行政诉讼败诉案件中的违法行为进行追踪监督和纠正，对行政执法投诉举报等具体行为进行专项监督。建立行政执法监督与12345政务服务热线合作机制、提高监督主动性和精准度。建立健全行政执法监督与法治督察、政府督查、行政复议、行政诉讼等方面与行政执法监督的协作机制。</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74D55D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（二十三）全面主动落实政务公开。</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加强重点领域信息公开，增进政府和公众交流互动。落实决策、执行、管理、服务和结果公开，完善政策例行吹风会制度，加强重要政府规章和政策性文件解读。全面提升依申请公开工作质量，更好满足人民群众对政府信息的合理需求。</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旗政数局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旗政府各部门</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3927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八、健全法治政府建设科技保障体系</w:t>
      </w:r>
    </w:p>
    <w:p w14:paraId="2A4A74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（二十四）加快推进信息化平台建设。</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完善旗现行有效行政规范性文件统一公开查询功能。运用互联网、大数据等技术，实现政府治理信息化与法治化深度融合，全方位推进“数字法治”建设。</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旗政数局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AE8E2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（二十五）加快推进政务数据共享。</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健全高效运行的政务数据联动共享工作机制。加快推进身份认证、电子印章、电子证照等统一认定使用。优化法治政府建设智能化一体平台，运用大数据辅助行政决策、行政执法工作。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政数局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旗发改委、工信局、政府其他有关部门，各苏木镇政府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61CA0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九、强化组织实施</w:t>
      </w:r>
    </w:p>
    <w:p w14:paraId="131CCF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（二十六）加强党对法治政府建设的领导。</w:t>
      </w:r>
      <w:r>
        <w:rPr>
          <w:rFonts w:hint="default" w:ascii="Times New Roman" w:hAnsi="Times New Roman" w:eastAsia="仿宋_GB2312" w:cs="Times New Roman"/>
          <w:b w:val="0"/>
          <w:bCs w:val="0"/>
          <w:color w:val="000000" w:themeColor="text1"/>
          <w:sz w:val="32"/>
          <w:szCs w:val="40"/>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政府要切实履行主体责任，谋划落实好法治政府建设各项任务，主动向同级党委汇报法治政府建设工作。人民政府、各部门主要负责人要切实履行推进法治政府建设第一责任人职责，定期听取工作汇报，研究解决重大问题。党委法治建设议事协调机构及其办事机构要加强统筹协调和督促推动。</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旗政府办、司法局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：旗政府各部门、</w:t>
      </w:r>
      <w:r>
        <w:rPr>
          <w:rFonts w:hint="default" w:ascii="黑体" w:hAnsi="黑体" w:eastAsia="黑体" w:cs="黑体"/>
          <w:b w:val="0"/>
          <w:bCs w:val="0"/>
          <w:color w:val="000000" w:themeColor="text1"/>
          <w:sz w:val="32"/>
          <w:szCs w:val="40"/>
          <w:lang w:val="en-US" w:eastAsia="zh-CN"/>
          <w14:textFill>
            <w14:solidFill>
              <w14:schemeClr w14:val="tx1"/>
            </w14:solidFill>
          </w14:textFill>
        </w:rPr>
        <w:t>各苏木镇党委和政府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124EF6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（二十七）完善法治政府建设推进机制。</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严格执行《法治政府建设与责任落实督察工作规定》，坚持法治建设任务提醒督办制度</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精准开展专项督察、综合督察。加强对法治政府建设薄弱地区和部门的指导督促。挖掘和宣传法治政府建设工作中的典型经验和先进模范，营造全社会关心、支持和参与法治政府建设的良好氛围。将依法行政情况作为对人民政府和政府部门及其领导干部绩效考核的重要内容。</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旗政府办、人大机关、政协机关</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旗委依法治旗办</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旗政府各部门、各苏木镇党委和政府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3F5A74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（二十八）全面加强依法行政能力建设。</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落实领导干部应知应会党内法规和法律法规清单制度，推动领导干部带头尊法学法守法用法。把法治教育培训作为各级政府工作人员初任培训、任职培训必训内容，进一步提高领导干部和政府工作人员的法治思维和依法行政能力。强化基层法治队伍建设，优化基层司法所职能定位。充实基层法治力量，加强对基层执法人员的法治教育培训，有针对性地补齐基层执法人员短缺、队伍素质不高、结构不合理的短板。对法治政府建设作出突出贡献的单位、个人，按照有关规定给予表彰奖励。重视法治人才的培养，鼓励在职人员积极参加法律职业资格考试，支持符合条件的公职人员申领公职律师执照，扩大公职律师队伍。加强行政执法队伍专业化、职业化建设，确保每人接受不少于60学时的业务知识和法律法规培训。推动行政复议、行政调解工作队伍建设。推动行政机关通过庭审观摩规范行政执法，组织行政机关负责人、执法人员通过沉浸式零距离观摩行政案件庭审，增强法律素养和依法行政意识。</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牵头单位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旗人大机关、旗委组织部、依法治旗办、编办、司法局、财政局、人社局</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责任单位</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r>
        <w:rPr>
          <w:rFonts w:hint="default" w:ascii="黑体" w:hAnsi="黑体" w:eastAsia="黑体" w:cs="黑体"/>
          <w:b w:val="0"/>
          <w:bCs w:val="0"/>
          <w:color w:val="000000" w:themeColor="text1"/>
          <w:sz w:val="32"/>
          <w:szCs w:val="40"/>
          <w:lang w:val="en-US" w:eastAsia="zh-CN"/>
          <w14:textFill>
            <w14:solidFill>
              <w14:schemeClr w14:val="tx1"/>
            </w14:solidFill>
          </w14:textFill>
        </w:rPr>
        <w:t>旗政府各部门，各苏木镇政府</w:t>
      </w:r>
      <w:r>
        <w:rPr>
          <w:rFonts w:hint="eastAsia" w:ascii="黑体" w:hAnsi="黑体" w:eastAsia="黑体" w:cs="黑体"/>
          <w:b w:val="0"/>
          <w:bCs w:val="0"/>
          <w:color w:val="000000" w:themeColor="text1"/>
          <w:sz w:val="32"/>
          <w:szCs w:val="40"/>
          <w:lang w:val="en-US" w:eastAsia="zh-CN"/>
          <w14:textFill>
            <w14:solidFill>
              <w14:schemeClr w14:val="tx1"/>
            </w14:solidFill>
          </w14:textFill>
        </w:rPr>
        <w:t>）</w:t>
      </w:r>
    </w:p>
    <w:p w14:paraId="584E5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各地区、各部门要加强组织领导，有效推动法治政府建设责任压实、任务落实，确保完成2024年法治政府建设各项工作任务，为高质量发展提供坚强法治保障。</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61A74F-304A-4164-8295-DF8A7CD947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F0049F-60D6-4BA8-A341-A25C57D74B73}"/>
  </w:font>
  <w:font w:name="仿宋_GB2312">
    <w:panose1 w:val="02010609030101010101"/>
    <w:charset w:val="86"/>
    <w:family w:val="auto"/>
    <w:pitch w:val="default"/>
    <w:sig w:usb0="00000001" w:usb1="080E0000" w:usb2="00000000" w:usb3="00000000" w:csb0="00040000" w:csb1="00000000"/>
    <w:embedRegular r:id="rId3" w:fontKey="{51943A1A-90E5-45D3-A553-717C2A0DEEED}"/>
  </w:font>
  <w:font w:name="方正小标宋简体">
    <w:panose1 w:val="02000000000000000000"/>
    <w:charset w:val="86"/>
    <w:family w:val="auto"/>
    <w:pitch w:val="default"/>
    <w:sig w:usb0="00000001" w:usb1="080E0000" w:usb2="00000000" w:usb3="00000000" w:csb0="00040000" w:csb1="00000000"/>
    <w:embedRegular r:id="rId4" w:fontKey="{CB08CC92-BF62-43B6-B439-7C0A3364E959}"/>
  </w:font>
  <w:font w:name="楷体_GB2312">
    <w:panose1 w:val="02010609030101010101"/>
    <w:charset w:val="86"/>
    <w:family w:val="auto"/>
    <w:pitch w:val="default"/>
    <w:sig w:usb0="00000001" w:usb1="080E0000" w:usb2="00000000" w:usb3="00000000" w:csb0="00040000" w:csb1="00000000"/>
    <w:embedRegular r:id="rId5" w:fontKey="{F1CD21B0-B189-4263-A7B1-E30A365B72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0D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E2BE1">
                          <w:pPr>
                            <w:pStyle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- 2 -</w:t>
                          </w:r>
                          <w:r>
                            <w:rPr>
                              <w:rFonts w:hint="eastAsia" w:ascii="宋体" w:hAnsi="宋体" w:eastAsia="宋体" w:cs="宋体"/>
                              <w:color w:val="000000" w:themeColor="text1"/>
                              <w:sz w:val="28"/>
                              <w:szCs w:val="28"/>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EE2BE1">
                    <w:pPr>
                      <w:pStyle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- 2 -</w:t>
                    </w:r>
                    <w:r>
                      <w:rPr>
                        <w:rFonts w:hint="eastAsia" w:ascii="宋体" w:hAnsi="宋体" w:eastAsia="宋体" w:cs="宋体"/>
                        <w:color w:val="000000" w:themeColor="text1"/>
                        <w:sz w:val="28"/>
                        <w:szCs w:val="28"/>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NzliZTQzMjE2OTQ4NGFjZjdkY2YyN2JkN2UzY2QifQ=="/>
  </w:docVars>
  <w:rsids>
    <w:rsidRoot w:val="670C6CF0"/>
    <w:rsid w:val="00303F39"/>
    <w:rsid w:val="00F05477"/>
    <w:rsid w:val="00F55858"/>
    <w:rsid w:val="01657C13"/>
    <w:rsid w:val="02250EFF"/>
    <w:rsid w:val="0249783D"/>
    <w:rsid w:val="0268276F"/>
    <w:rsid w:val="03A04F32"/>
    <w:rsid w:val="03AF786B"/>
    <w:rsid w:val="054D10EA"/>
    <w:rsid w:val="05694CE6"/>
    <w:rsid w:val="05A957CD"/>
    <w:rsid w:val="06565D7C"/>
    <w:rsid w:val="066B628C"/>
    <w:rsid w:val="06936FD0"/>
    <w:rsid w:val="080D4B60"/>
    <w:rsid w:val="0818329B"/>
    <w:rsid w:val="084A7B62"/>
    <w:rsid w:val="08730E67"/>
    <w:rsid w:val="08CB0CA3"/>
    <w:rsid w:val="09336E74"/>
    <w:rsid w:val="0A3B7A5B"/>
    <w:rsid w:val="0AEC4F01"/>
    <w:rsid w:val="0B6131F9"/>
    <w:rsid w:val="0C480E8B"/>
    <w:rsid w:val="0D35136C"/>
    <w:rsid w:val="0D674D12"/>
    <w:rsid w:val="0DA9532B"/>
    <w:rsid w:val="110C1E59"/>
    <w:rsid w:val="1182211B"/>
    <w:rsid w:val="118C2F9A"/>
    <w:rsid w:val="124C4819"/>
    <w:rsid w:val="126637EB"/>
    <w:rsid w:val="1283614B"/>
    <w:rsid w:val="128E689D"/>
    <w:rsid w:val="13620456"/>
    <w:rsid w:val="13B90087"/>
    <w:rsid w:val="1534197E"/>
    <w:rsid w:val="154D0C92"/>
    <w:rsid w:val="156C311B"/>
    <w:rsid w:val="15B90678"/>
    <w:rsid w:val="16924BAE"/>
    <w:rsid w:val="169C73FE"/>
    <w:rsid w:val="16B516CD"/>
    <w:rsid w:val="16FA5053"/>
    <w:rsid w:val="17681285"/>
    <w:rsid w:val="176C36AC"/>
    <w:rsid w:val="183140D2"/>
    <w:rsid w:val="1840688C"/>
    <w:rsid w:val="19081158"/>
    <w:rsid w:val="19683308"/>
    <w:rsid w:val="19762565"/>
    <w:rsid w:val="19771D42"/>
    <w:rsid w:val="19B4308D"/>
    <w:rsid w:val="19E219A9"/>
    <w:rsid w:val="19EB628B"/>
    <w:rsid w:val="1AD73359"/>
    <w:rsid w:val="1AE1214B"/>
    <w:rsid w:val="1B007E56"/>
    <w:rsid w:val="1BC752FA"/>
    <w:rsid w:val="1C2D0D45"/>
    <w:rsid w:val="1C672639"/>
    <w:rsid w:val="1C8B617A"/>
    <w:rsid w:val="1CB77A63"/>
    <w:rsid w:val="1D5C5F16"/>
    <w:rsid w:val="1D7F4C82"/>
    <w:rsid w:val="1DD261D8"/>
    <w:rsid w:val="1EBA1146"/>
    <w:rsid w:val="1F686DF4"/>
    <w:rsid w:val="1F6B4F78"/>
    <w:rsid w:val="1F7A6B27"/>
    <w:rsid w:val="1FCF304C"/>
    <w:rsid w:val="20D1195D"/>
    <w:rsid w:val="211D59BC"/>
    <w:rsid w:val="221E7C3E"/>
    <w:rsid w:val="22705A00"/>
    <w:rsid w:val="22714212"/>
    <w:rsid w:val="22F36DE9"/>
    <w:rsid w:val="23EB0D2A"/>
    <w:rsid w:val="248101C8"/>
    <w:rsid w:val="249D12EE"/>
    <w:rsid w:val="24C820E3"/>
    <w:rsid w:val="24C83E91"/>
    <w:rsid w:val="252E69B7"/>
    <w:rsid w:val="25D30D3F"/>
    <w:rsid w:val="26415CA9"/>
    <w:rsid w:val="26793695"/>
    <w:rsid w:val="268F4C66"/>
    <w:rsid w:val="27913061"/>
    <w:rsid w:val="282615FA"/>
    <w:rsid w:val="29474303"/>
    <w:rsid w:val="295B52D4"/>
    <w:rsid w:val="29745A9F"/>
    <w:rsid w:val="29807A50"/>
    <w:rsid w:val="298914F0"/>
    <w:rsid w:val="2B0A6FB1"/>
    <w:rsid w:val="2B3A3CA1"/>
    <w:rsid w:val="2C637B18"/>
    <w:rsid w:val="2D8D3ECA"/>
    <w:rsid w:val="2DC85545"/>
    <w:rsid w:val="2E1343CF"/>
    <w:rsid w:val="2E5F79A0"/>
    <w:rsid w:val="2E9E2C60"/>
    <w:rsid w:val="2ED2428A"/>
    <w:rsid w:val="2EE43FBD"/>
    <w:rsid w:val="2F9C6646"/>
    <w:rsid w:val="2FE5304B"/>
    <w:rsid w:val="306B6744"/>
    <w:rsid w:val="30CB78A0"/>
    <w:rsid w:val="311741D6"/>
    <w:rsid w:val="31A87524"/>
    <w:rsid w:val="321E3342"/>
    <w:rsid w:val="32292413"/>
    <w:rsid w:val="326E42CA"/>
    <w:rsid w:val="32951856"/>
    <w:rsid w:val="33876A6C"/>
    <w:rsid w:val="339A6A30"/>
    <w:rsid w:val="339D4BA7"/>
    <w:rsid w:val="33B7001B"/>
    <w:rsid w:val="33E660E2"/>
    <w:rsid w:val="3437647C"/>
    <w:rsid w:val="346E0CB4"/>
    <w:rsid w:val="34784F8C"/>
    <w:rsid w:val="348F22D5"/>
    <w:rsid w:val="349F69BC"/>
    <w:rsid w:val="35CE6E2D"/>
    <w:rsid w:val="36016CA1"/>
    <w:rsid w:val="361D6A8E"/>
    <w:rsid w:val="369E0472"/>
    <w:rsid w:val="36DB7A54"/>
    <w:rsid w:val="36F86858"/>
    <w:rsid w:val="37226732"/>
    <w:rsid w:val="378B147A"/>
    <w:rsid w:val="38693632"/>
    <w:rsid w:val="399A7FF8"/>
    <w:rsid w:val="39C02372"/>
    <w:rsid w:val="3A2C36DB"/>
    <w:rsid w:val="3A38364D"/>
    <w:rsid w:val="3A461688"/>
    <w:rsid w:val="3A6F111F"/>
    <w:rsid w:val="3AAF36D1"/>
    <w:rsid w:val="3BB30F9F"/>
    <w:rsid w:val="3C4B0B48"/>
    <w:rsid w:val="3DC97996"/>
    <w:rsid w:val="3E6F5651"/>
    <w:rsid w:val="3F727F68"/>
    <w:rsid w:val="3FBB675E"/>
    <w:rsid w:val="40F83862"/>
    <w:rsid w:val="42974BBA"/>
    <w:rsid w:val="42D974B5"/>
    <w:rsid w:val="44087957"/>
    <w:rsid w:val="4458191F"/>
    <w:rsid w:val="44CC0C37"/>
    <w:rsid w:val="45260A34"/>
    <w:rsid w:val="453C0AF9"/>
    <w:rsid w:val="46050649"/>
    <w:rsid w:val="46434654"/>
    <w:rsid w:val="47844CF4"/>
    <w:rsid w:val="47D44777"/>
    <w:rsid w:val="47FE7A46"/>
    <w:rsid w:val="488C7EDB"/>
    <w:rsid w:val="493078C5"/>
    <w:rsid w:val="49843F7B"/>
    <w:rsid w:val="499E503D"/>
    <w:rsid w:val="4A022010"/>
    <w:rsid w:val="4A416A47"/>
    <w:rsid w:val="4A5357F8"/>
    <w:rsid w:val="4BEB208F"/>
    <w:rsid w:val="4C3503D3"/>
    <w:rsid w:val="4C7533AB"/>
    <w:rsid w:val="4C9013CE"/>
    <w:rsid w:val="4CF03E01"/>
    <w:rsid w:val="4D151ABA"/>
    <w:rsid w:val="4DF416CF"/>
    <w:rsid w:val="4F2A5F82"/>
    <w:rsid w:val="4FDF2E8D"/>
    <w:rsid w:val="4FFA4F97"/>
    <w:rsid w:val="502D711A"/>
    <w:rsid w:val="50446212"/>
    <w:rsid w:val="50493828"/>
    <w:rsid w:val="509B0528"/>
    <w:rsid w:val="50BC3FFA"/>
    <w:rsid w:val="51282652"/>
    <w:rsid w:val="512F6EC2"/>
    <w:rsid w:val="515661FD"/>
    <w:rsid w:val="52B065B4"/>
    <w:rsid w:val="52BB2832"/>
    <w:rsid w:val="52DB10B0"/>
    <w:rsid w:val="53400F13"/>
    <w:rsid w:val="53924CA9"/>
    <w:rsid w:val="54C77EC6"/>
    <w:rsid w:val="54E56FE2"/>
    <w:rsid w:val="55202DAA"/>
    <w:rsid w:val="5606767B"/>
    <w:rsid w:val="57337211"/>
    <w:rsid w:val="577E025B"/>
    <w:rsid w:val="579275FE"/>
    <w:rsid w:val="579E6F11"/>
    <w:rsid w:val="57B679F5"/>
    <w:rsid w:val="58464006"/>
    <w:rsid w:val="595351ED"/>
    <w:rsid w:val="59715160"/>
    <w:rsid w:val="59C83A10"/>
    <w:rsid w:val="59D13A4E"/>
    <w:rsid w:val="5A405CDC"/>
    <w:rsid w:val="5A9F3CAF"/>
    <w:rsid w:val="5AC71F19"/>
    <w:rsid w:val="5AD33626"/>
    <w:rsid w:val="5ADC3C17"/>
    <w:rsid w:val="5B3E6680"/>
    <w:rsid w:val="5B7839DE"/>
    <w:rsid w:val="5BA23E64"/>
    <w:rsid w:val="5BA95099"/>
    <w:rsid w:val="5C210521"/>
    <w:rsid w:val="5D3715D8"/>
    <w:rsid w:val="5D5201C0"/>
    <w:rsid w:val="5D7461BB"/>
    <w:rsid w:val="5DD76917"/>
    <w:rsid w:val="5F1C0A86"/>
    <w:rsid w:val="5F720D05"/>
    <w:rsid w:val="5F731427"/>
    <w:rsid w:val="5F7F1015"/>
    <w:rsid w:val="5FD40AC1"/>
    <w:rsid w:val="61AB1547"/>
    <w:rsid w:val="61FE26C5"/>
    <w:rsid w:val="627E55B4"/>
    <w:rsid w:val="6380410C"/>
    <w:rsid w:val="64CF659A"/>
    <w:rsid w:val="653B69EB"/>
    <w:rsid w:val="658E3182"/>
    <w:rsid w:val="66303069"/>
    <w:rsid w:val="6695125A"/>
    <w:rsid w:val="670C6CF0"/>
    <w:rsid w:val="68BD127B"/>
    <w:rsid w:val="68D51CA5"/>
    <w:rsid w:val="694035C3"/>
    <w:rsid w:val="6A024D1C"/>
    <w:rsid w:val="6A413A96"/>
    <w:rsid w:val="6B3E7628"/>
    <w:rsid w:val="6B826114"/>
    <w:rsid w:val="6B8B51DF"/>
    <w:rsid w:val="6BAE515B"/>
    <w:rsid w:val="6C060AF4"/>
    <w:rsid w:val="6CC462B9"/>
    <w:rsid w:val="6D0A4613"/>
    <w:rsid w:val="6D556C19"/>
    <w:rsid w:val="6DB0362D"/>
    <w:rsid w:val="6E6C1564"/>
    <w:rsid w:val="6E922B12"/>
    <w:rsid w:val="6F296E61"/>
    <w:rsid w:val="6F767D3E"/>
    <w:rsid w:val="70117A67"/>
    <w:rsid w:val="70180DF5"/>
    <w:rsid w:val="702727F8"/>
    <w:rsid w:val="70722A8E"/>
    <w:rsid w:val="70B36D70"/>
    <w:rsid w:val="71146042"/>
    <w:rsid w:val="719C5A56"/>
    <w:rsid w:val="71C95126"/>
    <w:rsid w:val="724F458D"/>
    <w:rsid w:val="727E6F0A"/>
    <w:rsid w:val="75183646"/>
    <w:rsid w:val="7722781E"/>
    <w:rsid w:val="77A17922"/>
    <w:rsid w:val="782124A9"/>
    <w:rsid w:val="786E28B9"/>
    <w:rsid w:val="78DB50B6"/>
    <w:rsid w:val="7924080B"/>
    <w:rsid w:val="798450E7"/>
    <w:rsid w:val="7A1062A7"/>
    <w:rsid w:val="7A24598D"/>
    <w:rsid w:val="7AC51B7A"/>
    <w:rsid w:val="7BA21EBB"/>
    <w:rsid w:val="7C482A62"/>
    <w:rsid w:val="7CC04CEF"/>
    <w:rsid w:val="7E4F558C"/>
    <w:rsid w:val="7F0A04A3"/>
    <w:rsid w:val="7F802513"/>
    <w:rsid w:val="7F8C0EB8"/>
    <w:rsid w:val="7FDD78FA"/>
    <w:rsid w:val="BAFBFFF4"/>
    <w:rsid w:val="DF874065"/>
    <w:rsid w:val="FF7F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7495</Words>
  <Characters>7569</Characters>
  <Lines>0</Lines>
  <Paragraphs>0</Paragraphs>
  <TotalTime>0</TotalTime>
  <ScaleCrop>false</ScaleCrop>
  <LinksUpToDate>false</LinksUpToDate>
  <CharactersWithSpaces>7611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2024-04-04T02:39:00Z</dcterms:created>
  <dc:creator>好姑凉。</dc:creator>
  <cp:lastModifiedBy>WPS_1150631207</cp:lastModifiedBy>
  <dcterms:modified xsi:type="dcterms:W3CDTF">2024-11-28T09:28:08Z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93B5EC018576412FA576210FFC17C8AE_11</vt:lpwstr>
  </property>
</Properties>
</file>