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721A1F">
      <w:pPr>
        <w:keepNext w:val="0"/>
        <w:keepLines w:val="0"/>
        <w:pageBreakBefore w:val="0"/>
        <w:kinsoku/>
        <w:wordWrap/>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lang w:val="en-US" w:eastAsia="zh-CN"/>
        </w:rPr>
      </w:pPr>
      <w:bookmarkStart w:id="6" w:name="_GoBack"/>
      <w:r>
        <w:drawing>
          <wp:inline distT="0" distB="0" distL="114300" distR="114300">
            <wp:extent cx="5270500" cy="7424420"/>
            <wp:effectExtent l="0" t="0" r="6350" b="508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5"/>
                    <a:stretch>
                      <a:fillRect/>
                    </a:stretch>
                  </pic:blipFill>
                  <pic:spPr>
                    <a:xfrm>
                      <a:off x="0" y="0"/>
                      <a:ext cx="5270500" cy="7424420"/>
                    </a:xfrm>
                    <a:prstGeom prst="rect">
                      <a:avLst/>
                    </a:prstGeom>
                    <a:noFill/>
                    <a:ln>
                      <a:noFill/>
                    </a:ln>
                  </pic:spPr>
                </pic:pic>
              </a:graphicData>
            </a:graphic>
          </wp:inline>
        </w:drawing>
      </w:r>
      <w:bookmarkEnd w:id="6"/>
    </w:p>
    <w:p w14:paraId="788B5490">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44"/>
          <w:szCs w:val="44"/>
          <w:lang w:val="en-US" w:eastAsia="zh-CN" w:bidi="ar"/>
        </w:rPr>
      </w:pPr>
    </w:p>
    <w:p w14:paraId="1F30C3E8">
      <w:pPr>
        <w:keepNext w:val="0"/>
        <w:keepLines w:val="0"/>
        <w:pageBreakBefore w:val="0"/>
        <w:widowControl/>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32"/>
          <w:szCs w:val="32"/>
          <w:u w:val="none"/>
          <w:lang w:val="en-US" w:eastAsia="zh-CN" w:bidi="ar"/>
        </w:rPr>
      </w:pPr>
    </w:p>
    <w:p w14:paraId="229F5191">
      <w:pPr>
        <w:keepNext w:val="0"/>
        <w:keepLines w:val="0"/>
        <w:pageBreakBefore w:val="0"/>
        <w:widowControl/>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32"/>
          <w:szCs w:val="32"/>
          <w:u w:val="none"/>
          <w:lang w:val="en-US" w:eastAsia="zh-CN" w:bidi="ar"/>
        </w:rPr>
      </w:pPr>
    </w:p>
    <w:p w14:paraId="2EBBF7EF">
      <w:pPr>
        <w:keepNext w:val="0"/>
        <w:keepLines w:val="0"/>
        <w:pageBreakBefore w:val="0"/>
        <w:widowControl/>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32"/>
          <w:szCs w:val="32"/>
          <w:u w:val="none"/>
          <w:lang w:val="en-US" w:eastAsia="zh-CN" w:bidi="ar"/>
        </w:rPr>
        <w:sectPr>
          <w:pgSz w:w="11906" w:h="16838"/>
          <w:pgMar w:top="1440" w:right="1800" w:bottom="1440" w:left="1800" w:header="851" w:footer="992" w:gutter="0"/>
          <w:cols w:space="425" w:num="1"/>
          <w:docGrid w:type="lines" w:linePitch="312" w:charSpace="0"/>
        </w:sectPr>
      </w:pPr>
    </w:p>
    <w:p w14:paraId="1DA1E71C">
      <w:pPr>
        <w:pStyle w:val="21"/>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lang w:val="en-US" w:eastAsia="zh-CN"/>
        </w:rPr>
      </w:pPr>
      <w:r>
        <w:drawing>
          <wp:inline distT="0" distB="0" distL="114300" distR="114300">
            <wp:extent cx="5273040" cy="7470775"/>
            <wp:effectExtent l="0" t="0" r="3810" b="15875"/>
            <wp:docPr id="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pic:cNvPicPr>
                      <a:picLocks noChangeAspect="1"/>
                    </pic:cNvPicPr>
                  </pic:nvPicPr>
                  <pic:blipFill>
                    <a:blip r:embed="rId6"/>
                    <a:stretch>
                      <a:fillRect/>
                    </a:stretch>
                  </pic:blipFill>
                  <pic:spPr>
                    <a:xfrm>
                      <a:off x="0" y="0"/>
                      <a:ext cx="5273040" cy="7470775"/>
                    </a:xfrm>
                    <a:prstGeom prst="rect">
                      <a:avLst/>
                    </a:prstGeom>
                    <a:noFill/>
                    <a:ln>
                      <a:noFill/>
                    </a:ln>
                  </pic:spPr>
                </pic:pic>
              </a:graphicData>
            </a:graphic>
          </wp:inline>
        </w:drawing>
      </w:r>
    </w:p>
    <w:p w14:paraId="3F1E43F3">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03C8DBF7">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1DE532AA">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692D453E">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r>
        <w:drawing>
          <wp:inline distT="0" distB="0" distL="114300" distR="114300">
            <wp:extent cx="5250180" cy="7176770"/>
            <wp:effectExtent l="0" t="0" r="7620" b="5080"/>
            <wp:docPr id="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pic:cNvPicPr>
                      <a:picLocks noChangeAspect="1"/>
                    </pic:cNvPicPr>
                  </pic:nvPicPr>
                  <pic:blipFill>
                    <a:blip r:embed="rId7"/>
                    <a:stretch>
                      <a:fillRect/>
                    </a:stretch>
                  </pic:blipFill>
                  <pic:spPr>
                    <a:xfrm>
                      <a:off x="0" y="0"/>
                      <a:ext cx="5250180" cy="7176770"/>
                    </a:xfrm>
                    <a:prstGeom prst="rect">
                      <a:avLst/>
                    </a:prstGeom>
                    <a:noFill/>
                    <a:ln>
                      <a:noFill/>
                    </a:ln>
                  </pic:spPr>
                </pic:pic>
              </a:graphicData>
            </a:graphic>
          </wp:inline>
        </w:drawing>
      </w:r>
    </w:p>
    <w:p w14:paraId="051DC20A">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719C62E8">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5BC3308F">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0AB11566">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2FAE086B">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r>
        <w:drawing>
          <wp:inline distT="0" distB="0" distL="114300" distR="114300">
            <wp:extent cx="5273040" cy="7234555"/>
            <wp:effectExtent l="0" t="0" r="3810" b="4445"/>
            <wp:docPr id="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pic:cNvPicPr>
                      <a:picLocks noChangeAspect="1"/>
                    </pic:cNvPicPr>
                  </pic:nvPicPr>
                  <pic:blipFill>
                    <a:blip r:embed="rId8"/>
                    <a:stretch>
                      <a:fillRect/>
                    </a:stretch>
                  </pic:blipFill>
                  <pic:spPr>
                    <a:xfrm>
                      <a:off x="0" y="0"/>
                      <a:ext cx="5273040" cy="7234555"/>
                    </a:xfrm>
                    <a:prstGeom prst="rect">
                      <a:avLst/>
                    </a:prstGeom>
                    <a:noFill/>
                    <a:ln>
                      <a:noFill/>
                    </a:ln>
                  </pic:spPr>
                </pic:pic>
              </a:graphicData>
            </a:graphic>
          </wp:inline>
        </w:drawing>
      </w:r>
    </w:p>
    <w:p w14:paraId="1FDEE52D">
      <w:pPr>
        <w:keepNext w:val="0"/>
        <w:keepLines w:val="0"/>
        <w:pageBreakBefore w:val="0"/>
        <w:widowControl/>
        <w:suppressLineNumbers w:val="0"/>
        <w:wordWrap/>
        <w:bidi w:val="0"/>
        <w:spacing w:beforeAutospacing="0" w:afterAutospacing="0"/>
        <w:ind w:left="0" w:leftChars="0" w:right="0" w:rightChars="0"/>
        <w:jc w:val="both"/>
        <w:rPr>
          <w:rFonts w:hint="eastAsia" w:ascii="Times New Roman" w:hAnsi="Times New Roman" w:eastAsia="宋体" w:cs="Times New Roman"/>
          <w:b/>
          <w:bCs/>
          <w:color w:val="auto"/>
          <w:sz w:val="32"/>
          <w:szCs w:val="32"/>
          <w:u w:val="none"/>
          <w:lang w:eastAsia="zh-CN"/>
        </w:rPr>
      </w:pPr>
    </w:p>
    <w:p w14:paraId="7F1CCDF6">
      <w:pPr>
        <w:keepNext w:val="0"/>
        <w:keepLines w:val="0"/>
        <w:pageBreakBefore w:val="0"/>
        <w:widowControl/>
        <w:suppressLineNumbers w:val="0"/>
        <w:wordWrap/>
        <w:bidi w:val="0"/>
        <w:spacing w:beforeAutospacing="0" w:afterAutospacing="0"/>
        <w:ind w:left="0" w:leftChars="0" w:right="0" w:rightChars="0"/>
        <w:jc w:val="center"/>
        <w:rPr>
          <w:rFonts w:hint="eastAsia" w:ascii="Times New Roman" w:hAnsi="Times New Roman" w:eastAsia="宋体" w:cs="Times New Roman"/>
          <w:b/>
          <w:bCs/>
          <w:color w:val="auto"/>
          <w:sz w:val="32"/>
          <w:szCs w:val="32"/>
          <w:u w:val="none"/>
          <w:lang w:eastAsia="zh-CN"/>
        </w:rPr>
      </w:pPr>
    </w:p>
    <w:p w14:paraId="28F13251">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rPr>
        <w:sectPr>
          <w:pgSz w:w="11906" w:h="16838"/>
          <w:pgMar w:top="1440" w:right="1800" w:bottom="1440" w:left="1800" w:header="851" w:footer="992" w:gutter="0"/>
          <w:cols w:space="425" w:num="1"/>
          <w:docGrid w:type="lines" w:linePitch="312" w:charSpace="0"/>
        </w:sectPr>
      </w:pPr>
    </w:p>
    <w:p w14:paraId="3FF56529">
      <w:pPr>
        <w:keepNext w:val="0"/>
        <w:pageBreakBefore w:val="0"/>
        <w:wordWrap/>
        <w:bidi w:val="0"/>
        <w:spacing w:beforeAutospacing="0" w:afterAutospacing="0"/>
        <w:ind w:left="0" w:leftChars="0" w:right="0" w:rightChars="0" w:firstLine="2530" w:firstLineChars="900"/>
        <w:jc w:val="both"/>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一、建设项目基本情况</w:t>
      </w:r>
    </w:p>
    <w:tbl>
      <w:tblPr>
        <w:tblStyle w:val="3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2760"/>
        <w:gridCol w:w="1642"/>
        <w:gridCol w:w="3323"/>
      </w:tblGrid>
      <w:tr w14:paraId="7A314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346" w:type="dxa"/>
            <w:vAlign w:val="center"/>
          </w:tcPr>
          <w:p w14:paraId="4DFFE0D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建设项目名称</w:t>
            </w:r>
          </w:p>
        </w:tc>
        <w:tc>
          <w:tcPr>
            <w:tcW w:w="7725" w:type="dxa"/>
            <w:gridSpan w:val="3"/>
            <w:vAlign w:val="center"/>
          </w:tcPr>
          <w:p w14:paraId="2063C6B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乌拉特中旗福顺氧气供应有限公司工业气体及特种气体、标准气体储存充装项目</w:t>
            </w:r>
          </w:p>
        </w:tc>
      </w:tr>
      <w:tr w14:paraId="65D5C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37AD51B8">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项目代码</w:t>
            </w:r>
          </w:p>
        </w:tc>
        <w:tc>
          <w:tcPr>
            <w:tcW w:w="7725" w:type="dxa"/>
            <w:gridSpan w:val="3"/>
            <w:vAlign w:val="center"/>
          </w:tcPr>
          <w:p w14:paraId="194CE96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2407-150824-04-01-482144</w:t>
            </w:r>
          </w:p>
        </w:tc>
      </w:tr>
      <w:tr w14:paraId="32151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436B59B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建设单位联系人</w:t>
            </w:r>
          </w:p>
        </w:tc>
        <w:tc>
          <w:tcPr>
            <w:tcW w:w="2760" w:type="dxa"/>
            <w:vAlign w:val="center"/>
          </w:tcPr>
          <w:p w14:paraId="08D1944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张欣刚</w:t>
            </w:r>
          </w:p>
        </w:tc>
        <w:tc>
          <w:tcPr>
            <w:tcW w:w="1642" w:type="dxa"/>
            <w:vAlign w:val="center"/>
          </w:tcPr>
          <w:p w14:paraId="2B765D9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联系方式</w:t>
            </w:r>
          </w:p>
        </w:tc>
        <w:tc>
          <w:tcPr>
            <w:tcW w:w="3323" w:type="dxa"/>
            <w:vAlign w:val="center"/>
          </w:tcPr>
          <w:p w14:paraId="2E5AC40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13337002099</w:t>
            </w:r>
          </w:p>
        </w:tc>
      </w:tr>
      <w:tr w14:paraId="2BFC9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0CF6926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建设地点</w:t>
            </w:r>
          </w:p>
        </w:tc>
        <w:tc>
          <w:tcPr>
            <w:tcW w:w="7725" w:type="dxa"/>
            <w:gridSpan w:val="3"/>
            <w:vAlign w:val="center"/>
          </w:tcPr>
          <w:p w14:paraId="6119479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内蒙古自治区巴彦淖尔市乌拉特中旗甘其毛都口岸加工园区</w:t>
            </w:r>
          </w:p>
        </w:tc>
      </w:tr>
      <w:tr w14:paraId="29F02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177B0D6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地理坐标</w:t>
            </w:r>
          </w:p>
        </w:tc>
        <w:tc>
          <w:tcPr>
            <w:tcW w:w="7725" w:type="dxa"/>
            <w:gridSpan w:val="3"/>
            <w:vAlign w:val="center"/>
          </w:tcPr>
          <w:p w14:paraId="18DAC0A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val="en-US" w:eastAsia="zh-CN"/>
              </w:rPr>
              <w:t>东经：108°31′32.732″；北纬：41°17′59.285″</w:t>
            </w:r>
          </w:p>
        </w:tc>
      </w:tr>
      <w:tr w14:paraId="1DCF9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16A7DC5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国民经济</w:t>
            </w:r>
          </w:p>
          <w:p w14:paraId="1658D4A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行业类别</w:t>
            </w:r>
          </w:p>
        </w:tc>
        <w:tc>
          <w:tcPr>
            <w:tcW w:w="2760" w:type="dxa"/>
            <w:vAlign w:val="center"/>
          </w:tcPr>
          <w:p w14:paraId="4B0A519E">
            <w:pPr>
              <w:keepNext w:val="0"/>
              <w:pageBreakBefore w:val="0"/>
              <w:wordWrap/>
              <w:bidi w:val="0"/>
              <w:spacing w:beforeAutospacing="0" w:afterAutospacing="0" w:line="240" w:lineRule="auto"/>
              <w:ind w:left="0" w:leftChars="0" w:right="0" w:rightChars="0"/>
              <w:jc w:val="left"/>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C2619</w:t>
            </w:r>
            <w:r>
              <w:rPr>
                <w:rFonts w:hint="default" w:ascii="Times New Roman" w:hAnsi="Times New Roman" w:eastAsia="宋体" w:cs="Times New Roman"/>
                <w:b w:val="0"/>
                <w:bCs w:val="0"/>
                <w:color w:val="auto"/>
                <w:sz w:val="24"/>
                <w:szCs w:val="24"/>
                <w:highlight w:val="none"/>
                <w:vertAlign w:val="baseline"/>
                <w:lang w:val="en-US" w:eastAsia="zh-CN"/>
              </w:rPr>
              <w:t>其他</w:t>
            </w:r>
            <w:r>
              <w:rPr>
                <w:rFonts w:hint="default" w:ascii="Times New Roman" w:hAnsi="Times New Roman" w:eastAsia="宋体" w:cs="Times New Roman"/>
                <w:b w:val="0"/>
                <w:bCs w:val="0"/>
                <w:color w:val="auto"/>
                <w:sz w:val="24"/>
                <w:szCs w:val="24"/>
                <w:highlight w:val="none"/>
                <w:vertAlign w:val="baseline"/>
                <w:lang w:eastAsia="zh-CN"/>
              </w:rPr>
              <w:t>基础化学原料制造；</w:t>
            </w:r>
          </w:p>
          <w:p w14:paraId="3BAC1B5F">
            <w:pPr>
              <w:keepNext w:val="0"/>
              <w:pageBreakBefore w:val="0"/>
              <w:wordWrap/>
              <w:bidi w:val="0"/>
              <w:spacing w:beforeAutospacing="0" w:afterAutospacing="0" w:line="240" w:lineRule="auto"/>
              <w:ind w:left="0" w:leftChars="0" w:right="0" w:rightChars="0"/>
              <w:jc w:val="left"/>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G5942危险化学品仓储</w:t>
            </w:r>
          </w:p>
        </w:tc>
        <w:tc>
          <w:tcPr>
            <w:tcW w:w="1642" w:type="dxa"/>
            <w:vAlign w:val="center"/>
          </w:tcPr>
          <w:p w14:paraId="46C6C5C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建设项目</w:t>
            </w:r>
          </w:p>
          <w:p w14:paraId="6022C16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行业类别</w:t>
            </w:r>
          </w:p>
        </w:tc>
        <w:tc>
          <w:tcPr>
            <w:tcW w:w="3323" w:type="dxa"/>
            <w:vAlign w:val="center"/>
          </w:tcPr>
          <w:p w14:paraId="27969DCB">
            <w:pPr>
              <w:keepNext w:val="0"/>
              <w:pageBreakBefore w:val="0"/>
              <w:wordWrap/>
              <w:bidi w:val="0"/>
              <w:spacing w:beforeAutospacing="0" w:afterAutospacing="0" w:line="240" w:lineRule="auto"/>
              <w:ind w:left="0" w:leftChars="0" w:right="0" w:rightChars="0"/>
              <w:jc w:val="left"/>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rPr>
              <w:t>二十三、</w:t>
            </w:r>
            <w:r>
              <w:rPr>
                <w:rFonts w:hint="default" w:ascii="Times New Roman" w:hAnsi="Times New Roman" w:eastAsia="宋体" w:cs="Times New Roman"/>
                <w:b w:val="0"/>
                <w:bCs w:val="0"/>
                <w:color w:val="auto"/>
                <w:sz w:val="24"/>
                <w:szCs w:val="24"/>
                <w:highlight w:val="none"/>
                <w:vertAlign w:val="baseline"/>
                <w:lang w:val="en-US" w:eastAsia="zh-CN"/>
              </w:rPr>
              <w:t>化学原料和化学制品制造业26--44基础化学原料制造261--单纯物理分离、物理提纯、混合、分装的（不产生废水或挥发性有机物的除外）；</w:t>
            </w:r>
          </w:p>
          <w:p w14:paraId="3927D521">
            <w:pPr>
              <w:keepNext w:val="0"/>
              <w:pageBreakBefore w:val="0"/>
              <w:wordWrap/>
              <w:bidi w:val="0"/>
              <w:spacing w:beforeAutospacing="0" w:afterAutospacing="0" w:line="240" w:lineRule="auto"/>
              <w:ind w:left="0" w:leftChars="0" w:right="0" w:rightChars="0"/>
              <w:jc w:val="left"/>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五十三、装卸搬运和仓储业59--149危险品仓储594（不含加油站的油库；不含加气站的气库）--其他（含有毒、有害、危险品的仓储；含液化天然气库）</w:t>
            </w:r>
          </w:p>
        </w:tc>
      </w:tr>
      <w:tr w14:paraId="40849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08118D8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建设性质</w:t>
            </w:r>
          </w:p>
        </w:tc>
        <w:tc>
          <w:tcPr>
            <w:tcW w:w="2760" w:type="dxa"/>
            <w:vAlign w:val="center"/>
          </w:tcPr>
          <w:p w14:paraId="144E1E0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lang w:eastAsia="zh-CN"/>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新建（迁建）</w:t>
            </w:r>
          </w:p>
          <w:p w14:paraId="2E5EF0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改建</w:t>
            </w:r>
          </w:p>
          <w:p w14:paraId="6C3513E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val="en-US" w:eastAsia="zh-CN"/>
              </w:rPr>
              <w:t>扩</w:t>
            </w:r>
            <w:r>
              <w:rPr>
                <w:rFonts w:hint="default" w:ascii="Times New Roman" w:hAnsi="Times New Roman" w:eastAsia="宋体" w:cs="Times New Roman"/>
                <w:b w:val="0"/>
                <w:bCs w:val="0"/>
                <w:color w:val="auto"/>
                <w:sz w:val="24"/>
                <w:szCs w:val="24"/>
                <w:highlight w:val="none"/>
                <w:vertAlign w:val="baseline"/>
                <w:lang w:eastAsia="zh-CN"/>
              </w:rPr>
              <w:t>建</w:t>
            </w:r>
          </w:p>
          <w:p w14:paraId="2601971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技术改造</w:t>
            </w:r>
          </w:p>
        </w:tc>
        <w:tc>
          <w:tcPr>
            <w:tcW w:w="1642" w:type="dxa"/>
            <w:vAlign w:val="center"/>
          </w:tcPr>
          <w:p w14:paraId="5A97952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建设项目</w:t>
            </w:r>
          </w:p>
          <w:p w14:paraId="23D1A1F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申报情形</w:t>
            </w:r>
          </w:p>
        </w:tc>
        <w:tc>
          <w:tcPr>
            <w:tcW w:w="3323" w:type="dxa"/>
            <w:vAlign w:val="center"/>
          </w:tcPr>
          <w:p w14:paraId="4D80B1F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lang w:eastAsia="zh-CN"/>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首次申报项目</w:t>
            </w:r>
          </w:p>
          <w:p w14:paraId="7495571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不予批准后再次申报项目</w:t>
            </w:r>
          </w:p>
          <w:p w14:paraId="3675F4D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超五年重新审核项目</w:t>
            </w:r>
          </w:p>
          <w:p w14:paraId="3488A23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重大变动重新报批项目</w:t>
            </w:r>
          </w:p>
        </w:tc>
      </w:tr>
      <w:tr w14:paraId="73D71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0FC1B8C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t>项目审批（核准/备案）部门（选填）</w:t>
            </w:r>
          </w:p>
        </w:tc>
        <w:tc>
          <w:tcPr>
            <w:tcW w:w="2760" w:type="dxa"/>
            <w:vAlign w:val="center"/>
          </w:tcPr>
          <w:p w14:paraId="663B562F">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eastAsia="zh-CN"/>
              </w:rPr>
              <w:t>乌拉特中旗</w:t>
            </w:r>
            <w:r>
              <w:rPr>
                <w:rFonts w:hint="default" w:ascii="Times New Roman" w:hAnsi="Times New Roman" w:eastAsia="宋体" w:cs="Times New Roman"/>
                <w:b w:val="0"/>
                <w:bCs w:val="0"/>
                <w:color w:val="auto"/>
                <w:sz w:val="24"/>
                <w:szCs w:val="24"/>
                <w:highlight w:val="none"/>
                <w:vertAlign w:val="baseline"/>
                <w:lang w:val="en-US" w:eastAsia="zh-CN"/>
              </w:rPr>
              <w:t>发展和改革委员会</w:t>
            </w:r>
          </w:p>
        </w:tc>
        <w:tc>
          <w:tcPr>
            <w:tcW w:w="1642" w:type="dxa"/>
            <w:vAlign w:val="center"/>
          </w:tcPr>
          <w:p w14:paraId="17F1872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0000FF"/>
                <w:sz w:val="24"/>
                <w:szCs w:val="24"/>
                <w:highlight w:val="none"/>
                <w:vertAlign w:val="baseline"/>
              </w:rPr>
            </w:pPr>
            <w:r>
              <w:rPr>
                <w:rFonts w:hint="default" w:ascii="Times New Roman" w:hAnsi="Times New Roman" w:eastAsia="宋体" w:cs="Times New Roman"/>
                <w:b/>
                <w:bCs/>
                <w:color w:val="0000FF"/>
                <w:sz w:val="24"/>
                <w:szCs w:val="24"/>
                <w:highlight w:val="none"/>
                <w:vertAlign w:val="baseline"/>
              </w:rPr>
              <w:t>项目审批（核准/备案）文号（选填）</w:t>
            </w:r>
          </w:p>
        </w:tc>
        <w:tc>
          <w:tcPr>
            <w:tcW w:w="3323" w:type="dxa"/>
            <w:vAlign w:val="center"/>
          </w:tcPr>
          <w:p w14:paraId="3DC0F81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0000FF"/>
                <w:sz w:val="24"/>
                <w:szCs w:val="24"/>
                <w:highlight w:val="none"/>
                <w:vertAlign w:val="baseline"/>
                <w:lang w:val="en-US" w:eastAsia="zh-CN"/>
              </w:rPr>
            </w:pPr>
            <w:r>
              <w:rPr>
                <w:rFonts w:hint="default" w:ascii="Times New Roman" w:hAnsi="Times New Roman" w:eastAsia="宋体" w:cs="Times New Roman"/>
                <w:b w:val="0"/>
                <w:bCs w:val="0"/>
                <w:color w:val="0000FF"/>
                <w:sz w:val="24"/>
                <w:szCs w:val="24"/>
                <w:highlight w:val="none"/>
                <w:vertAlign w:val="baseline"/>
                <w:lang w:val="en-US" w:eastAsia="zh-CN"/>
              </w:rPr>
              <w:t>2407-150824-04-01-482144</w:t>
            </w:r>
          </w:p>
        </w:tc>
      </w:tr>
      <w:tr w14:paraId="04185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7C7DA67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总投资（万元）</w:t>
            </w:r>
          </w:p>
        </w:tc>
        <w:tc>
          <w:tcPr>
            <w:tcW w:w="2760" w:type="dxa"/>
            <w:vAlign w:val="center"/>
          </w:tcPr>
          <w:p w14:paraId="0EB773B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2000.00</w:t>
            </w:r>
          </w:p>
        </w:tc>
        <w:tc>
          <w:tcPr>
            <w:tcW w:w="1642" w:type="dxa"/>
            <w:vAlign w:val="center"/>
          </w:tcPr>
          <w:p w14:paraId="07F1225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lang w:eastAsia="zh-CN"/>
              </w:rPr>
              <w:t>环保投资（万元）</w:t>
            </w:r>
          </w:p>
        </w:tc>
        <w:tc>
          <w:tcPr>
            <w:tcW w:w="3323" w:type="dxa"/>
            <w:vAlign w:val="center"/>
          </w:tcPr>
          <w:p w14:paraId="17613741">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87.11</w:t>
            </w:r>
          </w:p>
        </w:tc>
      </w:tr>
      <w:tr w14:paraId="4C909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451A2DE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环保投资占比（</w:t>
            </w:r>
            <w:r>
              <w:rPr>
                <w:rFonts w:hint="default" w:ascii="Times New Roman" w:hAnsi="Times New Roman" w:eastAsia="宋体" w:cs="Times New Roman"/>
                <w:b/>
                <w:bCs/>
                <w:color w:val="auto"/>
                <w:sz w:val="24"/>
                <w:szCs w:val="24"/>
                <w:highlight w:val="none"/>
                <w:vertAlign w:val="baseline"/>
                <w:lang w:val="en-US" w:eastAsia="zh-CN"/>
              </w:rPr>
              <w:t>%</w:t>
            </w:r>
            <w:r>
              <w:rPr>
                <w:rFonts w:hint="default" w:ascii="Times New Roman" w:hAnsi="Times New Roman" w:eastAsia="宋体" w:cs="Times New Roman"/>
                <w:b/>
                <w:bCs/>
                <w:color w:val="auto"/>
                <w:sz w:val="24"/>
                <w:szCs w:val="24"/>
                <w:highlight w:val="none"/>
                <w:vertAlign w:val="baseline"/>
                <w:lang w:eastAsia="zh-CN"/>
              </w:rPr>
              <w:t>）</w:t>
            </w:r>
          </w:p>
        </w:tc>
        <w:tc>
          <w:tcPr>
            <w:tcW w:w="2760" w:type="dxa"/>
            <w:vAlign w:val="center"/>
          </w:tcPr>
          <w:p w14:paraId="127D046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4.36</w:t>
            </w:r>
          </w:p>
        </w:tc>
        <w:tc>
          <w:tcPr>
            <w:tcW w:w="1642" w:type="dxa"/>
            <w:vAlign w:val="center"/>
          </w:tcPr>
          <w:p w14:paraId="4E79AC65">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施工工期</w:t>
            </w:r>
          </w:p>
        </w:tc>
        <w:tc>
          <w:tcPr>
            <w:tcW w:w="3323" w:type="dxa"/>
            <w:vAlign w:val="center"/>
          </w:tcPr>
          <w:p w14:paraId="24C382B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4个月</w:t>
            </w:r>
          </w:p>
        </w:tc>
      </w:tr>
      <w:tr w14:paraId="03720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346" w:type="dxa"/>
            <w:vAlign w:val="center"/>
          </w:tcPr>
          <w:p w14:paraId="625D2968">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是否开工建设</w:t>
            </w:r>
          </w:p>
        </w:tc>
        <w:tc>
          <w:tcPr>
            <w:tcW w:w="2760" w:type="dxa"/>
            <w:vAlign w:val="center"/>
          </w:tcPr>
          <w:p w14:paraId="3150CC8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lang w:eastAsia="zh-CN"/>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否</w:t>
            </w:r>
          </w:p>
          <w:p w14:paraId="6843FA7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left"/>
              <w:textAlignment w:val="auto"/>
              <w:rPr>
                <w:rFonts w:hint="default" w:ascii="Times New Roman" w:hAnsi="Times New Roman" w:eastAsia="宋体" w:cs="Times New Roman"/>
                <w:b w:val="0"/>
                <w:bCs w:val="0"/>
                <w:color w:val="auto"/>
                <w:sz w:val="24"/>
                <w:szCs w:val="24"/>
                <w:highlight w:val="none"/>
                <w:vertAlign w:val="baseline"/>
                <w:lang w:val="en-US"/>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24"/>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是：</w:t>
            </w:r>
          </w:p>
        </w:tc>
        <w:tc>
          <w:tcPr>
            <w:tcW w:w="1642" w:type="dxa"/>
            <w:vAlign w:val="center"/>
          </w:tcPr>
          <w:p w14:paraId="06B78B6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用地（用海）面积（</w:t>
            </w:r>
            <w:r>
              <w:rPr>
                <w:rFonts w:hint="default" w:ascii="Times New Roman" w:hAnsi="Times New Roman" w:eastAsia="宋体" w:cs="Times New Roman"/>
                <w:b/>
                <w:bCs/>
                <w:color w:val="auto"/>
                <w:sz w:val="24"/>
                <w:szCs w:val="24"/>
                <w:highlight w:val="none"/>
                <w:vertAlign w:val="baseline"/>
                <w:lang w:val="en-US" w:eastAsia="zh-CN"/>
              </w:rPr>
              <w:t>m</w:t>
            </w:r>
            <w:r>
              <w:rPr>
                <w:rFonts w:hint="default" w:ascii="Times New Roman" w:hAnsi="Times New Roman" w:eastAsia="宋体" w:cs="Times New Roman"/>
                <w:b/>
                <w:bCs/>
                <w:color w:val="auto"/>
                <w:sz w:val="24"/>
                <w:szCs w:val="24"/>
                <w:highlight w:val="none"/>
                <w:vertAlign w:val="superscript"/>
                <w:lang w:val="en-US" w:eastAsia="zh-CN"/>
              </w:rPr>
              <w:t>2</w:t>
            </w:r>
            <w:r>
              <w:rPr>
                <w:rFonts w:hint="default" w:ascii="Times New Roman" w:hAnsi="Times New Roman" w:eastAsia="宋体" w:cs="Times New Roman"/>
                <w:b/>
                <w:bCs/>
                <w:color w:val="auto"/>
                <w:sz w:val="24"/>
                <w:szCs w:val="24"/>
                <w:highlight w:val="none"/>
                <w:vertAlign w:val="baseline"/>
                <w:lang w:eastAsia="zh-CN"/>
              </w:rPr>
              <w:t>）</w:t>
            </w:r>
          </w:p>
        </w:tc>
        <w:tc>
          <w:tcPr>
            <w:tcW w:w="3323" w:type="dxa"/>
            <w:vAlign w:val="center"/>
          </w:tcPr>
          <w:p w14:paraId="6B074C2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7874</w:t>
            </w:r>
          </w:p>
        </w:tc>
      </w:tr>
      <w:tr w14:paraId="55482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6" w:type="dxa"/>
            <w:vAlign w:val="center"/>
          </w:tcPr>
          <w:p w14:paraId="6D8D2118">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rPr>
              <w:t>专项评价设置情况</w:t>
            </w:r>
          </w:p>
        </w:tc>
        <w:tc>
          <w:tcPr>
            <w:tcW w:w="7725" w:type="dxa"/>
            <w:gridSpan w:val="3"/>
            <w:vAlign w:val="center"/>
          </w:tcPr>
          <w:p w14:paraId="1060D4EA">
            <w:pPr>
              <w:keepNext w:val="0"/>
              <w:keepLines w:val="0"/>
              <w:pageBreakBefore w:val="0"/>
              <w:suppressLineNumbers w:val="0"/>
              <w:shd w:val="clear"/>
              <w:wordWrap/>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表</w:t>
            </w:r>
            <w:r>
              <w:rPr>
                <w:rFonts w:hint="default" w:ascii="Times New Roman" w:hAnsi="Times New Roman" w:eastAsia="宋体" w:cs="Times New Roman"/>
                <w:b/>
                <w:bCs/>
                <w:color w:val="auto"/>
                <w:sz w:val="24"/>
                <w:szCs w:val="24"/>
                <w:highlight w:val="none"/>
                <w:vertAlign w:val="baseline"/>
                <w:lang w:val="en-US" w:eastAsia="zh-CN"/>
              </w:rPr>
              <w:t>1-</w:t>
            </w:r>
            <w:r>
              <w:rPr>
                <w:rFonts w:hint="default" w:ascii="Times New Roman" w:hAnsi="Times New Roman" w:eastAsia="宋体" w:cs="Times New Roman"/>
                <w:b/>
                <w:bCs/>
                <w:color w:val="auto"/>
                <w:sz w:val="24"/>
                <w:szCs w:val="24"/>
                <w:highlight w:val="none"/>
                <w:vertAlign w:val="baseline"/>
                <w:lang w:eastAsia="zh-CN"/>
              </w:rPr>
              <w:t>1</w:t>
            </w:r>
            <w:r>
              <w:rPr>
                <w:rFonts w:hint="default" w:ascii="Times New Roman" w:hAnsi="Times New Roman" w:eastAsia="宋体" w:cs="Times New Roman"/>
                <w:b/>
                <w:bCs/>
                <w:color w:val="auto"/>
                <w:sz w:val="24"/>
                <w:szCs w:val="24"/>
                <w:highlight w:val="none"/>
                <w:vertAlign w:val="baseline"/>
                <w:lang w:val="en-US" w:eastAsia="zh-CN"/>
              </w:rPr>
              <w:t xml:space="preserve">  </w:t>
            </w:r>
            <w:r>
              <w:rPr>
                <w:rFonts w:hint="default" w:ascii="Times New Roman" w:hAnsi="Times New Roman" w:eastAsia="宋体" w:cs="Times New Roman"/>
                <w:b/>
                <w:bCs/>
                <w:color w:val="auto"/>
                <w:sz w:val="24"/>
                <w:szCs w:val="24"/>
                <w:highlight w:val="none"/>
                <w:vertAlign w:val="baseline"/>
                <w:lang w:eastAsia="zh-CN"/>
              </w:rPr>
              <w:t>专项评价设置原则</w:t>
            </w:r>
            <w:r>
              <w:rPr>
                <w:rFonts w:hint="default" w:ascii="Times New Roman" w:hAnsi="Times New Roman" w:eastAsia="宋体" w:cs="Times New Roman"/>
                <w:b/>
                <w:bCs/>
                <w:color w:val="auto"/>
                <w:sz w:val="24"/>
                <w:szCs w:val="24"/>
                <w:highlight w:val="none"/>
                <w:vertAlign w:val="baseline"/>
                <w:lang w:val="en-US" w:eastAsia="zh-CN"/>
              </w:rPr>
              <w:t>对照</w:t>
            </w:r>
            <w:r>
              <w:rPr>
                <w:rFonts w:hint="default" w:ascii="Times New Roman" w:hAnsi="Times New Roman" w:eastAsia="宋体" w:cs="Times New Roman"/>
                <w:b/>
                <w:bCs/>
                <w:color w:val="auto"/>
                <w:sz w:val="24"/>
                <w:szCs w:val="24"/>
                <w:highlight w:val="none"/>
                <w:vertAlign w:val="baseline"/>
                <w:lang w:eastAsia="zh-CN"/>
              </w:rPr>
              <w:t>表</w:t>
            </w:r>
          </w:p>
          <w:tbl>
            <w:tblPr>
              <w:tblStyle w:val="32"/>
              <w:tblW w:w="7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2408"/>
              <w:gridCol w:w="2408"/>
              <w:gridCol w:w="2007"/>
            </w:tblGrid>
            <w:tr w14:paraId="176A0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top"/>
                </w:tcPr>
                <w:p w14:paraId="657B1B34">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类别</w:t>
                  </w:r>
                </w:p>
              </w:tc>
              <w:tc>
                <w:tcPr>
                  <w:tcW w:w="1904" w:type="dxa"/>
                  <w:vAlign w:val="top"/>
                </w:tcPr>
                <w:p w14:paraId="2BC4B107">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设置原则</w:t>
                  </w:r>
                </w:p>
              </w:tc>
              <w:tc>
                <w:tcPr>
                  <w:tcW w:w="1904" w:type="dxa"/>
                  <w:vAlign w:val="top"/>
                </w:tcPr>
                <w:p w14:paraId="224A14B9">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本项目建设情况</w:t>
                  </w:r>
                </w:p>
              </w:tc>
              <w:tc>
                <w:tcPr>
                  <w:tcW w:w="1587" w:type="dxa"/>
                  <w:vAlign w:val="top"/>
                </w:tcPr>
                <w:p w14:paraId="4F48A9DF">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是否设置专项评价</w:t>
                  </w:r>
                </w:p>
              </w:tc>
            </w:tr>
            <w:tr w14:paraId="5FAC0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3ED5AEA6">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大气</w:t>
                  </w:r>
                </w:p>
              </w:tc>
              <w:tc>
                <w:tcPr>
                  <w:tcW w:w="1904" w:type="dxa"/>
                  <w:vAlign w:val="center"/>
                </w:tcPr>
                <w:p w14:paraId="638F8FA5">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排放废气含有毒有害污染物、二噁英、苯并[a]芘、氰化物、氯气且厂界外500米范围内有环境空气保护目标的建设项目</w:t>
                  </w:r>
                </w:p>
              </w:tc>
              <w:tc>
                <w:tcPr>
                  <w:tcW w:w="1904" w:type="dxa"/>
                  <w:vAlign w:val="center"/>
                </w:tcPr>
                <w:p w14:paraId="2CAEC6C8">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本项目运营过程排放的废气主要为非甲烷总烃，且厂界外500m范围内没有环境空气保护目标。</w:t>
                  </w:r>
                </w:p>
              </w:tc>
              <w:tc>
                <w:tcPr>
                  <w:tcW w:w="1587" w:type="dxa"/>
                  <w:vAlign w:val="center"/>
                </w:tcPr>
                <w:p w14:paraId="718CE6C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不设置大气专项评价</w:t>
                  </w:r>
                </w:p>
              </w:tc>
            </w:tr>
            <w:tr w14:paraId="47D51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36E739D5">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地表水</w:t>
                  </w:r>
                </w:p>
              </w:tc>
              <w:tc>
                <w:tcPr>
                  <w:tcW w:w="1904" w:type="dxa"/>
                  <w:vAlign w:val="center"/>
                </w:tcPr>
                <w:p w14:paraId="207E5D2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新增工业废水直排建设项目（槽罐车外送污水处理厂的除外）；新增废水直排的污水集中处理厂</w:t>
                  </w:r>
                </w:p>
              </w:tc>
              <w:tc>
                <w:tcPr>
                  <w:tcW w:w="1904" w:type="dxa"/>
                  <w:vAlign w:val="center"/>
                </w:tcPr>
                <w:p w14:paraId="38BE8AE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本项目没有生产废水产生</w:t>
                  </w:r>
                  <w:r>
                    <w:rPr>
                      <w:rFonts w:hint="default" w:ascii="Times New Roman" w:hAnsi="Times New Roman" w:eastAsia="宋体" w:cs="Times New Roman"/>
                      <w:color w:val="auto"/>
                      <w:kern w:val="0"/>
                      <w:sz w:val="21"/>
                      <w:szCs w:val="21"/>
                      <w:highlight w:val="none"/>
                      <w:lang w:val="en-US" w:eastAsia="zh-CN"/>
                    </w:rPr>
                    <w:t>。</w:t>
                  </w:r>
                </w:p>
              </w:tc>
              <w:tc>
                <w:tcPr>
                  <w:tcW w:w="1587" w:type="dxa"/>
                  <w:vAlign w:val="center"/>
                </w:tcPr>
                <w:p w14:paraId="334834C4">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地表水</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r w14:paraId="6E41D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4B059766">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val="0"/>
                      <w:bCs w:val="0"/>
                      <w:color w:val="FF0000"/>
                      <w:sz w:val="21"/>
                      <w:szCs w:val="21"/>
                      <w:highlight w:val="none"/>
                      <w:vertAlign w:val="baseline"/>
                      <w:lang w:eastAsia="zh-CN"/>
                    </w:rPr>
                  </w:pPr>
                  <w:r>
                    <w:rPr>
                      <w:rFonts w:hint="default" w:ascii="Times New Roman" w:hAnsi="Times New Roman" w:eastAsia="宋体" w:cs="Times New Roman"/>
                      <w:b w:val="0"/>
                      <w:bCs w:val="0"/>
                      <w:color w:val="FF0000"/>
                      <w:sz w:val="21"/>
                      <w:szCs w:val="21"/>
                      <w:highlight w:val="none"/>
                      <w:vertAlign w:val="baseline"/>
                      <w:lang w:eastAsia="zh-CN"/>
                    </w:rPr>
                    <w:t>环境风险</w:t>
                  </w:r>
                </w:p>
              </w:tc>
              <w:tc>
                <w:tcPr>
                  <w:tcW w:w="1904" w:type="dxa"/>
                  <w:vAlign w:val="center"/>
                </w:tcPr>
                <w:p w14:paraId="4E204D7F">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FF0000"/>
                      <w:sz w:val="21"/>
                      <w:szCs w:val="21"/>
                      <w:highlight w:val="none"/>
                      <w:vertAlign w:val="baseline"/>
                      <w:lang w:eastAsia="zh-CN"/>
                    </w:rPr>
                  </w:pPr>
                  <w:r>
                    <w:rPr>
                      <w:rFonts w:hint="default" w:ascii="Times New Roman" w:hAnsi="Times New Roman" w:eastAsia="宋体" w:cs="Times New Roman"/>
                      <w:b w:val="0"/>
                      <w:bCs w:val="0"/>
                      <w:color w:val="FF0000"/>
                      <w:sz w:val="21"/>
                      <w:szCs w:val="21"/>
                      <w:highlight w:val="none"/>
                      <w:vertAlign w:val="baseline"/>
                      <w:lang w:eastAsia="zh-CN"/>
                    </w:rPr>
                    <w:t>有毒有害和易燃易爆危险物质存储量超过临界量的建设项目</w:t>
                  </w:r>
                </w:p>
              </w:tc>
              <w:tc>
                <w:tcPr>
                  <w:tcW w:w="1904" w:type="dxa"/>
                  <w:vAlign w:val="center"/>
                </w:tcPr>
                <w:p w14:paraId="19768FF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FF0000"/>
                      <w:sz w:val="21"/>
                      <w:szCs w:val="21"/>
                      <w:highlight w:val="none"/>
                      <w:vertAlign w:val="baseline"/>
                      <w:lang w:eastAsia="zh-CN"/>
                    </w:rPr>
                  </w:pPr>
                  <w:r>
                    <w:rPr>
                      <w:rFonts w:hint="default" w:ascii="Times New Roman" w:hAnsi="Times New Roman" w:eastAsia="宋体" w:cs="Times New Roman"/>
                      <w:b w:val="0"/>
                      <w:bCs w:val="0"/>
                      <w:color w:val="FF0000"/>
                      <w:sz w:val="21"/>
                      <w:szCs w:val="21"/>
                      <w:highlight w:val="none"/>
                      <w:vertAlign w:val="baseline"/>
                      <w:lang w:eastAsia="zh-CN"/>
                    </w:rPr>
                    <w:t>本项目</w:t>
                  </w:r>
                  <w:r>
                    <w:rPr>
                      <w:rFonts w:hint="default" w:ascii="Times New Roman" w:hAnsi="Times New Roman" w:eastAsia="宋体" w:cs="Times New Roman"/>
                      <w:b w:val="0"/>
                      <w:bCs w:val="0"/>
                      <w:color w:val="FF0000"/>
                      <w:sz w:val="21"/>
                      <w:szCs w:val="21"/>
                      <w:highlight w:val="none"/>
                      <w:vertAlign w:val="baseline"/>
                      <w:lang w:val="en-US" w:eastAsia="zh-CN"/>
                    </w:rPr>
                    <w:t>运营过程中</w:t>
                  </w:r>
                  <w:r>
                    <w:rPr>
                      <w:rFonts w:hint="default" w:ascii="Times New Roman" w:hAnsi="Times New Roman" w:eastAsia="宋体" w:cs="Times New Roman"/>
                      <w:b w:val="0"/>
                      <w:bCs w:val="0"/>
                      <w:color w:val="FF0000"/>
                      <w:sz w:val="21"/>
                      <w:szCs w:val="21"/>
                      <w:highlight w:val="none"/>
                      <w:vertAlign w:val="baseline"/>
                      <w:lang w:eastAsia="zh-CN"/>
                    </w:rPr>
                    <w:t>涉及</w:t>
                  </w:r>
                  <w:r>
                    <w:rPr>
                      <w:rFonts w:hint="default" w:ascii="Times New Roman" w:hAnsi="Times New Roman" w:eastAsia="宋体" w:cs="Times New Roman"/>
                      <w:b w:val="0"/>
                      <w:bCs w:val="0"/>
                      <w:color w:val="FF0000"/>
                      <w:sz w:val="21"/>
                      <w:szCs w:val="21"/>
                      <w:highlight w:val="none"/>
                      <w:vertAlign w:val="baseline"/>
                      <w:lang w:val="en-US" w:eastAsia="zh-CN"/>
                    </w:rPr>
                    <w:t>的</w:t>
                  </w:r>
                  <w:r>
                    <w:rPr>
                      <w:rFonts w:hint="default" w:ascii="Times New Roman" w:hAnsi="Times New Roman" w:eastAsia="宋体" w:cs="Times New Roman"/>
                      <w:b w:val="0"/>
                      <w:bCs w:val="0"/>
                      <w:color w:val="FF0000"/>
                      <w:sz w:val="21"/>
                      <w:szCs w:val="21"/>
                      <w:highlight w:val="none"/>
                      <w:vertAlign w:val="baseline"/>
                      <w:lang w:eastAsia="zh-CN"/>
                    </w:rPr>
                    <w:t>有毒有害和易燃易爆危险物质</w:t>
                  </w:r>
                  <w:r>
                    <w:rPr>
                      <w:rFonts w:hint="default" w:ascii="Times New Roman" w:hAnsi="Times New Roman" w:eastAsia="宋体" w:cs="Times New Roman"/>
                      <w:b w:val="0"/>
                      <w:bCs w:val="0"/>
                      <w:color w:val="FF0000"/>
                      <w:sz w:val="21"/>
                      <w:szCs w:val="21"/>
                      <w:highlight w:val="none"/>
                      <w:vertAlign w:val="baseline"/>
                      <w:lang w:val="en-US" w:eastAsia="zh-CN"/>
                    </w:rPr>
                    <w:t>存储总量超过了《建设项目环境风险评价技术导则》（HJ169-2018）附录B、附录C中相应物质临界量。</w:t>
                  </w:r>
                </w:p>
              </w:tc>
              <w:tc>
                <w:tcPr>
                  <w:tcW w:w="1587" w:type="dxa"/>
                  <w:vAlign w:val="center"/>
                </w:tcPr>
                <w:p w14:paraId="5A8047F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highlight w:val="none"/>
                      <w:vertAlign w:val="baseline"/>
                      <w:lang w:eastAsia="zh-CN"/>
                    </w:rPr>
                  </w:pPr>
                  <w:r>
                    <w:rPr>
                      <w:rFonts w:hint="default" w:ascii="Times New Roman" w:hAnsi="Times New Roman" w:eastAsia="宋体" w:cs="Times New Roman"/>
                      <w:b w:val="0"/>
                      <w:bCs w:val="0"/>
                      <w:color w:val="FF0000"/>
                      <w:sz w:val="21"/>
                      <w:szCs w:val="21"/>
                      <w:highlight w:val="none"/>
                      <w:vertAlign w:val="baseline"/>
                      <w:lang w:val="en-US" w:eastAsia="zh-CN"/>
                    </w:rPr>
                    <w:t>设置</w:t>
                  </w:r>
                  <w:r>
                    <w:rPr>
                      <w:rFonts w:hint="default" w:ascii="Times New Roman" w:hAnsi="Times New Roman" w:eastAsia="宋体" w:cs="Times New Roman"/>
                      <w:b w:val="0"/>
                      <w:bCs w:val="0"/>
                      <w:color w:val="FF0000"/>
                      <w:sz w:val="21"/>
                      <w:szCs w:val="21"/>
                      <w:highlight w:val="none"/>
                      <w:vertAlign w:val="baseline"/>
                      <w:lang w:eastAsia="zh-CN"/>
                    </w:rPr>
                    <w:t>环境风险</w:t>
                  </w:r>
                  <w:r>
                    <w:rPr>
                      <w:rFonts w:hint="default" w:ascii="Times New Roman" w:hAnsi="Times New Roman" w:eastAsia="宋体" w:cs="Times New Roman"/>
                      <w:b w:val="0"/>
                      <w:bCs w:val="0"/>
                      <w:color w:val="FF0000"/>
                      <w:sz w:val="21"/>
                      <w:szCs w:val="21"/>
                      <w:highlight w:val="none"/>
                      <w:vertAlign w:val="baseline"/>
                      <w:lang w:val="en-US" w:eastAsia="zh-CN"/>
                    </w:rPr>
                    <w:t>专项评价</w:t>
                  </w:r>
                </w:p>
              </w:tc>
            </w:tr>
            <w:tr w14:paraId="5E5BF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06F17604">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生态</w:t>
                  </w:r>
                </w:p>
              </w:tc>
              <w:tc>
                <w:tcPr>
                  <w:tcW w:w="1904" w:type="dxa"/>
                  <w:vAlign w:val="center"/>
                </w:tcPr>
                <w:p w14:paraId="1A833456">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取水口下游500米范围内有重要水生生物的自然产卵场、索饵场、越冬场和洄游通道的新增河道取水的污染类建设项目</w:t>
                  </w:r>
                </w:p>
              </w:tc>
              <w:tc>
                <w:tcPr>
                  <w:tcW w:w="1904" w:type="dxa"/>
                  <w:vAlign w:val="center"/>
                </w:tcPr>
                <w:p w14:paraId="2FE28FEC">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本项目不涉及</w:t>
                  </w:r>
                  <w:r>
                    <w:rPr>
                      <w:rFonts w:hint="default" w:ascii="Times New Roman" w:hAnsi="Times New Roman" w:eastAsia="宋体" w:cs="Times New Roman"/>
                      <w:b w:val="0"/>
                      <w:bCs w:val="0"/>
                      <w:color w:val="auto"/>
                      <w:sz w:val="21"/>
                      <w:szCs w:val="21"/>
                      <w:highlight w:val="none"/>
                      <w:vertAlign w:val="baseline"/>
                      <w:lang w:eastAsia="zh-CN"/>
                    </w:rPr>
                    <w:t>取水口。</w:t>
                  </w:r>
                </w:p>
              </w:tc>
              <w:tc>
                <w:tcPr>
                  <w:tcW w:w="1587" w:type="dxa"/>
                  <w:vAlign w:val="center"/>
                </w:tcPr>
                <w:p w14:paraId="01FA5B69">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生态</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r w14:paraId="2AE96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74A29770">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海洋</w:t>
                  </w:r>
                </w:p>
              </w:tc>
              <w:tc>
                <w:tcPr>
                  <w:tcW w:w="1904" w:type="dxa"/>
                  <w:vAlign w:val="center"/>
                </w:tcPr>
                <w:p w14:paraId="0CF0B5B5">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直接向海排放污染物的海洋工程建设项目</w:t>
                  </w:r>
                </w:p>
              </w:tc>
              <w:tc>
                <w:tcPr>
                  <w:tcW w:w="1904" w:type="dxa"/>
                  <w:vAlign w:val="center"/>
                </w:tcPr>
                <w:p w14:paraId="4F4AF76E">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本项目不属于海洋工程建设项目，不直接向海排放污染物。</w:t>
                  </w:r>
                </w:p>
              </w:tc>
              <w:tc>
                <w:tcPr>
                  <w:tcW w:w="1587" w:type="dxa"/>
                  <w:vAlign w:val="center"/>
                </w:tcPr>
                <w:p w14:paraId="6CFF9872">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海洋</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bl>
          <w:p w14:paraId="1EE9CCC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0000FF"/>
                <w:sz w:val="24"/>
                <w:szCs w:val="24"/>
                <w:highlight w:val="none"/>
                <w:vertAlign w:val="baseline"/>
                <w:lang w:val="en-US" w:eastAsia="zh-CN"/>
              </w:rPr>
              <w:t>综上</w:t>
            </w:r>
            <w:r>
              <w:rPr>
                <w:rFonts w:hint="default" w:ascii="Times New Roman" w:hAnsi="Times New Roman" w:eastAsia="宋体" w:cs="Times New Roman"/>
                <w:b w:val="0"/>
                <w:bCs w:val="0"/>
                <w:color w:val="0000FF"/>
                <w:sz w:val="24"/>
                <w:szCs w:val="24"/>
                <w:highlight w:val="none"/>
                <w:vertAlign w:val="baseline"/>
                <w:lang w:eastAsia="zh-CN"/>
              </w:rPr>
              <w:t>，本项目</w:t>
            </w:r>
            <w:r>
              <w:rPr>
                <w:rFonts w:hint="default" w:ascii="Times New Roman" w:hAnsi="Times New Roman" w:eastAsia="宋体" w:cs="Times New Roman"/>
                <w:b w:val="0"/>
                <w:bCs w:val="0"/>
                <w:color w:val="0000FF"/>
                <w:sz w:val="24"/>
                <w:szCs w:val="24"/>
                <w:highlight w:val="none"/>
                <w:vertAlign w:val="baseline"/>
                <w:lang w:val="en-US" w:eastAsia="zh-CN"/>
              </w:rPr>
              <w:t>设置环境风险</w:t>
            </w:r>
            <w:r>
              <w:rPr>
                <w:rFonts w:hint="default" w:ascii="Times New Roman" w:hAnsi="Times New Roman" w:eastAsia="宋体" w:cs="Times New Roman"/>
                <w:b w:val="0"/>
                <w:bCs w:val="0"/>
                <w:color w:val="0000FF"/>
                <w:sz w:val="24"/>
                <w:szCs w:val="24"/>
                <w:highlight w:val="none"/>
                <w:vertAlign w:val="baseline"/>
                <w:lang w:eastAsia="zh-CN"/>
              </w:rPr>
              <w:t>专项评价。</w:t>
            </w:r>
          </w:p>
        </w:tc>
      </w:tr>
      <w:tr w14:paraId="22DBB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6" w:type="dxa"/>
            <w:vAlign w:val="center"/>
          </w:tcPr>
          <w:p w14:paraId="79ED68FF">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rPr>
              <w:t>规划情况</w:t>
            </w:r>
          </w:p>
        </w:tc>
        <w:tc>
          <w:tcPr>
            <w:tcW w:w="7725" w:type="dxa"/>
            <w:gridSpan w:val="3"/>
            <w:vAlign w:val="center"/>
          </w:tcPr>
          <w:p w14:paraId="59FC1BE2">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《甘其毛都口岸加工园区总体规划（2012-2020年）》于2011年12月通过内蒙古自治区发展和改革委员会审批，审批文号为内发改产业字〔2012〕2596号。</w:t>
            </w:r>
          </w:p>
          <w:p w14:paraId="0F19082D">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eastAsia="zh-CN"/>
              </w:rPr>
              <w:t>《甘其毛都加工园区总体规划（2012-2020年）》规划期限为2021-2020年，该规划已过期。2022年，甘其毛都口岸加工园区管理委员会已委托浙江城乡规划设计研究院有限公司编制</w:t>
            </w:r>
            <w:r>
              <w:rPr>
                <w:rFonts w:hint="default" w:ascii="Times New Roman" w:hAnsi="Times New Roman" w:eastAsia="宋体" w:cs="Times New Roman"/>
                <w:b w:val="0"/>
                <w:bCs w:val="0"/>
                <w:color w:val="auto"/>
                <w:sz w:val="24"/>
                <w:szCs w:val="24"/>
                <w:highlight w:val="none"/>
                <w:vertAlign w:val="baseline"/>
                <w:lang w:val="en-US" w:eastAsia="zh-CN"/>
              </w:rPr>
              <w:t>完成</w:t>
            </w:r>
            <w:r>
              <w:rPr>
                <w:rFonts w:hint="default" w:ascii="Times New Roman" w:hAnsi="Times New Roman" w:eastAsia="宋体" w:cs="Times New Roman"/>
                <w:b w:val="0"/>
                <w:bCs w:val="0"/>
                <w:color w:val="auto"/>
                <w:sz w:val="24"/>
                <w:szCs w:val="24"/>
                <w:highlight w:val="none"/>
                <w:vertAlign w:val="baseline"/>
                <w:lang w:eastAsia="zh-CN"/>
              </w:rPr>
              <w:t>《内蒙古巴彦淖尔进口资源加工开发区甘其毛都口岸园区总体规划（2022-2035年）》</w:t>
            </w:r>
            <w:r>
              <w:rPr>
                <w:rFonts w:hint="default" w:ascii="Times New Roman" w:hAnsi="Times New Roman" w:eastAsia="宋体" w:cs="Times New Roman"/>
                <w:b w:val="0"/>
                <w:bCs w:val="0"/>
                <w:color w:val="00B050"/>
                <w:sz w:val="24"/>
                <w:szCs w:val="24"/>
                <w:highlight w:val="none"/>
                <w:vertAlign w:val="baseline"/>
                <w:lang w:eastAsia="zh-CN"/>
              </w:rPr>
              <w:t>，已通过专家评审，目前正在修编中，还未取得批复。</w:t>
            </w:r>
          </w:p>
        </w:tc>
      </w:tr>
      <w:tr w14:paraId="6795F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6" w:type="dxa"/>
            <w:vAlign w:val="center"/>
          </w:tcPr>
          <w:p w14:paraId="1E80068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rPr>
              <w:t>规划环境影响评价情况</w:t>
            </w:r>
          </w:p>
        </w:tc>
        <w:tc>
          <w:tcPr>
            <w:tcW w:w="7725" w:type="dxa"/>
            <w:gridSpan w:val="3"/>
            <w:vAlign w:val="center"/>
          </w:tcPr>
          <w:p w14:paraId="5D67891B">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eastAsia="zh-CN"/>
              </w:rPr>
              <w:t>《中国甘其毛都口岸加工园区总体规划环境影响报告书》于2012年5月31日通过内蒙古自治区环境保护厅审批，审批文号为内环字〔2012〕86号；</w:t>
            </w:r>
            <w:r>
              <w:rPr>
                <w:rFonts w:hint="default" w:ascii="Times New Roman" w:hAnsi="Times New Roman" w:eastAsia="宋体" w:cs="Times New Roman"/>
                <w:b w:val="0"/>
                <w:bCs w:val="0"/>
                <w:color w:val="0000FF"/>
                <w:sz w:val="24"/>
                <w:szCs w:val="24"/>
                <w:highlight w:val="none"/>
                <w:vertAlign w:val="baseline"/>
                <w:lang w:eastAsia="zh-CN"/>
              </w:rPr>
              <w:t>目前，</w:t>
            </w:r>
            <w:r>
              <w:rPr>
                <w:rFonts w:hint="default" w:ascii="Times New Roman" w:hAnsi="Times New Roman" w:eastAsia="宋体" w:cs="Times New Roman"/>
                <w:b w:val="0"/>
                <w:bCs w:val="0"/>
                <w:color w:val="0000FF"/>
                <w:sz w:val="24"/>
                <w:szCs w:val="24"/>
                <w:highlight w:val="yellow"/>
                <w:vertAlign w:val="baseline"/>
                <w:lang w:eastAsia="zh-CN"/>
              </w:rPr>
              <w:t>该</w:t>
            </w:r>
            <w:r>
              <w:rPr>
                <w:rFonts w:hint="default" w:ascii="Times New Roman" w:hAnsi="Times New Roman" w:eastAsia="宋体" w:cs="Times New Roman"/>
                <w:b w:val="0"/>
                <w:bCs w:val="0"/>
                <w:color w:val="0000FF"/>
                <w:sz w:val="24"/>
                <w:szCs w:val="24"/>
                <w:highlight w:val="none"/>
                <w:vertAlign w:val="baseline"/>
                <w:lang w:val="en-US" w:eastAsia="zh-CN"/>
              </w:rPr>
              <w:t>环评</w:t>
            </w:r>
            <w:r>
              <w:rPr>
                <w:rFonts w:hint="default" w:ascii="Times New Roman" w:hAnsi="Times New Roman" w:eastAsia="宋体" w:cs="Times New Roman"/>
                <w:b w:val="0"/>
                <w:bCs w:val="0"/>
                <w:color w:val="0000FF"/>
                <w:sz w:val="24"/>
                <w:szCs w:val="24"/>
                <w:highlight w:val="none"/>
                <w:vertAlign w:val="baseline"/>
                <w:lang w:eastAsia="zh-CN"/>
              </w:rPr>
              <w:t>已过期，《甘其毛都口岸加工园区国土空间总体规划（</w:t>
            </w:r>
            <w:r>
              <w:rPr>
                <w:rFonts w:hint="default" w:ascii="Times New Roman" w:hAnsi="Times New Roman" w:eastAsia="宋体" w:cs="Times New Roman"/>
                <w:b w:val="0"/>
                <w:bCs w:val="0"/>
                <w:color w:val="0000FF"/>
                <w:sz w:val="24"/>
                <w:szCs w:val="24"/>
                <w:highlight w:val="none"/>
                <w:vertAlign w:val="baseline"/>
                <w:lang w:val="en-US" w:eastAsia="zh-CN"/>
              </w:rPr>
              <w:t>2022-2035</w:t>
            </w:r>
            <w:r>
              <w:rPr>
                <w:rFonts w:hint="default" w:ascii="Times New Roman" w:hAnsi="Times New Roman" w:eastAsia="宋体" w:cs="Times New Roman"/>
                <w:b w:val="0"/>
                <w:bCs w:val="0"/>
                <w:color w:val="0000FF"/>
                <w:sz w:val="24"/>
                <w:szCs w:val="24"/>
                <w:highlight w:val="none"/>
                <w:vertAlign w:val="baseline"/>
                <w:lang w:eastAsia="zh-CN"/>
              </w:rPr>
              <w:t>）环境影响报告书》编制完成，已通过专家评审，待自治区生态环境厅上会审查。</w:t>
            </w:r>
          </w:p>
        </w:tc>
      </w:tr>
      <w:tr w14:paraId="75112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6" w:type="dxa"/>
            <w:vAlign w:val="center"/>
          </w:tcPr>
          <w:p w14:paraId="4778F0A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规划及规划环境影响评价符合性分析</w:t>
            </w:r>
          </w:p>
        </w:tc>
        <w:tc>
          <w:tcPr>
            <w:tcW w:w="7725" w:type="dxa"/>
            <w:gridSpan w:val="3"/>
            <w:vAlign w:val="center"/>
          </w:tcPr>
          <w:p w14:paraId="15BD94C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1、与规划符合性分析</w:t>
            </w:r>
          </w:p>
          <w:p w14:paraId="095A857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1.1与《甘其毛都口岸加工园区总体规划（2012</w:t>
            </w:r>
            <w:r>
              <w:rPr>
                <w:rFonts w:hint="default" w:ascii="Times New Roman" w:hAnsi="Times New Roman" w:eastAsia="宋体" w:cs="Times New Roman"/>
                <w:b/>
                <w:bCs/>
                <w:color w:val="auto"/>
                <w:sz w:val="24"/>
                <w:szCs w:val="24"/>
                <w:highlight w:val="none"/>
                <w:vertAlign w:val="baseline"/>
                <w:lang w:val="en-US" w:eastAsia="zh-CN"/>
              </w:rPr>
              <w:t>-</w:t>
            </w:r>
            <w:r>
              <w:rPr>
                <w:rFonts w:hint="default" w:ascii="Times New Roman" w:hAnsi="Times New Roman" w:eastAsia="宋体" w:cs="Times New Roman"/>
                <w:b/>
                <w:bCs/>
                <w:color w:val="auto"/>
                <w:sz w:val="24"/>
                <w:szCs w:val="24"/>
                <w:highlight w:val="none"/>
                <w:vertAlign w:val="baseline"/>
                <w:lang w:eastAsia="zh-CN"/>
              </w:rPr>
              <w:t>2020）》的符合性分析</w:t>
            </w:r>
          </w:p>
          <w:p w14:paraId="33C62D9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甘其毛都口岸加工园区产业定位是依托甘其毛都口岸进口资源，重点发展煤化工和金属冶炼为主导产业的国家级进口战略资源加工园区。园区功能：分为生产区、综合配套服务区。其中生产区是园区的主体功能区。根据规划结构对应每个产业集聚形成五个产业集聚组团，包括煤化工产业（洗选、焦化及其下游）、金属冶炼及深加工产业组团、非金属深加工产业组团、能源电力组团和装备制造产业组团。</w:t>
            </w:r>
          </w:p>
          <w:p w14:paraId="643576D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本项目选址于煤化工产业（洗选、焦化及其下游）板块，本项目属于工业气体储存、经营企业，属于园区内工业企业上下游配套服务，符合甘其毛都口岸加工园区总体规划。</w:t>
            </w:r>
          </w:p>
          <w:p w14:paraId="4547A46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1.2与《甘其毛都口岸加工园区总体规划（2022-2035）》的符合性分析</w:t>
            </w:r>
          </w:p>
          <w:p w14:paraId="5F84D59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内蒙古巴彦淖尔进口资源加工开发区甘其毛都口岸园规划范围为：北至北环路，南至纬四路，西至现状企业，东至东环路，总面积45.69</w:t>
            </w:r>
            <w:r>
              <w:rPr>
                <w:rFonts w:hint="default" w:ascii="Times New Roman" w:hAnsi="Times New Roman" w:eastAsia="宋体" w:cs="Times New Roman"/>
                <w:b w:val="0"/>
                <w:bCs w:val="0"/>
                <w:color w:val="auto"/>
                <w:sz w:val="24"/>
                <w:szCs w:val="24"/>
                <w:highlight w:val="none"/>
                <w:vertAlign w:val="baseline"/>
                <w:lang w:val="en-US" w:eastAsia="zh-CN"/>
              </w:rPr>
              <w:t>km</w:t>
            </w:r>
            <w:r>
              <w:rPr>
                <w:rFonts w:hint="default" w:ascii="Times New Roman" w:hAnsi="Times New Roman" w:eastAsia="宋体" w:cs="Times New Roman"/>
                <w:b w:val="0"/>
                <w:bCs w:val="0"/>
                <w:color w:val="auto"/>
                <w:sz w:val="24"/>
                <w:szCs w:val="24"/>
                <w:highlight w:val="none"/>
                <w:vertAlign w:val="superscript"/>
                <w:lang w:val="en-US" w:eastAsia="zh-CN"/>
              </w:rPr>
              <w:t>2</w:t>
            </w:r>
            <w:r>
              <w:rPr>
                <w:rFonts w:hint="default" w:ascii="Times New Roman" w:hAnsi="Times New Roman" w:eastAsia="宋体" w:cs="Times New Roman"/>
                <w:b w:val="0"/>
                <w:bCs w:val="0"/>
                <w:color w:val="auto"/>
                <w:sz w:val="24"/>
                <w:szCs w:val="24"/>
                <w:highlight w:val="none"/>
                <w:vertAlign w:val="baseline"/>
                <w:lang w:eastAsia="zh-CN"/>
              </w:rPr>
              <w:t>。园区产业定位为充分挖掘口岸和新能源资源两大核心优势，以清洁能源利用为特色、境外资源精深加工为重点，打造中蒙国际产业合作示范园和国家级新能源新材料“绿色低碳”示范基地，将园区建设成为经济繁荣、产业聚集、绿色生态、特色鲜明的以国际产业合作为特色的绿色低碳产业园。空间布局为“一核、一港、四板块”，一核为中蒙科技创新核心，一港为甘其毛都口岸陆港，四板块包括现代化工产业板块、高端金属材料产业板块、新能源产业板块和节能环保产业板块。</w:t>
            </w:r>
          </w:p>
          <w:p w14:paraId="6B0EC49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本项目选址于新型化工产业板块，本项目属于工业气体储存、经营企业，属于园区</w:t>
            </w:r>
            <w:r>
              <w:rPr>
                <w:rFonts w:hint="default" w:ascii="Times New Roman" w:hAnsi="Times New Roman" w:eastAsia="宋体" w:cs="Times New Roman"/>
                <w:b w:val="0"/>
                <w:bCs w:val="0"/>
                <w:color w:val="auto"/>
                <w:sz w:val="24"/>
                <w:szCs w:val="24"/>
                <w:highlight w:val="none"/>
                <w:vertAlign w:val="baseline"/>
                <w:lang w:val="en-US" w:eastAsia="zh-CN"/>
              </w:rPr>
              <w:t>内工业企业</w:t>
            </w:r>
            <w:r>
              <w:rPr>
                <w:rFonts w:hint="default" w:ascii="Times New Roman" w:hAnsi="Times New Roman" w:eastAsia="宋体" w:cs="Times New Roman"/>
                <w:b w:val="0"/>
                <w:bCs w:val="0"/>
                <w:color w:val="auto"/>
                <w:sz w:val="24"/>
                <w:szCs w:val="24"/>
                <w:highlight w:val="none"/>
                <w:vertAlign w:val="baseline"/>
                <w:lang w:eastAsia="zh-CN"/>
              </w:rPr>
              <w:t>上下游配套服务，符合甘其毛都口岸加工园区总体规划。</w:t>
            </w:r>
          </w:p>
          <w:p w14:paraId="494992B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2、与规划环评符合性分析</w:t>
            </w:r>
          </w:p>
          <w:p w14:paraId="28DD8D2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2.1与《甘其毛都口岸加工园区总体规划（2012</w:t>
            </w:r>
            <w:r>
              <w:rPr>
                <w:rFonts w:hint="default" w:ascii="Times New Roman" w:hAnsi="Times New Roman" w:eastAsia="宋体" w:cs="Times New Roman"/>
                <w:b/>
                <w:bCs/>
                <w:color w:val="auto"/>
                <w:sz w:val="24"/>
                <w:szCs w:val="24"/>
                <w:highlight w:val="none"/>
                <w:vertAlign w:val="baseline"/>
                <w:lang w:val="en-US" w:eastAsia="zh-CN"/>
              </w:rPr>
              <w:t>-</w:t>
            </w:r>
            <w:r>
              <w:rPr>
                <w:rFonts w:hint="default" w:ascii="Times New Roman" w:hAnsi="Times New Roman" w:eastAsia="宋体" w:cs="Times New Roman"/>
                <w:b/>
                <w:bCs/>
                <w:color w:val="auto"/>
                <w:sz w:val="24"/>
                <w:szCs w:val="24"/>
                <w:highlight w:val="none"/>
                <w:vertAlign w:val="baseline"/>
                <w:lang w:eastAsia="zh-CN"/>
              </w:rPr>
              <w:t>2020）环境影响报告书》的符合性分析</w:t>
            </w:r>
          </w:p>
          <w:p w14:paraId="2B010DA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甘其毛都口岸加工园区（以下简称“园区”）位于巴彦淖尔市乌拉特中旗德岭山镇境内，北距海流图镇28km，距甘其毛都口岸130km。园区规划产业依托甘其毛都口岸进口蒙古国煤炭和铜矿资源，建设煤化工和金属冶炼为主导产业的进口战略资源加工园区、构建煤炭洗选及焦化、金属冶炼及深加工、非金属深加工、能源电力、装备制造五大产业，适度发展与园区产业配套的新能源产业。园区空间结构为“一轴、二带、五个产业集群”，包括煤化工产业（洗煤及焦化）、金属冶炼及深加工、非金属深加工、能源电力、装备制造五大集群。规划布局调整建议在园区西侧设综合服务区，在园区东侧依托神华甘泉铁路、国铁西金铁路枢纽建煤炭仓储、配送物流区，优先开发园区北部区域，促进园区集约化发展。重点建设煤炭洗选-焦化-焦炉气、煤焦油及粗苯的深加工，煤炭洗选-矸石发电-粗铜冶炼-阴极铜-铜材深加工，煤矸石、冶炼渣、粉煤灰-水泥建材-商品混凝土、水泥制品，提高产品附加值。</w:t>
            </w:r>
          </w:p>
          <w:p w14:paraId="1CCC3C4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本项目选址于煤化工产业（洗选、焦化及其下游）板块，本项目属于工业气体储存、经营企业，</w:t>
            </w:r>
            <w:r>
              <w:rPr>
                <w:rFonts w:hint="default" w:ascii="Times New Roman" w:hAnsi="Times New Roman" w:eastAsia="宋体" w:cs="Times New Roman"/>
                <w:b w:val="0"/>
                <w:bCs w:val="0"/>
                <w:color w:val="auto"/>
                <w:sz w:val="24"/>
                <w:szCs w:val="24"/>
                <w:highlight w:val="none"/>
                <w:vertAlign w:val="baseline"/>
                <w:lang w:val="en-US" w:eastAsia="zh-CN"/>
              </w:rPr>
              <w:t>行业类别为</w:t>
            </w:r>
            <w:r>
              <w:rPr>
                <w:rFonts w:hint="default" w:ascii="Times New Roman" w:hAnsi="Times New Roman" w:eastAsia="宋体" w:cs="Times New Roman"/>
                <w:b w:val="0"/>
                <w:bCs w:val="0"/>
                <w:color w:val="auto"/>
                <w:sz w:val="24"/>
                <w:szCs w:val="24"/>
                <w:highlight w:val="none"/>
                <w:vertAlign w:val="baseline"/>
                <w:lang w:eastAsia="zh-CN"/>
              </w:rPr>
              <w:t>C2619其他基础化学原料制造，属于园区</w:t>
            </w:r>
            <w:r>
              <w:rPr>
                <w:rFonts w:hint="default" w:ascii="Times New Roman" w:hAnsi="Times New Roman" w:eastAsia="宋体" w:cs="Times New Roman"/>
                <w:b w:val="0"/>
                <w:bCs w:val="0"/>
                <w:color w:val="auto"/>
                <w:sz w:val="24"/>
                <w:szCs w:val="24"/>
                <w:highlight w:val="none"/>
                <w:vertAlign w:val="baseline"/>
                <w:lang w:val="en-US" w:eastAsia="zh-CN"/>
              </w:rPr>
              <w:t>内工业企业</w:t>
            </w:r>
            <w:r>
              <w:rPr>
                <w:rFonts w:hint="default" w:ascii="Times New Roman" w:hAnsi="Times New Roman" w:eastAsia="宋体" w:cs="Times New Roman"/>
                <w:b w:val="0"/>
                <w:bCs w:val="0"/>
                <w:color w:val="auto"/>
                <w:sz w:val="24"/>
                <w:szCs w:val="24"/>
                <w:highlight w:val="none"/>
                <w:vertAlign w:val="baseline"/>
                <w:lang w:eastAsia="zh-CN"/>
              </w:rPr>
              <w:t>上下游配套服务，符合甘其毛都口岸加工园区总体规划。</w:t>
            </w:r>
          </w:p>
          <w:p w14:paraId="248EECC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val="0"/>
                <w:bCs w:val="0"/>
                <w:color w:val="0000FF"/>
                <w:sz w:val="24"/>
                <w:szCs w:val="24"/>
                <w:highlight w:val="none"/>
                <w:vertAlign w:val="baseline"/>
                <w:lang w:eastAsia="zh-CN"/>
              </w:rPr>
            </w:pPr>
            <w:r>
              <w:rPr>
                <w:rFonts w:hint="default" w:ascii="Times New Roman" w:hAnsi="Times New Roman" w:eastAsia="宋体" w:cs="Times New Roman"/>
                <w:b/>
                <w:bCs/>
                <w:color w:val="0000FF"/>
                <w:sz w:val="24"/>
                <w:szCs w:val="24"/>
                <w:highlight w:val="none"/>
                <w:vertAlign w:val="baseline"/>
                <w:lang w:eastAsia="zh-CN"/>
              </w:rPr>
              <w:t>2.2与《甘其毛都口岸加工园区总体规划（2022-2035）环境影响报告书》</w:t>
            </w:r>
            <w:r>
              <w:rPr>
                <w:rFonts w:hint="default" w:ascii="Times New Roman" w:hAnsi="Times New Roman" w:eastAsia="宋体" w:cs="Times New Roman"/>
                <w:b/>
                <w:bCs/>
                <w:color w:val="0000FF"/>
                <w:sz w:val="24"/>
                <w:szCs w:val="24"/>
                <w:highlight w:val="none"/>
                <w:vertAlign w:val="baseline"/>
                <w:lang w:val="en-US" w:eastAsia="zh-CN"/>
              </w:rPr>
              <w:t>的</w:t>
            </w:r>
            <w:r>
              <w:rPr>
                <w:rFonts w:hint="default" w:ascii="Times New Roman" w:hAnsi="Times New Roman" w:eastAsia="宋体" w:cs="Times New Roman"/>
                <w:b/>
                <w:bCs/>
                <w:color w:val="0000FF"/>
                <w:sz w:val="24"/>
                <w:szCs w:val="24"/>
                <w:highlight w:val="none"/>
                <w:vertAlign w:val="baseline"/>
                <w:lang w:eastAsia="zh-CN"/>
              </w:rPr>
              <w:t>符合性分析</w:t>
            </w:r>
          </w:p>
          <w:p w14:paraId="56856AF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0000FF"/>
                <w:sz w:val="24"/>
                <w:szCs w:val="24"/>
                <w:highlight w:val="none"/>
                <w:vertAlign w:val="baseline"/>
                <w:lang w:eastAsia="zh-CN"/>
              </w:rPr>
              <w:t>目前，</w:t>
            </w:r>
            <w:r>
              <w:rPr>
                <w:rFonts w:hint="default" w:ascii="Times New Roman" w:hAnsi="Times New Roman" w:eastAsia="宋体" w:cs="Times New Roman"/>
                <w:b w:val="0"/>
                <w:bCs w:val="0"/>
                <w:color w:val="0000FF"/>
                <w:sz w:val="24"/>
                <w:szCs w:val="24"/>
                <w:highlight w:val="yellow"/>
                <w:vertAlign w:val="baseline"/>
                <w:lang w:eastAsia="zh-CN"/>
              </w:rPr>
              <w:t>该</w:t>
            </w:r>
            <w:r>
              <w:rPr>
                <w:rFonts w:hint="default" w:ascii="Times New Roman" w:hAnsi="Times New Roman" w:eastAsia="宋体" w:cs="Times New Roman"/>
                <w:b w:val="0"/>
                <w:bCs w:val="0"/>
                <w:color w:val="0000FF"/>
                <w:sz w:val="24"/>
                <w:szCs w:val="24"/>
                <w:highlight w:val="none"/>
                <w:vertAlign w:val="baseline"/>
                <w:lang w:val="en-US" w:eastAsia="zh-CN"/>
              </w:rPr>
              <w:t>环评</w:t>
            </w:r>
            <w:r>
              <w:rPr>
                <w:rFonts w:hint="default" w:ascii="Times New Roman" w:hAnsi="Times New Roman" w:eastAsia="宋体" w:cs="Times New Roman"/>
                <w:b w:val="0"/>
                <w:bCs w:val="0"/>
                <w:color w:val="0000FF"/>
                <w:sz w:val="24"/>
                <w:szCs w:val="24"/>
                <w:highlight w:val="none"/>
                <w:vertAlign w:val="baseline"/>
                <w:lang w:eastAsia="zh-CN"/>
              </w:rPr>
              <w:t>已过期，《甘其毛都口岸加工园区国土空间总体规划（</w:t>
            </w:r>
            <w:r>
              <w:rPr>
                <w:rFonts w:hint="default" w:ascii="Times New Roman" w:hAnsi="Times New Roman" w:eastAsia="宋体" w:cs="Times New Roman"/>
                <w:b w:val="0"/>
                <w:bCs w:val="0"/>
                <w:color w:val="0000FF"/>
                <w:sz w:val="24"/>
                <w:szCs w:val="24"/>
                <w:highlight w:val="none"/>
                <w:vertAlign w:val="baseline"/>
                <w:lang w:val="en-US" w:eastAsia="zh-CN"/>
              </w:rPr>
              <w:t>2022-2035</w:t>
            </w:r>
            <w:r>
              <w:rPr>
                <w:rFonts w:hint="default" w:ascii="Times New Roman" w:hAnsi="Times New Roman" w:eastAsia="宋体" w:cs="Times New Roman"/>
                <w:b w:val="0"/>
                <w:bCs w:val="0"/>
                <w:color w:val="0000FF"/>
                <w:sz w:val="24"/>
                <w:szCs w:val="24"/>
                <w:highlight w:val="none"/>
                <w:vertAlign w:val="baseline"/>
                <w:lang w:eastAsia="zh-CN"/>
              </w:rPr>
              <w:t>）环境影响报告书》编制完成，已通过专家评审，待自治区生态环境厅上会审查。</w:t>
            </w:r>
          </w:p>
          <w:p w14:paraId="5215D91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0000FF"/>
                <w:sz w:val="24"/>
                <w:szCs w:val="24"/>
                <w:highlight w:val="none"/>
                <w:vertAlign w:val="baseline"/>
                <w:lang w:eastAsia="zh-CN"/>
              </w:rPr>
              <w:t>产业发展规划：立足园区发展实际，以发展进口资源落地加工和新能源产业构筑特色新优势，以培育新型产业继续发展新动能，构建形成“2+3+1”的开发型产业体系，即新型化工和新材料两大主导产业，新能源、装备制造、节能环保等三个战略性新兴产业以及现代物流为核心的配套服务产业。</w:t>
            </w:r>
          </w:p>
          <w:p w14:paraId="00F4238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0000FF"/>
                <w:sz w:val="24"/>
                <w:szCs w:val="24"/>
                <w:highlight w:val="none"/>
                <w:vertAlign w:val="baseline"/>
                <w:lang w:eastAsia="zh-CN"/>
              </w:rPr>
              <w:t>产业布局：根据园区功能定位，园区功能区包括中蒙科技创新核心、甘其毛都口岸陆港、现代化工产业板块、高端金属材料产业板块。</w:t>
            </w:r>
          </w:p>
          <w:p w14:paraId="2E08532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0000FF"/>
                <w:sz w:val="24"/>
                <w:szCs w:val="24"/>
                <w:highlight w:val="none"/>
                <w:vertAlign w:val="baseline"/>
                <w:lang w:eastAsia="zh-CN"/>
              </w:rPr>
            </w:pPr>
            <w:r>
              <w:rPr>
                <w:rFonts w:hint="default" w:ascii="Times New Roman" w:hAnsi="Times New Roman" w:eastAsia="宋体" w:cs="Times New Roman"/>
                <w:b w:val="0"/>
                <w:bCs w:val="0"/>
                <w:color w:val="0000FF"/>
                <w:sz w:val="24"/>
                <w:szCs w:val="24"/>
                <w:highlight w:val="none"/>
                <w:vertAlign w:val="baseline"/>
                <w:lang w:eastAsia="zh-CN"/>
              </w:rPr>
              <w:t>本项目所在地位于现代化工产业板块，现代化工产业板块位于园区中部，北到纬一路、南至中轴路、东至经九路、西至经三路西侧河槽。根据园区产业发展方向，结合现有基础产业实际建设情况，充分发挥重大项目带动作用和原料基础优势，围绕龙头企业和重大项目“延链、补链、强链、融链”，推动基础煤焦化工向高端精细化工、化工新材料领域拓展，构建产业绿色循环体系。主导产业为煤化工，而园区规划主导产业为新化工、新材料，均为煤化工延链、补链产业，该板块煤化工上游企业为煤炭洗选、加工产业，目前已入园建设运行多家煤炭洗选加工企业。</w:t>
            </w:r>
          </w:p>
          <w:p w14:paraId="6E0CEA1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0000FF"/>
                <w:sz w:val="24"/>
                <w:szCs w:val="24"/>
                <w:highlight w:val="none"/>
                <w:vertAlign w:val="baseline"/>
                <w:lang w:val="en-US" w:eastAsia="zh-CN"/>
              </w:rPr>
            </w:pPr>
            <w:r>
              <w:rPr>
                <w:rFonts w:hint="default" w:ascii="Times New Roman" w:hAnsi="Times New Roman" w:eastAsia="宋体" w:cs="Times New Roman"/>
                <w:b w:val="0"/>
                <w:bCs w:val="0"/>
                <w:color w:val="0000FF"/>
                <w:sz w:val="24"/>
                <w:szCs w:val="24"/>
                <w:highlight w:val="none"/>
                <w:vertAlign w:val="baseline"/>
                <w:lang w:eastAsia="zh-CN"/>
              </w:rPr>
              <w:t>本项目属于工业气体储存、经营企业，行业类别为C2619其他基础化学原料制造，属于园区内工业企业上下游配套服务，符合甘其毛都口岸加工园区</w:t>
            </w:r>
            <w:r>
              <w:rPr>
                <w:rFonts w:hint="default" w:ascii="Times New Roman" w:hAnsi="Times New Roman" w:eastAsia="宋体" w:cs="Times New Roman"/>
                <w:b w:val="0"/>
                <w:bCs w:val="0"/>
                <w:color w:val="0000FF"/>
                <w:sz w:val="24"/>
                <w:szCs w:val="24"/>
                <w:highlight w:val="none"/>
                <w:vertAlign w:val="baseline"/>
                <w:lang w:val="en-US" w:eastAsia="zh-CN"/>
              </w:rPr>
              <w:t>产业发展规划和产业布局。</w:t>
            </w:r>
          </w:p>
          <w:p w14:paraId="12AFA9B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0000FF"/>
                <w:sz w:val="24"/>
                <w:szCs w:val="24"/>
                <w:highlight w:val="none"/>
                <w:vertAlign w:val="baseline"/>
                <w:lang w:eastAsia="zh-CN"/>
              </w:rPr>
              <w:t>综上所述，本项目的建设与正在编制的</w:t>
            </w:r>
            <w:bookmarkStart w:id="0" w:name="OLE_LINK1"/>
            <w:r>
              <w:rPr>
                <w:rFonts w:hint="default" w:ascii="Times New Roman" w:hAnsi="Times New Roman" w:eastAsia="宋体" w:cs="Times New Roman"/>
                <w:b w:val="0"/>
                <w:bCs w:val="0"/>
                <w:color w:val="0000FF"/>
                <w:sz w:val="24"/>
                <w:szCs w:val="24"/>
                <w:highlight w:val="none"/>
                <w:vertAlign w:val="baseline"/>
                <w:lang w:eastAsia="zh-CN"/>
              </w:rPr>
              <w:t>《甘其毛都口岸加工园区总体规划（2022-2035）环境影响报告书》</w:t>
            </w:r>
            <w:bookmarkEnd w:id="0"/>
            <w:r>
              <w:rPr>
                <w:rFonts w:hint="default" w:ascii="Times New Roman" w:hAnsi="Times New Roman" w:eastAsia="宋体" w:cs="Times New Roman"/>
                <w:b w:val="0"/>
                <w:bCs w:val="0"/>
                <w:color w:val="0000FF"/>
                <w:sz w:val="24"/>
                <w:szCs w:val="24"/>
                <w:highlight w:val="none"/>
                <w:vertAlign w:val="baseline"/>
                <w:lang w:eastAsia="zh-CN"/>
              </w:rPr>
              <w:t>的相关内容相符合。</w:t>
            </w:r>
          </w:p>
        </w:tc>
      </w:tr>
      <w:tr w14:paraId="39DDF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46" w:type="dxa"/>
            <w:vAlign w:val="center"/>
          </w:tcPr>
          <w:p w14:paraId="5F1B031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lang w:eastAsia="zh-CN"/>
              </w:rPr>
              <w:t>其他符合性分析</w:t>
            </w:r>
          </w:p>
        </w:tc>
        <w:tc>
          <w:tcPr>
            <w:tcW w:w="7725" w:type="dxa"/>
            <w:gridSpan w:val="3"/>
            <w:vAlign w:val="center"/>
          </w:tcPr>
          <w:p w14:paraId="516C733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1、产业政策符合性</w:t>
            </w:r>
          </w:p>
          <w:p w14:paraId="6AA628A3">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（1）本项目为工业气体供应及危化品仓储业，对照《产业结构调整指导目录（20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lang w:eastAsia="zh-CN"/>
              </w:rPr>
              <w:t>年本）》，本项目不属于鼓励类、限制类、淘汰类，可视为允许建设项目。</w:t>
            </w:r>
          </w:p>
          <w:p w14:paraId="4D758532">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）根据工信部《</w:t>
            </w:r>
            <w:r>
              <w:rPr>
                <w:rFonts w:hint="default" w:ascii="Times New Roman" w:hAnsi="Times New Roman" w:eastAsia="宋体" w:cs="Times New Roman"/>
                <w:color w:val="0000FF"/>
                <w:sz w:val="24"/>
                <w:szCs w:val="24"/>
                <w:highlight w:val="none"/>
                <w:lang w:eastAsia="zh-CN"/>
              </w:rPr>
              <w:t>部分工业行业</w:t>
            </w:r>
            <w:r>
              <w:rPr>
                <w:rFonts w:hint="default" w:ascii="Times New Roman" w:hAnsi="Times New Roman" w:eastAsia="宋体" w:cs="Times New Roman"/>
                <w:color w:val="auto"/>
                <w:sz w:val="24"/>
                <w:szCs w:val="24"/>
                <w:highlight w:val="none"/>
                <w:lang w:eastAsia="zh-CN"/>
              </w:rPr>
              <w:t>淘汰落后生产工艺装备和产品指导目录（2010年本）》有关条款，本项目生产工艺及生产和设备均不属于淘汰落后生产工艺装备。</w:t>
            </w:r>
          </w:p>
          <w:p w14:paraId="50903494">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本项目于</w:t>
            </w:r>
            <w:r>
              <w:rPr>
                <w:rFonts w:hint="default" w:ascii="Times New Roman" w:hAnsi="Times New Roman" w:eastAsia="宋体" w:cs="Times New Roman"/>
                <w:color w:val="auto"/>
                <w:sz w:val="24"/>
                <w:szCs w:val="24"/>
                <w:highlight w:val="none"/>
                <w:lang w:eastAsia="zh-CN"/>
              </w:rPr>
              <w:t>202</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年</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eastAsia="zh-CN"/>
              </w:rPr>
              <w:t>月</w:t>
            </w:r>
            <w:r>
              <w:rPr>
                <w:rFonts w:hint="default" w:ascii="Times New Roman" w:hAnsi="Times New Roman" w:eastAsia="宋体" w:cs="Times New Roman"/>
                <w:color w:val="auto"/>
                <w:sz w:val="24"/>
                <w:szCs w:val="24"/>
                <w:highlight w:val="none"/>
                <w:lang w:val="en-US" w:eastAsia="zh-CN"/>
              </w:rPr>
              <w:t>17日</w:t>
            </w:r>
            <w:r>
              <w:rPr>
                <w:rFonts w:hint="default" w:ascii="Times New Roman" w:hAnsi="Times New Roman" w:eastAsia="宋体" w:cs="Times New Roman"/>
                <w:color w:val="auto"/>
                <w:sz w:val="24"/>
                <w:szCs w:val="24"/>
                <w:highlight w:val="none"/>
              </w:rPr>
              <w:t>取得了</w:t>
            </w:r>
            <w:r>
              <w:rPr>
                <w:rFonts w:hint="default" w:ascii="Times New Roman" w:hAnsi="Times New Roman" w:eastAsia="宋体" w:cs="Times New Roman"/>
                <w:color w:val="auto"/>
                <w:sz w:val="24"/>
                <w:szCs w:val="24"/>
                <w:highlight w:val="none"/>
                <w:lang w:eastAsia="zh-CN"/>
              </w:rPr>
              <w:t>乌拉特中旗发展和改革委员会出具</w:t>
            </w:r>
            <w:r>
              <w:rPr>
                <w:rFonts w:hint="default" w:ascii="Times New Roman" w:hAnsi="Times New Roman" w:eastAsia="宋体" w:cs="Times New Roman"/>
                <w:color w:val="auto"/>
                <w:sz w:val="24"/>
                <w:szCs w:val="24"/>
                <w:highlight w:val="none"/>
              </w:rPr>
              <w:t>的《</w:t>
            </w:r>
            <w:r>
              <w:rPr>
                <w:rFonts w:hint="default" w:ascii="Times New Roman" w:hAnsi="Times New Roman" w:eastAsia="宋体" w:cs="Times New Roman"/>
                <w:color w:val="auto"/>
                <w:sz w:val="24"/>
                <w:szCs w:val="24"/>
                <w:highlight w:val="none"/>
                <w:lang w:eastAsia="zh-CN"/>
              </w:rPr>
              <w:t>项目备案告知书</w:t>
            </w: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eastAsia="zh-CN"/>
              </w:rPr>
              <w:t>代码</w:t>
            </w:r>
            <w:r>
              <w:rPr>
                <w:rFonts w:hint="default" w:ascii="Times New Roman" w:hAnsi="Times New Roman" w:eastAsia="宋体" w:cs="Times New Roman"/>
                <w:color w:val="auto"/>
                <w:sz w:val="24"/>
                <w:szCs w:val="24"/>
                <w:highlight w:val="none"/>
              </w:rPr>
              <w:t>为：</w:t>
            </w:r>
            <w:r>
              <w:rPr>
                <w:rFonts w:hint="default" w:ascii="Times New Roman" w:hAnsi="Times New Roman" w:eastAsia="宋体" w:cs="Times New Roman"/>
                <w:color w:val="auto"/>
                <w:sz w:val="24"/>
                <w:szCs w:val="24"/>
                <w:highlight w:val="none"/>
                <w:lang w:eastAsia="zh-CN"/>
              </w:rPr>
              <w:t>2407-150824-04-01-482144</w:t>
            </w:r>
            <w:r>
              <w:rPr>
                <w:rFonts w:hint="default" w:ascii="Times New Roman" w:hAnsi="Times New Roman" w:eastAsia="宋体" w:cs="Times New Roman"/>
                <w:color w:val="auto"/>
                <w:sz w:val="24"/>
                <w:szCs w:val="24"/>
                <w:highlight w:val="none"/>
              </w:rPr>
              <w:t>。</w:t>
            </w:r>
          </w:p>
          <w:p w14:paraId="3A7C02AC">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综上所述，项目的建设符合国家和地方的产业政策</w:t>
            </w:r>
            <w:r>
              <w:rPr>
                <w:rFonts w:hint="default" w:ascii="Times New Roman" w:hAnsi="Times New Roman" w:eastAsia="宋体" w:cs="Times New Roman"/>
                <w:color w:val="auto"/>
                <w:sz w:val="24"/>
                <w:szCs w:val="24"/>
                <w:highlight w:val="none"/>
              </w:rPr>
              <w:t>。</w:t>
            </w:r>
          </w:p>
          <w:p w14:paraId="57DF39CD">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0000FF"/>
                <w:sz w:val="24"/>
                <w:szCs w:val="24"/>
                <w:highlight w:val="none"/>
              </w:rPr>
            </w:pPr>
            <w:r>
              <w:rPr>
                <w:rFonts w:hint="default" w:ascii="Times New Roman" w:hAnsi="Times New Roman" w:eastAsia="宋体" w:cs="Times New Roman"/>
                <w:b/>
                <w:bCs/>
                <w:color w:val="0000FF"/>
                <w:sz w:val="24"/>
                <w:szCs w:val="24"/>
                <w:highlight w:val="none"/>
                <w:lang w:val="en-US" w:eastAsia="zh-CN"/>
              </w:rPr>
              <w:t>2</w:t>
            </w:r>
            <w:r>
              <w:rPr>
                <w:rFonts w:hint="default" w:ascii="Times New Roman" w:hAnsi="Times New Roman" w:eastAsia="宋体" w:cs="Times New Roman"/>
                <w:b/>
                <w:bCs/>
                <w:color w:val="0000FF"/>
                <w:sz w:val="24"/>
                <w:szCs w:val="24"/>
                <w:highlight w:val="none"/>
              </w:rPr>
              <w:t>、“三线一单”符合性分析</w:t>
            </w:r>
          </w:p>
          <w:p w14:paraId="6E176E45">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一</w:t>
            </w:r>
            <w:r>
              <w:rPr>
                <w:rFonts w:hint="default" w:ascii="Times New Roman" w:hAnsi="Times New Roman" w:eastAsia="宋体" w:cs="Times New Roman"/>
                <w:color w:val="auto"/>
                <w:sz w:val="24"/>
                <w:szCs w:val="24"/>
                <w:highlight w:val="none"/>
              </w:rPr>
              <w:t>）生态保护红线</w:t>
            </w:r>
          </w:p>
          <w:p w14:paraId="0D3753A8">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eastAsia="zh-CN"/>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14:paraId="6FE2A2FE">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本项目位于巴彦淖尔市乌拉特中旗甘其毛都口岸加工园区内，不在自然保护区、风景名胜区、集中式饮用水水源地保护区等需要保护的区域内，因此不涉及生态保护红线。</w:t>
            </w:r>
          </w:p>
          <w:p w14:paraId="220C4AD7">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（二）环境质量底线</w:t>
            </w:r>
          </w:p>
          <w:p w14:paraId="3AEA1D62">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（1）大气环境质量底线</w:t>
            </w:r>
          </w:p>
          <w:p w14:paraId="570B4363">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根据巴彦淖尔市生态环境局于2024年6月发布的《巴彦淖尔市环境质量状况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2023年）》，海流图镇大气环境中六项污染物PM</w:t>
            </w:r>
            <w:r>
              <w:rPr>
                <w:rFonts w:hint="default" w:ascii="Times New Roman" w:hAnsi="Times New Roman" w:eastAsia="宋体" w:cs="Times New Roman"/>
                <w:color w:val="auto"/>
                <w:sz w:val="24"/>
                <w:szCs w:val="24"/>
                <w:highlight w:val="none"/>
                <w:vertAlign w:val="subscript"/>
              </w:rPr>
              <w:t>2.5</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、CO和O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质量浓度均符合《环境空气质量标准》（GB3095-2012）二级标准限值，因此乌拉特中旗属于空气质量达标区。</w:t>
            </w:r>
            <w:r>
              <w:rPr>
                <w:rFonts w:hint="default" w:ascii="Times New Roman" w:hAnsi="Times New Roman" w:eastAsia="宋体" w:cs="Times New Roman"/>
                <w:color w:val="auto"/>
                <w:sz w:val="24"/>
                <w:szCs w:val="24"/>
                <w:highlight w:val="none"/>
                <w:lang w:val="en-US" w:eastAsia="zh-CN"/>
              </w:rPr>
              <w:t>根据引用监测数据可知，</w:t>
            </w:r>
            <w:r>
              <w:rPr>
                <w:rFonts w:hint="default" w:ascii="Times New Roman" w:hAnsi="Times New Roman" w:eastAsia="宋体" w:cs="Times New Roman"/>
                <w:color w:val="auto"/>
                <w:sz w:val="24"/>
                <w:szCs w:val="24"/>
                <w:highlight w:val="none"/>
              </w:rPr>
              <w:t>其他污染物（非甲烷总烃）1小时平均浓度满足《环境空气质量 非甲烷总烃限值》（DB13/1577-2012）二级标准限值要求。</w:t>
            </w:r>
          </w:p>
          <w:p w14:paraId="2E8441DE">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运营期</w:t>
            </w:r>
            <w:r>
              <w:rPr>
                <w:rFonts w:hint="default" w:ascii="Times New Roman" w:hAnsi="Times New Roman" w:eastAsia="宋体" w:cs="Times New Roman"/>
                <w:color w:val="auto"/>
                <w:sz w:val="24"/>
                <w:szCs w:val="24"/>
                <w:highlight w:val="none"/>
              </w:rPr>
              <w:t>仅有少量</w:t>
            </w:r>
            <w:r>
              <w:rPr>
                <w:rFonts w:hint="default" w:ascii="Times New Roman" w:hAnsi="Times New Roman" w:eastAsia="宋体" w:cs="Times New Roman"/>
                <w:color w:val="auto"/>
                <w:sz w:val="24"/>
                <w:szCs w:val="24"/>
                <w:highlight w:val="none"/>
                <w:lang w:val="en-US" w:eastAsia="zh-CN"/>
              </w:rPr>
              <w:t>挥发性有机废气（以非甲烷总烃计）</w:t>
            </w:r>
            <w:r>
              <w:rPr>
                <w:rFonts w:hint="default" w:ascii="Times New Roman" w:hAnsi="Times New Roman" w:eastAsia="宋体" w:cs="Times New Roman"/>
                <w:color w:val="auto"/>
                <w:sz w:val="24"/>
                <w:szCs w:val="24"/>
                <w:highlight w:val="none"/>
              </w:rPr>
              <w:t>产生，</w:t>
            </w:r>
            <w:r>
              <w:rPr>
                <w:rFonts w:hint="default" w:ascii="Times New Roman" w:hAnsi="Times New Roman" w:eastAsia="宋体" w:cs="Times New Roman"/>
                <w:color w:val="auto"/>
                <w:sz w:val="24"/>
                <w:szCs w:val="24"/>
                <w:highlight w:val="none"/>
                <w:lang w:val="en-US" w:eastAsia="zh-CN"/>
              </w:rPr>
              <w:t>对周围环境</w:t>
            </w:r>
            <w:r>
              <w:rPr>
                <w:rFonts w:hint="default" w:ascii="Times New Roman" w:hAnsi="Times New Roman" w:eastAsia="宋体" w:cs="Times New Roman"/>
                <w:color w:val="auto"/>
                <w:sz w:val="24"/>
                <w:szCs w:val="24"/>
                <w:highlight w:val="none"/>
              </w:rPr>
              <w:t>影响较小，满足环境质量要求。</w:t>
            </w:r>
          </w:p>
          <w:p w14:paraId="5A3C9C4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（2）水环境质量底线</w:t>
            </w:r>
          </w:p>
          <w:p w14:paraId="12F9486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32"/>
              </w:rPr>
              <w:t>项目建成后</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无生产用水，生活用水量较小</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无生产废水产生，生活污水经化粪池处理后，</w:t>
            </w:r>
            <w:r>
              <w:rPr>
                <w:rFonts w:hint="default" w:ascii="Times New Roman" w:hAnsi="Times New Roman" w:eastAsia="宋体" w:cs="Times New Roman"/>
                <w:color w:val="auto"/>
                <w:sz w:val="24"/>
                <w:szCs w:val="32"/>
                <w:lang w:eastAsia="zh-CN"/>
              </w:rPr>
              <w:t>经园区污水管网进入</w:t>
            </w:r>
            <w:r>
              <w:rPr>
                <w:rFonts w:hint="eastAsia" w:ascii="Times New Roman" w:hAnsi="Times New Roman" w:eastAsia="宋体" w:cs="Times New Roman"/>
                <w:color w:val="auto"/>
                <w:sz w:val="24"/>
                <w:szCs w:val="32"/>
                <w:lang w:eastAsia="zh-CN"/>
              </w:rPr>
              <w:t>甘其毛都口岸加工园区工业污水处理厂</w:t>
            </w:r>
            <w:r>
              <w:rPr>
                <w:rFonts w:hint="default" w:ascii="Times New Roman" w:hAnsi="Times New Roman" w:eastAsia="宋体" w:cs="Times New Roman"/>
                <w:color w:val="auto"/>
                <w:sz w:val="24"/>
                <w:szCs w:val="32"/>
                <w:lang w:eastAsia="zh-CN"/>
              </w:rPr>
              <w:t>处理</w:t>
            </w:r>
            <w:r>
              <w:rPr>
                <w:rFonts w:hint="default" w:ascii="Times New Roman" w:hAnsi="Times New Roman" w:eastAsia="宋体" w:cs="Times New Roman"/>
                <w:color w:val="auto"/>
                <w:sz w:val="24"/>
                <w:szCs w:val="32"/>
              </w:rPr>
              <w:t>，不会对区域水环境造成大的影响。</w:t>
            </w:r>
          </w:p>
          <w:p w14:paraId="50AC30F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（3）土壤环境质量底线</w:t>
            </w:r>
          </w:p>
          <w:p w14:paraId="436BBDF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本项目按相关标准规范建设，建成后按照相关标准要求对</w:t>
            </w:r>
            <w:r>
              <w:rPr>
                <w:rFonts w:hint="default" w:ascii="Times New Roman" w:hAnsi="Times New Roman" w:eastAsia="宋体" w:cs="Times New Roman"/>
                <w:color w:val="auto"/>
                <w:sz w:val="24"/>
                <w:szCs w:val="32"/>
                <w:lang w:eastAsia="zh-CN"/>
              </w:rPr>
              <w:t>危化品</w:t>
            </w:r>
            <w:r>
              <w:rPr>
                <w:rFonts w:hint="default" w:ascii="Times New Roman" w:hAnsi="Times New Roman" w:eastAsia="宋体" w:cs="Times New Roman"/>
                <w:color w:val="auto"/>
                <w:sz w:val="24"/>
                <w:szCs w:val="32"/>
              </w:rPr>
              <w:t>进行规范贮存、严格管理，不会对土壤环境产生大的影响。</w:t>
            </w:r>
          </w:p>
          <w:p w14:paraId="35D018E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综上所述，本项目符合环境质量底线要求。</w:t>
            </w:r>
          </w:p>
          <w:p w14:paraId="633EDAF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（三）资源利用上线</w:t>
            </w:r>
          </w:p>
          <w:p w14:paraId="5743778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（1）水资源利用上线</w:t>
            </w:r>
          </w:p>
          <w:p w14:paraId="206ED87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本项目建成后</w:t>
            </w:r>
            <w:r>
              <w:rPr>
                <w:rFonts w:hint="default" w:ascii="Times New Roman" w:hAnsi="Times New Roman" w:eastAsia="宋体" w:cs="Times New Roman"/>
                <w:color w:val="auto"/>
                <w:sz w:val="24"/>
                <w:szCs w:val="32"/>
                <w:lang w:val="en-US" w:eastAsia="zh-CN"/>
              </w:rPr>
              <w:t>仅有生活用水</w:t>
            </w:r>
            <w:r>
              <w:rPr>
                <w:rFonts w:hint="default" w:ascii="Times New Roman" w:hAnsi="Times New Roman" w:eastAsia="宋体" w:cs="Times New Roman"/>
                <w:color w:val="auto"/>
                <w:sz w:val="24"/>
                <w:szCs w:val="32"/>
              </w:rPr>
              <w:t>，因此本项目消耗水资源相对于区域资源利用总量较少。</w:t>
            </w:r>
          </w:p>
          <w:p w14:paraId="7E3DCFA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（2）土地资源利用上线</w:t>
            </w:r>
          </w:p>
          <w:p w14:paraId="6AEB9D1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项目选址位于甘其毛都口岸加工园区内，建设用地性质为工业用地，不在生态保护红线内，不属于永久基本农田、采矿用地和主要城市建成区，符合土地资源分区管控要求。</w:t>
            </w:r>
          </w:p>
          <w:p w14:paraId="16C457E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（3）能源利用上线</w:t>
            </w:r>
          </w:p>
          <w:p w14:paraId="4689775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项目建成后</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园区</w:t>
            </w:r>
            <w:r>
              <w:rPr>
                <w:rFonts w:hint="default" w:ascii="Times New Roman" w:hAnsi="Times New Roman" w:eastAsia="宋体" w:cs="Times New Roman"/>
                <w:color w:val="auto"/>
                <w:sz w:val="24"/>
                <w:szCs w:val="32"/>
              </w:rPr>
              <w:t>供电线路可满足项目用电需求，消耗资源相对于区域资源利用总量较少。</w:t>
            </w:r>
          </w:p>
          <w:p w14:paraId="2D9821D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综上所述，本项目符合资源利用上线要求。</w:t>
            </w:r>
          </w:p>
          <w:p w14:paraId="517903B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w:t>
            </w:r>
            <w:r>
              <w:rPr>
                <w:rFonts w:hint="default" w:ascii="Times New Roman" w:hAnsi="Times New Roman" w:eastAsia="宋体" w:cs="Times New Roman"/>
                <w:color w:val="auto"/>
                <w:sz w:val="24"/>
                <w:szCs w:val="32"/>
                <w:lang w:val="en-US" w:eastAsia="zh-CN"/>
              </w:rPr>
              <w:t>四</w:t>
            </w:r>
            <w:r>
              <w:rPr>
                <w:rFonts w:hint="default" w:ascii="Times New Roman" w:hAnsi="Times New Roman" w:eastAsia="宋体" w:cs="Times New Roman"/>
                <w:color w:val="auto"/>
                <w:sz w:val="24"/>
                <w:szCs w:val="32"/>
              </w:rPr>
              <w:t>）生态环境准入清单</w:t>
            </w:r>
          </w:p>
          <w:p w14:paraId="3A22341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eastAsia="zh-CN"/>
              </w:rPr>
              <w:t>本项目厂区位于</w:t>
            </w:r>
            <w:r>
              <w:rPr>
                <w:rFonts w:hint="default" w:ascii="Times New Roman" w:hAnsi="Times New Roman" w:eastAsia="宋体" w:cs="Times New Roman"/>
                <w:color w:val="auto"/>
                <w:sz w:val="24"/>
                <w:szCs w:val="32"/>
                <w:lang w:val="en-US" w:eastAsia="zh-CN"/>
              </w:rPr>
              <w:t>巴彦淖尔市乌拉特中旗甘其毛都口岸加工园区内</w:t>
            </w:r>
            <w:r>
              <w:rPr>
                <w:rFonts w:hint="default" w:ascii="Times New Roman" w:hAnsi="Times New Roman" w:eastAsia="宋体" w:cs="Times New Roman"/>
                <w:color w:val="auto"/>
                <w:sz w:val="24"/>
                <w:szCs w:val="32"/>
                <w:lang w:eastAsia="zh-CN"/>
              </w:rPr>
              <w:t>，根据巴彦淖尔市环境管控单元图，</w:t>
            </w:r>
            <w:r>
              <w:rPr>
                <w:rFonts w:hint="default" w:ascii="Times New Roman" w:hAnsi="Times New Roman" w:eastAsia="宋体" w:cs="Times New Roman"/>
                <w:color w:val="auto"/>
                <w:sz w:val="24"/>
                <w:szCs w:val="32"/>
                <w:lang w:val="en-US" w:eastAsia="zh-CN"/>
              </w:rPr>
              <w:t>本项目厂址位于巴彦淖尔甘其毛都口岸加工园区</w:t>
            </w:r>
            <w:r>
              <w:rPr>
                <w:rFonts w:hint="default" w:ascii="Times New Roman" w:hAnsi="Times New Roman" w:eastAsia="宋体" w:cs="Times New Roman"/>
                <w:color w:val="auto"/>
                <w:sz w:val="24"/>
                <w:szCs w:val="32"/>
                <w:lang w:eastAsia="zh-CN"/>
              </w:rPr>
              <w:t>环境管控单元，管控单元类别为重点管理单元，本项目生态环境准入清单符合性见下表。</w:t>
            </w:r>
          </w:p>
          <w:p w14:paraId="799AF8E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1-2  巴彦淖尔甘其毛都口岸加工园区</w:t>
            </w:r>
            <w:r>
              <w:rPr>
                <w:rFonts w:hint="default" w:ascii="Times New Roman" w:hAnsi="Times New Roman" w:eastAsia="宋体" w:cs="Times New Roman"/>
                <w:b/>
                <w:bCs/>
                <w:color w:val="auto"/>
                <w:sz w:val="24"/>
                <w:szCs w:val="32"/>
              </w:rPr>
              <w:t>生态环境准入清单符合性分析表</w:t>
            </w:r>
          </w:p>
          <w:tbl>
            <w:tblPr>
              <w:tblStyle w:val="31"/>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807"/>
              <w:gridCol w:w="477"/>
              <w:gridCol w:w="3218"/>
              <w:gridCol w:w="1718"/>
              <w:gridCol w:w="477"/>
            </w:tblGrid>
            <w:tr w14:paraId="2E17D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dxa"/>
                  <w:noWrap w:val="0"/>
                  <w:vAlign w:val="center"/>
                </w:tcPr>
                <w:p w14:paraId="3312913C">
                  <w:pPr>
                    <w:keepNext w:val="0"/>
                    <w:keepLines w:val="0"/>
                    <w:pageBreakBefore w:val="0"/>
                    <w:suppressLineNumbers w:val="0"/>
                    <w:shd w:val="clear"/>
                    <w:wordWrap/>
                    <w:bidi w:val="0"/>
                    <w:spacing w:beforeAutospacing="0" w:afterAutospacing="0" w:line="240" w:lineRule="auto"/>
                    <w:ind w:left="0" w:leftChars="0" w:right="0" w:rightChars="0"/>
                    <w:jc w:val="center"/>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环境管控单元名称</w:t>
                  </w:r>
                </w:p>
              </w:tc>
              <w:tc>
                <w:tcPr>
                  <w:tcW w:w="807" w:type="dxa"/>
                  <w:noWrap w:val="0"/>
                  <w:vAlign w:val="center"/>
                </w:tcPr>
                <w:p w14:paraId="4F717A56">
                  <w:pPr>
                    <w:keepNext w:val="0"/>
                    <w:keepLines w:val="0"/>
                    <w:pageBreakBefore w:val="0"/>
                    <w:suppressLineNumbers w:val="0"/>
                    <w:shd w:val="clear"/>
                    <w:wordWrap/>
                    <w:bidi w:val="0"/>
                    <w:spacing w:beforeAutospacing="0" w:afterAutospacing="0" w:line="240" w:lineRule="auto"/>
                    <w:ind w:left="0" w:leftChars="0" w:right="0" w:rightChars="0"/>
                    <w:jc w:val="center"/>
                    <w:rPr>
                      <w:rFonts w:hint="default" w:ascii="Times New Roman" w:hAnsi="Times New Roman" w:eastAsia="宋体" w:cs="Times New Roman"/>
                      <w:b/>
                      <w:bCs/>
                      <w:color w:val="0000FF"/>
                      <w:sz w:val="21"/>
                      <w:szCs w:val="21"/>
                      <w:highlight w:val="none"/>
                      <w:lang w:eastAsia="zh-CN"/>
                    </w:rPr>
                  </w:pPr>
                  <w:r>
                    <w:rPr>
                      <w:rFonts w:hint="default" w:ascii="Times New Roman" w:hAnsi="Times New Roman" w:eastAsia="宋体" w:cs="Times New Roman"/>
                      <w:b/>
                      <w:bCs/>
                      <w:color w:val="0000FF"/>
                      <w:sz w:val="21"/>
                      <w:szCs w:val="21"/>
                      <w:highlight w:val="none"/>
                      <w:lang w:eastAsia="zh-CN"/>
                    </w:rPr>
                    <w:t>生态保护重点</w:t>
                  </w:r>
                </w:p>
              </w:tc>
              <w:tc>
                <w:tcPr>
                  <w:tcW w:w="3695" w:type="dxa"/>
                  <w:gridSpan w:val="2"/>
                  <w:noWrap w:val="0"/>
                  <w:vAlign w:val="center"/>
                </w:tcPr>
                <w:p w14:paraId="6A867EF1">
                  <w:pPr>
                    <w:keepNext w:val="0"/>
                    <w:keepLines w:val="0"/>
                    <w:pageBreakBefore w:val="0"/>
                    <w:suppressLineNumbers w:val="0"/>
                    <w:shd w:val="clear"/>
                    <w:wordWrap/>
                    <w:bidi w:val="0"/>
                    <w:spacing w:beforeAutospacing="0" w:afterAutospacing="0" w:line="240" w:lineRule="auto"/>
                    <w:ind w:left="0" w:leftChars="0" w:right="0" w:rightChars="0"/>
                    <w:jc w:val="center"/>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管控要求</w:t>
                  </w:r>
                </w:p>
              </w:tc>
              <w:tc>
                <w:tcPr>
                  <w:tcW w:w="1718" w:type="dxa"/>
                  <w:noWrap w:val="0"/>
                  <w:vAlign w:val="center"/>
                </w:tcPr>
                <w:p w14:paraId="67E0C26F">
                  <w:pPr>
                    <w:keepNext w:val="0"/>
                    <w:keepLines w:val="0"/>
                    <w:pageBreakBefore w:val="0"/>
                    <w:suppressLineNumbers w:val="0"/>
                    <w:shd w:val="clear"/>
                    <w:wordWrap/>
                    <w:bidi w:val="0"/>
                    <w:spacing w:beforeAutospacing="0" w:afterAutospacing="0"/>
                    <w:ind w:left="0" w:leftChars="0" w:right="0" w:rightChars="0"/>
                    <w:jc w:val="center"/>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本项目落实情况</w:t>
                  </w:r>
                </w:p>
              </w:tc>
              <w:tc>
                <w:tcPr>
                  <w:tcW w:w="477" w:type="dxa"/>
                  <w:noWrap w:val="0"/>
                  <w:vAlign w:val="center"/>
                </w:tcPr>
                <w:p w14:paraId="6A620256">
                  <w:pPr>
                    <w:keepNext w:val="0"/>
                    <w:keepLines w:val="0"/>
                    <w:pageBreakBefore w:val="0"/>
                    <w:suppressLineNumbers w:val="0"/>
                    <w:shd w:val="clear"/>
                    <w:wordWrap/>
                    <w:bidi w:val="0"/>
                    <w:spacing w:beforeAutospacing="0" w:afterAutospacing="0"/>
                    <w:ind w:left="0" w:leftChars="0" w:right="0" w:rightChars="0"/>
                    <w:jc w:val="center"/>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符合性</w:t>
                  </w:r>
                </w:p>
              </w:tc>
            </w:tr>
            <w:tr w14:paraId="01E62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dxa"/>
                  <w:vMerge w:val="restart"/>
                  <w:noWrap w:val="0"/>
                  <w:vAlign w:val="center"/>
                </w:tcPr>
                <w:p w14:paraId="53421818">
                  <w:pPr>
                    <w:keepNext w:val="0"/>
                    <w:keepLines w:val="0"/>
                    <w:pageBreakBefore w:val="0"/>
                    <w:suppressLineNumbers w:val="0"/>
                    <w:shd w:val="clear"/>
                    <w:wordWrap/>
                    <w:bidi w:val="0"/>
                    <w:spacing w:beforeAutospacing="0" w:afterAutospacing="0" w:line="240" w:lineRule="auto"/>
                    <w:ind w:left="0" w:leftChars="0" w:right="0" w:rightChars="0"/>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lang w:val="en-US" w:eastAsia="zh-CN"/>
                    </w:rPr>
                    <w:t>巴彦淖尔甘其毛都口岸加工园区</w:t>
                  </w:r>
                </w:p>
              </w:tc>
              <w:tc>
                <w:tcPr>
                  <w:tcW w:w="807" w:type="dxa"/>
                  <w:vMerge w:val="restart"/>
                  <w:noWrap w:val="0"/>
                  <w:vAlign w:val="center"/>
                </w:tcPr>
                <w:p w14:paraId="6811FDE4">
                  <w:pPr>
                    <w:keepNext w:val="0"/>
                    <w:keepLines w:val="0"/>
                    <w:pageBreakBefore w:val="0"/>
                    <w:suppressLineNumbers w:val="0"/>
                    <w:shd w:val="clear"/>
                    <w:wordWrap/>
                    <w:bidi w:val="0"/>
                    <w:spacing w:beforeAutospacing="0" w:afterAutospacing="0" w:line="240" w:lineRule="auto"/>
                    <w:ind w:left="0" w:leftChars="0" w:right="0" w:rightChars="0"/>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大气环境高排放重点管控区、水环境工业污染重点管控区、生态用水补给区、土地资源重点管控区</w:t>
                  </w:r>
                </w:p>
              </w:tc>
              <w:tc>
                <w:tcPr>
                  <w:tcW w:w="477" w:type="dxa"/>
                  <w:noWrap w:val="0"/>
                  <w:vAlign w:val="center"/>
                </w:tcPr>
                <w:p w14:paraId="3837EEF8">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空间布局约束</w:t>
                  </w:r>
                </w:p>
              </w:tc>
              <w:tc>
                <w:tcPr>
                  <w:tcW w:w="3218" w:type="dxa"/>
                  <w:noWrap w:val="0"/>
                  <w:vAlign w:val="center"/>
                </w:tcPr>
                <w:p w14:paraId="42FB6775">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1、严格执行环境准入门槛，依法落实园区规划环评。对不符合园区产业定位、规划环评等的项目一律不予批准。与园区规划不符的企业，应采取措施逐步退出。</w:t>
                  </w:r>
                </w:p>
                <w:p w14:paraId="1B622959">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2、科学规划建设工业园区，引导煤化工、金属冶炼、非金属深加工等行业的工业企业入驻工业园区。原则上不得引入与园区主导行业不相符的高污染高耗能高耗水行业。新建、改建、扩建“两高”项目须符合生态环境保护法律法规和相关法定规划，满足重点污染物排放总量控制、碳达峰、碳中和目标、生态环境准入清单、相关规划环评和相应行业建设项目环境准入条件、环评文件审批原则要求。</w:t>
                  </w:r>
                </w:p>
                <w:p w14:paraId="1DDEDD95">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3、国家明令淘汰的落后产能和不符合国家产业政策的项目，严禁向工业园区转移。</w:t>
                  </w:r>
                </w:p>
                <w:p w14:paraId="03635035">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4、“十四五”时期沿黄重点地区拟建的工业项目，一律按要求进入合规工业园区，对现有已备案但尚未开工的拟建高污染、高耗水、高耗能项目一律重新进行评估。</w:t>
                  </w:r>
                </w:p>
                <w:p w14:paraId="5FE25F3D">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5、对不符合产业政策、“三线一单”生态环境分区管控方案、规划环评以及能耗、水耗等有关要求的工业项目，一律不得批准或备案。</w:t>
                  </w:r>
                </w:p>
                <w:p w14:paraId="156F92BD">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6、新建、改建、扩建“两高”项目须符合生态环境保护法律法规和相关法定规划，满足重点污染物排放总量控制、碳达峰、碳中和目标、生态环境准入清单、相关规划环评和相应行业建设项目环境准入条件、环评文件审批原则要求。对已建成的高污染、高耗水、高耗能项目，全面梳理形成台账，逐一排查评估，属于落后产能的项目要坚决淘汰。对违反产业政策、未落实环评及其批复、区域削减措施、产能置换或煤炭减量替代要求、违规审批和建设的项目，坚决从严查处，并责令限期整改，逾期未完成整改或整改无望的坚决关停。</w:t>
                  </w:r>
                </w:p>
                <w:p w14:paraId="4A82A1C9">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7、加快淘汰化解落后和过剩产能。引导产能过剩行业限制类产能（装备）有序退出，实施产能置换升级改造。列入《国家产业政策指导目录》（2019版）淘汰类和2020年连续停产1年以上的企业（装备）不得进行产能置换。</w:t>
                  </w:r>
                </w:p>
                <w:p w14:paraId="337E93C4">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8、积极推进“两高”项目环评开展试点工作，衔接落实有关区域和行业碳达峰、碳中和行动方案、清洁能源替代、清洁运输、煤炭消费总量控制等政策要求。</w:t>
                  </w:r>
                </w:p>
                <w:p w14:paraId="657B221E">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9、控制高耗能行业产能规模。确有必要建设的，须在区内实施产能和能耗减量置换。除国家规划布局和自治区延链补链的现代煤化工项目外，“十四五”期间，原则上不再审批新的现代煤化工项目。合理有序控制数据中心建设规模，严禁新建虚拟货币挖矿项目。</w:t>
                  </w:r>
                </w:p>
                <w:p w14:paraId="692FDF46">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10、大气环境高排放重点管控区内，应强化达标监管，引导工业项目落地集聚发展，有序推进区域内行业企业提标升级改造。</w:t>
                  </w:r>
                </w:p>
                <w:p w14:paraId="24D19BFF">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11、实行园区污染集中处理，并尽可能采取集中供热，禁止新建20蒸吨/小时以下燃煤锅炉。</w:t>
                  </w:r>
                </w:p>
              </w:tc>
              <w:tc>
                <w:tcPr>
                  <w:tcW w:w="1718" w:type="dxa"/>
                  <w:noWrap w:val="0"/>
                  <w:vAlign w:val="center"/>
                </w:tcPr>
                <w:p w14:paraId="5E7A9F67">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1、本项目属于工业气体储存、经营企业，属于园区上下游配套服务，符合甘其毛都口岸加工园区产业发展规划和集约化发展。</w:t>
                  </w:r>
                </w:p>
                <w:p w14:paraId="719976DB">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2、本项目不属于高污染高耗能高耗水行业。</w:t>
                  </w:r>
                </w:p>
                <w:p w14:paraId="140155EB">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3、本项目为工业气体供应及危化品仓储业，对照《产业结构调整指导目录（2024年本）》，本项目不属于鼓励类、限制类、淘汰类，可视为允许建设项目；本项目于2024年7月17日取得了乌拉特中旗发展和改革委员会出具的《项目备案告知书》，项目代码为：2407-150824-04-01-482144，符合国家和地方的产业政策。</w:t>
                  </w:r>
                </w:p>
                <w:p w14:paraId="33EC3AD9">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4、本项目不属于高污染高耗能高耗水行业。</w:t>
                  </w:r>
                </w:p>
                <w:p w14:paraId="13354DA8">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5、本项目符合国家和地方的产业政策、符合</w:t>
                  </w:r>
                  <w:r>
                    <w:rPr>
                      <w:rFonts w:hint="default" w:ascii="Times New Roman" w:hAnsi="Times New Roman" w:eastAsia="宋体" w:cs="Times New Roman"/>
                      <w:color w:val="0000FF"/>
                      <w:kern w:val="0"/>
                      <w:sz w:val="21"/>
                      <w:szCs w:val="21"/>
                      <w:highlight w:val="none"/>
                      <w:lang w:val="en-US" w:eastAsia="zh-CN"/>
                    </w:rPr>
                    <w:t>“三线一单”生态环境分区管控方案、符合</w:t>
                  </w:r>
                  <w:r>
                    <w:rPr>
                      <w:rFonts w:hint="default" w:ascii="Times New Roman" w:hAnsi="Times New Roman" w:eastAsia="宋体" w:cs="Times New Roman"/>
                      <w:color w:val="0000FF"/>
                      <w:sz w:val="21"/>
                      <w:szCs w:val="21"/>
                      <w:highlight w:val="none"/>
                      <w:lang w:val="en-US" w:eastAsia="zh-CN"/>
                    </w:rPr>
                    <w:t>甘其毛都口岸加工园区总体规划、不属于高污染高耗能高耗水行业。</w:t>
                  </w:r>
                </w:p>
                <w:p w14:paraId="2BEDBF5E">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6、本项目不属于“两高”项目。</w:t>
                  </w:r>
                </w:p>
                <w:p w14:paraId="7F1C3AA7">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7030A0"/>
                      <w:sz w:val="21"/>
                      <w:szCs w:val="21"/>
                      <w:highlight w:val="none"/>
                      <w:lang w:val="en-US" w:eastAsia="zh-CN"/>
                    </w:rPr>
                    <w:t>7、</w:t>
                  </w:r>
                  <w:r>
                    <w:rPr>
                      <w:rFonts w:hint="default" w:ascii="Times New Roman" w:hAnsi="Times New Roman" w:eastAsia="宋体" w:cs="Times New Roman"/>
                      <w:color w:val="7030A0"/>
                      <w:sz w:val="21"/>
                      <w:szCs w:val="21"/>
                      <w:highlight w:val="yellow"/>
                      <w:lang w:val="en-US" w:eastAsia="zh-CN"/>
                    </w:rPr>
                    <w:t>根据</w:t>
                  </w:r>
                  <w:r>
                    <w:rPr>
                      <w:rFonts w:hint="default" w:ascii="Times New Roman" w:hAnsi="Times New Roman" w:eastAsia="宋体" w:cs="Times New Roman"/>
                      <w:color w:val="7030A0"/>
                      <w:sz w:val="21"/>
                      <w:szCs w:val="21"/>
                      <w:highlight w:val="none"/>
                      <w:lang w:val="en-US" w:eastAsia="zh-CN"/>
                    </w:rPr>
                    <w:t>工</w:t>
                  </w:r>
                  <w:r>
                    <w:rPr>
                      <w:rFonts w:hint="default" w:ascii="Times New Roman" w:hAnsi="Times New Roman" w:eastAsia="宋体" w:cs="Times New Roman"/>
                      <w:color w:val="0000FF"/>
                      <w:sz w:val="21"/>
                      <w:szCs w:val="21"/>
                      <w:highlight w:val="none"/>
                      <w:lang w:val="en-US" w:eastAsia="zh-CN"/>
                    </w:rPr>
                    <w:t>信部《部分工学行业淘汰落后生产工艺装备和产品指导目录（2010年本）》有关条款，本项目生产工艺及生产和设备均不属于淘汰落后生产工艺装备。</w:t>
                  </w:r>
                </w:p>
                <w:p w14:paraId="5EB1F618">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8、本项目不属于“两高”项目。</w:t>
                  </w:r>
                </w:p>
                <w:p w14:paraId="7F0983E1">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9、本项目不属于</w:t>
                  </w:r>
                  <w:r>
                    <w:rPr>
                      <w:rFonts w:hint="default" w:ascii="Times New Roman" w:hAnsi="Times New Roman" w:eastAsia="宋体" w:cs="Times New Roman"/>
                      <w:color w:val="0000FF"/>
                      <w:kern w:val="0"/>
                      <w:sz w:val="21"/>
                      <w:szCs w:val="21"/>
                      <w:highlight w:val="none"/>
                      <w:lang w:val="en-US" w:eastAsia="zh-CN"/>
                    </w:rPr>
                    <w:t>高耗能行业。</w:t>
                  </w:r>
                </w:p>
                <w:p w14:paraId="57951A98">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10、本项目建成后仅有少量废气产生，影响较小。</w:t>
                  </w:r>
                </w:p>
                <w:p w14:paraId="3E94D081">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11、本项目不建设锅炉。</w:t>
                  </w:r>
                </w:p>
                <w:p w14:paraId="77CD0297">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rPr>
                  </w:pPr>
                </w:p>
              </w:tc>
              <w:tc>
                <w:tcPr>
                  <w:tcW w:w="477" w:type="dxa"/>
                  <w:noWrap w:val="0"/>
                  <w:vAlign w:val="center"/>
                </w:tcPr>
                <w:p w14:paraId="3697F9F1">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符合</w:t>
                  </w:r>
                </w:p>
              </w:tc>
            </w:tr>
            <w:tr w14:paraId="4FD22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dxa"/>
                  <w:vMerge w:val="continue"/>
                  <w:noWrap w:val="0"/>
                  <w:vAlign w:val="center"/>
                </w:tcPr>
                <w:p w14:paraId="0A72A88D">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p>
              </w:tc>
              <w:tc>
                <w:tcPr>
                  <w:tcW w:w="807" w:type="dxa"/>
                  <w:vMerge w:val="continue"/>
                  <w:noWrap w:val="0"/>
                  <w:vAlign w:val="center"/>
                </w:tcPr>
                <w:p w14:paraId="6B4CF6C2">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p>
              </w:tc>
              <w:tc>
                <w:tcPr>
                  <w:tcW w:w="477" w:type="dxa"/>
                  <w:noWrap w:val="0"/>
                  <w:vAlign w:val="center"/>
                </w:tcPr>
                <w:p w14:paraId="290AB8C7">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污染物排放管控</w:t>
                  </w:r>
                </w:p>
              </w:tc>
              <w:tc>
                <w:tcPr>
                  <w:tcW w:w="3218" w:type="dxa"/>
                  <w:noWrap w:val="0"/>
                  <w:vAlign w:val="center"/>
                </w:tcPr>
                <w:p w14:paraId="08778D97">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新建、改建、扩建“两高”项目应按照《关于加强重点行业建设项目区域削减措施监督管理的通知》要求，依据区域环境质量改善目标，制定配套区域污染物削减方案，采取有效的污染物区域削减措施，腾出足够的环境容量。现有“两高”项目应依法制定并严格落实防治土壤与地下水污染的措施。推进水泥、焦化等行业超低排放改造。以电力、焦化、冶炼、钢铁等行业为重点，有序推进现有企业开展全流程智能化、清洁化、循环化、低碳化改造，促进传统产业绿色转型级，逐步淘汰落后产能。</w:t>
                  </w:r>
                </w:p>
                <w:p w14:paraId="38935C48">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2、加强对废气特别是有毒及恶臭气体的收集和处置，严格控制挥发性有机物（VOCs）排放。</w:t>
                  </w:r>
                </w:p>
                <w:p w14:paraId="769F1764">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3、禁止新建35蒸吨以下燃煤锅炉，现有和新建锅炉大气污染物排放要符合相关要求。</w:t>
                  </w:r>
                </w:p>
                <w:p w14:paraId="132C54A8">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4、对冶炼、焦化、石化及化工等重点行业及65蒸吨/小时及以上燃煤锅炉的现役企业和新建项目大气污染物排放要符合相关要求。</w:t>
                  </w:r>
                </w:p>
                <w:p w14:paraId="4F52EE09">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5、强化重点行业无组织排放管理。对物料（含废渣）运输、装卸、储存、转移和工艺过程等无组织排放实施深度治理。粉状物料堆场必须进行全封闭，块状物料必须安装抑尘设施。</w:t>
                  </w:r>
                </w:p>
                <w:p w14:paraId="57A70E70">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6、以焦化制造、新材料、冶金等行业为重点，有序推进现有企业开展全流程智能化、清洁化、循环化、低碳化改造，促进传统产业绿色转型升级，逐步淘汰落后产能。推进焦化等行业超低排放改造。</w:t>
                  </w:r>
                </w:p>
                <w:p w14:paraId="5AFE3D3D">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7、化工园区必须建设集中式污水处理厂及配套管网，实现废水分类收集、分质预处理。</w:t>
                  </w:r>
                </w:p>
                <w:p w14:paraId="45AD9328">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8、工业园区的工业企业排放的废水应当按照国家有关规定进行预处理（或者委托具备处理能力的第三方进行集中处理），未达到园区集中处理设施（不含园区企业预处理一级集中处理设施）处理工艺要求的，不得排入工业园区污水集中处理设施。</w:t>
                  </w:r>
                </w:p>
                <w:p w14:paraId="31A9BC7F">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9、固体废物产生量大的化工园区应配套建设固体废物处置设施。</w:t>
                  </w:r>
                </w:p>
                <w:p w14:paraId="686D27D4">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10、新建排放重金属污染物的建设项目全面执行重金属重点污染物特别排放限值。全市重点行业重点重金属污染物实行排放总量控制制度，新建、改建、扩建涉重金属重点行业建设项目必须遵循重点重金属污染物排放“减量置换”或“等量替换”的原则，严格把重金属污染物排放总量指标作为排放重金属污染物建设项目环境影响评价审批的前置条件，无明确具体总量来源的，不得批准相关环境影响评价文件。重点重金属污染物包括铅、汞、镉、和类金属砷铬。</w:t>
                  </w:r>
                </w:p>
              </w:tc>
              <w:tc>
                <w:tcPr>
                  <w:tcW w:w="1718" w:type="dxa"/>
                  <w:noWrap w:val="0"/>
                  <w:vAlign w:val="center"/>
                </w:tcPr>
                <w:p w14:paraId="7B4F4409">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w:t>
                  </w:r>
                  <w:r>
                    <w:rPr>
                      <w:rFonts w:hint="default" w:ascii="Times New Roman" w:hAnsi="Times New Roman" w:eastAsia="宋体" w:cs="Times New Roman"/>
                      <w:color w:val="0000FF"/>
                      <w:kern w:val="0"/>
                      <w:sz w:val="21"/>
                      <w:szCs w:val="21"/>
                      <w:highlight w:val="none"/>
                      <w:lang w:val="en-US" w:eastAsia="zh-CN"/>
                    </w:rPr>
                    <w:t>本项目不属于“两高”项目。</w:t>
                  </w:r>
                </w:p>
                <w:p w14:paraId="6F1A6CEF">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2、本项目不排放有毒及恶臭气体。</w:t>
                  </w:r>
                </w:p>
                <w:p w14:paraId="523E3D50">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3、本项目不建设锅炉。</w:t>
                  </w:r>
                </w:p>
                <w:p w14:paraId="04109FD3">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4、本项目不属于冶炼、焦化、石化及化工等重点行业及65蒸吨/小时及以上燃煤锅炉。</w:t>
                  </w:r>
                </w:p>
                <w:p w14:paraId="330E522B">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5、本项目物料储存、输送过程均为于密闭罐体和管道内。</w:t>
                  </w:r>
                </w:p>
                <w:p w14:paraId="0EE35F43">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6、本项目不属于焦化制造、新材料、冶金等行业。</w:t>
                  </w:r>
                </w:p>
                <w:p w14:paraId="3EADD35A">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7、甘其毛都口岸加工园区已建成集中污水处理厂。</w:t>
                  </w:r>
                </w:p>
                <w:p w14:paraId="37F479EE">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8、本项目生活污水经化粪池处理达标后，排入</w:t>
                  </w:r>
                  <w:r>
                    <w:rPr>
                      <w:rFonts w:hint="eastAsia" w:ascii="Times New Roman" w:hAnsi="Times New Roman" w:eastAsia="宋体" w:cs="Times New Roman"/>
                      <w:color w:val="0000FF"/>
                      <w:kern w:val="0"/>
                      <w:sz w:val="21"/>
                      <w:szCs w:val="21"/>
                      <w:highlight w:val="none"/>
                      <w:lang w:val="en-US" w:eastAsia="zh-CN"/>
                    </w:rPr>
                    <w:t>甘其毛都口岸加工园区工业污水处理厂</w:t>
                  </w:r>
                  <w:r>
                    <w:rPr>
                      <w:rFonts w:hint="default" w:ascii="Times New Roman" w:hAnsi="Times New Roman" w:eastAsia="宋体" w:cs="Times New Roman"/>
                      <w:color w:val="0000FF"/>
                      <w:kern w:val="0"/>
                      <w:sz w:val="21"/>
                      <w:szCs w:val="21"/>
                      <w:highlight w:val="none"/>
                      <w:lang w:val="en-US" w:eastAsia="zh-CN"/>
                    </w:rPr>
                    <w:t>处理。</w:t>
                  </w:r>
                </w:p>
                <w:p w14:paraId="11638849">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9、甘其毛都口岸加工园区配套建设有固体废物处置设施。</w:t>
                  </w:r>
                </w:p>
                <w:p w14:paraId="3F3B4D72">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10、本项目不排放重金属污染物。</w:t>
                  </w:r>
                </w:p>
              </w:tc>
              <w:tc>
                <w:tcPr>
                  <w:tcW w:w="477" w:type="dxa"/>
                  <w:noWrap w:val="0"/>
                  <w:vAlign w:val="center"/>
                </w:tcPr>
                <w:p w14:paraId="0E261CE1">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符合</w:t>
                  </w:r>
                </w:p>
              </w:tc>
            </w:tr>
            <w:tr w14:paraId="0B4B5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dxa"/>
                  <w:vMerge w:val="continue"/>
                  <w:noWrap w:val="0"/>
                  <w:vAlign w:val="center"/>
                </w:tcPr>
                <w:p w14:paraId="5A934DAC">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p>
              </w:tc>
              <w:tc>
                <w:tcPr>
                  <w:tcW w:w="807" w:type="dxa"/>
                  <w:vMerge w:val="continue"/>
                  <w:noWrap w:val="0"/>
                  <w:vAlign w:val="center"/>
                </w:tcPr>
                <w:p w14:paraId="18B345DE">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p>
              </w:tc>
              <w:tc>
                <w:tcPr>
                  <w:tcW w:w="477" w:type="dxa"/>
                  <w:noWrap w:val="0"/>
                  <w:vAlign w:val="center"/>
                </w:tcPr>
                <w:p w14:paraId="320C82F4">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环境风险防控</w:t>
                  </w:r>
                </w:p>
              </w:tc>
              <w:tc>
                <w:tcPr>
                  <w:tcW w:w="3218" w:type="dxa"/>
                  <w:noWrap w:val="0"/>
                  <w:vAlign w:val="center"/>
                </w:tcPr>
                <w:p w14:paraId="58AAECC3">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加强园区及入园企业环境应急设施整合共享，形成园区应急物资联动资源库，建立有效的拦截、降污、导流、暂存等工程措施，防止泄漏物、消防废水等进入园区外环境。建立园区环境应急监测机制，强化园区风险防控。制定园区环境风险事故防范和应急预案并定期更新。化学工业加强重大环境风险源的风险管控，构建区域环境风险联防联控机制，建立突发环境事故状态下的应急监测与人员疏散联动机制。</w:t>
                  </w:r>
                </w:p>
                <w:p w14:paraId="72A04216">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2、依法严查向滩涂、坑塘、废弃矿井、渗坑渗井等非法排污的环境违法行为。</w:t>
                  </w:r>
                </w:p>
                <w:p w14:paraId="0308976C">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3、实行排污许可重点管理的排污单位，应当依法安装、使用、维护污染物排放自动监测设备，并与生态环境主管部门的监控设备联网。</w:t>
                  </w:r>
                </w:p>
                <w:p w14:paraId="4852E174">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4、规范项目台账，化工园区与城市建成区、人口密集区、重要设施等防护目标之间保持足够的安全防护距离，留有适当的缓冲带，加强日常环境风险监管。</w:t>
                  </w:r>
                </w:p>
              </w:tc>
              <w:tc>
                <w:tcPr>
                  <w:tcW w:w="1718" w:type="dxa"/>
                  <w:noWrap w:val="0"/>
                  <w:vAlign w:val="center"/>
                </w:tcPr>
                <w:p w14:paraId="555B3E5F">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本项目在采取环评要求的防范措施和应急处置措施后，环境风险事故影响范围主要集中于厂区，环境风险在可接受范围之内。</w:t>
                  </w:r>
                </w:p>
              </w:tc>
              <w:tc>
                <w:tcPr>
                  <w:tcW w:w="477" w:type="dxa"/>
                  <w:noWrap w:val="0"/>
                  <w:vAlign w:val="center"/>
                </w:tcPr>
                <w:p w14:paraId="2B3DF99D">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符合</w:t>
                  </w:r>
                </w:p>
              </w:tc>
            </w:tr>
            <w:tr w14:paraId="0EE33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6" w:type="dxa"/>
                  <w:vMerge w:val="continue"/>
                  <w:noWrap w:val="0"/>
                  <w:vAlign w:val="center"/>
                </w:tcPr>
                <w:p w14:paraId="279FF8A0">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p>
              </w:tc>
              <w:tc>
                <w:tcPr>
                  <w:tcW w:w="807" w:type="dxa"/>
                  <w:vMerge w:val="continue"/>
                  <w:noWrap w:val="0"/>
                  <w:vAlign w:val="center"/>
                </w:tcPr>
                <w:p w14:paraId="2476B13F">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p>
              </w:tc>
              <w:tc>
                <w:tcPr>
                  <w:tcW w:w="477" w:type="dxa"/>
                  <w:noWrap w:val="0"/>
                  <w:vAlign w:val="center"/>
                </w:tcPr>
                <w:p w14:paraId="1ECC0F85">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资源利用效率要求</w:t>
                  </w:r>
                </w:p>
              </w:tc>
              <w:tc>
                <w:tcPr>
                  <w:tcW w:w="3218" w:type="dxa"/>
                  <w:noWrap w:val="0"/>
                  <w:vAlign w:val="center"/>
                </w:tcPr>
                <w:p w14:paraId="405F1374">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1、新建、改建、扩建的高耗水工业项目，禁止擅自使用地下水，优先配置利用中水水等作为生产水源。</w:t>
                  </w:r>
                </w:p>
                <w:p w14:paraId="435DF05A">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2、加强对已建成高污染、高耗水、高耗能项目的监管，有节能节水减排潜力的项目要升级改造，单位产品物耗、能耗、水耗等鼓励逐步达到清洁生产先进水平。</w:t>
                  </w:r>
                </w:p>
                <w:p w14:paraId="679E4078">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lang w:val="en-US" w:eastAsia="zh-CN"/>
                    </w:rPr>
                    <w:t>3、新建、扩建“两高”项目应采用先进适用的工艺技术和装备，单位产品物耗、能耗、水耗等达到清洁生产先进水平，依法制定并严格落实防治土壤与地下水污染的措施。</w:t>
                  </w:r>
                </w:p>
              </w:tc>
              <w:tc>
                <w:tcPr>
                  <w:tcW w:w="1718" w:type="dxa"/>
                  <w:noWrap w:val="0"/>
                  <w:vAlign w:val="center"/>
                </w:tcPr>
                <w:p w14:paraId="1CD22EEC">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w:t>
                  </w:r>
                  <w:r>
                    <w:rPr>
                      <w:rFonts w:hint="default" w:ascii="Times New Roman" w:hAnsi="Times New Roman" w:eastAsia="宋体" w:cs="Times New Roman"/>
                      <w:color w:val="0000FF"/>
                      <w:kern w:val="0"/>
                      <w:sz w:val="21"/>
                      <w:szCs w:val="21"/>
                      <w:highlight w:val="none"/>
                      <w:lang w:val="en-US" w:eastAsia="zh-CN"/>
                    </w:rPr>
                    <w:t>本项目不属于高耗水工业项目。</w:t>
                  </w:r>
                </w:p>
                <w:p w14:paraId="38548D59">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lang w:val="en-US" w:eastAsia="zh-CN"/>
                    </w:rPr>
                    <w:t>2、</w:t>
                  </w:r>
                  <w:r>
                    <w:rPr>
                      <w:rFonts w:hint="default" w:ascii="Times New Roman" w:hAnsi="Times New Roman" w:eastAsia="宋体" w:cs="Times New Roman"/>
                      <w:color w:val="0000FF"/>
                      <w:sz w:val="21"/>
                      <w:szCs w:val="21"/>
                      <w:highlight w:val="none"/>
                    </w:rPr>
                    <w:t>本项目</w:t>
                  </w:r>
                  <w:r>
                    <w:rPr>
                      <w:rFonts w:hint="default" w:ascii="Times New Roman" w:hAnsi="Times New Roman" w:eastAsia="宋体" w:cs="Times New Roman"/>
                      <w:color w:val="0000FF"/>
                      <w:kern w:val="0"/>
                      <w:sz w:val="21"/>
                      <w:szCs w:val="21"/>
                      <w:highlight w:val="none"/>
                      <w:lang w:val="en-US" w:eastAsia="zh-CN"/>
                    </w:rPr>
                    <w:t>不属于高污染、高耗水、高耗能项目</w:t>
                  </w:r>
                  <w:r>
                    <w:rPr>
                      <w:rFonts w:hint="default" w:ascii="Times New Roman" w:hAnsi="Times New Roman" w:eastAsia="宋体" w:cs="Times New Roman"/>
                      <w:color w:val="0000FF"/>
                      <w:sz w:val="21"/>
                      <w:szCs w:val="21"/>
                      <w:highlight w:val="none"/>
                      <w:lang w:eastAsia="zh-CN"/>
                    </w:rPr>
                    <w:t>。</w:t>
                  </w:r>
                </w:p>
                <w:p w14:paraId="565EAA8F">
                  <w:pPr>
                    <w:keepNext w:val="0"/>
                    <w:keepLines w:val="0"/>
                    <w:pageBreakBefore w:val="0"/>
                    <w:suppressLineNumbers w:val="0"/>
                    <w:shd w:val="clear"/>
                    <w:kinsoku/>
                    <w:wordWrap/>
                    <w:overflowPunct/>
                    <w:topLinePunct w:val="0"/>
                    <w:autoSpaceDE/>
                    <w:autoSpaceDN/>
                    <w:bidi w:val="0"/>
                    <w:adjustRightInd/>
                    <w:snapToGrid/>
                    <w:spacing w:beforeAutospacing="0" w:afterAutospacing="0"/>
                    <w:ind w:left="0" w:leftChars="0" w:right="0" w:rightChars="0" w:firstLine="420" w:firstLineChars="200"/>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lang w:val="en-US" w:eastAsia="zh-CN"/>
                    </w:rPr>
                    <w:t>3、</w:t>
                  </w:r>
                  <w:r>
                    <w:rPr>
                      <w:rFonts w:hint="default" w:ascii="Times New Roman" w:hAnsi="Times New Roman" w:eastAsia="宋体" w:cs="Times New Roman"/>
                      <w:color w:val="0000FF"/>
                      <w:sz w:val="21"/>
                      <w:szCs w:val="21"/>
                      <w:highlight w:val="none"/>
                    </w:rPr>
                    <w:t>本项目</w:t>
                  </w:r>
                  <w:r>
                    <w:rPr>
                      <w:rFonts w:hint="default" w:ascii="Times New Roman" w:hAnsi="Times New Roman" w:eastAsia="宋体" w:cs="Times New Roman"/>
                      <w:color w:val="0000FF"/>
                      <w:kern w:val="0"/>
                      <w:sz w:val="21"/>
                      <w:szCs w:val="21"/>
                      <w:highlight w:val="none"/>
                      <w:lang w:val="en-US" w:eastAsia="zh-CN"/>
                    </w:rPr>
                    <w:t>不属于“两高”项目</w:t>
                  </w:r>
                  <w:r>
                    <w:rPr>
                      <w:rFonts w:hint="default" w:ascii="Times New Roman" w:hAnsi="Times New Roman" w:eastAsia="宋体" w:cs="Times New Roman"/>
                      <w:color w:val="0000FF"/>
                      <w:sz w:val="21"/>
                      <w:szCs w:val="21"/>
                      <w:highlight w:val="none"/>
                      <w:lang w:eastAsia="zh-CN"/>
                    </w:rPr>
                    <w:t>。</w:t>
                  </w:r>
                </w:p>
              </w:tc>
              <w:tc>
                <w:tcPr>
                  <w:tcW w:w="477" w:type="dxa"/>
                  <w:noWrap w:val="0"/>
                  <w:vAlign w:val="center"/>
                </w:tcPr>
                <w:p w14:paraId="276E6ACC">
                  <w:pPr>
                    <w:keepNext w:val="0"/>
                    <w:keepLines w:val="0"/>
                    <w:pageBreakBefore w:val="0"/>
                    <w:suppressLineNumbers w:val="0"/>
                    <w:shd w:val="clear"/>
                    <w:wordWrap/>
                    <w:bidi w:val="0"/>
                    <w:spacing w:beforeAutospacing="0" w:afterAutospacing="0"/>
                    <w:ind w:left="0" w:leftChars="0" w:right="0" w:rightChars="0"/>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符合</w:t>
                  </w:r>
                </w:p>
              </w:tc>
            </w:tr>
          </w:tbl>
          <w:p w14:paraId="775E1A9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0000FF"/>
                <w:sz w:val="24"/>
                <w:szCs w:val="32"/>
              </w:rPr>
              <w:t>根据《巴彦淖尔市人民政府办公生活区关于巴彦淖尔市2023年生态环境分区管控成果动态更新的通知》（巴政办字〔2023〕106号）</w:t>
            </w:r>
            <w:r>
              <w:rPr>
                <w:rFonts w:hint="default" w:ascii="Times New Roman" w:hAnsi="Times New Roman" w:eastAsia="宋体" w:cs="Times New Roman"/>
                <w:color w:val="7030A0"/>
                <w:sz w:val="24"/>
                <w:szCs w:val="32"/>
              </w:rPr>
              <w:t>，本项目</w:t>
            </w:r>
            <w:r>
              <w:rPr>
                <w:rFonts w:hint="default" w:ascii="Times New Roman" w:hAnsi="Times New Roman" w:eastAsia="宋体" w:cs="Times New Roman"/>
                <w:color w:val="7030A0"/>
                <w:sz w:val="24"/>
                <w:szCs w:val="32"/>
                <w:lang w:val="en-US" w:eastAsia="zh-CN"/>
              </w:rPr>
              <w:t>位</w:t>
            </w:r>
            <w:r>
              <w:rPr>
                <w:rFonts w:hint="default" w:ascii="Times New Roman" w:hAnsi="Times New Roman" w:eastAsia="宋体" w:cs="Times New Roman"/>
                <w:color w:val="7030A0"/>
                <w:sz w:val="24"/>
                <w:szCs w:val="32"/>
              </w:rPr>
              <w:t>于</w:t>
            </w:r>
            <w:r>
              <w:rPr>
                <w:rFonts w:hint="default" w:ascii="Times New Roman" w:hAnsi="Times New Roman" w:eastAsia="宋体" w:cs="Times New Roman"/>
                <w:color w:val="7030A0"/>
                <w:sz w:val="24"/>
                <w:szCs w:val="32"/>
                <w:lang w:val="en-US" w:eastAsia="zh-CN"/>
              </w:rPr>
              <w:t>巴彦淖尔甘其毛都口岸加工园区环境管控单元</w:t>
            </w:r>
            <w:r>
              <w:rPr>
                <w:rFonts w:hint="default" w:ascii="Times New Roman" w:hAnsi="Times New Roman" w:eastAsia="宋体" w:cs="Times New Roman"/>
                <w:color w:val="7030A0"/>
                <w:sz w:val="24"/>
                <w:szCs w:val="32"/>
              </w:rPr>
              <w:t>，</w:t>
            </w:r>
            <w:r>
              <w:rPr>
                <w:rFonts w:hint="default" w:ascii="Times New Roman" w:hAnsi="Times New Roman" w:eastAsia="宋体" w:cs="Times New Roman"/>
                <w:color w:val="auto"/>
                <w:sz w:val="24"/>
                <w:szCs w:val="32"/>
              </w:rPr>
              <w:t>管控单元类别为</w:t>
            </w:r>
            <w:r>
              <w:rPr>
                <w:rFonts w:hint="default" w:ascii="Times New Roman" w:hAnsi="Times New Roman" w:eastAsia="宋体" w:cs="Times New Roman"/>
                <w:color w:val="auto"/>
                <w:sz w:val="24"/>
                <w:szCs w:val="32"/>
                <w:lang w:eastAsia="zh-CN"/>
              </w:rPr>
              <w:t>重点管控单元</w:t>
            </w:r>
            <w:r>
              <w:rPr>
                <w:rFonts w:hint="default" w:ascii="Times New Roman" w:hAnsi="Times New Roman" w:eastAsia="宋体" w:cs="Times New Roman"/>
                <w:color w:val="auto"/>
                <w:sz w:val="24"/>
                <w:szCs w:val="32"/>
              </w:rPr>
              <w:t>，环境管控单元编码</w:t>
            </w:r>
            <w:r>
              <w:rPr>
                <w:rFonts w:hint="default" w:ascii="Times New Roman" w:hAnsi="Times New Roman" w:eastAsia="宋体" w:cs="Times New Roman"/>
                <w:color w:val="auto"/>
                <w:sz w:val="24"/>
                <w:szCs w:val="32"/>
                <w:lang w:eastAsia="zh-CN"/>
              </w:rPr>
              <w:t>ZH15082420001</w:t>
            </w:r>
            <w:r>
              <w:rPr>
                <w:rFonts w:hint="default" w:ascii="Times New Roman" w:hAnsi="Times New Roman" w:eastAsia="宋体" w:cs="Times New Roman"/>
                <w:color w:val="auto"/>
                <w:sz w:val="24"/>
                <w:szCs w:val="32"/>
              </w:rPr>
              <w:t>，从空间布局约束、污染物排放管控、环境风险防控、资源利用效率要求等方面分析，本项目</w:t>
            </w:r>
            <w:r>
              <w:rPr>
                <w:rFonts w:hint="default" w:ascii="Times New Roman" w:hAnsi="Times New Roman" w:eastAsia="宋体" w:cs="Times New Roman"/>
                <w:color w:val="auto"/>
                <w:sz w:val="24"/>
                <w:szCs w:val="32"/>
                <w:lang w:eastAsia="zh-CN"/>
              </w:rPr>
              <w:t>配套设置</w:t>
            </w:r>
            <w:r>
              <w:rPr>
                <w:rFonts w:hint="default" w:ascii="Times New Roman" w:hAnsi="Times New Roman" w:eastAsia="宋体" w:cs="Times New Roman"/>
                <w:color w:val="auto"/>
                <w:sz w:val="24"/>
                <w:szCs w:val="32"/>
              </w:rPr>
              <w:t>环保措施，环境影响及环境风险可控。</w:t>
            </w:r>
          </w:p>
          <w:p w14:paraId="5A21140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因此，本项目符合</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rPr>
              <w:t>三线一单</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rPr>
              <w:t>管控要求</w:t>
            </w:r>
            <w:r>
              <w:rPr>
                <w:rFonts w:hint="default" w:ascii="Times New Roman" w:hAnsi="Times New Roman" w:eastAsia="宋体" w:cs="Times New Roman"/>
                <w:color w:val="auto"/>
                <w:sz w:val="24"/>
                <w:szCs w:val="32"/>
                <w:lang w:eastAsia="zh-CN"/>
              </w:rPr>
              <w:t>。</w:t>
            </w:r>
          </w:p>
          <w:p w14:paraId="746A6CD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2" w:firstLineChars="200"/>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3</w:t>
            </w:r>
            <w:r>
              <w:rPr>
                <w:rFonts w:hint="default" w:ascii="Times New Roman" w:hAnsi="Times New Roman" w:eastAsia="宋体" w:cs="Times New Roman"/>
                <w:b/>
                <w:bCs/>
                <w:color w:val="auto"/>
                <w:sz w:val="24"/>
                <w:szCs w:val="32"/>
              </w:rPr>
              <w:t>、项目选址的合理性分析</w:t>
            </w:r>
          </w:p>
          <w:p w14:paraId="09935A5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0000FF"/>
                <w:sz w:val="24"/>
                <w:szCs w:val="32"/>
                <w:lang w:val="en-US"/>
              </w:rPr>
            </w:pPr>
            <w:r>
              <w:rPr>
                <w:rFonts w:hint="default" w:ascii="Times New Roman" w:hAnsi="Times New Roman" w:eastAsia="宋体" w:cs="Times New Roman"/>
                <w:color w:val="0000FF"/>
                <w:sz w:val="24"/>
                <w:szCs w:val="32"/>
              </w:rPr>
              <w:t>本项目位于</w:t>
            </w:r>
            <w:r>
              <w:rPr>
                <w:rFonts w:hint="default" w:ascii="Times New Roman" w:hAnsi="Times New Roman" w:eastAsia="宋体" w:cs="Times New Roman"/>
                <w:color w:val="0000FF"/>
                <w:sz w:val="24"/>
                <w:szCs w:val="32"/>
                <w:lang w:eastAsia="zh-CN"/>
              </w:rPr>
              <w:t>巴彦淖尔市乌拉特中旗甘其毛都口岸加工园区新型化工产业板块</w:t>
            </w:r>
            <w:r>
              <w:rPr>
                <w:rFonts w:hint="default" w:ascii="Times New Roman" w:hAnsi="Times New Roman" w:eastAsia="宋体" w:cs="Times New Roman"/>
                <w:color w:val="0000FF"/>
                <w:sz w:val="24"/>
                <w:szCs w:val="32"/>
              </w:rPr>
              <w:t>，</w:t>
            </w:r>
            <w:r>
              <w:rPr>
                <w:rFonts w:hint="default" w:ascii="Times New Roman" w:hAnsi="Times New Roman" w:eastAsia="宋体" w:cs="Times New Roman"/>
                <w:color w:val="0000FF"/>
                <w:sz w:val="24"/>
                <w:szCs w:val="32"/>
                <w:lang w:val="en-US" w:eastAsia="zh-CN"/>
              </w:rPr>
              <w:t>根据内蒙古自治区工业和信息化厅颁发的</w:t>
            </w:r>
            <w:r>
              <w:rPr>
                <w:rFonts w:hint="default" w:ascii="Times New Roman" w:hAnsi="Times New Roman" w:eastAsia="宋体" w:cs="Times New Roman"/>
                <w:color w:val="0000FF"/>
                <w:sz w:val="24"/>
                <w:szCs w:val="32"/>
              </w:rPr>
              <w:t>《关于印发实施《内蒙古自治区工业园区审核公告目录》的通知》（内工信园区字〔2024〕87号）</w:t>
            </w:r>
            <w:r>
              <w:rPr>
                <w:rFonts w:hint="default" w:ascii="Times New Roman" w:hAnsi="Times New Roman" w:eastAsia="宋体" w:cs="Times New Roman"/>
                <w:color w:val="0000FF"/>
                <w:sz w:val="24"/>
                <w:szCs w:val="32"/>
                <w:lang w:eastAsia="zh-CN"/>
              </w:rPr>
              <w:t>，巴彦淖尔甘其毛都口岸加工园区主导产业</w:t>
            </w:r>
            <w:r>
              <w:rPr>
                <w:rFonts w:hint="default" w:ascii="Times New Roman" w:hAnsi="Times New Roman" w:eastAsia="宋体" w:cs="Times New Roman"/>
                <w:color w:val="0000FF"/>
                <w:sz w:val="24"/>
                <w:szCs w:val="32"/>
                <w:lang w:val="en-US" w:eastAsia="zh-CN"/>
              </w:rPr>
              <w:t>为“化工、冶金、新材料”，本项目属于工业气体储存、经营企业，属于园区内工业企业上下游配套服务，符合甘其毛都口岸加工园区总体规划。</w:t>
            </w:r>
          </w:p>
          <w:p w14:paraId="4C84693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val="en-US" w:eastAsia="zh-CN"/>
              </w:rPr>
              <w:t>项目厂区</w:t>
            </w:r>
            <w:r>
              <w:rPr>
                <w:rFonts w:hint="default" w:ascii="Times New Roman" w:hAnsi="Times New Roman" w:eastAsia="宋体" w:cs="Times New Roman"/>
                <w:color w:val="auto"/>
                <w:sz w:val="24"/>
                <w:szCs w:val="32"/>
              </w:rPr>
              <w:t>西邻内蒙古寰创橡胶科技有限公司，南邻园区中轴路</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rPr>
              <w:t>北至纬二路，东侧</w:t>
            </w:r>
            <w:r>
              <w:rPr>
                <w:rFonts w:hint="default" w:ascii="Times New Roman" w:hAnsi="Times New Roman" w:eastAsia="宋体" w:cs="Times New Roman"/>
                <w:color w:val="auto"/>
                <w:sz w:val="24"/>
                <w:szCs w:val="32"/>
                <w:lang w:eastAsia="zh-CN"/>
              </w:rPr>
              <w:t>为空地</w:t>
            </w:r>
            <w:r>
              <w:rPr>
                <w:rFonts w:hint="default" w:ascii="Times New Roman" w:hAnsi="Times New Roman" w:eastAsia="宋体" w:cs="Times New Roman"/>
                <w:color w:val="auto"/>
                <w:sz w:val="24"/>
                <w:szCs w:val="32"/>
              </w:rPr>
              <w:t>。</w:t>
            </w:r>
          </w:p>
          <w:p w14:paraId="5AC2E3E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项目周边500m范围内无自然保护区、风景名胜区、集中式饮用水水源地及其他需要特殊保护的区域，周边无保护目标，且不在当地生态保护红线内。</w:t>
            </w:r>
          </w:p>
          <w:p w14:paraId="7AD8E3E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根据环境影响分析内容可知，项目营运过程中</w:t>
            </w:r>
            <w:r>
              <w:rPr>
                <w:rFonts w:hint="default" w:ascii="Times New Roman" w:hAnsi="Times New Roman" w:eastAsia="宋体" w:cs="Times New Roman"/>
                <w:color w:val="auto"/>
                <w:sz w:val="24"/>
                <w:szCs w:val="32"/>
                <w:lang w:val="en-US" w:eastAsia="zh-CN"/>
              </w:rPr>
              <w:t>产生的</w:t>
            </w:r>
            <w:r>
              <w:rPr>
                <w:rFonts w:hint="default" w:ascii="Times New Roman" w:hAnsi="Times New Roman" w:eastAsia="宋体" w:cs="Times New Roman"/>
                <w:color w:val="auto"/>
                <w:sz w:val="24"/>
                <w:szCs w:val="32"/>
              </w:rPr>
              <w:t>氧气、氮气、氩气</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二氧化碳</w:t>
            </w:r>
            <w:r>
              <w:rPr>
                <w:rFonts w:hint="default" w:ascii="Times New Roman" w:hAnsi="Times New Roman" w:eastAsia="宋体" w:cs="Times New Roman"/>
                <w:color w:val="auto"/>
                <w:sz w:val="24"/>
                <w:szCs w:val="32"/>
              </w:rPr>
              <w:t>等均属于自然空气组分，无有毒有害成分，不属于废气污染物，对周围环境影响较小</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挥发性有机废气</w:t>
            </w:r>
            <w:r>
              <w:rPr>
                <w:rFonts w:hint="default" w:ascii="Times New Roman" w:hAnsi="Times New Roman" w:eastAsia="宋体" w:cs="Times New Roman"/>
                <w:color w:val="0000FF"/>
                <w:sz w:val="24"/>
                <w:szCs w:val="32"/>
                <w:lang w:val="en-US" w:eastAsia="zh-CN"/>
              </w:rPr>
              <w:t>（以非甲烷总烃计）</w:t>
            </w:r>
            <w:r>
              <w:rPr>
                <w:rFonts w:hint="default" w:ascii="Times New Roman" w:hAnsi="Times New Roman" w:eastAsia="宋体" w:cs="Times New Roman"/>
                <w:color w:val="auto"/>
                <w:sz w:val="24"/>
                <w:szCs w:val="32"/>
                <w:lang w:val="en-US" w:eastAsia="zh-CN"/>
              </w:rPr>
              <w:t>产生量较少，对周围环境影响较小；</w:t>
            </w:r>
            <w:r>
              <w:rPr>
                <w:rFonts w:hint="default" w:ascii="Times New Roman" w:hAnsi="Times New Roman" w:eastAsia="宋体" w:cs="Times New Roman"/>
                <w:color w:val="auto"/>
                <w:sz w:val="24"/>
                <w:szCs w:val="32"/>
              </w:rPr>
              <w:t>营运过程</w:t>
            </w:r>
            <w:r>
              <w:rPr>
                <w:rFonts w:hint="default" w:ascii="Times New Roman" w:hAnsi="Times New Roman" w:eastAsia="宋体" w:cs="Times New Roman"/>
                <w:color w:val="auto"/>
                <w:sz w:val="24"/>
                <w:szCs w:val="32"/>
                <w:lang w:val="en-US" w:eastAsia="zh-CN"/>
              </w:rPr>
              <w:t>中无生产废水产生，生活污水经化粪池处理后，经园区污水管网进入</w:t>
            </w:r>
            <w:r>
              <w:rPr>
                <w:rFonts w:hint="eastAsia" w:ascii="Times New Roman" w:hAnsi="Times New Roman" w:eastAsia="宋体" w:cs="Times New Roman"/>
                <w:color w:val="auto"/>
                <w:sz w:val="24"/>
                <w:szCs w:val="32"/>
                <w:lang w:val="en-US" w:eastAsia="zh-CN"/>
              </w:rPr>
              <w:t>甘其毛都口岸加工园区工业污水处理厂</w:t>
            </w:r>
            <w:r>
              <w:rPr>
                <w:rFonts w:hint="default" w:ascii="Times New Roman" w:hAnsi="Times New Roman" w:eastAsia="宋体" w:cs="Times New Roman"/>
                <w:color w:val="auto"/>
                <w:sz w:val="24"/>
                <w:szCs w:val="32"/>
                <w:lang w:val="en-US" w:eastAsia="zh-CN"/>
              </w:rPr>
              <w:t>处理；</w:t>
            </w:r>
            <w:r>
              <w:rPr>
                <w:rFonts w:hint="default" w:ascii="Times New Roman" w:hAnsi="Times New Roman" w:eastAsia="宋体" w:cs="Times New Roman"/>
                <w:color w:val="auto"/>
                <w:sz w:val="24"/>
                <w:szCs w:val="32"/>
              </w:rPr>
              <w:t>产生固体废物、噪声等经过厂区设置的各种处理措施处理后，均可达标排放或妥善处置，对周边环境影响较小。</w:t>
            </w:r>
          </w:p>
          <w:p w14:paraId="1EC3880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color w:val="auto"/>
                <w:sz w:val="24"/>
                <w:szCs w:val="32"/>
                <w:lang w:eastAsia="zh-CN"/>
              </w:rPr>
            </w:pPr>
            <w:r>
              <w:rPr>
                <w:rFonts w:hint="default" w:ascii="Times New Roman" w:hAnsi="Times New Roman" w:eastAsia="宋体" w:cs="Times New Roman"/>
                <w:color w:val="auto"/>
                <w:sz w:val="24"/>
                <w:szCs w:val="32"/>
              </w:rPr>
              <w:t>因此，本环评认为项目选址从环保的角度可行。</w:t>
            </w:r>
          </w:p>
          <w:p w14:paraId="3167D943">
            <w:pPr>
              <w:keepNext w:val="0"/>
              <w:keepLines w:val="0"/>
              <w:pageBreakBefore w:val="0"/>
              <w:suppressLineNumbers w:val="0"/>
              <w:shd w:val="clear"/>
              <w:wordWrap/>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z w:val="24"/>
                <w:szCs w:val="24"/>
                <w:highlight w:val="none"/>
              </w:rPr>
            </w:pPr>
          </w:p>
          <w:p w14:paraId="02775B7B">
            <w:pPr>
              <w:keepNext w:val="0"/>
              <w:keepLines w:val="0"/>
              <w:pageBreakBefore w:val="0"/>
              <w:suppressLineNumbers w:val="0"/>
              <w:shd w:val="clear"/>
              <w:wordWrap/>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highlight w:val="none"/>
                <w:vertAlign w:val="baseline"/>
                <w:lang w:val="en-US" w:eastAsia="zh-CN"/>
              </w:rPr>
            </w:pPr>
          </w:p>
        </w:tc>
      </w:tr>
    </w:tbl>
    <w:p w14:paraId="50FA7908">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pPr>
    </w:p>
    <w:p w14:paraId="32F0DCA1">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sectPr>
          <w:footerReference r:id="rId3" w:type="default"/>
          <w:pgSz w:w="11906" w:h="16838"/>
          <w:pgMar w:top="1440" w:right="1800" w:bottom="1440" w:left="1800" w:header="851" w:footer="992" w:gutter="0"/>
          <w:pgNumType w:fmt="decimal" w:start="1"/>
          <w:cols w:space="425" w:num="1"/>
          <w:docGrid w:type="lines" w:linePitch="312" w:charSpace="0"/>
        </w:sectPr>
      </w:pPr>
    </w:p>
    <w:p w14:paraId="0B7912F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二、建设项目工程分析</w:t>
      </w:r>
    </w:p>
    <w:tbl>
      <w:tblPr>
        <w:tblStyle w:val="3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8424"/>
      </w:tblGrid>
      <w:tr w14:paraId="61348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647" w:type="dxa"/>
            <w:vAlign w:val="center"/>
          </w:tcPr>
          <w:p w14:paraId="3613421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建设内容</w:t>
            </w:r>
          </w:p>
        </w:tc>
        <w:tc>
          <w:tcPr>
            <w:tcW w:w="8424" w:type="dxa"/>
            <w:vAlign w:val="center"/>
          </w:tcPr>
          <w:p w14:paraId="486198C1">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rPr>
              <w:t>、建设项目概况</w:t>
            </w:r>
          </w:p>
          <w:p w14:paraId="793811EA">
            <w:pPr>
              <w:keepNext w:val="0"/>
              <w:keepLines w:val="0"/>
              <w:pageBreakBefore w:val="0"/>
              <w:widowControl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（1）项目名称：</w:t>
            </w:r>
            <w:r>
              <w:rPr>
                <w:rFonts w:hint="default" w:ascii="Times New Roman" w:hAnsi="Times New Roman" w:eastAsia="宋体" w:cs="Times New Roman"/>
                <w:color w:val="auto"/>
                <w:sz w:val="24"/>
                <w:szCs w:val="24"/>
                <w:lang w:eastAsia="zh-CN"/>
              </w:rPr>
              <w:t>乌拉特中旗福顺氧气供应有限公司工业气体及特种气体、标准气体储存充装项目</w:t>
            </w:r>
            <w:r>
              <w:rPr>
                <w:rFonts w:hint="default" w:ascii="Times New Roman" w:hAnsi="Times New Roman" w:eastAsia="宋体" w:cs="Times New Roman"/>
                <w:color w:val="auto"/>
                <w:sz w:val="24"/>
                <w:szCs w:val="24"/>
              </w:rPr>
              <w:t>。</w:t>
            </w:r>
          </w:p>
          <w:p w14:paraId="5B11DDDD">
            <w:pPr>
              <w:keepNext w:val="0"/>
              <w:keepLines w:val="0"/>
              <w:pageBreakBefore w:val="0"/>
              <w:widowControl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（2）建设性质：新建。</w:t>
            </w:r>
          </w:p>
          <w:p w14:paraId="0AA4C2DC">
            <w:pPr>
              <w:keepNext w:val="0"/>
              <w:keepLines w:val="0"/>
              <w:pageBreakBefore w:val="0"/>
              <w:widowControl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（3）建设单位：</w:t>
            </w:r>
            <w:r>
              <w:rPr>
                <w:rFonts w:hint="default" w:ascii="Times New Roman" w:hAnsi="Times New Roman" w:eastAsia="宋体" w:cs="Times New Roman"/>
                <w:color w:val="auto"/>
                <w:sz w:val="24"/>
                <w:szCs w:val="24"/>
                <w:lang w:eastAsia="zh-CN"/>
              </w:rPr>
              <w:t>乌拉特中旗福顺氧气供应有限公司</w:t>
            </w:r>
            <w:r>
              <w:rPr>
                <w:rFonts w:hint="default" w:ascii="Times New Roman" w:hAnsi="Times New Roman" w:eastAsia="宋体" w:cs="Times New Roman"/>
                <w:color w:val="auto"/>
                <w:sz w:val="24"/>
                <w:szCs w:val="24"/>
              </w:rPr>
              <w:t>。</w:t>
            </w:r>
          </w:p>
          <w:p w14:paraId="2EFA03D4">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（4）建设地点：</w:t>
            </w:r>
            <w:r>
              <w:rPr>
                <w:rFonts w:hint="default" w:ascii="Times New Roman" w:hAnsi="Times New Roman" w:eastAsia="宋体" w:cs="Times New Roman"/>
                <w:color w:val="auto"/>
                <w:sz w:val="24"/>
                <w:szCs w:val="24"/>
                <w:lang w:eastAsia="zh-CN"/>
              </w:rPr>
              <w:t>巴彦淖尔市乌拉特中旗甘其毛都口岸加工园区内</w:t>
            </w:r>
            <w:r>
              <w:rPr>
                <w:rFonts w:hint="default" w:ascii="Times New Roman" w:hAnsi="Times New Roman" w:eastAsia="宋体" w:cs="Times New Roman"/>
                <w:color w:val="auto"/>
                <w:sz w:val="24"/>
                <w:szCs w:val="24"/>
              </w:rPr>
              <w:t>，坐标：</w:t>
            </w:r>
            <w:r>
              <w:rPr>
                <w:rFonts w:hint="default" w:ascii="Times New Roman" w:hAnsi="Times New Roman" w:eastAsia="宋体" w:cs="Times New Roman"/>
                <w:b w:val="0"/>
                <w:bCs w:val="0"/>
                <w:color w:val="auto"/>
                <w:sz w:val="24"/>
                <w:szCs w:val="24"/>
                <w:vertAlign w:val="baseline"/>
              </w:rPr>
              <w:t>东经</w:t>
            </w:r>
            <w:r>
              <w:rPr>
                <w:rFonts w:hint="default" w:ascii="Times New Roman" w:hAnsi="Times New Roman" w:eastAsia="宋体" w:cs="Times New Roman"/>
                <w:b w:val="0"/>
                <w:bCs w:val="0"/>
                <w:color w:val="auto"/>
                <w:sz w:val="24"/>
                <w:szCs w:val="24"/>
                <w:vertAlign w:val="baseline"/>
                <w:lang w:eastAsia="zh-CN"/>
              </w:rPr>
              <w:t>108°31′32.732″</w:t>
            </w:r>
            <w:r>
              <w:rPr>
                <w:rFonts w:hint="default" w:ascii="Times New Roman" w:hAnsi="Times New Roman" w:eastAsia="宋体" w:cs="Times New Roman"/>
                <w:b w:val="0"/>
                <w:bCs w:val="0"/>
                <w:color w:val="auto"/>
                <w:sz w:val="24"/>
                <w:szCs w:val="24"/>
                <w:vertAlign w:val="baseline"/>
              </w:rPr>
              <w:t>；北纬</w:t>
            </w:r>
            <w:r>
              <w:rPr>
                <w:rFonts w:hint="default" w:ascii="Times New Roman" w:hAnsi="Times New Roman" w:eastAsia="宋体" w:cs="Times New Roman"/>
                <w:b w:val="0"/>
                <w:bCs w:val="0"/>
                <w:color w:val="auto"/>
                <w:sz w:val="24"/>
                <w:szCs w:val="24"/>
                <w:vertAlign w:val="baseline"/>
                <w:lang w:eastAsia="zh-CN"/>
              </w:rPr>
              <w:t>41°17′59.285″</w:t>
            </w:r>
            <w:r>
              <w:rPr>
                <w:rFonts w:hint="default" w:ascii="Times New Roman" w:hAnsi="Times New Roman" w:eastAsia="宋体" w:cs="Times New Roman"/>
                <w:color w:val="auto"/>
                <w:sz w:val="24"/>
                <w:szCs w:val="24"/>
              </w:rPr>
              <w:t>。地理位置图见附图1</w:t>
            </w:r>
            <w:r>
              <w:rPr>
                <w:rFonts w:hint="default" w:ascii="Times New Roman" w:hAnsi="Times New Roman" w:eastAsia="宋体" w:cs="Times New Roman"/>
                <w:color w:val="auto"/>
                <w:sz w:val="24"/>
              </w:rPr>
              <w:t>。</w:t>
            </w:r>
          </w:p>
          <w:p w14:paraId="6DF19F25">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（5）项目投资：总投资</w:t>
            </w:r>
            <w:r>
              <w:rPr>
                <w:rFonts w:hint="default" w:ascii="Times New Roman" w:hAnsi="Times New Roman" w:eastAsia="宋体" w:cs="Times New Roman"/>
                <w:color w:val="auto"/>
                <w:sz w:val="24"/>
                <w:lang w:val="en-US" w:eastAsia="zh-CN"/>
              </w:rPr>
              <w:t>2000</w:t>
            </w:r>
            <w:r>
              <w:rPr>
                <w:rFonts w:hint="default" w:ascii="Times New Roman" w:hAnsi="Times New Roman" w:eastAsia="宋体" w:cs="Times New Roman"/>
                <w:color w:val="auto"/>
                <w:sz w:val="24"/>
              </w:rPr>
              <w:t>万元，其中环保投资为</w:t>
            </w:r>
            <w:r>
              <w:rPr>
                <w:rFonts w:hint="default" w:ascii="Times New Roman" w:hAnsi="Times New Roman" w:eastAsia="宋体" w:cs="Times New Roman"/>
                <w:color w:val="auto"/>
                <w:sz w:val="24"/>
                <w:szCs w:val="24"/>
                <w:lang w:val="en-US" w:eastAsia="zh-CN"/>
              </w:rPr>
              <w:t>87.11</w:t>
            </w:r>
            <w:r>
              <w:rPr>
                <w:rFonts w:hint="default" w:ascii="Times New Roman" w:hAnsi="Times New Roman" w:eastAsia="宋体" w:cs="Times New Roman"/>
                <w:color w:val="auto"/>
                <w:sz w:val="24"/>
              </w:rPr>
              <w:t>万元，占总投资的</w:t>
            </w:r>
            <w:r>
              <w:rPr>
                <w:rFonts w:hint="default" w:ascii="Times New Roman" w:hAnsi="Times New Roman" w:eastAsia="宋体" w:cs="Times New Roman"/>
                <w:color w:val="auto"/>
                <w:sz w:val="24"/>
                <w:lang w:val="en-US" w:eastAsia="zh-CN"/>
              </w:rPr>
              <w:t>4.36</w:t>
            </w:r>
            <w:r>
              <w:rPr>
                <w:rFonts w:hint="default" w:ascii="Times New Roman" w:hAnsi="Times New Roman" w:eastAsia="宋体" w:cs="Times New Roman"/>
                <w:color w:val="auto"/>
                <w:sz w:val="24"/>
              </w:rPr>
              <w:t>%。</w:t>
            </w:r>
          </w:p>
          <w:p w14:paraId="4FF7C45E">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（6）项目四邻关系：项目厂区西邻内蒙古寰创橡胶科技有限公司，南邻园区中轴路，北至纬二路，</w:t>
            </w:r>
            <w:r>
              <w:rPr>
                <w:rFonts w:hint="default" w:ascii="Times New Roman" w:hAnsi="Times New Roman" w:eastAsia="宋体" w:cs="Times New Roman"/>
                <w:color w:val="0000FF"/>
                <w:sz w:val="24"/>
              </w:rPr>
              <w:t>东侧</w:t>
            </w:r>
            <w:r>
              <w:rPr>
                <w:rFonts w:hint="default" w:ascii="Times New Roman" w:hAnsi="Times New Roman" w:eastAsia="宋体" w:cs="Times New Roman"/>
                <w:color w:val="0000FF"/>
                <w:sz w:val="24"/>
                <w:lang w:eastAsia="zh-CN"/>
              </w:rPr>
              <w:t>为空地</w:t>
            </w:r>
            <w:r>
              <w:rPr>
                <w:rFonts w:hint="default" w:ascii="Times New Roman" w:hAnsi="Times New Roman" w:eastAsia="宋体" w:cs="Times New Roman"/>
                <w:color w:val="0000FF"/>
                <w:sz w:val="24"/>
                <w:szCs w:val="24"/>
                <w:highlight w:val="none"/>
                <w:lang w:val="en-US" w:eastAsia="zh-CN"/>
              </w:rPr>
              <w:t>。</w:t>
            </w:r>
            <w:r>
              <w:rPr>
                <w:rFonts w:hint="default" w:ascii="Times New Roman" w:hAnsi="Times New Roman" w:eastAsia="宋体" w:cs="Times New Roman"/>
                <w:color w:val="auto"/>
                <w:sz w:val="24"/>
                <w:lang w:eastAsia="zh-CN"/>
              </w:rPr>
              <w:t>项目厂区四临关系图见附图</w:t>
            </w:r>
            <w:r>
              <w:rPr>
                <w:rFonts w:hint="default" w:ascii="Times New Roman" w:hAnsi="Times New Roman" w:eastAsia="宋体" w:cs="Times New Roman"/>
                <w:color w:val="auto"/>
                <w:sz w:val="24"/>
                <w:lang w:val="en-US" w:eastAsia="zh-CN"/>
              </w:rPr>
              <w:t>2。</w:t>
            </w:r>
          </w:p>
          <w:p w14:paraId="68A94D17">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lang w:eastAsia="zh-CN"/>
              </w:rPr>
              <w:t>）占地面积：本项目占地面积为7874m</w:t>
            </w:r>
            <w:r>
              <w:rPr>
                <w:rFonts w:hint="default"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lang w:eastAsia="zh-CN"/>
              </w:rPr>
              <w:t>。</w:t>
            </w:r>
          </w:p>
          <w:p w14:paraId="0DA1CD34">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建设</w:t>
            </w:r>
            <w:r>
              <w:rPr>
                <w:rFonts w:hint="default" w:ascii="Times New Roman" w:hAnsi="Times New Roman" w:eastAsia="宋体" w:cs="Times New Roman"/>
                <w:color w:val="auto"/>
                <w:sz w:val="24"/>
                <w:lang w:eastAsia="zh-CN"/>
              </w:rPr>
              <w:t>内容：</w:t>
            </w:r>
            <w:r>
              <w:rPr>
                <w:rFonts w:hint="default" w:ascii="Times New Roman" w:hAnsi="Times New Roman" w:eastAsia="宋体" w:cs="Times New Roman"/>
                <w:color w:val="auto"/>
                <w:sz w:val="24"/>
                <w:lang w:val="en-US" w:eastAsia="zh-CN"/>
              </w:rPr>
              <w:t>本项目新建1座工业气体充装车间、1座甲类库房、1座丙烷罐瓶间、1处地埋丙烷储槽区、1处立式储槽区、1栋办公楼、1座消防泵房、1座消防水池。</w:t>
            </w:r>
          </w:p>
          <w:p w14:paraId="64D53CE8">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本项目工程组成见表</w:t>
            </w:r>
            <w:r>
              <w:rPr>
                <w:rFonts w:hint="default" w:ascii="Times New Roman" w:hAnsi="Times New Roman" w:eastAsia="宋体" w:cs="Times New Roman"/>
                <w:color w:val="auto"/>
                <w:sz w:val="24"/>
                <w:lang w:val="en-US" w:eastAsia="zh-CN"/>
              </w:rPr>
              <w:t>2-1</w:t>
            </w:r>
            <w:r>
              <w:rPr>
                <w:rFonts w:hint="default" w:ascii="Times New Roman" w:hAnsi="Times New Roman" w:eastAsia="宋体" w:cs="Times New Roman"/>
                <w:color w:val="auto"/>
                <w:sz w:val="24"/>
              </w:rPr>
              <w:t>。</w:t>
            </w:r>
          </w:p>
          <w:p w14:paraId="1C17BD2F">
            <w:pPr>
              <w:keepNext w:val="0"/>
              <w:pageBreakBefore w:val="0"/>
              <w:wordWrap/>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2-1  </w:t>
            </w:r>
            <w:r>
              <w:rPr>
                <w:rFonts w:hint="default" w:ascii="Times New Roman" w:hAnsi="Times New Roman" w:eastAsia="宋体" w:cs="Times New Roman"/>
                <w:b/>
                <w:bCs/>
                <w:color w:val="auto"/>
                <w:sz w:val="24"/>
                <w:szCs w:val="32"/>
              </w:rPr>
              <w:t>项目工程组成一览表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758"/>
              <w:gridCol w:w="1085"/>
              <w:gridCol w:w="5545"/>
            </w:tblGrid>
            <w:tr w14:paraId="17E5C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noWrap w:val="0"/>
                  <w:vAlign w:val="center"/>
                </w:tcPr>
                <w:p w14:paraId="2518445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工程组成</w:t>
                  </w:r>
                </w:p>
              </w:tc>
              <w:tc>
                <w:tcPr>
                  <w:tcW w:w="1843" w:type="dxa"/>
                  <w:gridSpan w:val="2"/>
                  <w:noWrap w:val="0"/>
                  <w:vAlign w:val="center"/>
                </w:tcPr>
                <w:p w14:paraId="44E19C3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工程名称</w:t>
                  </w:r>
                </w:p>
              </w:tc>
              <w:tc>
                <w:tcPr>
                  <w:tcW w:w="5545" w:type="dxa"/>
                  <w:noWrap w:val="0"/>
                  <w:vAlign w:val="center"/>
                </w:tcPr>
                <w:p w14:paraId="1FFDA7A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建设内容</w:t>
                  </w:r>
                </w:p>
              </w:tc>
            </w:tr>
            <w:tr w14:paraId="596B8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restart"/>
                  <w:noWrap w:val="0"/>
                  <w:vAlign w:val="center"/>
                </w:tcPr>
                <w:p w14:paraId="00353DF8">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主体工程</w:t>
                  </w:r>
                </w:p>
              </w:tc>
              <w:tc>
                <w:tcPr>
                  <w:tcW w:w="1843" w:type="dxa"/>
                  <w:gridSpan w:val="2"/>
                  <w:noWrap w:val="0"/>
                  <w:vAlign w:val="center"/>
                </w:tcPr>
                <w:p w14:paraId="5AD18A5F">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工业气体</w:t>
                  </w:r>
                  <w:r>
                    <w:rPr>
                      <w:rFonts w:hint="default" w:ascii="Times New Roman" w:hAnsi="Times New Roman" w:eastAsia="宋体" w:cs="Times New Roman"/>
                      <w:bCs/>
                      <w:color w:val="auto"/>
                      <w:sz w:val="21"/>
                      <w:szCs w:val="21"/>
                      <w:lang w:eastAsia="zh-CN"/>
                    </w:rPr>
                    <w:t>充装车间</w:t>
                  </w:r>
                </w:p>
              </w:tc>
              <w:tc>
                <w:tcPr>
                  <w:tcW w:w="5545" w:type="dxa"/>
                  <w:noWrap w:val="0"/>
                  <w:vAlign w:val="center"/>
                </w:tcPr>
                <w:p w14:paraId="64249888">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位于厂区中部，建筑面积376</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一层砖混结构，内部分隔成多个区域，包括氧、氮、氩、二氧化碳、混合气、七氟丙烷、消防气、标准气等区域，各配备充装线1套，</w:t>
                  </w:r>
                  <w:r>
                    <w:rPr>
                      <w:rFonts w:hint="default" w:ascii="Times New Roman" w:hAnsi="Times New Roman" w:eastAsia="宋体" w:cs="Times New Roman"/>
                      <w:color w:val="auto"/>
                      <w:sz w:val="21"/>
                      <w:szCs w:val="21"/>
                    </w:rPr>
                    <w:t>用于工业气体</w:t>
                  </w:r>
                  <w:r>
                    <w:rPr>
                      <w:rFonts w:hint="default" w:ascii="Times New Roman" w:hAnsi="Times New Roman" w:eastAsia="宋体" w:cs="Times New Roman"/>
                      <w:color w:val="auto"/>
                      <w:sz w:val="21"/>
                      <w:szCs w:val="21"/>
                      <w:lang w:val="en-US" w:eastAsia="zh-CN"/>
                    </w:rPr>
                    <w:t>的</w:t>
                  </w:r>
                  <w:r>
                    <w:rPr>
                      <w:rFonts w:hint="default" w:ascii="Times New Roman" w:hAnsi="Times New Roman" w:eastAsia="宋体" w:cs="Times New Roman"/>
                      <w:color w:val="auto"/>
                      <w:sz w:val="21"/>
                      <w:szCs w:val="21"/>
                    </w:rPr>
                    <w:t>充装</w:t>
                  </w:r>
                  <w:r>
                    <w:rPr>
                      <w:rFonts w:hint="default" w:ascii="Times New Roman" w:hAnsi="Times New Roman" w:eastAsia="宋体" w:cs="Times New Roman"/>
                      <w:color w:val="auto"/>
                      <w:sz w:val="21"/>
                      <w:szCs w:val="21"/>
                      <w:lang w:eastAsia="zh-CN"/>
                    </w:rPr>
                    <w:t>。</w:t>
                  </w:r>
                </w:p>
                <w:p w14:paraId="0D53F001">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en-US" w:eastAsia="zh-CN"/>
                    </w:rPr>
                    <w:t>地面为混凝土硬化。</w:t>
                  </w:r>
                </w:p>
              </w:tc>
            </w:tr>
            <w:tr w14:paraId="0496E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32DB580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noWrap w:val="0"/>
                  <w:vAlign w:val="center"/>
                </w:tcPr>
                <w:p w14:paraId="4780DA0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丙烷罐瓶间</w:t>
                  </w:r>
                </w:p>
              </w:tc>
              <w:tc>
                <w:tcPr>
                  <w:tcW w:w="5545" w:type="dxa"/>
                  <w:noWrap w:val="0"/>
                  <w:vAlign w:val="center"/>
                </w:tcPr>
                <w:p w14:paraId="796582E8">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位于厂区东北侧，占地面积126</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bCs/>
                      <w:color w:val="auto"/>
                      <w:sz w:val="21"/>
                      <w:szCs w:val="21"/>
                      <w:lang w:val="en-US" w:eastAsia="zh-CN"/>
                    </w:rPr>
                    <w:t>，一层砖混结构，配备充装线2套，用于</w:t>
                  </w:r>
                  <w:r>
                    <w:rPr>
                      <w:rFonts w:hint="default" w:ascii="Times New Roman" w:hAnsi="Times New Roman" w:eastAsia="宋体" w:cs="Times New Roman"/>
                      <w:bCs/>
                      <w:color w:val="auto"/>
                      <w:sz w:val="21"/>
                      <w:szCs w:val="21"/>
                    </w:rPr>
                    <w:t>丙烷</w:t>
                  </w:r>
                  <w:r>
                    <w:rPr>
                      <w:rFonts w:hint="default" w:ascii="Times New Roman" w:hAnsi="Times New Roman" w:eastAsia="宋体" w:cs="Times New Roman"/>
                      <w:bCs/>
                      <w:color w:val="auto"/>
                      <w:sz w:val="21"/>
                      <w:szCs w:val="21"/>
                      <w:lang w:val="en-US" w:eastAsia="zh-CN"/>
                    </w:rPr>
                    <w:t>的</w:t>
                  </w:r>
                  <w:r>
                    <w:rPr>
                      <w:rFonts w:hint="default" w:ascii="Times New Roman" w:hAnsi="Times New Roman" w:eastAsia="宋体" w:cs="Times New Roman"/>
                      <w:bCs/>
                      <w:color w:val="auto"/>
                      <w:sz w:val="21"/>
                      <w:szCs w:val="21"/>
                    </w:rPr>
                    <w:t>灌装</w:t>
                  </w:r>
                  <w:r>
                    <w:rPr>
                      <w:rFonts w:hint="default" w:ascii="Times New Roman" w:hAnsi="Times New Roman" w:eastAsia="宋体" w:cs="Times New Roman"/>
                      <w:bCs/>
                      <w:color w:val="auto"/>
                      <w:sz w:val="21"/>
                      <w:szCs w:val="21"/>
                      <w:lang w:val="en-US" w:eastAsia="zh-CN"/>
                    </w:rPr>
                    <w:t>。</w:t>
                  </w:r>
                </w:p>
                <w:p w14:paraId="6C91AE7F">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地面为混凝土硬化。</w:t>
                  </w:r>
                </w:p>
              </w:tc>
            </w:tr>
            <w:tr w14:paraId="1C18C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restart"/>
                  <w:noWrap w:val="0"/>
                  <w:vAlign w:val="center"/>
                </w:tcPr>
                <w:p w14:paraId="46C3CE9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辅助工程</w:t>
                  </w:r>
                </w:p>
              </w:tc>
              <w:tc>
                <w:tcPr>
                  <w:tcW w:w="1843" w:type="dxa"/>
                  <w:gridSpan w:val="2"/>
                  <w:noWrap w:val="0"/>
                  <w:vAlign w:val="center"/>
                </w:tcPr>
                <w:p w14:paraId="0D1A06E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办公楼</w:t>
                  </w:r>
                </w:p>
              </w:tc>
              <w:tc>
                <w:tcPr>
                  <w:tcW w:w="5545" w:type="dxa"/>
                  <w:noWrap w:val="0"/>
                  <w:vAlign w:val="center"/>
                </w:tcPr>
                <w:p w14:paraId="2DFFB0DF">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位于厂区</w:t>
                  </w:r>
                  <w:r>
                    <w:rPr>
                      <w:rFonts w:hint="default" w:ascii="Times New Roman" w:hAnsi="Times New Roman" w:eastAsia="宋体" w:cs="Times New Roman"/>
                      <w:bCs/>
                      <w:color w:val="auto"/>
                      <w:sz w:val="21"/>
                      <w:szCs w:val="21"/>
                      <w:lang w:val="en-US" w:eastAsia="zh-CN"/>
                    </w:rPr>
                    <w:t>南侧</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建筑</w:t>
                  </w:r>
                  <w:r>
                    <w:rPr>
                      <w:rFonts w:hint="default" w:ascii="Times New Roman" w:hAnsi="Times New Roman" w:eastAsia="宋体" w:cs="Times New Roman"/>
                      <w:bCs/>
                      <w:color w:val="auto"/>
                      <w:sz w:val="21"/>
                      <w:szCs w:val="21"/>
                    </w:rPr>
                    <w:t>面积约为1</w:t>
                  </w:r>
                  <w:r>
                    <w:rPr>
                      <w:rFonts w:hint="default" w:ascii="Times New Roman" w:hAnsi="Times New Roman" w:eastAsia="宋体" w:cs="Times New Roman"/>
                      <w:bCs/>
                      <w:color w:val="auto"/>
                      <w:sz w:val="21"/>
                      <w:szCs w:val="21"/>
                      <w:lang w:val="en-US" w:eastAsia="zh-CN"/>
                    </w:rPr>
                    <w:t>169</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三层砖混结构，用于工作人员办公。</w:t>
                  </w:r>
                </w:p>
              </w:tc>
            </w:tr>
            <w:tr w14:paraId="11B2A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2C38F78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noWrap w:val="0"/>
                  <w:vAlign w:val="center"/>
                </w:tcPr>
                <w:p w14:paraId="65FDF22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消防水池</w:t>
                  </w:r>
                </w:p>
              </w:tc>
              <w:tc>
                <w:tcPr>
                  <w:tcW w:w="5545" w:type="dxa"/>
                  <w:noWrap w:val="0"/>
                  <w:vAlign w:val="center"/>
                </w:tcPr>
                <w:p w14:paraId="0C157CA0">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0000FF"/>
                      <w:sz w:val="21"/>
                      <w:szCs w:val="21"/>
                      <w:lang w:val="en-US"/>
                    </w:rPr>
                  </w:pPr>
                  <w:r>
                    <w:rPr>
                      <w:rFonts w:hint="default" w:ascii="Times New Roman" w:hAnsi="Times New Roman" w:eastAsia="宋体" w:cs="Times New Roman"/>
                      <w:bCs/>
                      <w:color w:val="0000FF"/>
                      <w:sz w:val="21"/>
                      <w:szCs w:val="21"/>
                    </w:rPr>
                    <w:t>位于</w:t>
                  </w:r>
                  <w:r>
                    <w:rPr>
                      <w:rFonts w:hint="default" w:ascii="Times New Roman" w:hAnsi="Times New Roman" w:eastAsia="宋体" w:cs="Times New Roman"/>
                      <w:bCs/>
                      <w:color w:val="0000FF"/>
                      <w:sz w:val="21"/>
                      <w:szCs w:val="21"/>
                      <w:lang w:eastAsia="zh-CN"/>
                    </w:rPr>
                    <w:t>充装车间</w:t>
                  </w:r>
                  <w:r>
                    <w:rPr>
                      <w:rFonts w:hint="default" w:ascii="Times New Roman" w:hAnsi="Times New Roman" w:eastAsia="宋体" w:cs="Times New Roman"/>
                      <w:bCs/>
                      <w:color w:val="0000FF"/>
                      <w:sz w:val="21"/>
                      <w:szCs w:val="21"/>
                      <w:lang w:val="en-US" w:eastAsia="zh-CN"/>
                    </w:rPr>
                    <w:t>南侧，室外，容积为200</w:t>
                  </w:r>
                  <w:r>
                    <w:rPr>
                      <w:rFonts w:hint="default" w:ascii="Times New Roman" w:hAnsi="Times New Roman" w:eastAsia="宋体" w:cs="Times New Roman"/>
                      <w:color w:val="0000FF"/>
                      <w:sz w:val="21"/>
                      <w:szCs w:val="21"/>
                    </w:rPr>
                    <w:t>m</w:t>
                  </w:r>
                  <w:r>
                    <w:rPr>
                      <w:rFonts w:hint="default" w:ascii="Times New Roman" w:hAnsi="Times New Roman" w:eastAsia="宋体" w:cs="Times New Roman"/>
                      <w:color w:val="0000FF"/>
                      <w:sz w:val="21"/>
                      <w:szCs w:val="21"/>
                      <w:vertAlign w:val="superscript"/>
                      <w:lang w:val="en-US" w:eastAsia="zh-CN"/>
                    </w:rPr>
                    <w:t>3</w:t>
                  </w:r>
                  <w:r>
                    <w:rPr>
                      <w:rFonts w:hint="default" w:ascii="Times New Roman" w:hAnsi="Times New Roman" w:eastAsia="宋体" w:cs="Times New Roman"/>
                      <w:bCs/>
                      <w:color w:val="0000FF"/>
                      <w:sz w:val="21"/>
                      <w:szCs w:val="21"/>
                      <w:lang w:val="en-US" w:eastAsia="zh-CN"/>
                    </w:rPr>
                    <w:t>，池底和四壁均为</w:t>
                  </w:r>
                  <w:r>
                    <w:rPr>
                      <w:rFonts w:hint="default" w:ascii="Times New Roman" w:hAnsi="Times New Roman" w:eastAsia="宋体" w:cs="Times New Roman"/>
                      <w:color w:val="0000FF"/>
                      <w:sz w:val="21"/>
                      <w:szCs w:val="21"/>
                      <w:lang w:val="en-US" w:eastAsia="zh-CN"/>
                    </w:rPr>
                    <w:t>混凝土硬化。</w:t>
                  </w:r>
                </w:p>
              </w:tc>
            </w:tr>
            <w:tr w14:paraId="5A49F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restart"/>
                  <w:noWrap w:val="0"/>
                  <w:vAlign w:val="center"/>
                </w:tcPr>
                <w:p w14:paraId="51F37872">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储运工程</w:t>
                  </w:r>
                </w:p>
              </w:tc>
              <w:tc>
                <w:tcPr>
                  <w:tcW w:w="758" w:type="dxa"/>
                  <w:vMerge w:val="restart"/>
                  <w:noWrap w:val="0"/>
                  <w:vAlign w:val="center"/>
                </w:tcPr>
                <w:p w14:paraId="0099538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立式储槽区</w:t>
                  </w:r>
                </w:p>
              </w:tc>
              <w:tc>
                <w:tcPr>
                  <w:tcW w:w="1085" w:type="dxa"/>
                  <w:shd w:val="clear" w:color="auto" w:fill="auto"/>
                  <w:noWrap w:val="0"/>
                  <w:vAlign w:val="center"/>
                </w:tcPr>
                <w:p w14:paraId="4E0CBFA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rPr>
                    <w:t>氧低温储槽</w:t>
                  </w:r>
                </w:p>
              </w:tc>
              <w:tc>
                <w:tcPr>
                  <w:tcW w:w="5545" w:type="dxa"/>
                  <w:noWrap w:val="0"/>
                  <w:vAlign w:val="center"/>
                </w:tcPr>
                <w:p w14:paraId="1BBFDA83">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位于</w:t>
                  </w:r>
                  <w:r>
                    <w:rPr>
                      <w:rFonts w:hint="default" w:ascii="Times New Roman" w:hAnsi="Times New Roman" w:eastAsia="宋体" w:cs="Times New Roman"/>
                      <w:bCs/>
                      <w:color w:val="auto"/>
                      <w:sz w:val="21"/>
                      <w:szCs w:val="21"/>
                      <w:lang w:eastAsia="zh-CN"/>
                    </w:rPr>
                    <w:t>充装车间</w:t>
                  </w:r>
                  <w:r>
                    <w:rPr>
                      <w:rFonts w:hint="default" w:ascii="Times New Roman" w:hAnsi="Times New Roman" w:eastAsia="宋体" w:cs="Times New Roman"/>
                      <w:bCs/>
                      <w:color w:val="auto"/>
                      <w:sz w:val="21"/>
                      <w:szCs w:val="21"/>
                      <w:lang w:val="en-US" w:eastAsia="zh-CN"/>
                    </w:rPr>
                    <w:t>东侧，室外，设置1个50m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val="en-US" w:eastAsia="zh-CN"/>
                    </w:rPr>
                    <w:t>的立式液</w:t>
                  </w:r>
                  <w:r>
                    <w:rPr>
                      <w:rFonts w:hint="default" w:ascii="Times New Roman" w:hAnsi="Times New Roman" w:eastAsia="宋体" w:cs="Times New Roman"/>
                      <w:bCs/>
                      <w:color w:val="auto"/>
                      <w:sz w:val="21"/>
                      <w:szCs w:val="21"/>
                    </w:rPr>
                    <w:t>氧低温储槽</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配套设置1台低温液体泵和1台高压汽化器。</w:t>
                  </w:r>
                </w:p>
                <w:p w14:paraId="5A4A72B5">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0000FF"/>
                      <w:sz w:val="21"/>
                      <w:szCs w:val="21"/>
                      <w:lang w:val="en-US" w:eastAsia="zh-CN"/>
                    </w:rPr>
                    <w:t>地面为混凝土硬化。</w:t>
                  </w:r>
                </w:p>
              </w:tc>
            </w:tr>
            <w:tr w14:paraId="48B4F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9" w:type="dxa"/>
                  <w:vMerge w:val="continue"/>
                  <w:noWrap w:val="0"/>
                  <w:vAlign w:val="center"/>
                </w:tcPr>
                <w:p w14:paraId="52FBB5C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758" w:type="dxa"/>
                  <w:vMerge w:val="continue"/>
                  <w:noWrap w:val="0"/>
                  <w:vAlign w:val="center"/>
                </w:tcPr>
                <w:p w14:paraId="6DDDBE7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1085" w:type="dxa"/>
                  <w:shd w:val="clear" w:color="auto" w:fill="auto"/>
                  <w:noWrap w:val="0"/>
                  <w:vAlign w:val="center"/>
                </w:tcPr>
                <w:p w14:paraId="11697C4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rPr>
                    <w:t>氮低温储槽</w:t>
                  </w:r>
                </w:p>
              </w:tc>
              <w:tc>
                <w:tcPr>
                  <w:tcW w:w="5545" w:type="dxa"/>
                  <w:noWrap w:val="0"/>
                  <w:vAlign w:val="center"/>
                </w:tcPr>
                <w:p w14:paraId="4EE0A54A">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位于</w:t>
                  </w:r>
                  <w:r>
                    <w:rPr>
                      <w:rFonts w:hint="default" w:ascii="Times New Roman" w:hAnsi="Times New Roman" w:eastAsia="宋体" w:cs="Times New Roman"/>
                      <w:bCs/>
                      <w:color w:val="auto"/>
                      <w:sz w:val="21"/>
                      <w:szCs w:val="21"/>
                      <w:lang w:eastAsia="zh-CN"/>
                    </w:rPr>
                    <w:t>充装车间</w:t>
                  </w:r>
                  <w:r>
                    <w:rPr>
                      <w:rFonts w:hint="default" w:ascii="Times New Roman" w:hAnsi="Times New Roman" w:eastAsia="宋体" w:cs="Times New Roman"/>
                      <w:bCs/>
                      <w:color w:val="auto"/>
                      <w:sz w:val="21"/>
                      <w:szCs w:val="21"/>
                      <w:lang w:val="en-US" w:eastAsia="zh-CN"/>
                    </w:rPr>
                    <w:t>东侧，室外，设置1个50m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val="en-US" w:eastAsia="zh-CN"/>
                    </w:rPr>
                    <w:t>的立式液</w:t>
                  </w:r>
                  <w:r>
                    <w:rPr>
                      <w:rFonts w:hint="default" w:ascii="Times New Roman" w:hAnsi="Times New Roman" w:eastAsia="宋体" w:cs="Times New Roman"/>
                      <w:bCs/>
                      <w:color w:val="auto"/>
                      <w:sz w:val="21"/>
                      <w:szCs w:val="21"/>
                    </w:rPr>
                    <w:t>氮低温储槽</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配套设置1台低温液体泵和1台高压汽化器。</w:t>
                  </w:r>
                </w:p>
                <w:p w14:paraId="57641808">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0000FF"/>
                      <w:sz w:val="21"/>
                      <w:szCs w:val="21"/>
                      <w:lang w:val="en-US" w:eastAsia="zh-CN"/>
                    </w:rPr>
                    <w:t>地面为混凝土硬化。</w:t>
                  </w:r>
                </w:p>
              </w:tc>
            </w:tr>
            <w:tr w14:paraId="7BC7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02BBDC3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758" w:type="dxa"/>
                  <w:vMerge w:val="continue"/>
                  <w:noWrap w:val="0"/>
                  <w:vAlign w:val="center"/>
                </w:tcPr>
                <w:p w14:paraId="239CF29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085" w:type="dxa"/>
                  <w:shd w:val="clear" w:color="auto" w:fill="auto"/>
                  <w:noWrap w:val="0"/>
                  <w:vAlign w:val="center"/>
                </w:tcPr>
                <w:p w14:paraId="6DCC520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氩低温储槽</w:t>
                  </w:r>
                </w:p>
              </w:tc>
              <w:tc>
                <w:tcPr>
                  <w:tcW w:w="5545" w:type="dxa"/>
                  <w:noWrap w:val="0"/>
                  <w:vAlign w:val="center"/>
                </w:tcPr>
                <w:p w14:paraId="3728DBCB">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位于</w:t>
                  </w:r>
                  <w:r>
                    <w:rPr>
                      <w:rFonts w:hint="default" w:ascii="Times New Roman" w:hAnsi="Times New Roman" w:eastAsia="宋体" w:cs="Times New Roman"/>
                      <w:bCs/>
                      <w:color w:val="auto"/>
                      <w:sz w:val="21"/>
                      <w:szCs w:val="21"/>
                      <w:lang w:eastAsia="zh-CN"/>
                    </w:rPr>
                    <w:t>充装车间</w:t>
                  </w:r>
                  <w:r>
                    <w:rPr>
                      <w:rFonts w:hint="default" w:ascii="Times New Roman" w:hAnsi="Times New Roman" w:eastAsia="宋体" w:cs="Times New Roman"/>
                      <w:bCs/>
                      <w:color w:val="auto"/>
                      <w:sz w:val="21"/>
                      <w:szCs w:val="21"/>
                      <w:lang w:val="en-US" w:eastAsia="zh-CN"/>
                    </w:rPr>
                    <w:t>东侧，室外，设置1个50m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val="en-US" w:eastAsia="zh-CN"/>
                    </w:rPr>
                    <w:t>的立式液</w:t>
                  </w:r>
                  <w:r>
                    <w:rPr>
                      <w:rFonts w:hint="default" w:ascii="Times New Roman" w:hAnsi="Times New Roman" w:eastAsia="宋体" w:cs="Times New Roman"/>
                      <w:bCs/>
                      <w:color w:val="auto"/>
                      <w:sz w:val="21"/>
                      <w:szCs w:val="21"/>
                    </w:rPr>
                    <w:t>氩低温储槽</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配套设置1台低温液体泵和1台高压汽化器。</w:t>
                  </w:r>
                </w:p>
                <w:p w14:paraId="2D8FEB20">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en-US" w:eastAsia="zh-CN"/>
                    </w:rPr>
                    <w:t>地面为混凝土硬化。</w:t>
                  </w:r>
                </w:p>
              </w:tc>
            </w:tr>
            <w:tr w14:paraId="64E08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67E0112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758" w:type="dxa"/>
                  <w:vMerge w:val="continue"/>
                  <w:noWrap w:val="0"/>
                  <w:vAlign w:val="center"/>
                </w:tcPr>
                <w:p w14:paraId="6C91609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085" w:type="dxa"/>
                  <w:shd w:val="clear" w:color="auto" w:fill="auto"/>
                  <w:noWrap w:val="0"/>
                  <w:vAlign w:val="center"/>
                </w:tcPr>
                <w:p w14:paraId="796E53F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二氧化碳低温储槽</w:t>
                  </w:r>
                </w:p>
              </w:tc>
              <w:tc>
                <w:tcPr>
                  <w:tcW w:w="5545" w:type="dxa"/>
                  <w:noWrap w:val="0"/>
                  <w:vAlign w:val="center"/>
                </w:tcPr>
                <w:p w14:paraId="138376E4">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位于</w:t>
                  </w:r>
                  <w:r>
                    <w:rPr>
                      <w:rFonts w:hint="default" w:ascii="Times New Roman" w:hAnsi="Times New Roman" w:eastAsia="宋体" w:cs="Times New Roman"/>
                      <w:bCs/>
                      <w:color w:val="auto"/>
                      <w:sz w:val="21"/>
                      <w:szCs w:val="21"/>
                      <w:lang w:eastAsia="zh-CN"/>
                    </w:rPr>
                    <w:t>充装车间</w:t>
                  </w:r>
                  <w:r>
                    <w:rPr>
                      <w:rFonts w:hint="default" w:ascii="Times New Roman" w:hAnsi="Times New Roman" w:eastAsia="宋体" w:cs="Times New Roman"/>
                      <w:bCs/>
                      <w:color w:val="auto"/>
                      <w:sz w:val="21"/>
                      <w:szCs w:val="21"/>
                      <w:lang w:val="en-US" w:eastAsia="zh-CN"/>
                    </w:rPr>
                    <w:t>东侧，室外，设置1个50m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val="en-US" w:eastAsia="zh-CN"/>
                    </w:rPr>
                    <w:t>的立式</w:t>
                  </w:r>
                  <w:r>
                    <w:rPr>
                      <w:rFonts w:hint="default" w:ascii="Times New Roman" w:hAnsi="Times New Roman" w:eastAsia="宋体" w:cs="Times New Roman"/>
                      <w:bCs/>
                      <w:color w:val="auto"/>
                      <w:sz w:val="21"/>
                      <w:szCs w:val="21"/>
                    </w:rPr>
                    <w:t>二氧化碳低温储槽</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配套设置1台低温液体泵。</w:t>
                  </w:r>
                </w:p>
                <w:p w14:paraId="0C42FAB2">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0000FF"/>
                      <w:sz w:val="21"/>
                      <w:szCs w:val="21"/>
                      <w:lang w:val="en-US" w:eastAsia="zh-CN"/>
                    </w:rPr>
                    <w:t>地面为混凝土硬化。</w:t>
                  </w:r>
                </w:p>
              </w:tc>
            </w:tr>
            <w:tr w14:paraId="640C7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2F58CA2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758" w:type="dxa"/>
                  <w:vMerge w:val="continue"/>
                  <w:shd w:val="clear" w:color="auto" w:fill="auto"/>
                  <w:noWrap w:val="0"/>
                  <w:vAlign w:val="center"/>
                </w:tcPr>
                <w:p w14:paraId="38D7AB5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p>
              </w:tc>
              <w:tc>
                <w:tcPr>
                  <w:tcW w:w="1085" w:type="dxa"/>
                  <w:shd w:val="clear" w:color="auto" w:fill="auto"/>
                  <w:noWrap w:val="0"/>
                  <w:vAlign w:val="center"/>
                </w:tcPr>
                <w:p w14:paraId="4EF9171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七氟丙烷消防气低温储槽</w:t>
                  </w:r>
                </w:p>
              </w:tc>
              <w:tc>
                <w:tcPr>
                  <w:tcW w:w="5545" w:type="dxa"/>
                  <w:shd w:val="clear" w:color="auto" w:fill="auto"/>
                  <w:noWrap w:val="0"/>
                  <w:vAlign w:val="center"/>
                </w:tcPr>
                <w:p w14:paraId="5F1ECFCB">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位于厂区东北侧，室外，设置2个30m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val="en-US" w:eastAsia="zh-CN"/>
                    </w:rPr>
                    <w:t>的七氟丙烷消防气低温储槽，配套设置1台低温液体泵。</w:t>
                  </w:r>
                </w:p>
                <w:p w14:paraId="44633A10">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0000FF"/>
                      <w:sz w:val="21"/>
                      <w:szCs w:val="21"/>
                      <w:lang w:val="en-US" w:eastAsia="zh-CN"/>
                    </w:rPr>
                    <w:t>地面为混凝土硬化。</w:t>
                  </w:r>
                </w:p>
              </w:tc>
            </w:tr>
            <w:tr w14:paraId="04346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3CBE07E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noWrap w:val="0"/>
                  <w:vAlign w:val="center"/>
                </w:tcPr>
                <w:p w14:paraId="482FDFD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丙烷储槽</w:t>
                  </w:r>
                </w:p>
              </w:tc>
              <w:tc>
                <w:tcPr>
                  <w:tcW w:w="5545" w:type="dxa"/>
                  <w:noWrap w:val="0"/>
                  <w:vAlign w:val="center"/>
                </w:tcPr>
                <w:p w14:paraId="30AC295D">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位于厂区东北侧，地埋式，设置4个50m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val="en-US" w:eastAsia="zh-CN"/>
                    </w:rPr>
                    <w:t>的地埋式丙烷储槽，配套设置4台低温液体泵。</w:t>
                  </w:r>
                  <w:r>
                    <w:rPr>
                      <w:rFonts w:hint="default" w:ascii="Times New Roman" w:hAnsi="Times New Roman" w:eastAsia="宋体" w:cs="Times New Roman"/>
                      <w:color w:val="0000FF"/>
                      <w:sz w:val="21"/>
                      <w:szCs w:val="21"/>
                      <w:lang w:val="en-US" w:eastAsia="zh-CN"/>
                    </w:rPr>
                    <w:t>地面和四壁为混凝土硬化，</w:t>
                  </w:r>
                  <w:r>
                    <w:rPr>
                      <w:rFonts w:hint="default" w:ascii="Times New Roman" w:hAnsi="Times New Roman" w:eastAsia="宋体" w:cs="Times New Roman"/>
                      <w:bCs/>
                      <w:color w:val="FF0000"/>
                      <w:sz w:val="21"/>
                      <w:szCs w:val="21"/>
                      <w:lang w:val="en-US" w:eastAsia="zh-CN"/>
                    </w:rPr>
                    <w:t>丙烷在常温常压情况下为气态，不会影响地下水</w:t>
                  </w:r>
                  <w:r>
                    <w:rPr>
                      <w:rFonts w:hint="default" w:ascii="Times New Roman" w:hAnsi="Times New Roman" w:eastAsia="宋体" w:cs="Times New Roman"/>
                      <w:color w:val="FF0000"/>
                      <w:sz w:val="21"/>
                      <w:szCs w:val="21"/>
                      <w:lang w:val="en-US" w:eastAsia="zh-CN"/>
                    </w:rPr>
                    <w:t>。</w:t>
                  </w:r>
                </w:p>
                <w:p w14:paraId="6CBF5568">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0000FF"/>
                      <w:sz w:val="21"/>
                      <w:szCs w:val="21"/>
                      <w:lang w:val="en-US" w:eastAsia="zh-CN"/>
                    </w:rPr>
                    <w:t>四周设置0.2m高的砖混围墙，</w:t>
                  </w:r>
                </w:p>
              </w:tc>
            </w:tr>
            <w:tr w14:paraId="4A9F6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13A9743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shd w:val="clear" w:color="auto" w:fill="auto"/>
                  <w:noWrap w:val="0"/>
                  <w:vAlign w:val="center"/>
                </w:tcPr>
                <w:p w14:paraId="3F7C64D5">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甲类库房</w:t>
                  </w:r>
                </w:p>
              </w:tc>
              <w:tc>
                <w:tcPr>
                  <w:tcW w:w="5545" w:type="dxa"/>
                  <w:shd w:val="clear" w:color="auto" w:fill="auto"/>
                  <w:noWrap w:val="0"/>
                  <w:vAlign w:val="center"/>
                </w:tcPr>
                <w:p w14:paraId="2A71131E">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位于厂区西北侧，占地面积297m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bCs/>
                      <w:color w:val="auto"/>
                      <w:sz w:val="21"/>
                      <w:szCs w:val="21"/>
                      <w:lang w:val="en-US" w:eastAsia="zh-CN"/>
                    </w:rPr>
                    <w:t>一层砖混结构，用于储存甲烷、氢气、一氧化碳，乙烷、乙烯、丙烯、异丁烷、乙炔气等气瓶，以及电石。以上物质主要为储存并外售，不进行加工处理，无废气、废水、固废等产生。</w:t>
                  </w:r>
                </w:p>
                <w:p w14:paraId="59F6784F">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0000FF"/>
                      <w:sz w:val="21"/>
                      <w:szCs w:val="21"/>
                      <w:lang w:val="en-US" w:eastAsia="zh-CN"/>
                    </w:rPr>
                    <w:t>地面为混凝土硬化。</w:t>
                  </w:r>
                </w:p>
              </w:tc>
            </w:tr>
            <w:tr w14:paraId="4E8F4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restart"/>
                  <w:noWrap w:val="0"/>
                  <w:vAlign w:val="center"/>
                </w:tcPr>
                <w:p w14:paraId="5471600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公用工程</w:t>
                  </w:r>
                </w:p>
              </w:tc>
              <w:tc>
                <w:tcPr>
                  <w:tcW w:w="1843" w:type="dxa"/>
                  <w:gridSpan w:val="2"/>
                  <w:shd w:val="clear" w:color="auto" w:fill="auto"/>
                  <w:noWrap w:val="0"/>
                  <w:vAlign w:val="center"/>
                </w:tcPr>
                <w:p w14:paraId="62266FC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供电</w:t>
                  </w:r>
                  <w:r>
                    <w:rPr>
                      <w:rFonts w:hint="default" w:ascii="Times New Roman" w:hAnsi="Times New Roman" w:eastAsia="宋体" w:cs="Times New Roman"/>
                      <w:bCs/>
                      <w:color w:val="auto"/>
                      <w:sz w:val="21"/>
                      <w:szCs w:val="21"/>
                      <w:lang w:val="en-US" w:eastAsia="zh-CN"/>
                    </w:rPr>
                    <w:t>工程</w:t>
                  </w:r>
                </w:p>
              </w:tc>
              <w:tc>
                <w:tcPr>
                  <w:tcW w:w="5545" w:type="dxa"/>
                  <w:shd w:val="clear" w:color="auto" w:fill="auto"/>
                  <w:noWrap w:val="0"/>
                  <w:vAlign w:val="center"/>
                </w:tcPr>
                <w:p w14:paraId="23A226BE">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电源引自园区供电电网供给</w:t>
                  </w:r>
                  <w:r>
                    <w:rPr>
                      <w:rFonts w:hint="default" w:ascii="Times New Roman" w:hAnsi="Times New Roman" w:eastAsia="宋体" w:cs="Times New Roman"/>
                      <w:bCs/>
                      <w:color w:val="auto"/>
                      <w:sz w:val="21"/>
                      <w:szCs w:val="21"/>
                      <w:lang w:eastAsia="zh-CN"/>
                    </w:rPr>
                    <w:t>。</w:t>
                  </w:r>
                </w:p>
              </w:tc>
            </w:tr>
            <w:tr w14:paraId="1D193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4F1D7D9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shd w:val="clear" w:color="auto" w:fill="auto"/>
                  <w:noWrap w:val="0"/>
                  <w:vAlign w:val="center"/>
                </w:tcPr>
                <w:p w14:paraId="5E786A2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供水</w:t>
                  </w:r>
                  <w:r>
                    <w:rPr>
                      <w:rFonts w:hint="default" w:ascii="Times New Roman" w:hAnsi="Times New Roman" w:eastAsia="宋体" w:cs="Times New Roman"/>
                      <w:bCs/>
                      <w:color w:val="auto"/>
                      <w:sz w:val="21"/>
                      <w:szCs w:val="21"/>
                      <w:lang w:val="en-US" w:eastAsia="zh-CN"/>
                    </w:rPr>
                    <w:t>工程</w:t>
                  </w:r>
                </w:p>
              </w:tc>
              <w:tc>
                <w:tcPr>
                  <w:tcW w:w="5545" w:type="dxa"/>
                  <w:noWrap w:val="0"/>
                  <w:vAlign w:val="center"/>
                </w:tcPr>
                <w:p w14:paraId="189211E3">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水源来自园区给水管网供给。</w:t>
                  </w:r>
                </w:p>
              </w:tc>
            </w:tr>
            <w:tr w14:paraId="4D73B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0E98F94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shd w:val="clear" w:color="auto" w:fill="auto"/>
                  <w:noWrap w:val="0"/>
                  <w:vAlign w:val="center"/>
                </w:tcPr>
                <w:p w14:paraId="5C85F86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排水</w:t>
                  </w:r>
                  <w:r>
                    <w:rPr>
                      <w:rFonts w:hint="default" w:ascii="Times New Roman" w:hAnsi="Times New Roman" w:eastAsia="宋体" w:cs="Times New Roman"/>
                      <w:bCs/>
                      <w:color w:val="auto"/>
                      <w:sz w:val="21"/>
                      <w:szCs w:val="21"/>
                      <w:lang w:val="en-US" w:eastAsia="zh-CN"/>
                    </w:rPr>
                    <w:t>工程</w:t>
                  </w:r>
                </w:p>
              </w:tc>
              <w:tc>
                <w:tcPr>
                  <w:tcW w:w="5545" w:type="dxa"/>
                  <w:noWrap w:val="0"/>
                  <w:vAlign w:val="center"/>
                </w:tcPr>
                <w:p w14:paraId="2EC27BD7">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生活污水经化粪池处理后</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经</w:t>
                  </w:r>
                  <w:r>
                    <w:rPr>
                      <w:rFonts w:hint="default" w:ascii="Times New Roman" w:hAnsi="Times New Roman" w:eastAsia="宋体" w:cs="Times New Roman"/>
                      <w:bCs/>
                      <w:color w:val="auto"/>
                      <w:sz w:val="21"/>
                      <w:szCs w:val="21"/>
                    </w:rPr>
                    <w:t>园区污水管网进入</w:t>
                  </w:r>
                  <w:r>
                    <w:rPr>
                      <w:rFonts w:hint="eastAsia" w:ascii="Times New Roman" w:hAnsi="Times New Roman" w:eastAsia="宋体" w:cs="Times New Roman"/>
                      <w:bCs/>
                      <w:color w:val="7030A0"/>
                      <w:sz w:val="21"/>
                      <w:szCs w:val="21"/>
                      <w:lang w:eastAsia="zh-CN"/>
                    </w:rPr>
                    <w:t>甘其毛都口岸加工园区工业污水处理厂</w:t>
                  </w:r>
                  <w:r>
                    <w:rPr>
                      <w:rFonts w:hint="default" w:ascii="Times New Roman" w:hAnsi="Times New Roman" w:eastAsia="宋体" w:cs="Times New Roman"/>
                      <w:bCs/>
                      <w:color w:val="7030A0"/>
                      <w:sz w:val="21"/>
                      <w:szCs w:val="21"/>
                      <w:lang w:eastAsia="zh-CN"/>
                    </w:rPr>
                    <w:t>处理</w:t>
                  </w:r>
                  <w:r>
                    <w:rPr>
                      <w:rFonts w:hint="default" w:ascii="Times New Roman" w:hAnsi="Times New Roman" w:eastAsia="宋体" w:cs="Times New Roman"/>
                      <w:bCs/>
                      <w:color w:val="7030A0"/>
                      <w:sz w:val="21"/>
                      <w:szCs w:val="21"/>
                    </w:rPr>
                    <w:t>。</w:t>
                  </w:r>
                </w:p>
              </w:tc>
            </w:tr>
            <w:tr w14:paraId="5A021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50BB1E3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noWrap w:val="0"/>
                  <w:vAlign w:val="center"/>
                </w:tcPr>
                <w:p w14:paraId="5B217ED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供暖工程</w:t>
                  </w:r>
                </w:p>
              </w:tc>
              <w:tc>
                <w:tcPr>
                  <w:tcW w:w="5545" w:type="dxa"/>
                  <w:noWrap w:val="0"/>
                  <w:vAlign w:val="center"/>
                </w:tcPr>
                <w:p w14:paraId="099E1C4D">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冬季办公楼供暖由电暖气供给。</w:t>
                  </w:r>
                </w:p>
              </w:tc>
            </w:tr>
            <w:tr w14:paraId="5353C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restart"/>
                  <w:noWrap w:val="0"/>
                  <w:vAlign w:val="center"/>
                </w:tcPr>
                <w:p w14:paraId="565F06E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环保工程</w:t>
                  </w:r>
                </w:p>
              </w:tc>
              <w:tc>
                <w:tcPr>
                  <w:tcW w:w="1843" w:type="dxa"/>
                  <w:gridSpan w:val="2"/>
                  <w:noWrap w:val="0"/>
                  <w:vAlign w:val="center"/>
                </w:tcPr>
                <w:p w14:paraId="4A5A8B5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废气</w:t>
                  </w:r>
                </w:p>
              </w:tc>
              <w:tc>
                <w:tcPr>
                  <w:tcW w:w="5545" w:type="dxa"/>
                  <w:noWrap w:val="0"/>
                  <w:vAlign w:val="center"/>
                </w:tcPr>
                <w:p w14:paraId="4FBF840B">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本项目工业气体及特种气体、标准气体在储槽装卸、气瓶充装过程中由于</w:t>
                  </w:r>
                  <w:r>
                    <w:rPr>
                      <w:rFonts w:hint="default" w:ascii="Times New Roman" w:hAnsi="Times New Roman" w:eastAsia="宋体" w:cs="Times New Roman"/>
                      <w:bCs/>
                      <w:color w:val="auto"/>
                      <w:sz w:val="21"/>
                      <w:szCs w:val="21"/>
                    </w:rPr>
                    <w:t>阀门与充装口之间管道中残余少量气体</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会逸散少量废气，主要为</w:t>
                  </w:r>
                  <w:r>
                    <w:rPr>
                      <w:rFonts w:hint="default" w:ascii="Times New Roman" w:hAnsi="Times New Roman" w:eastAsia="宋体" w:cs="Times New Roman"/>
                      <w:bCs/>
                      <w:color w:val="auto"/>
                      <w:sz w:val="21"/>
                      <w:szCs w:val="21"/>
                    </w:rPr>
                    <w:t>氧气、</w:t>
                  </w:r>
                  <w:r>
                    <w:rPr>
                      <w:rFonts w:hint="default" w:ascii="Times New Roman" w:hAnsi="Times New Roman" w:eastAsia="宋体" w:cs="Times New Roman"/>
                      <w:bCs/>
                      <w:color w:val="auto"/>
                      <w:sz w:val="21"/>
                      <w:szCs w:val="21"/>
                      <w:lang w:val="en-US" w:eastAsia="zh-CN"/>
                    </w:rPr>
                    <w:t>氮气</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氩气、二氧化碳</w:t>
                  </w:r>
                  <w:r>
                    <w:rPr>
                      <w:rFonts w:hint="default" w:ascii="Times New Roman" w:hAnsi="Times New Roman" w:eastAsia="宋体" w:cs="Times New Roman"/>
                      <w:bCs/>
                      <w:color w:val="auto"/>
                      <w:sz w:val="21"/>
                      <w:szCs w:val="21"/>
                      <w:lang w:eastAsia="zh-CN"/>
                    </w:rPr>
                    <w:t>、七氟丙烷和丙烷</w:t>
                  </w:r>
                  <w:r>
                    <w:rPr>
                      <w:rFonts w:hint="default" w:ascii="Times New Roman" w:hAnsi="Times New Roman" w:eastAsia="宋体" w:cs="Times New Roman"/>
                      <w:bCs/>
                      <w:color w:val="auto"/>
                      <w:sz w:val="21"/>
                      <w:szCs w:val="21"/>
                      <w:lang w:val="en-US" w:eastAsia="zh-CN"/>
                    </w:rPr>
                    <w:t>。其中：</w:t>
                  </w:r>
                  <w:r>
                    <w:rPr>
                      <w:rFonts w:hint="default" w:ascii="Times New Roman" w:hAnsi="Times New Roman" w:eastAsia="宋体" w:cs="Times New Roman"/>
                      <w:bCs/>
                      <w:color w:val="auto"/>
                      <w:sz w:val="21"/>
                      <w:szCs w:val="21"/>
                    </w:rPr>
                    <w:t>氧气、</w:t>
                  </w:r>
                  <w:r>
                    <w:rPr>
                      <w:rFonts w:hint="default" w:ascii="Times New Roman" w:hAnsi="Times New Roman" w:eastAsia="宋体" w:cs="Times New Roman"/>
                      <w:bCs/>
                      <w:color w:val="auto"/>
                      <w:sz w:val="21"/>
                      <w:szCs w:val="21"/>
                      <w:lang w:val="en-US" w:eastAsia="zh-CN"/>
                    </w:rPr>
                    <w:t>氮气</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氩气、二氧化碳均为空气组成成分，无毒无害，不属于污染物</w:t>
                  </w:r>
                  <w:r>
                    <w:rPr>
                      <w:rFonts w:hint="default" w:ascii="Times New Roman" w:hAnsi="Times New Roman" w:eastAsia="宋体" w:cs="Times New Roman"/>
                      <w:bCs/>
                      <w:color w:val="auto"/>
                      <w:sz w:val="21"/>
                      <w:szCs w:val="21"/>
                      <w:lang w:eastAsia="zh-CN"/>
                    </w:rPr>
                    <w:t>；七氟丙烷和丙烷</w:t>
                  </w:r>
                  <w:r>
                    <w:rPr>
                      <w:rFonts w:hint="default" w:ascii="Times New Roman" w:hAnsi="Times New Roman" w:eastAsia="宋体" w:cs="Times New Roman"/>
                      <w:bCs/>
                      <w:color w:val="auto"/>
                      <w:sz w:val="21"/>
                      <w:szCs w:val="21"/>
                      <w:lang w:val="en-US" w:eastAsia="zh-CN"/>
                    </w:rPr>
                    <w:t>属于</w:t>
                  </w:r>
                  <w:r>
                    <w:rPr>
                      <w:rFonts w:hint="default" w:ascii="Times New Roman" w:hAnsi="Times New Roman" w:eastAsia="宋体" w:cs="Times New Roman"/>
                      <w:bCs/>
                      <w:color w:val="auto"/>
                      <w:sz w:val="21"/>
                      <w:szCs w:val="21"/>
                      <w:lang w:eastAsia="zh-CN"/>
                    </w:rPr>
                    <w:t>挥发性有机物（以非甲烷总烃计）。</w:t>
                  </w:r>
                </w:p>
                <w:p w14:paraId="649D48E0">
                  <w:pPr>
                    <w:keepNext w:val="0"/>
                    <w:keepLines w:val="0"/>
                    <w:pageBreakBefore w:val="0"/>
                    <w:numPr>
                      <w:ilvl w:val="0"/>
                      <w:numId w:val="0"/>
                    </w:numPr>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kern w:val="2"/>
                      <w:sz w:val="21"/>
                      <w:szCs w:val="21"/>
                      <w:lang w:val="en-US" w:eastAsia="zh-CN" w:bidi="ar-SA"/>
                    </w:rPr>
                    <w:t>（1）</w:t>
                  </w:r>
                  <w:r>
                    <w:rPr>
                      <w:rFonts w:hint="default" w:ascii="Times New Roman" w:hAnsi="Times New Roman" w:eastAsia="宋体" w:cs="Times New Roman"/>
                      <w:bCs/>
                      <w:color w:val="auto"/>
                      <w:sz w:val="21"/>
                      <w:szCs w:val="21"/>
                      <w:lang w:eastAsia="zh-CN"/>
                    </w:rPr>
                    <w:t>储槽装卸废气：</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 w:val="0"/>
                      <w:bCs/>
                      <w:color w:val="0000FF"/>
                      <w:szCs w:val="21"/>
                    </w:rPr>
                    <w:t>七氟丙烷</w:t>
                  </w:r>
                  <w:r>
                    <w:rPr>
                      <w:rFonts w:hint="default" w:ascii="Times New Roman" w:hAnsi="Times New Roman" w:eastAsia="宋体" w:cs="Times New Roman"/>
                      <w:b w:val="0"/>
                      <w:bCs/>
                      <w:color w:val="0000FF"/>
                      <w:szCs w:val="21"/>
                      <w:lang w:val="en-US" w:eastAsia="zh-CN"/>
                    </w:rPr>
                    <w:t>和</w:t>
                  </w:r>
                  <w:r>
                    <w:rPr>
                      <w:rFonts w:hint="default" w:ascii="Times New Roman" w:hAnsi="Times New Roman" w:eastAsia="宋体" w:cs="Times New Roman"/>
                      <w:bCs/>
                      <w:color w:val="auto"/>
                      <w:sz w:val="21"/>
                      <w:szCs w:val="21"/>
                    </w:rPr>
                    <w:t>丙烷装卸时，卸车管线与项目罐槽的卸车口经螺旋口相连通，通过低温液体泵及管线密闭卸入液体罐内，整个装卸流程均为密闭环境，槽车</w:t>
                  </w:r>
                  <w:r>
                    <w:rPr>
                      <w:rFonts w:hint="default" w:ascii="Times New Roman" w:hAnsi="Times New Roman" w:eastAsia="宋体" w:cs="Times New Roman"/>
                      <w:bCs/>
                      <w:color w:val="auto"/>
                      <w:sz w:val="21"/>
                      <w:szCs w:val="21"/>
                      <w:lang w:eastAsia="zh-CN"/>
                    </w:rPr>
                    <w:t>卸</w:t>
                  </w:r>
                  <w:r>
                    <w:rPr>
                      <w:rFonts w:hint="default" w:ascii="Times New Roman" w:hAnsi="Times New Roman" w:eastAsia="宋体" w:cs="Times New Roman"/>
                      <w:bCs/>
                      <w:color w:val="auto"/>
                      <w:sz w:val="21"/>
                      <w:szCs w:val="21"/>
                    </w:rPr>
                    <w:t>液完成后，输送管接头拆卸过程中，阀门与充装口之间管道中残余少量气体</w:t>
                  </w:r>
                  <w:r>
                    <w:rPr>
                      <w:rFonts w:hint="default" w:ascii="Times New Roman" w:hAnsi="Times New Roman" w:eastAsia="宋体" w:cs="Times New Roman"/>
                      <w:bCs/>
                      <w:color w:val="auto"/>
                      <w:sz w:val="21"/>
                      <w:szCs w:val="21"/>
                      <w:lang w:val="en-US" w:eastAsia="zh-CN"/>
                    </w:rPr>
                    <w:t>以</w:t>
                  </w:r>
                  <w:r>
                    <w:rPr>
                      <w:rFonts w:hint="default" w:ascii="Times New Roman" w:hAnsi="Times New Roman" w:eastAsia="宋体" w:cs="Times New Roman"/>
                      <w:bCs/>
                      <w:color w:val="auto"/>
                      <w:sz w:val="21"/>
                      <w:szCs w:val="21"/>
                    </w:rPr>
                    <w:t>无组织</w:t>
                  </w:r>
                  <w:r>
                    <w:rPr>
                      <w:rFonts w:hint="default" w:ascii="Times New Roman" w:hAnsi="Times New Roman" w:eastAsia="宋体" w:cs="Times New Roman"/>
                      <w:bCs/>
                      <w:color w:val="auto"/>
                      <w:sz w:val="21"/>
                      <w:szCs w:val="21"/>
                      <w:lang w:val="en-US" w:eastAsia="zh-CN"/>
                    </w:rPr>
                    <w:t>形式</w:t>
                  </w:r>
                  <w:r>
                    <w:rPr>
                      <w:rFonts w:hint="default" w:ascii="Times New Roman" w:hAnsi="Times New Roman" w:eastAsia="宋体" w:cs="Times New Roman"/>
                      <w:bCs/>
                      <w:color w:val="auto"/>
                      <w:sz w:val="21"/>
                      <w:szCs w:val="21"/>
                    </w:rPr>
                    <w:t>排放。</w:t>
                  </w:r>
                </w:p>
                <w:p w14:paraId="18B9CDFA">
                  <w:pPr>
                    <w:keepNext w:val="0"/>
                    <w:keepLines w:val="0"/>
                    <w:pageBreakBefore w:val="0"/>
                    <w:numPr>
                      <w:ilvl w:val="0"/>
                      <w:numId w:val="0"/>
                    </w:numPr>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kern w:val="2"/>
                      <w:sz w:val="21"/>
                      <w:szCs w:val="21"/>
                      <w:lang w:val="en-US" w:eastAsia="zh-CN" w:bidi="ar-SA"/>
                    </w:rPr>
                    <w:t>（2）气瓶</w:t>
                  </w:r>
                  <w:r>
                    <w:rPr>
                      <w:rFonts w:hint="default" w:ascii="Times New Roman" w:hAnsi="Times New Roman" w:eastAsia="宋体" w:cs="Times New Roman"/>
                      <w:bCs/>
                      <w:color w:val="auto"/>
                      <w:sz w:val="21"/>
                      <w:szCs w:val="21"/>
                    </w:rPr>
                    <w:t>充装废气：</w:t>
                  </w:r>
                  <w:r>
                    <w:rPr>
                      <w:rFonts w:hint="default" w:ascii="Times New Roman" w:hAnsi="Times New Roman" w:eastAsia="宋体" w:cs="Times New Roman"/>
                      <w:b w:val="0"/>
                      <w:bCs/>
                      <w:color w:val="0000FF"/>
                      <w:szCs w:val="21"/>
                    </w:rPr>
                    <w:t>七氟丙烷</w:t>
                  </w:r>
                  <w:r>
                    <w:rPr>
                      <w:rFonts w:hint="default" w:ascii="Times New Roman" w:hAnsi="Times New Roman" w:eastAsia="宋体" w:cs="Times New Roman"/>
                      <w:b w:val="0"/>
                      <w:bCs/>
                      <w:color w:val="0000FF"/>
                      <w:szCs w:val="21"/>
                      <w:lang w:val="en-US" w:eastAsia="zh-CN"/>
                    </w:rPr>
                    <w:t>和</w:t>
                  </w:r>
                  <w:r>
                    <w:rPr>
                      <w:rFonts w:hint="default" w:ascii="Times New Roman" w:hAnsi="Times New Roman" w:eastAsia="宋体" w:cs="Times New Roman"/>
                      <w:bCs/>
                      <w:color w:val="auto"/>
                      <w:sz w:val="21"/>
                      <w:szCs w:val="21"/>
                    </w:rPr>
                    <w:t>丙烷充装过程采用低温液体泵将</w:t>
                  </w:r>
                  <w:r>
                    <w:rPr>
                      <w:rFonts w:hint="default" w:ascii="Times New Roman" w:hAnsi="Times New Roman" w:eastAsia="宋体" w:cs="Times New Roman"/>
                      <w:bCs/>
                      <w:color w:val="auto"/>
                      <w:sz w:val="21"/>
                      <w:szCs w:val="21"/>
                      <w:lang w:eastAsia="zh-CN"/>
                    </w:rPr>
                    <w:t>储槽</w:t>
                  </w:r>
                  <w:r>
                    <w:rPr>
                      <w:rFonts w:hint="default" w:ascii="Times New Roman" w:hAnsi="Times New Roman" w:eastAsia="宋体" w:cs="Times New Roman"/>
                      <w:bCs/>
                      <w:color w:val="auto"/>
                      <w:sz w:val="21"/>
                      <w:szCs w:val="21"/>
                    </w:rPr>
                    <w:t>中的低压液态气体充装入瓶，整个装卸和充装流程均为密闭环境，</w:t>
                  </w:r>
                  <w:r>
                    <w:rPr>
                      <w:rFonts w:hint="default" w:ascii="Times New Roman" w:hAnsi="Times New Roman" w:eastAsia="宋体" w:cs="Times New Roman"/>
                      <w:bCs/>
                      <w:color w:val="auto"/>
                      <w:sz w:val="21"/>
                      <w:szCs w:val="21"/>
                      <w:lang w:eastAsia="zh-CN"/>
                    </w:rPr>
                    <w:t>气瓶充装</w:t>
                  </w:r>
                  <w:r>
                    <w:rPr>
                      <w:rFonts w:hint="default" w:ascii="Times New Roman" w:hAnsi="Times New Roman" w:eastAsia="宋体" w:cs="Times New Roman"/>
                      <w:bCs/>
                      <w:color w:val="auto"/>
                      <w:sz w:val="21"/>
                      <w:szCs w:val="21"/>
                    </w:rPr>
                    <w:t>完成后，输送管接头拆卸过程中，阀门与充装口之间管道中残余少量气体</w:t>
                  </w:r>
                  <w:r>
                    <w:rPr>
                      <w:rFonts w:hint="default" w:ascii="Times New Roman" w:hAnsi="Times New Roman" w:eastAsia="宋体" w:cs="Times New Roman"/>
                      <w:bCs/>
                      <w:color w:val="auto"/>
                      <w:sz w:val="21"/>
                      <w:szCs w:val="21"/>
                      <w:lang w:val="en-US" w:eastAsia="zh-CN"/>
                    </w:rPr>
                    <w:t>以</w:t>
                  </w:r>
                  <w:r>
                    <w:rPr>
                      <w:rFonts w:hint="default" w:ascii="Times New Roman" w:hAnsi="Times New Roman" w:eastAsia="宋体" w:cs="Times New Roman"/>
                      <w:bCs/>
                      <w:color w:val="auto"/>
                      <w:sz w:val="21"/>
                      <w:szCs w:val="21"/>
                    </w:rPr>
                    <w:t>无组织</w:t>
                  </w:r>
                  <w:r>
                    <w:rPr>
                      <w:rFonts w:hint="default" w:ascii="Times New Roman" w:hAnsi="Times New Roman" w:eastAsia="宋体" w:cs="Times New Roman"/>
                      <w:bCs/>
                      <w:color w:val="auto"/>
                      <w:sz w:val="21"/>
                      <w:szCs w:val="21"/>
                      <w:lang w:val="en-US" w:eastAsia="zh-CN"/>
                    </w:rPr>
                    <w:t>形式</w:t>
                  </w:r>
                  <w:r>
                    <w:rPr>
                      <w:rFonts w:hint="default" w:ascii="Times New Roman" w:hAnsi="Times New Roman" w:eastAsia="宋体" w:cs="Times New Roman"/>
                      <w:bCs/>
                      <w:color w:val="auto"/>
                      <w:sz w:val="21"/>
                      <w:szCs w:val="21"/>
                    </w:rPr>
                    <w:t>排放。</w:t>
                  </w:r>
                </w:p>
              </w:tc>
            </w:tr>
            <w:tr w14:paraId="517FA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40F6143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noWrap w:val="0"/>
                  <w:vAlign w:val="center"/>
                </w:tcPr>
                <w:p w14:paraId="051D92A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废水</w:t>
                  </w:r>
                </w:p>
              </w:tc>
              <w:tc>
                <w:tcPr>
                  <w:tcW w:w="5545" w:type="dxa"/>
                  <w:noWrap w:val="0"/>
                  <w:vAlign w:val="center"/>
                </w:tcPr>
                <w:p w14:paraId="7B9C9C51">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rPr>
                    <w:t>生活污水经化粪池处理后</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经</w:t>
                  </w:r>
                  <w:r>
                    <w:rPr>
                      <w:rFonts w:hint="default" w:ascii="Times New Roman" w:hAnsi="Times New Roman" w:eastAsia="宋体" w:cs="Times New Roman"/>
                      <w:bCs/>
                      <w:color w:val="auto"/>
                      <w:sz w:val="21"/>
                      <w:szCs w:val="21"/>
                    </w:rPr>
                    <w:t>园区污水管网进入</w:t>
                  </w:r>
                  <w:r>
                    <w:rPr>
                      <w:rFonts w:hint="eastAsia" w:ascii="Times New Roman" w:hAnsi="Times New Roman" w:eastAsia="宋体" w:cs="Times New Roman"/>
                      <w:bCs/>
                      <w:color w:val="0000FF"/>
                      <w:sz w:val="21"/>
                      <w:szCs w:val="21"/>
                      <w:highlight w:val="yellow"/>
                      <w:lang w:eastAsia="zh-CN"/>
                    </w:rPr>
                    <w:t>甘其毛都口岸加工园区工业污水处理厂</w:t>
                  </w:r>
                  <w:r>
                    <w:rPr>
                      <w:rFonts w:hint="default" w:ascii="Times New Roman" w:hAnsi="Times New Roman" w:eastAsia="宋体" w:cs="Times New Roman"/>
                      <w:bCs/>
                      <w:color w:val="0000FF"/>
                      <w:sz w:val="21"/>
                      <w:szCs w:val="21"/>
                      <w:highlight w:val="yellow"/>
                      <w:lang w:eastAsia="zh-CN"/>
                    </w:rPr>
                    <w:t>处理。</w:t>
                  </w:r>
                </w:p>
              </w:tc>
            </w:tr>
            <w:tr w14:paraId="0EA63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496FCF5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shd w:val="clear" w:color="auto" w:fill="auto"/>
                  <w:noWrap w:val="0"/>
                  <w:vAlign w:val="center"/>
                </w:tcPr>
                <w:p w14:paraId="568EE91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噪声</w:t>
                  </w:r>
                </w:p>
              </w:tc>
              <w:tc>
                <w:tcPr>
                  <w:tcW w:w="5545" w:type="dxa"/>
                  <w:shd w:val="clear" w:color="auto" w:fill="auto"/>
                  <w:noWrap w:val="0"/>
                  <w:vAlign w:val="center"/>
                </w:tcPr>
                <w:p w14:paraId="162A6D62">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选用低噪音设备，对生产设备进行加设减振垫、隔声装置，围闭生产厂房，加强对设备的管理、定期对设备进行保养维护。</w:t>
                  </w:r>
                </w:p>
              </w:tc>
            </w:tr>
            <w:tr w14:paraId="4C7F8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9" w:type="dxa"/>
                  <w:vMerge w:val="continue"/>
                  <w:noWrap w:val="0"/>
                  <w:vAlign w:val="center"/>
                </w:tcPr>
                <w:p w14:paraId="273BE26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rPr>
                  </w:pPr>
                </w:p>
              </w:tc>
              <w:tc>
                <w:tcPr>
                  <w:tcW w:w="1843" w:type="dxa"/>
                  <w:gridSpan w:val="2"/>
                  <w:noWrap w:val="0"/>
                  <w:vAlign w:val="center"/>
                </w:tcPr>
                <w:p w14:paraId="72C2F1F8">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固废</w:t>
                  </w:r>
                </w:p>
              </w:tc>
              <w:tc>
                <w:tcPr>
                  <w:tcW w:w="5545" w:type="dxa"/>
                  <w:noWrap w:val="0"/>
                  <w:vAlign w:val="center"/>
                </w:tcPr>
                <w:p w14:paraId="394CA157">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生活垃圾集中收集后</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由环卫部门统一清理。</w:t>
                  </w:r>
                </w:p>
                <w:p w14:paraId="75095F53">
                  <w:pPr>
                    <w:keepNext w:val="0"/>
                    <w:keepLines w:val="0"/>
                    <w:pageBreakBefore w:val="0"/>
                    <w:kinsoku/>
                    <w:wordWrap/>
                    <w:overflowPunct/>
                    <w:topLinePunct w:val="0"/>
                    <w:bidi w:val="0"/>
                    <w:adjustRightInd w:val="0"/>
                    <w:snapToGrid w:val="0"/>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废气瓶和废配件等暂存于</w:t>
                  </w:r>
                  <w:r>
                    <w:rPr>
                      <w:rFonts w:hint="default" w:ascii="Times New Roman" w:hAnsi="Times New Roman" w:eastAsia="宋体" w:cs="Times New Roman"/>
                      <w:color w:val="auto"/>
                      <w:sz w:val="21"/>
                      <w:szCs w:val="21"/>
                      <w:lang w:val="en-US" w:eastAsia="zh-CN"/>
                    </w:rPr>
                    <w:t>甲类库房内，定期送至第三方检测公司处置。</w:t>
                  </w:r>
                </w:p>
              </w:tc>
            </w:tr>
          </w:tbl>
          <w:p w14:paraId="7FCB4773">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2</w:t>
            </w:r>
            <w:r>
              <w:rPr>
                <w:rFonts w:hint="default" w:ascii="Times New Roman" w:hAnsi="Times New Roman" w:eastAsia="宋体" w:cs="Times New Roman"/>
                <w:b/>
                <w:bCs/>
                <w:color w:val="auto"/>
                <w:sz w:val="24"/>
                <w:szCs w:val="32"/>
              </w:rPr>
              <w:t>、主要设备</w:t>
            </w:r>
          </w:p>
          <w:p w14:paraId="39D662D0">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本项目的主要设备表见表</w:t>
            </w:r>
            <w:r>
              <w:rPr>
                <w:rFonts w:hint="default" w:ascii="Times New Roman" w:hAnsi="Times New Roman" w:eastAsia="宋体" w:cs="Times New Roman"/>
                <w:color w:val="auto"/>
                <w:sz w:val="24"/>
                <w:szCs w:val="32"/>
                <w:lang w:val="en-US" w:eastAsia="zh-CN"/>
              </w:rPr>
              <w:t>2-2</w:t>
            </w:r>
            <w:r>
              <w:rPr>
                <w:rFonts w:hint="default" w:ascii="Times New Roman" w:hAnsi="Times New Roman" w:eastAsia="宋体" w:cs="Times New Roman"/>
                <w:color w:val="auto"/>
                <w:sz w:val="24"/>
                <w:szCs w:val="32"/>
              </w:rPr>
              <w:t>。</w:t>
            </w:r>
          </w:p>
          <w:p w14:paraId="50574A30">
            <w:pPr>
              <w:keepNext w:val="0"/>
              <w:pageBreakBefore w:val="0"/>
              <w:wordWrap/>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2-2  </w:t>
            </w:r>
            <w:r>
              <w:rPr>
                <w:rFonts w:hint="default" w:ascii="Times New Roman" w:hAnsi="Times New Roman" w:eastAsia="宋体" w:cs="Times New Roman"/>
                <w:b/>
                <w:bCs/>
                <w:color w:val="auto"/>
                <w:sz w:val="24"/>
                <w:szCs w:val="32"/>
              </w:rPr>
              <w:t>本项目设备一览表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7"/>
              <w:gridCol w:w="1118"/>
              <w:gridCol w:w="2685"/>
              <w:gridCol w:w="1119"/>
              <w:gridCol w:w="1119"/>
              <w:gridCol w:w="1119"/>
            </w:tblGrid>
            <w:tr w14:paraId="3662E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noWrap w:val="0"/>
                  <w:vAlign w:val="center"/>
                </w:tcPr>
                <w:p w14:paraId="123C01C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序号</w:t>
                  </w:r>
                </w:p>
              </w:tc>
              <w:tc>
                <w:tcPr>
                  <w:tcW w:w="1118" w:type="dxa"/>
                  <w:noWrap w:val="0"/>
                  <w:vAlign w:val="center"/>
                </w:tcPr>
                <w:p w14:paraId="563BF86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工序</w:t>
                  </w:r>
                </w:p>
              </w:tc>
              <w:tc>
                <w:tcPr>
                  <w:tcW w:w="2685" w:type="dxa"/>
                  <w:noWrap w:val="0"/>
                  <w:vAlign w:val="center"/>
                </w:tcPr>
                <w:p w14:paraId="1278052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设备名称</w:t>
                  </w:r>
                </w:p>
              </w:tc>
              <w:tc>
                <w:tcPr>
                  <w:tcW w:w="1119" w:type="dxa"/>
                  <w:noWrap w:val="0"/>
                  <w:vAlign w:val="center"/>
                </w:tcPr>
                <w:p w14:paraId="3A7DF23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规格型号</w:t>
                  </w:r>
                </w:p>
              </w:tc>
              <w:tc>
                <w:tcPr>
                  <w:tcW w:w="1119" w:type="dxa"/>
                  <w:noWrap w:val="0"/>
                  <w:vAlign w:val="center"/>
                </w:tcPr>
                <w:p w14:paraId="40BD9D0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lang w:eastAsia="zh-CN"/>
                    </w:rPr>
                  </w:pPr>
                  <w:r>
                    <w:rPr>
                      <w:rFonts w:hint="default" w:ascii="Times New Roman" w:hAnsi="Times New Roman" w:eastAsia="宋体" w:cs="Times New Roman"/>
                      <w:b/>
                      <w:color w:val="auto"/>
                      <w:szCs w:val="21"/>
                    </w:rPr>
                    <w:t>数量</w:t>
                  </w:r>
                </w:p>
              </w:tc>
              <w:tc>
                <w:tcPr>
                  <w:tcW w:w="1119" w:type="dxa"/>
                  <w:noWrap w:val="0"/>
                  <w:vAlign w:val="center"/>
                </w:tcPr>
                <w:p w14:paraId="0272527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备注</w:t>
                  </w:r>
                </w:p>
              </w:tc>
            </w:tr>
            <w:tr w14:paraId="29DCC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7958828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w:t>
                  </w:r>
                </w:p>
              </w:tc>
              <w:tc>
                <w:tcPr>
                  <w:tcW w:w="1118" w:type="dxa"/>
                  <w:vMerge w:val="restart"/>
                  <w:noWrap w:val="0"/>
                  <w:vAlign w:val="center"/>
                </w:tcPr>
                <w:p w14:paraId="1E58D39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氧气灌装</w:t>
                  </w:r>
                </w:p>
              </w:tc>
              <w:tc>
                <w:tcPr>
                  <w:tcW w:w="2685" w:type="dxa"/>
                  <w:noWrap w:val="0"/>
                  <w:vAlign w:val="center"/>
                </w:tcPr>
                <w:p w14:paraId="2BC28BC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立式液</w:t>
                  </w:r>
                  <w:r>
                    <w:rPr>
                      <w:rFonts w:hint="default" w:ascii="Times New Roman" w:hAnsi="Times New Roman" w:eastAsia="宋体" w:cs="Times New Roman"/>
                      <w:b w:val="0"/>
                      <w:bCs/>
                      <w:color w:val="auto"/>
                      <w:szCs w:val="21"/>
                      <w:lang w:val="en-US" w:eastAsia="zh-CN"/>
                    </w:rPr>
                    <w:t>氧</w:t>
                  </w:r>
                  <w:r>
                    <w:rPr>
                      <w:rFonts w:hint="default" w:ascii="Times New Roman" w:hAnsi="Times New Roman" w:eastAsia="宋体" w:cs="Times New Roman"/>
                      <w:b w:val="0"/>
                      <w:bCs/>
                      <w:color w:val="auto"/>
                      <w:szCs w:val="21"/>
                    </w:rPr>
                    <w:t>低温储槽</w:t>
                  </w:r>
                </w:p>
              </w:tc>
              <w:tc>
                <w:tcPr>
                  <w:tcW w:w="1119" w:type="dxa"/>
                  <w:noWrap w:val="0"/>
                  <w:vAlign w:val="center"/>
                </w:tcPr>
                <w:p w14:paraId="1E288EF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50m</w:t>
                  </w:r>
                  <w:r>
                    <w:rPr>
                      <w:rFonts w:hint="default" w:ascii="Times New Roman" w:hAnsi="Times New Roman" w:eastAsia="宋体" w:cs="Times New Roman"/>
                      <w:b w:val="0"/>
                      <w:bCs/>
                      <w:color w:val="auto"/>
                      <w:szCs w:val="21"/>
                      <w:vertAlign w:val="superscript"/>
                    </w:rPr>
                    <w:t>3</w:t>
                  </w:r>
                </w:p>
              </w:tc>
              <w:tc>
                <w:tcPr>
                  <w:tcW w:w="1119" w:type="dxa"/>
                  <w:noWrap w:val="0"/>
                  <w:vAlign w:val="center"/>
                </w:tcPr>
                <w:p w14:paraId="25AFECB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1个</w:t>
                  </w:r>
                </w:p>
              </w:tc>
              <w:tc>
                <w:tcPr>
                  <w:tcW w:w="1119" w:type="dxa"/>
                  <w:noWrap w:val="0"/>
                  <w:vAlign w:val="center"/>
                </w:tcPr>
                <w:p w14:paraId="5E6A70D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73359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1B441F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2</w:t>
                  </w:r>
                </w:p>
              </w:tc>
              <w:tc>
                <w:tcPr>
                  <w:tcW w:w="1118" w:type="dxa"/>
                  <w:vMerge w:val="continue"/>
                  <w:noWrap w:val="0"/>
                  <w:vAlign w:val="center"/>
                </w:tcPr>
                <w:p w14:paraId="12E375F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3699D49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eastAsia="zh-CN"/>
                    </w:rPr>
                  </w:pP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1119" w:type="dxa"/>
                  <w:noWrap w:val="0"/>
                  <w:vAlign w:val="center"/>
                </w:tcPr>
                <w:p w14:paraId="7B772AA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0FA0B4A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1台</w:t>
                  </w:r>
                </w:p>
              </w:tc>
              <w:tc>
                <w:tcPr>
                  <w:tcW w:w="1119" w:type="dxa"/>
                  <w:noWrap w:val="0"/>
                  <w:vAlign w:val="center"/>
                </w:tcPr>
                <w:p w14:paraId="3A86C29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2D14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97F41A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3</w:t>
                  </w:r>
                </w:p>
              </w:tc>
              <w:tc>
                <w:tcPr>
                  <w:tcW w:w="1118" w:type="dxa"/>
                  <w:vMerge w:val="continue"/>
                  <w:noWrap w:val="0"/>
                  <w:vAlign w:val="center"/>
                </w:tcPr>
                <w:p w14:paraId="4113514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51F10A6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高压汽化器</w:t>
                  </w:r>
                </w:p>
              </w:tc>
              <w:tc>
                <w:tcPr>
                  <w:tcW w:w="1119" w:type="dxa"/>
                  <w:noWrap w:val="0"/>
                  <w:vAlign w:val="center"/>
                </w:tcPr>
                <w:p w14:paraId="22F9A5C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6056E13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1台</w:t>
                  </w:r>
                </w:p>
              </w:tc>
              <w:tc>
                <w:tcPr>
                  <w:tcW w:w="1119" w:type="dxa"/>
                  <w:noWrap w:val="0"/>
                  <w:vAlign w:val="center"/>
                </w:tcPr>
                <w:p w14:paraId="44CCD3A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32D5E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03375FC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4</w:t>
                  </w:r>
                </w:p>
              </w:tc>
              <w:tc>
                <w:tcPr>
                  <w:tcW w:w="1118" w:type="dxa"/>
                  <w:vMerge w:val="continue"/>
                  <w:noWrap w:val="0"/>
                  <w:vAlign w:val="center"/>
                </w:tcPr>
                <w:p w14:paraId="716B922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375E073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低温截止阀</w:t>
                  </w:r>
                </w:p>
              </w:tc>
              <w:tc>
                <w:tcPr>
                  <w:tcW w:w="1119" w:type="dxa"/>
                  <w:noWrap w:val="0"/>
                  <w:vAlign w:val="center"/>
                </w:tcPr>
                <w:p w14:paraId="38CAC45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5ABABB2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1只</w:t>
                  </w:r>
                </w:p>
              </w:tc>
              <w:tc>
                <w:tcPr>
                  <w:tcW w:w="1119" w:type="dxa"/>
                  <w:noWrap w:val="0"/>
                  <w:vAlign w:val="center"/>
                </w:tcPr>
                <w:p w14:paraId="79461BD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5CE4E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429C705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5</w:t>
                  </w:r>
                </w:p>
              </w:tc>
              <w:tc>
                <w:tcPr>
                  <w:tcW w:w="1118" w:type="dxa"/>
                  <w:vMerge w:val="continue"/>
                  <w:noWrap w:val="0"/>
                  <w:vAlign w:val="center"/>
                </w:tcPr>
                <w:p w14:paraId="7BADBF4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04D9B17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304无缝管</w:t>
                  </w:r>
                </w:p>
              </w:tc>
              <w:tc>
                <w:tcPr>
                  <w:tcW w:w="1119" w:type="dxa"/>
                  <w:noWrap w:val="0"/>
                  <w:vAlign w:val="center"/>
                </w:tcPr>
                <w:p w14:paraId="7013BDE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03FD502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1套</w:t>
                  </w:r>
                </w:p>
              </w:tc>
              <w:tc>
                <w:tcPr>
                  <w:tcW w:w="1119" w:type="dxa"/>
                  <w:noWrap w:val="0"/>
                  <w:vAlign w:val="center"/>
                </w:tcPr>
                <w:p w14:paraId="43C18F3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21305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D2F563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6</w:t>
                  </w:r>
                </w:p>
              </w:tc>
              <w:tc>
                <w:tcPr>
                  <w:tcW w:w="1118" w:type="dxa"/>
                  <w:vMerge w:val="continue"/>
                  <w:noWrap w:val="0"/>
                  <w:vAlign w:val="center"/>
                </w:tcPr>
                <w:p w14:paraId="7AABFB2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6115A17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氧气汇流排</w:t>
                  </w:r>
                </w:p>
              </w:tc>
              <w:tc>
                <w:tcPr>
                  <w:tcW w:w="1119" w:type="dxa"/>
                  <w:noWrap w:val="0"/>
                  <w:vAlign w:val="center"/>
                </w:tcPr>
                <w:p w14:paraId="48ED194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02CED1E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1台</w:t>
                  </w:r>
                </w:p>
              </w:tc>
              <w:tc>
                <w:tcPr>
                  <w:tcW w:w="1119" w:type="dxa"/>
                  <w:noWrap w:val="0"/>
                  <w:vAlign w:val="center"/>
                </w:tcPr>
                <w:p w14:paraId="3260C14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0CC7E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43692E1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7</w:t>
                  </w:r>
                </w:p>
              </w:tc>
              <w:tc>
                <w:tcPr>
                  <w:tcW w:w="1118" w:type="dxa"/>
                  <w:vMerge w:val="restart"/>
                  <w:noWrap w:val="0"/>
                  <w:vAlign w:val="center"/>
                </w:tcPr>
                <w:p w14:paraId="47A99BC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氮气灌装</w:t>
                  </w:r>
                </w:p>
              </w:tc>
              <w:tc>
                <w:tcPr>
                  <w:tcW w:w="2685" w:type="dxa"/>
                  <w:shd w:val="clear" w:color="auto" w:fill="auto"/>
                  <w:noWrap w:val="0"/>
                  <w:vAlign w:val="center"/>
                </w:tcPr>
                <w:p w14:paraId="2E46683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立式液</w:t>
                  </w:r>
                  <w:r>
                    <w:rPr>
                      <w:rFonts w:hint="default" w:ascii="Times New Roman" w:hAnsi="Times New Roman" w:eastAsia="宋体" w:cs="Times New Roman"/>
                      <w:b w:val="0"/>
                      <w:bCs/>
                      <w:color w:val="auto"/>
                      <w:szCs w:val="21"/>
                      <w:lang w:val="en-US" w:eastAsia="zh-CN"/>
                    </w:rPr>
                    <w:t>氮</w:t>
                  </w:r>
                  <w:r>
                    <w:rPr>
                      <w:rFonts w:hint="default" w:ascii="Times New Roman" w:hAnsi="Times New Roman" w:eastAsia="宋体" w:cs="Times New Roman"/>
                      <w:b w:val="0"/>
                      <w:bCs/>
                      <w:color w:val="auto"/>
                      <w:szCs w:val="21"/>
                    </w:rPr>
                    <w:t>低温储槽</w:t>
                  </w:r>
                </w:p>
              </w:tc>
              <w:tc>
                <w:tcPr>
                  <w:tcW w:w="1119" w:type="dxa"/>
                  <w:shd w:val="clear" w:color="auto" w:fill="auto"/>
                  <w:noWrap w:val="0"/>
                  <w:vAlign w:val="center"/>
                </w:tcPr>
                <w:p w14:paraId="5FC230D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50m</w:t>
                  </w:r>
                  <w:r>
                    <w:rPr>
                      <w:rFonts w:hint="default" w:ascii="Times New Roman" w:hAnsi="Times New Roman" w:eastAsia="宋体" w:cs="Times New Roman"/>
                      <w:b w:val="0"/>
                      <w:bCs/>
                      <w:color w:val="auto"/>
                      <w:szCs w:val="21"/>
                      <w:vertAlign w:val="superscript"/>
                    </w:rPr>
                    <w:t>3</w:t>
                  </w:r>
                </w:p>
              </w:tc>
              <w:tc>
                <w:tcPr>
                  <w:tcW w:w="1119" w:type="dxa"/>
                  <w:shd w:val="clear" w:color="auto" w:fill="auto"/>
                  <w:noWrap w:val="0"/>
                  <w:vAlign w:val="center"/>
                </w:tcPr>
                <w:p w14:paraId="1D576D1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1个</w:t>
                  </w:r>
                </w:p>
              </w:tc>
              <w:tc>
                <w:tcPr>
                  <w:tcW w:w="1119" w:type="dxa"/>
                  <w:noWrap w:val="0"/>
                  <w:vAlign w:val="center"/>
                </w:tcPr>
                <w:p w14:paraId="53FD2DF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A7CB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4461B42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8</w:t>
                  </w:r>
                </w:p>
              </w:tc>
              <w:tc>
                <w:tcPr>
                  <w:tcW w:w="1118" w:type="dxa"/>
                  <w:vMerge w:val="continue"/>
                  <w:noWrap w:val="0"/>
                  <w:vAlign w:val="center"/>
                </w:tcPr>
                <w:p w14:paraId="025D1C3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5979901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1119" w:type="dxa"/>
                  <w:shd w:val="clear" w:color="auto" w:fill="auto"/>
                  <w:noWrap w:val="0"/>
                  <w:vAlign w:val="center"/>
                </w:tcPr>
                <w:p w14:paraId="72C7963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2DF6C78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1台</w:t>
                  </w:r>
                </w:p>
              </w:tc>
              <w:tc>
                <w:tcPr>
                  <w:tcW w:w="1119" w:type="dxa"/>
                  <w:noWrap w:val="0"/>
                  <w:vAlign w:val="center"/>
                </w:tcPr>
                <w:p w14:paraId="7E36F73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60A5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6C9347B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9</w:t>
                  </w:r>
                </w:p>
              </w:tc>
              <w:tc>
                <w:tcPr>
                  <w:tcW w:w="1118" w:type="dxa"/>
                  <w:vMerge w:val="continue"/>
                  <w:noWrap w:val="0"/>
                  <w:vAlign w:val="center"/>
                </w:tcPr>
                <w:p w14:paraId="04D9DD2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41785EB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高压汽化器</w:t>
                  </w:r>
                </w:p>
              </w:tc>
              <w:tc>
                <w:tcPr>
                  <w:tcW w:w="1119" w:type="dxa"/>
                  <w:shd w:val="clear" w:color="auto" w:fill="auto"/>
                  <w:noWrap w:val="0"/>
                  <w:vAlign w:val="center"/>
                </w:tcPr>
                <w:p w14:paraId="2A4BC88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45982E3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1台</w:t>
                  </w:r>
                </w:p>
              </w:tc>
              <w:tc>
                <w:tcPr>
                  <w:tcW w:w="1119" w:type="dxa"/>
                  <w:noWrap w:val="0"/>
                  <w:vAlign w:val="center"/>
                </w:tcPr>
                <w:p w14:paraId="04CB381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5A0D0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3C5816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10</w:t>
                  </w:r>
                </w:p>
              </w:tc>
              <w:tc>
                <w:tcPr>
                  <w:tcW w:w="1118" w:type="dxa"/>
                  <w:vMerge w:val="continue"/>
                  <w:noWrap w:val="0"/>
                  <w:vAlign w:val="center"/>
                </w:tcPr>
                <w:p w14:paraId="2300711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53BEEA2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低温截止阀</w:t>
                  </w:r>
                </w:p>
              </w:tc>
              <w:tc>
                <w:tcPr>
                  <w:tcW w:w="1119" w:type="dxa"/>
                  <w:shd w:val="clear" w:color="auto" w:fill="auto"/>
                  <w:noWrap w:val="0"/>
                  <w:vAlign w:val="center"/>
                </w:tcPr>
                <w:p w14:paraId="3B8A5FB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6D82843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1只</w:t>
                  </w:r>
                </w:p>
              </w:tc>
              <w:tc>
                <w:tcPr>
                  <w:tcW w:w="1119" w:type="dxa"/>
                  <w:noWrap w:val="0"/>
                  <w:vAlign w:val="center"/>
                </w:tcPr>
                <w:p w14:paraId="53BBB4D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7F124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0CCAE71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11</w:t>
                  </w:r>
                </w:p>
              </w:tc>
              <w:tc>
                <w:tcPr>
                  <w:tcW w:w="1118" w:type="dxa"/>
                  <w:vMerge w:val="continue"/>
                  <w:noWrap w:val="0"/>
                  <w:vAlign w:val="center"/>
                </w:tcPr>
                <w:p w14:paraId="5C36B11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014C89B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304无缝管</w:t>
                  </w:r>
                </w:p>
              </w:tc>
              <w:tc>
                <w:tcPr>
                  <w:tcW w:w="1119" w:type="dxa"/>
                  <w:shd w:val="clear" w:color="auto" w:fill="auto"/>
                  <w:noWrap w:val="0"/>
                  <w:vAlign w:val="center"/>
                </w:tcPr>
                <w:p w14:paraId="699B586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64C8990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1套</w:t>
                  </w:r>
                </w:p>
              </w:tc>
              <w:tc>
                <w:tcPr>
                  <w:tcW w:w="1119" w:type="dxa"/>
                  <w:noWrap w:val="0"/>
                  <w:vAlign w:val="center"/>
                </w:tcPr>
                <w:p w14:paraId="5595BE8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1E91F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6D19335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12</w:t>
                  </w:r>
                </w:p>
              </w:tc>
              <w:tc>
                <w:tcPr>
                  <w:tcW w:w="1118" w:type="dxa"/>
                  <w:vMerge w:val="continue"/>
                  <w:noWrap w:val="0"/>
                  <w:vAlign w:val="center"/>
                </w:tcPr>
                <w:p w14:paraId="76B6990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6F32BDD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氮气汇流排</w:t>
                  </w:r>
                </w:p>
              </w:tc>
              <w:tc>
                <w:tcPr>
                  <w:tcW w:w="1119" w:type="dxa"/>
                  <w:shd w:val="clear" w:color="auto" w:fill="auto"/>
                  <w:noWrap w:val="0"/>
                  <w:vAlign w:val="center"/>
                </w:tcPr>
                <w:p w14:paraId="69F7C70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23FC35A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1台</w:t>
                  </w:r>
                </w:p>
              </w:tc>
              <w:tc>
                <w:tcPr>
                  <w:tcW w:w="1119" w:type="dxa"/>
                  <w:noWrap w:val="0"/>
                  <w:vAlign w:val="center"/>
                </w:tcPr>
                <w:p w14:paraId="7EE72E0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C927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326D737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13</w:t>
                  </w:r>
                </w:p>
              </w:tc>
              <w:tc>
                <w:tcPr>
                  <w:tcW w:w="1118" w:type="dxa"/>
                  <w:vMerge w:val="restart"/>
                  <w:noWrap w:val="0"/>
                  <w:vAlign w:val="center"/>
                </w:tcPr>
                <w:p w14:paraId="0849DF2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氩气灌装</w:t>
                  </w:r>
                </w:p>
              </w:tc>
              <w:tc>
                <w:tcPr>
                  <w:tcW w:w="2685" w:type="dxa"/>
                  <w:shd w:val="clear" w:color="auto" w:fill="auto"/>
                  <w:noWrap w:val="0"/>
                  <w:vAlign w:val="center"/>
                </w:tcPr>
                <w:p w14:paraId="5228F9B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立式液</w:t>
                  </w:r>
                  <w:r>
                    <w:rPr>
                      <w:rFonts w:hint="default" w:ascii="Times New Roman" w:hAnsi="Times New Roman" w:eastAsia="宋体" w:cs="Times New Roman"/>
                      <w:b w:val="0"/>
                      <w:bCs/>
                      <w:color w:val="auto"/>
                      <w:szCs w:val="21"/>
                      <w:lang w:val="en-US" w:eastAsia="zh-CN"/>
                    </w:rPr>
                    <w:t>氩</w:t>
                  </w:r>
                  <w:r>
                    <w:rPr>
                      <w:rFonts w:hint="default" w:ascii="Times New Roman" w:hAnsi="Times New Roman" w:eastAsia="宋体" w:cs="Times New Roman"/>
                      <w:b w:val="0"/>
                      <w:bCs/>
                      <w:color w:val="auto"/>
                      <w:szCs w:val="21"/>
                    </w:rPr>
                    <w:t>低温储槽</w:t>
                  </w:r>
                </w:p>
              </w:tc>
              <w:tc>
                <w:tcPr>
                  <w:tcW w:w="1119" w:type="dxa"/>
                  <w:shd w:val="clear" w:color="auto" w:fill="auto"/>
                  <w:noWrap w:val="0"/>
                  <w:vAlign w:val="center"/>
                </w:tcPr>
                <w:p w14:paraId="5D7548B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50m</w:t>
                  </w:r>
                  <w:r>
                    <w:rPr>
                      <w:rFonts w:hint="default" w:ascii="Times New Roman" w:hAnsi="Times New Roman" w:eastAsia="宋体" w:cs="Times New Roman"/>
                      <w:b w:val="0"/>
                      <w:bCs/>
                      <w:color w:val="auto"/>
                      <w:szCs w:val="21"/>
                      <w:vertAlign w:val="superscript"/>
                    </w:rPr>
                    <w:t>3</w:t>
                  </w:r>
                </w:p>
              </w:tc>
              <w:tc>
                <w:tcPr>
                  <w:tcW w:w="1119" w:type="dxa"/>
                  <w:shd w:val="clear" w:color="auto" w:fill="auto"/>
                  <w:noWrap w:val="0"/>
                  <w:vAlign w:val="center"/>
                </w:tcPr>
                <w:p w14:paraId="642A94C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1个</w:t>
                  </w:r>
                </w:p>
              </w:tc>
              <w:tc>
                <w:tcPr>
                  <w:tcW w:w="1119" w:type="dxa"/>
                  <w:noWrap w:val="0"/>
                  <w:vAlign w:val="center"/>
                </w:tcPr>
                <w:p w14:paraId="35325CE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454CC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04597B9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14</w:t>
                  </w:r>
                </w:p>
              </w:tc>
              <w:tc>
                <w:tcPr>
                  <w:tcW w:w="1118" w:type="dxa"/>
                  <w:vMerge w:val="continue"/>
                  <w:noWrap w:val="0"/>
                  <w:vAlign w:val="center"/>
                </w:tcPr>
                <w:p w14:paraId="7545B09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67FE841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1119" w:type="dxa"/>
                  <w:shd w:val="clear" w:color="auto" w:fill="auto"/>
                  <w:noWrap w:val="0"/>
                  <w:vAlign w:val="center"/>
                </w:tcPr>
                <w:p w14:paraId="77F18F8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4FDA65B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1台</w:t>
                  </w:r>
                </w:p>
              </w:tc>
              <w:tc>
                <w:tcPr>
                  <w:tcW w:w="1119" w:type="dxa"/>
                  <w:noWrap w:val="0"/>
                  <w:vAlign w:val="center"/>
                </w:tcPr>
                <w:p w14:paraId="006270B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59FD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4A75F19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15</w:t>
                  </w:r>
                </w:p>
              </w:tc>
              <w:tc>
                <w:tcPr>
                  <w:tcW w:w="1118" w:type="dxa"/>
                  <w:vMerge w:val="continue"/>
                  <w:noWrap w:val="0"/>
                  <w:vAlign w:val="center"/>
                </w:tcPr>
                <w:p w14:paraId="4804BEC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0AAA831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高压汽化器</w:t>
                  </w:r>
                </w:p>
              </w:tc>
              <w:tc>
                <w:tcPr>
                  <w:tcW w:w="1119" w:type="dxa"/>
                  <w:shd w:val="clear" w:color="auto" w:fill="auto"/>
                  <w:noWrap w:val="0"/>
                  <w:vAlign w:val="center"/>
                </w:tcPr>
                <w:p w14:paraId="7EB3F2F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508C891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1台</w:t>
                  </w:r>
                </w:p>
              </w:tc>
              <w:tc>
                <w:tcPr>
                  <w:tcW w:w="1119" w:type="dxa"/>
                  <w:noWrap w:val="0"/>
                  <w:vAlign w:val="center"/>
                </w:tcPr>
                <w:p w14:paraId="081B3A3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073C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15B3C3C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16</w:t>
                  </w:r>
                </w:p>
              </w:tc>
              <w:tc>
                <w:tcPr>
                  <w:tcW w:w="1118" w:type="dxa"/>
                  <w:vMerge w:val="continue"/>
                  <w:noWrap w:val="0"/>
                  <w:vAlign w:val="center"/>
                </w:tcPr>
                <w:p w14:paraId="4EC36B8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0E28A1B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低温截止阀</w:t>
                  </w:r>
                </w:p>
              </w:tc>
              <w:tc>
                <w:tcPr>
                  <w:tcW w:w="1119" w:type="dxa"/>
                  <w:shd w:val="clear" w:color="auto" w:fill="auto"/>
                  <w:noWrap w:val="0"/>
                  <w:vAlign w:val="center"/>
                </w:tcPr>
                <w:p w14:paraId="55E9A13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6DDAE05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1只</w:t>
                  </w:r>
                </w:p>
              </w:tc>
              <w:tc>
                <w:tcPr>
                  <w:tcW w:w="1119" w:type="dxa"/>
                  <w:noWrap w:val="0"/>
                  <w:vAlign w:val="center"/>
                </w:tcPr>
                <w:p w14:paraId="4861D66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55FC6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7CE7812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17</w:t>
                  </w:r>
                </w:p>
              </w:tc>
              <w:tc>
                <w:tcPr>
                  <w:tcW w:w="1118" w:type="dxa"/>
                  <w:vMerge w:val="continue"/>
                  <w:noWrap w:val="0"/>
                  <w:vAlign w:val="center"/>
                </w:tcPr>
                <w:p w14:paraId="5914860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36DAD19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304无缝管</w:t>
                  </w:r>
                </w:p>
              </w:tc>
              <w:tc>
                <w:tcPr>
                  <w:tcW w:w="1119" w:type="dxa"/>
                  <w:shd w:val="clear" w:color="auto" w:fill="auto"/>
                  <w:noWrap w:val="0"/>
                  <w:vAlign w:val="center"/>
                </w:tcPr>
                <w:p w14:paraId="62B513F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63C8336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1套</w:t>
                  </w:r>
                </w:p>
              </w:tc>
              <w:tc>
                <w:tcPr>
                  <w:tcW w:w="1119" w:type="dxa"/>
                  <w:noWrap w:val="0"/>
                  <w:vAlign w:val="center"/>
                </w:tcPr>
                <w:p w14:paraId="5B20613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48078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1B3D9A3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18</w:t>
                  </w:r>
                </w:p>
              </w:tc>
              <w:tc>
                <w:tcPr>
                  <w:tcW w:w="1118" w:type="dxa"/>
                  <w:vMerge w:val="continue"/>
                  <w:noWrap w:val="0"/>
                  <w:vAlign w:val="center"/>
                </w:tcPr>
                <w:p w14:paraId="3181B71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6743A4A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氩气汇流排</w:t>
                  </w:r>
                </w:p>
              </w:tc>
              <w:tc>
                <w:tcPr>
                  <w:tcW w:w="1119" w:type="dxa"/>
                  <w:shd w:val="clear" w:color="auto" w:fill="auto"/>
                  <w:noWrap w:val="0"/>
                  <w:vAlign w:val="center"/>
                </w:tcPr>
                <w:p w14:paraId="5B22B69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3440F3C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rPr>
                    <w:t>1台</w:t>
                  </w:r>
                </w:p>
              </w:tc>
              <w:tc>
                <w:tcPr>
                  <w:tcW w:w="1119" w:type="dxa"/>
                  <w:noWrap w:val="0"/>
                  <w:vAlign w:val="center"/>
                </w:tcPr>
                <w:p w14:paraId="13D3D37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09618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2B2D7B8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19</w:t>
                  </w:r>
                </w:p>
              </w:tc>
              <w:tc>
                <w:tcPr>
                  <w:tcW w:w="1118" w:type="dxa"/>
                  <w:vMerge w:val="restart"/>
                  <w:noWrap w:val="0"/>
                  <w:vAlign w:val="center"/>
                </w:tcPr>
                <w:p w14:paraId="5DA7E4D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二氧化碳</w:t>
                  </w:r>
                </w:p>
              </w:tc>
              <w:tc>
                <w:tcPr>
                  <w:tcW w:w="2685" w:type="dxa"/>
                  <w:noWrap w:val="0"/>
                  <w:vAlign w:val="center"/>
                </w:tcPr>
                <w:p w14:paraId="01DA4C6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立式</w:t>
                  </w:r>
                  <w:r>
                    <w:rPr>
                      <w:rFonts w:hint="default" w:ascii="Times New Roman" w:hAnsi="Times New Roman" w:eastAsia="宋体" w:cs="Times New Roman"/>
                      <w:bCs/>
                      <w:color w:val="auto"/>
                      <w:sz w:val="21"/>
                      <w:szCs w:val="21"/>
                    </w:rPr>
                    <w:t>二氧化碳低温储槽</w:t>
                  </w:r>
                </w:p>
              </w:tc>
              <w:tc>
                <w:tcPr>
                  <w:tcW w:w="1119" w:type="dxa"/>
                  <w:noWrap w:val="0"/>
                  <w:vAlign w:val="center"/>
                </w:tcPr>
                <w:p w14:paraId="57A7DCA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50m</w:t>
                  </w:r>
                  <w:r>
                    <w:rPr>
                      <w:rFonts w:hint="default" w:ascii="Times New Roman" w:hAnsi="Times New Roman" w:eastAsia="宋体" w:cs="Times New Roman"/>
                      <w:bCs/>
                      <w:color w:val="auto"/>
                      <w:sz w:val="21"/>
                      <w:szCs w:val="21"/>
                      <w:vertAlign w:val="superscript"/>
                      <w:lang w:val="en-US" w:eastAsia="zh-CN"/>
                    </w:rPr>
                    <w:t>3</w:t>
                  </w:r>
                </w:p>
              </w:tc>
              <w:tc>
                <w:tcPr>
                  <w:tcW w:w="1119" w:type="dxa"/>
                  <w:noWrap w:val="0"/>
                  <w:vAlign w:val="center"/>
                </w:tcPr>
                <w:p w14:paraId="12F5AE0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1个</w:t>
                  </w:r>
                </w:p>
              </w:tc>
              <w:tc>
                <w:tcPr>
                  <w:tcW w:w="1119" w:type="dxa"/>
                  <w:noWrap w:val="0"/>
                  <w:vAlign w:val="center"/>
                </w:tcPr>
                <w:p w14:paraId="670C025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357E0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4ED7638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20</w:t>
                  </w:r>
                </w:p>
              </w:tc>
              <w:tc>
                <w:tcPr>
                  <w:tcW w:w="1118" w:type="dxa"/>
                  <w:vMerge w:val="continue"/>
                  <w:noWrap w:val="0"/>
                  <w:vAlign w:val="center"/>
                </w:tcPr>
                <w:p w14:paraId="45486A0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44BC016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低温液体泵</w:t>
                  </w:r>
                </w:p>
              </w:tc>
              <w:tc>
                <w:tcPr>
                  <w:tcW w:w="1119" w:type="dxa"/>
                  <w:noWrap w:val="0"/>
                  <w:vAlign w:val="center"/>
                </w:tcPr>
                <w:p w14:paraId="6D830E4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7F55DBB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1台</w:t>
                  </w:r>
                </w:p>
              </w:tc>
              <w:tc>
                <w:tcPr>
                  <w:tcW w:w="1119" w:type="dxa"/>
                  <w:noWrap w:val="0"/>
                  <w:vAlign w:val="center"/>
                </w:tcPr>
                <w:p w14:paraId="1A9BF3F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5C220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414463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21</w:t>
                  </w:r>
                </w:p>
              </w:tc>
              <w:tc>
                <w:tcPr>
                  <w:tcW w:w="1118" w:type="dxa"/>
                  <w:vMerge w:val="continue"/>
                  <w:noWrap w:val="0"/>
                  <w:vAlign w:val="center"/>
                </w:tcPr>
                <w:p w14:paraId="0F96C8C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10D9BBE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低温截止阀</w:t>
                  </w:r>
                </w:p>
              </w:tc>
              <w:tc>
                <w:tcPr>
                  <w:tcW w:w="1119" w:type="dxa"/>
                  <w:shd w:val="clear" w:color="auto" w:fill="auto"/>
                  <w:noWrap w:val="0"/>
                  <w:vAlign w:val="center"/>
                </w:tcPr>
                <w:p w14:paraId="606937D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464B679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1只</w:t>
                  </w:r>
                </w:p>
              </w:tc>
              <w:tc>
                <w:tcPr>
                  <w:tcW w:w="1119" w:type="dxa"/>
                  <w:noWrap w:val="0"/>
                  <w:vAlign w:val="center"/>
                </w:tcPr>
                <w:p w14:paraId="5AF8F5F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18928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555986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22</w:t>
                  </w:r>
                </w:p>
              </w:tc>
              <w:tc>
                <w:tcPr>
                  <w:tcW w:w="1118" w:type="dxa"/>
                  <w:vMerge w:val="continue"/>
                  <w:noWrap w:val="0"/>
                  <w:vAlign w:val="center"/>
                </w:tcPr>
                <w:p w14:paraId="7E5DBDB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2E63B8A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304无缝管</w:t>
                  </w:r>
                </w:p>
              </w:tc>
              <w:tc>
                <w:tcPr>
                  <w:tcW w:w="1119" w:type="dxa"/>
                  <w:shd w:val="clear" w:color="auto" w:fill="auto"/>
                  <w:noWrap w:val="0"/>
                  <w:vAlign w:val="center"/>
                </w:tcPr>
                <w:p w14:paraId="04C9327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5BE6329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1套</w:t>
                  </w:r>
                </w:p>
              </w:tc>
              <w:tc>
                <w:tcPr>
                  <w:tcW w:w="1119" w:type="dxa"/>
                  <w:noWrap w:val="0"/>
                  <w:vAlign w:val="center"/>
                </w:tcPr>
                <w:p w14:paraId="3FA6B02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169A0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3A8F142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23</w:t>
                  </w:r>
                </w:p>
              </w:tc>
              <w:tc>
                <w:tcPr>
                  <w:tcW w:w="1118" w:type="dxa"/>
                  <w:vMerge w:val="continue"/>
                  <w:noWrap w:val="0"/>
                  <w:vAlign w:val="center"/>
                </w:tcPr>
                <w:p w14:paraId="6314958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6E43479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二氧化碳汇流排</w:t>
                  </w:r>
                </w:p>
              </w:tc>
              <w:tc>
                <w:tcPr>
                  <w:tcW w:w="1119" w:type="dxa"/>
                  <w:noWrap w:val="0"/>
                  <w:vAlign w:val="center"/>
                </w:tcPr>
                <w:p w14:paraId="438D231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43384D5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1台</w:t>
                  </w:r>
                </w:p>
              </w:tc>
              <w:tc>
                <w:tcPr>
                  <w:tcW w:w="1119" w:type="dxa"/>
                  <w:noWrap w:val="0"/>
                  <w:vAlign w:val="center"/>
                </w:tcPr>
                <w:p w14:paraId="4557C0C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E76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649A578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24</w:t>
                  </w:r>
                </w:p>
              </w:tc>
              <w:tc>
                <w:tcPr>
                  <w:tcW w:w="1118" w:type="dxa"/>
                  <w:vMerge w:val="restart"/>
                  <w:noWrap w:val="0"/>
                  <w:vAlign w:val="center"/>
                </w:tcPr>
                <w:p w14:paraId="0FD7D2F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七氟丙烷</w:t>
                  </w:r>
                </w:p>
              </w:tc>
              <w:tc>
                <w:tcPr>
                  <w:tcW w:w="2685" w:type="dxa"/>
                  <w:noWrap w:val="0"/>
                  <w:vAlign w:val="center"/>
                </w:tcPr>
                <w:p w14:paraId="43B3380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七氟丙烷消防气低温储槽</w:t>
                  </w:r>
                </w:p>
              </w:tc>
              <w:tc>
                <w:tcPr>
                  <w:tcW w:w="1119" w:type="dxa"/>
                  <w:noWrap w:val="0"/>
                  <w:vAlign w:val="center"/>
                </w:tcPr>
                <w:p w14:paraId="41F21FB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30m</w:t>
                  </w:r>
                  <w:r>
                    <w:rPr>
                      <w:rFonts w:hint="default" w:ascii="Times New Roman" w:hAnsi="Times New Roman" w:eastAsia="宋体" w:cs="Times New Roman"/>
                      <w:b w:val="0"/>
                      <w:bCs/>
                      <w:color w:val="auto"/>
                      <w:szCs w:val="21"/>
                      <w:vertAlign w:val="superscript"/>
                    </w:rPr>
                    <w:t>3</w:t>
                  </w:r>
                </w:p>
              </w:tc>
              <w:tc>
                <w:tcPr>
                  <w:tcW w:w="1119" w:type="dxa"/>
                  <w:noWrap w:val="0"/>
                  <w:vAlign w:val="center"/>
                </w:tcPr>
                <w:p w14:paraId="05986DB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2个</w:t>
                  </w:r>
                </w:p>
              </w:tc>
              <w:tc>
                <w:tcPr>
                  <w:tcW w:w="1119" w:type="dxa"/>
                  <w:noWrap w:val="0"/>
                  <w:vAlign w:val="center"/>
                </w:tcPr>
                <w:p w14:paraId="30E348A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39283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4BEBC9F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25</w:t>
                  </w:r>
                </w:p>
              </w:tc>
              <w:tc>
                <w:tcPr>
                  <w:tcW w:w="1118" w:type="dxa"/>
                  <w:vMerge w:val="continue"/>
                  <w:noWrap w:val="0"/>
                  <w:vAlign w:val="center"/>
                </w:tcPr>
                <w:p w14:paraId="2EFA4A6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68F2D35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抽真空压缩机</w:t>
                  </w:r>
                </w:p>
              </w:tc>
              <w:tc>
                <w:tcPr>
                  <w:tcW w:w="1119" w:type="dxa"/>
                  <w:noWrap w:val="0"/>
                  <w:vAlign w:val="center"/>
                </w:tcPr>
                <w:p w14:paraId="32CE598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2C3A870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1台</w:t>
                  </w:r>
                </w:p>
              </w:tc>
              <w:tc>
                <w:tcPr>
                  <w:tcW w:w="1119" w:type="dxa"/>
                  <w:noWrap w:val="0"/>
                  <w:vAlign w:val="center"/>
                </w:tcPr>
                <w:p w14:paraId="48FAD90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61B27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1C56696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26</w:t>
                  </w:r>
                </w:p>
              </w:tc>
              <w:tc>
                <w:tcPr>
                  <w:tcW w:w="1118" w:type="dxa"/>
                  <w:vMerge w:val="continue"/>
                  <w:noWrap w:val="0"/>
                  <w:vAlign w:val="center"/>
                </w:tcPr>
                <w:p w14:paraId="13E62DE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799944B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压力分装仪表</w:t>
                  </w:r>
                </w:p>
              </w:tc>
              <w:tc>
                <w:tcPr>
                  <w:tcW w:w="1119" w:type="dxa"/>
                  <w:noWrap w:val="0"/>
                  <w:vAlign w:val="center"/>
                </w:tcPr>
                <w:p w14:paraId="7BE8313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05C8C91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1台</w:t>
                  </w:r>
                </w:p>
              </w:tc>
              <w:tc>
                <w:tcPr>
                  <w:tcW w:w="1119" w:type="dxa"/>
                  <w:noWrap w:val="0"/>
                  <w:vAlign w:val="center"/>
                </w:tcPr>
                <w:p w14:paraId="0D01883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70BC4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79DD86D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27</w:t>
                  </w:r>
                </w:p>
              </w:tc>
              <w:tc>
                <w:tcPr>
                  <w:tcW w:w="1118" w:type="dxa"/>
                  <w:vMerge w:val="continue"/>
                  <w:noWrap w:val="0"/>
                  <w:vAlign w:val="center"/>
                </w:tcPr>
                <w:p w14:paraId="066A8BD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7526E61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304无缝管</w:t>
                  </w:r>
                </w:p>
              </w:tc>
              <w:tc>
                <w:tcPr>
                  <w:tcW w:w="1119" w:type="dxa"/>
                  <w:shd w:val="clear" w:color="auto" w:fill="auto"/>
                  <w:noWrap w:val="0"/>
                  <w:vAlign w:val="center"/>
                </w:tcPr>
                <w:p w14:paraId="1FE3EA5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shd w:val="clear" w:color="auto" w:fill="auto"/>
                  <w:noWrap w:val="0"/>
                  <w:vAlign w:val="center"/>
                </w:tcPr>
                <w:p w14:paraId="0F5F94E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1套</w:t>
                  </w:r>
                </w:p>
              </w:tc>
              <w:tc>
                <w:tcPr>
                  <w:tcW w:w="1119" w:type="dxa"/>
                  <w:noWrap w:val="0"/>
                  <w:vAlign w:val="center"/>
                </w:tcPr>
                <w:p w14:paraId="157D958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2FFF8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331E363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28</w:t>
                  </w:r>
                </w:p>
              </w:tc>
              <w:tc>
                <w:tcPr>
                  <w:tcW w:w="1118" w:type="dxa"/>
                  <w:vMerge w:val="continue"/>
                  <w:noWrap w:val="0"/>
                  <w:vAlign w:val="center"/>
                </w:tcPr>
                <w:p w14:paraId="5A405BA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1A010F8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七氟丙烷汇流排</w:t>
                  </w:r>
                </w:p>
              </w:tc>
              <w:tc>
                <w:tcPr>
                  <w:tcW w:w="1119" w:type="dxa"/>
                  <w:noWrap w:val="0"/>
                  <w:vAlign w:val="center"/>
                </w:tcPr>
                <w:p w14:paraId="5BA4DF7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1DB5F4C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1台</w:t>
                  </w:r>
                </w:p>
              </w:tc>
              <w:tc>
                <w:tcPr>
                  <w:tcW w:w="1119" w:type="dxa"/>
                  <w:noWrap w:val="0"/>
                  <w:vAlign w:val="center"/>
                </w:tcPr>
                <w:p w14:paraId="6BF9A12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10CF5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2E9E9CA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29</w:t>
                  </w:r>
                </w:p>
              </w:tc>
              <w:tc>
                <w:tcPr>
                  <w:tcW w:w="1118" w:type="dxa"/>
                  <w:vMerge w:val="restart"/>
                  <w:noWrap w:val="0"/>
                  <w:vAlign w:val="center"/>
                </w:tcPr>
                <w:p w14:paraId="2A9BEA7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标准气</w:t>
                  </w:r>
                </w:p>
              </w:tc>
              <w:tc>
                <w:tcPr>
                  <w:tcW w:w="2685" w:type="dxa"/>
                  <w:noWrap w:val="0"/>
                  <w:vAlign w:val="center"/>
                </w:tcPr>
                <w:p w14:paraId="036E3B1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抽真空压缩机</w:t>
                  </w:r>
                </w:p>
              </w:tc>
              <w:tc>
                <w:tcPr>
                  <w:tcW w:w="1119" w:type="dxa"/>
                  <w:noWrap w:val="0"/>
                  <w:vAlign w:val="center"/>
                </w:tcPr>
                <w:p w14:paraId="39E5E08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081CE86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1</w:t>
                  </w:r>
                  <w:r>
                    <w:rPr>
                      <w:rFonts w:hint="default" w:ascii="Times New Roman" w:hAnsi="Times New Roman" w:eastAsia="宋体" w:cs="Times New Roman"/>
                      <w:b w:val="0"/>
                      <w:bCs/>
                      <w:color w:val="auto"/>
                      <w:szCs w:val="21"/>
                    </w:rPr>
                    <w:t>台</w:t>
                  </w:r>
                </w:p>
              </w:tc>
              <w:tc>
                <w:tcPr>
                  <w:tcW w:w="1119" w:type="dxa"/>
                  <w:noWrap w:val="0"/>
                  <w:vAlign w:val="center"/>
                </w:tcPr>
                <w:p w14:paraId="2425606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11715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11C964C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30</w:t>
                  </w:r>
                </w:p>
              </w:tc>
              <w:tc>
                <w:tcPr>
                  <w:tcW w:w="1118" w:type="dxa"/>
                  <w:vMerge w:val="continue"/>
                  <w:noWrap w:val="0"/>
                  <w:vAlign w:val="center"/>
                </w:tcPr>
                <w:p w14:paraId="761A21D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41FD95B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称量法电子秤设备</w:t>
                  </w:r>
                </w:p>
              </w:tc>
              <w:tc>
                <w:tcPr>
                  <w:tcW w:w="1119" w:type="dxa"/>
                  <w:noWrap w:val="0"/>
                  <w:vAlign w:val="center"/>
                </w:tcPr>
                <w:p w14:paraId="65CF638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650A2F3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1</w:t>
                  </w:r>
                  <w:r>
                    <w:rPr>
                      <w:rFonts w:hint="default" w:ascii="Times New Roman" w:hAnsi="Times New Roman" w:eastAsia="宋体" w:cs="Times New Roman"/>
                      <w:b w:val="0"/>
                      <w:bCs/>
                      <w:color w:val="auto"/>
                      <w:szCs w:val="21"/>
                    </w:rPr>
                    <w:t>台</w:t>
                  </w:r>
                </w:p>
              </w:tc>
              <w:tc>
                <w:tcPr>
                  <w:tcW w:w="1119" w:type="dxa"/>
                  <w:noWrap w:val="0"/>
                  <w:vAlign w:val="center"/>
                </w:tcPr>
                <w:p w14:paraId="50F089B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046ED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338AF58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31</w:t>
                  </w:r>
                </w:p>
              </w:tc>
              <w:tc>
                <w:tcPr>
                  <w:tcW w:w="1118" w:type="dxa"/>
                  <w:vMerge w:val="continue"/>
                  <w:noWrap w:val="0"/>
                  <w:vAlign w:val="center"/>
                </w:tcPr>
                <w:p w14:paraId="7CC03D4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1CDB66E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非标充装系统</w:t>
                  </w:r>
                </w:p>
              </w:tc>
              <w:tc>
                <w:tcPr>
                  <w:tcW w:w="1119" w:type="dxa"/>
                  <w:noWrap w:val="0"/>
                  <w:vAlign w:val="center"/>
                </w:tcPr>
                <w:p w14:paraId="6DABFB2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2C24368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1套</w:t>
                  </w:r>
                </w:p>
              </w:tc>
              <w:tc>
                <w:tcPr>
                  <w:tcW w:w="1119" w:type="dxa"/>
                  <w:noWrap w:val="0"/>
                  <w:vAlign w:val="center"/>
                </w:tcPr>
                <w:p w14:paraId="25DFC46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46CF2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5F0AB5E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32</w:t>
                  </w:r>
                </w:p>
              </w:tc>
              <w:tc>
                <w:tcPr>
                  <w:tcW w:w="1118" w:type="dxa"/>
                  <w:vMerge w:val="continue"/>
                  <w:noWrap w:val="0"/>
                  <w:vAlign w:val="center"/>
                </w:tcPr>
                <w:p w14:paraId="22301F2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337A0E2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分析仪</w:t>
                  </w:r>
                </w:p>
              </w:tc>
              <w:tc>
                <w:tcPr>
                  <w:tcW w:w="1119" w:type="dxa"/>
                  <w:noWrap w:val="0"/>
                  <w:vAlign w:val="center"/>
                </w:tcPr>
                <w:p w14:paraId="263BD37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7B22945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1</w:t>
                  </w:r>
                  <w:r>
                    <w:rPr>
                      <w:rFonts w:hint="default" w:ascii="Times New Roman" w:hAnsi="Times New Roman" w:eastAsia="宋体" w:cs="Times New Roman"/>
                      <w:b w:val="0"/>
                      <w:bCs/>
                      <w:color w:val="auto"/>
                      <w:szCs w:val="21"/>
                    </w:rPr>
                    <w:t>台</w:t>
                  </w:r>
                </w:p>
              </w:tc>
              <w:tc>
                <w:tcPr>
                  <w:tcW w:w="1119" w:type="dxa"/>
                  <w:noWrap w:val="0"/>
                  <w:vAlign w:val="center"/>
                </w:tcPr>
                <w:p w14:paraId="34411C1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43660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65B8A54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33</w:t>
                  </w:r>
                </w:p>
              </w:tc>
              <w:tc>
                <w:tcPr>
                  <w:tcW w:w="1118" w:type="dxa"/>
                  <w:vMerge w:val="restart"/>
                  <w:noWrap w:val="0"/>
                  <w:vAlign w:val="center"/>
                </w:tcPr>
                <w:p w14:paraId="3BB8247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丙烷</w:t>
                  </w:r>
                </w:p>
              </w:tc>
              <w:tc>
                <w:tcPr>
                  <w:tcW w:w="2685" w:type="dxa"/>
                  <w:noWrap w:val="0"/>
                  <w:vAlign w:val="center"/>
                </w:tcPr>
                <w:p w14:paraId="52D32CA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地埋式丙烷储槽</w:t>
                  </w:r>
                </w:p>
              </w:tc>
              <w:tc>
                <w:tcPr>
                  <w:tcW w:w="1119" w:type="dxa"/>
                  <w:noWrap w:val="0"/>
                  <w:vAlign w:val="center"/>
                </w:tcPr>
                <w:p w14:paraId="1544666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50m</w:t>
                  </w:r>
                  <w:r>
                    <w:rPr>
                      <w:rFonts w:hint="default" w:ascii="Times New Roman" w:hAnsi="Times New Roman" w:eastAsia="宋体" w:cs="Times New Roman"/>
                      <w:bCs/>
                      <w:color w:val="auto"/>
                      <w:sz w:val="21"/>
                      <w:szCs w:val="21"/>
                      <w:vertAlign w:val="superscript"/>
                      <w:lang w:val="en-US" w:eastAsia="zh-CN"/>
                    </w:rPr>
                    <w:t>3</w:t>
                  </w:r>
                </w:p>
              </w:tc>
              <w:tc>
                <w:tcPr>
                  <w:tcW w:w="1119" w:type="dxa"/>
                  <w:noWrap w:val="0"/>
                  <w:vAlign w:val="center"/>
                </w:tcPr>
                <w:p w14:paraId="42BA9C3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 w:val="21"/>
                      <w:szCs w:val="21"/>
                      <w:lang w:val="en-US" w:eastAsia="zh-CN"/>
                    </w:rPr>
                    <w:t>4个</w:t>
                  </w:r>
                </w:p>
              </w:tc>
              <w:tc>
                <w:tcPr>
                  <w:tcW w:w="1119" w:type="dxa"/>
                  <w:noWrap w:val="0"/>
                  <w:vAlign w:val="center"/>
                </w:tcPr>
                <w:p w14:paraId="66A9C97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35579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30C9ED8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34</w:t>
                  </w:r>
                </w:p>
              </w:tc>
              <w:tc>
                <w:tcPr>
                  <w:tcW w:w="1118" w:type="dxa"/>
                  <w:vMerge w:val="continue"/>
                  <w:noWrap w:val="0"/>
                  <w:vAlign w:val="center"/>
                </w:tcPr>
                <w:p w14:paraId="2028CBD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shd w:val="clear" w:color="auto" w:fill="auto"/>
                  <w:noWrap w:val="0"/>
                  <w:vAlign w:val="center"/>
                </w:tcPr>
                <w:p w14:paraId="6E96054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低温充装泵</w:t>
                  </w:r>
                </w:p>
              </w:tc>
              <w:tc>
                <w:tcPr>
                  <w:tcW w:w="1119" w:type="dxa"/>
                  <w:shd w:val="clear" w:color="auto" w:fill="auto"/>
                  <w:noWrap w:val="0"/>
                  <w:vAlign w:val="center"/>
                </w:tcPr>
                <w:p w14:paraId="6ABE8DC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Cs/>
                      <w:color w:val="auto"/>
                      <w:szCs w:val="21"/>
                    </w:rPr>
                    <w:t>/</w:t>
                  </w:r>
                </w:p>
              </w:tc>
              <w:tc>
                <w:tcPr>
                  <w:tcW w:w="1119" w:type="dxa"/>
                  <w:noWrap w:val="0"/>
                  <w:vAlign w:val="center"/>
                </w:tcPr>
                <w:p w14:paraId="39B6F67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2套</w:t>
                  </w:r>
                </w:p>
              </w:tc>
              <w:tc>
                <w:tcPr>
                  <w:tcW w:w="1119" w:type="dxa"/>
                  <w:noWrap w:val="0"/>
                  <w:vAlign w:val="center"/>
                </w:tcPr>
                <w:p w14:paraId="05D3F3B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r w14:paraId="52D10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7" w:type="dxa"/>
                  <w:shd w:val="clear" w:color="auto" w:fill="auto"/>
                  <w:noWrap w:val="0"/>
                  <w:vAlign w:val="center"/>
                </w:tcPr>
                <w:p w14:paraId="07E684C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35</w:t>
                  </w:r>
                </w:p>
              </w:tc>
              <w:tc>
                <w:tcPr>
                  <w:tcW w:w="1118" w:type="dxa"/>
                  <w:vMerge w:val="continue"/>
                  <w:noWrap w:val="0"/>
                  <w:vAlign w:val="center"/>
                </w:tcPr>
                <w:p w14:paraId="253C761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c>
                <w:tcPr>
                  <w:tcW w:w="2685" w:type="dxa"/>
                  <w:noWrap w:val="0"/>
                  <w:vAlign w:val="center"/>
                </w:tcPr>
                <w:p w14:paraId="3F177E9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丙烷</w:t>
                  </w:r>
                  <w:r>
                    <w:rPr>
                      <w:rFonts w:hint="default" w:ascii="Times New Roman" w:hAnsi="Times New Roman" w:eastAsia="宋体" w:cs="Times New Roman"/>
                      <w:b w:val="0"/>
                      <w:bCs/>
                      <w:color w:val="auto"/>
                      <w:szCs w:val="21"/>
                    </w:rPr>
                    <w:t>汇流排</w:t>
                  </w:r>
                </w:p>
              </w:tc>
              <w:tc>
                <w:tcPr>
                  <w:tcW w:w="1119" w:type="dxa"/>
                  <w:noWrap w:val="0"/>
                  <w:vAlign w:val="center"/>
                </w:tcPr>
                <w:p w14:paraId="20462F9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Cs/>
                      <w:color w:val="auto"/>
                      <w:szCs w:val="21"/>
                    </w:rPr>
                    <w:t>/</w:t>
                  </w:r>
                </w:p>
              </w:tc>
              <w:tc>
                <w:tcPr>
                  <w:tcW w:w="1119" w:type="dxa"/>
                  <w:noWrap w:val="0"/>
                  <w:vAlign w:val="center"/>
                </w:tcPr>
                <w:p w14:paraId="57C9B04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2套</w:t>
                  </w:r>
                </w:p>
              </w:tc>
              <w:tc>
                <w:tcPr>
                  <w:tcW w:w="1119" w:type="dxa"/>
                  <w:noWrap w:val="0"/>
                  <w:vAlign w:val="center"/>
                </w:tcPr>
                <w:p w14:paraId="4EA00AE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szCs w:val="21"/>
                    </w:rPr>
                  </w:pPr>
                </w:p>
              </w:tc>
            </w:tr>
          </w:tbl>
          <w:p w14:paraId="21481E68">
            <w:pPr>
              <w:keepNext w:val="0"/>
              <w:pageBreakBefore w:val="0"/>
              <w:widowControl/>
              <w:wordWrap/>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b/>
                <w:color w:val="auto"/>
                <w:sz w:val="24"/>
              </w:rPr>
              <w:t>低温</w:t>
            </w:r>
            <w:r>
              <w:rPr>
                <w:rFonts w:hint="default" w:ascii="Times New Roman" w:hAnsi="Times New Roman" w:eastAsia="宋体" w:cs="Times New Roman"/>
                <w:b/>
                <w:color w:val="auto"/>
                <w:sz w:val="24"/>
                <w:lang w:eastAsia="zh-CN"/>
              </w:rPr>
              <w:t>储槽</w:t>
            </w:r>
            <w:r>
              <w:rPr>
                <w:rFonts w:hint="default" w:ascii="Times New Roman" w:hAnsi="Times New Roman" w:eastAsia="宋体" w:cs="Times New Roman"/>
                <w:b/>
                <w:color w:val="auto"/>
                <w:sz w:val="24"/>
              </w:rPr>
              <w:t>：</w:t>
            </w:r>
            <w:r>
              <w:rPr>
                <w:rFonts w:hint="default" w:ascii="Times New Roman" w:hAnsi="Times New Roman" w:eastAsia="宋体" w:cs="Times New Roman"/>
                <w:color w:val="auto"/>
                <w:kern w:val="0"/>
                <w:sz w:val="24"/>
              </w:rPr>
              <w:t>低温</w:t>
            </w:r>
            <w:r>
              <w:rPr>
                <w:rFonts w:hint="default" w:ascii="Times New Roman" w:hAnsi="Times New Roman" w:eastAsia="宋体" w:cs="Times New Roman"/>
                <w:color w:val="auto"/>
                <w:kern w:val="0"/>
                <w:sz w:val="24"/>
                <w:lang w:eastAsia="zh-CN"/>
              </w:rPr>
              <w:t>储槽</w:t>
            </w:r>
            <w:r>
              <w:rPr>
                <w:rFonts w:hint="default" w:ascii="Times New Roman" w:hAnsi="Times New Roman" w:eastAsia="宋体" w:cs="Times New Roman"/>
                <w:color w:val="auto"/>
                <w:kern w:val="0"/>
                <w:sz w:val="24"/>
              </w:rPr>
              <w:t>是靠真空度保持低温温度不变的，低温</w:t>
            </w:r>
            <w:r>
              <w:rPr>
                <w:rFonts w:hint="default" w:ascii="Times New Roman" w:hAnsi="Times New Roman" w:eastAsia="宋体" w:cs="Times New Roman"/>
                <w:color w:val="auto"/>
                <w:kern w:val="0"/>
                <w:sz w:val="24"/>
                <w:lang w:eastAsia="zh-CN"/>
              </w:rPr>
              <w:t>储槽</w:t>
            </w:r>
            <w:r>
              <w:rPr>
                <w:rFonts w:hint="default" w:ascii="Times New Roman" w:hAnsi="Times New Roman" w:eastAsia="宋体" w:cs="Times New Roman"/>
                <w:color w:val="auto"/>
                <w:kern w:val="0"/>
                <w:sz w:val="24"/>
              </w:rPr>
              <w:t>的夹层中一般填充珠光砂</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具有良好的超低温保温性能</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以保持低温，不涉及其他冷媒。其主要的工作原理是</w:t>
            </w:r>
            <w:r>
              <w:rPr>
                <w:rFonts w:hint="default" w:ascii="Times New Roman" w:hAnsi="Times New Roman" w:eastAsia="宋体" w:cs="Times New Roman"/>
                <w:color w:val="auto"/>
                <w:kern w:val="0"/>
                <w:sz w:val="24"/>
                <w:lang w:eastAsia="zh-CN"/>
              </w:rPr>
              <w:t>储槽</w:t>
            </w:r>
            <w:r>
              <w:rPr>
                <w:rFonts w:hint="default" w:ascii="Times New Roman" w:hAnsi="Times New Roman" w:eastAsia="宋体" w:cs="Times New Roman"/>
                <w:color w:val="auto"/>
                <w:kern w:val="0"/>
                <w:sz w:val="24"/>
              </w:rPr>
              <w:t>夹层空间抽真空后，夹层中的空气被抽出，同时与大气中的空气进行有效隔离，提高绝热性能，</w:t>
            </w:r>
            <w:r>
              <w:rPr>
                <w:rFonts w:hint="default" w:ascii="Times New Roman" w:hAnsi="Times New Roman" w:eastAsia="宋体" w:cs="Times New Roman"/>
                <w:color w:val="auto"/>
                <w:kern w:val="0"/>
                <w:sz w:val="24"/>
                <w:lang w:eastAsia="zh-CN"/>
              </w:rPr>
              <w:t>储槽</w:t>
            </w:r>
            <w:r>
              <w:rPr>
                <w:rFonts w:hint="default" w:ascii="Times New Roman" w:hAnsi="Times New Roman" w:eastAsia="宋体" w:cs="Times New Roman"/>
                <w:color w:val="auto"/>
                <w:kern w:val="0"/>
                <w:sz w:val="24"/>
              </w:rPr>
              <w:t>内胆中的低温液体不能与空气进行换热作用，这样就能保证低温液体的持续低温状态。</w:t>
            </w:r>
          </w:p>
          <w:p w14:paraId="6BBB2650">
            <w:pPr>
              <w:keepNext w:val="0"/>
              <w:pageBreakBefore w:val="0"/>
              <w:wordWrap/>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color w:val="auto"/>
                <w:sz w:val="24"/>
                <w:szCs w:val="32"/>
              </w:rPr>
            </w:pPr>
            <w:r>
              <w:rPr>
                <w:rFonts w:hint="default" w:ascii="Times New Roman" w:hAnsi="Times New Roman" w:eastAsia="宋体" w:cs="Times New Roman"/>
                <w:b/>
                <w:bCs/>
                <w:color w:val="auto"/>
                <w:sz w:val="24"/>
                <w:szCs w:val="32"/>
                <w:lang w:val="en-US" w:eastAsia="zh-CN"/>
              </w:rPr>
              <w:t>3</w:t>
            </w:r>
            <w:r>
              <w:rPr>
                <w:rFonts w:hint="default" w:ascii="Times New Roman" w:hAnsi="Times New Roman" w:eastAsia="宋体" w:cs="Times New Roman"/>
                <w:b/>
                <w:bCs/>
                <w:color w:val="auto"/>
                <w:sz w:val="24"/>
                <w:szCs w:val="32"/>
              </w:rPr>
              <w:t>、生产规模</w:t>
            </w:r>
            <w:r>
              <w:rPr>
                <w:rFonts w:hint="default" w:ascii="Times New Roman" w:hAnsi="Times New Roman" w:eastAsia="宋体" w:cs="Times New Roman"/>
                <w:b/>
                <w:bCs/>
                <w:color w:val="0000FF"/>
                <w:sz w:val="24"/>
                <w:szCs w:val="32"/>
                <w:lang w:val="en-US" w:eastAsia="zh-CN"/>
              </w:rPr>
              <w:t>和产品</w:t>
            </w:r>
            <w:r>
              <w:rPr>
                <w:rFonts w:hint="default" w:ascii="Times New Roman" w:hAnsi="Times New Roman" w:eastAsia="宋体" w:cs="Times New Roman"/>
                <w:b/>
                <w:bCs/>
                <w:color w:val="0000FF"/>
                <w:sz w:val="24"/>
                <w:szCs w:val="32"/>
              </w:rPr>
              <w:t>方案</w:t>
            </w:r>
          </w:p>
          <w:p w14:paraId="7AF427EB">
            <w:pPr>
              <w:keepNext w:val="0"/>
              <w:pageBreakBefore w:val="0"/>
              <w:wordWrap/>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本项目</w:t>
            </w:r>
            <w:r>
              <w:rPr>
                <w:rFonts w:hint="default" w:ascii="Times New Roman" w:hAnsi="Times New Roman" w:eastAsia="宋体" w:cs="Times New Roman"/>
                <w:bCs/>
                <w:color w:val="auto"/>
                <w:sz w:val="24"/>
              </w:rPr>
              <w:t>具体产品方案及生产规模详见表。</w:t>
            </w:r>
          </w:p>
          <w:p w14:paraId="5080BD79">
            <w:pPr>
              <w:keepNext w:val="0"/>
              <w:pageBreakBefore w:val="0"/>
              <w:wordWrap/>
              <w:bidi w:val="0"/>
              <w:adjustRightInd w:val="0"/>
              <w:snapToGrid w:val="0"/>
              <w:spacing w:beforeAutospacing="0" w:afterAutospacing="0" w:line="360" w:lineRule="auto"/>
              <w:ind w:left="0" w:leftChars="0" w:right="0" w:rightChars="0" w:firstLine="482" w:firstLineChars="200"/>
              <w:jc w:val="center"/>
              <w:rPr>
                <w:rFonts w:hint="default" w:ascii="Times New Roman" w:hAnsi="Times New Roman" w:eastAsia="宋体" w:cs="Times New Roman"/>
                <w:bCs/>
                <w:color w:val="auto"/>
                <w:sz w:val="24"/>
              </w:rPr>
            </w:pPr>
            <w:r>
              <w:rPr>
                <w:rFonts w:hint="default" w:ascii="Times New Roman" w:hAnsi="Times New Roman" w:eastAsia="宋体" w:cs="Times New Roman"/>
                <w:b/>
                <w:bCs w:val="0"/>
                <w:color w:val="auto"/>
                <w:sz w:val="24"/>
              </w:rPr>
              <w:t>表2-3</w:t>
            </w:r>
            <w:r>
              <w:rPr>
                <w:rFonts w:hint="default" w:ascii="Times New Roman" w:hAnsi="Times New Roman" w:eastAsia="宋体" w:cs="Times New Roman"/>
                <w:b/>
                <w:bCs w:val="0"/>
                <w:color w:val="auto"/>
                <w:sz w:val="24"/>
                <w:lang w:val="en-US" w:eastAsia="zh-CN"/>
              </w:rPr>
              <w:t xml:space="preserve">  </w:t>
            </w:r>
            <w:r>
              <w:rPr>
                <w:rFonts w:hint="default" w:ascii="Times New Roman" w:hAnsi="Times New Roman" w:eastAsia="宋体" w:cs="Times New Roman"/>
                <w:b/>
                <w:bCs w:val="0"/>
                <w:color w:val="auto"/>
                <w:sz w:val="24"/>
              </w:rPr>
              <w:t>产品方案及规模一览表</w:t>
            </w:r>
          </w:p>
          <w:tbl>
            <w:tblPr>
              <w:tblStyle w:val="3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250"/>
              <w:gridCol w:w="1250"/>
              <w:gridCol w:w="1377"/>
              <w:gridCol w:w="1408"/>
              <w:gridCol w:w="2281"/>
            </w:tblGrid>
            <w:tr w14:paraId="67ADF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2023AA8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rPr>
                    <w:t>序号</w:t>
                  </w:r>
                </w:p>
              </w:tc>
              <w:tc>
                <w:tcPr>
                  <w:tcW w:w="1250" w:type="dxa"/>
                  <w:vAlign w:val="center"/>
                </w:tcPr>
                <w:p w14:paraId="4A375CF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0000FF"/>
                      <w:sz w:val="21"/>
                      <w:szCs w:val="21"/>
                      <w:lang w:val="en-US" w:eastAsia="zh-CN"/>
                    </w:rPr>
                    <w:t>产品来源</w:t>
                  </w:r>
                </w:p>
              </w:tc>
              <w:tc>
                <w:tcPr>
                  <w:tcW w:w="1250" w:type="dxa"/>
                  <w:vAlign w:val="center"/>
                </w:tcPr>
                <w:p w14:paraId="26AF1B5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rPr>
                    <w:t>产品名称</w:t>
                  </w:r>
                </w:p>
              </w:tc>
              <w:tc>
                <w:tcPr>
                  <w:tcW w:w="1377" w:type="dxa"/>
                  <w:vAlign w:val="center"/>
                </w:tcPr>
                <w:p w14:paraId="6B3716C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lang w:val="en-US" w:eastAsia="zh-CN"/>
                    </w:rPr>
                    <w:t>规格</w:t>
                  </w:r>
                </w:p>
              </w:tc>
              <w:tc>
                <w:tcPr>
                  <w:tcW w:w="1408" w:type="dxa"/>
                  <w:vAlign w:val="center"/>
                </w:tcPr>
                <w:p w14:paraId="52CC319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产量（瓶/年）</w:t>
                  </w:r>
                </w:p>
              </w:tc>
              <w:tc>
                <w:tcPr>
                  <w:tcW w:w="2281" w:type="dxa"/>
                  <w:vAlign w:val="center"/>
                </w:tcPr>
                <w:p w14:paraId="472D054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备注</w:t>
                  </w:r>
                </w:p>
              </w:tc>
            </w:tr>
            <w:tr w14:paraId="35D39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2BED553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1</w:t>
                  </w:r>
                </w:p>
              </w:tc>
              <w:tc>
                <w:tcPr>
                  <w:tcW w:w="1250" w:type="dxa"/>
                  <w:vMerge w:val="restart"/>
                  <w:vAlign w:val="center"/>
                </w:tcPr>
                <w:p w14:paraId="1750F57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充装气体</w:t>
                  </w:r>
                </w:p>
              </w:tc>
              <w:tc>
                <w:tcPr>
                  <w:tcW w:w="1250" w:type="dxa"/>
                  <w:vAlign w:val="center"/>
                </w:tcPr>
                <w:p w14:paraId="2AA1A81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氧气</w:t>
                  </w:r>
                </w:p>
              </w:tc>
              <w:tc>
                <w:tcPr>
                  <w:tcW w:w="1377" w:type="dxa"/>
                  <w:vAlign w:val="center"/>
                </w:tcPr>
                <w:p w14:paraId="2C40CF9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vAlign w:val="center"/>
                </w:tcPr>
                <w:p w14:paraId="52908D5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w:t>
                  </w:r>
                  <w:r>
                    <w:rPr>
                      <w:rFonts w:hint="default" w:ascii="Times New Roman" w:hAnsi="Times New Roman" w:eastAsia="宋体" w:cs="Times New Roman"/>
                      <w:bCs/>
                      <w:color w:val="auto"/>
                      <w:sz w:val="21"/>
                      <w:szCs w:val="21"/>
                      <w:vertAlign w:val="baseline"/>
                    </w:rPr>
                    <w:t>0万</w:t>
                  </w:r>
                </w:p>
              </w:tc>
              <w:tc>
                <w:tcPr>
                  <w:tcW w:w="2281" w:type="dxa"/>
                  <w:vAlign w:val="center"/>
                </w:tcPr>
                <w:p w14:paraId="6FBA90C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12491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2C0EDF7B">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2</w:t>
                  </w:r>
                </w:p>
              </w:tc>
              <w:tc>
                <w:tcPr>
                  <w:tcW w:w="1250" w:type="dxa"/>
                  <w:vMerge w:val="continue"/>
                  <w:vAlign w:val="center"/>
                </w:tcPr>
                <w:p w14:paraId="0F2BFDD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6EAD6EA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氩气</w:t>
                  </w:r>
                </w:p>
              </w:tc>
              <w:tc>
                <w:tcPr>
                  <w:tcW w:w="1377" w:type="dxa"/>
                  <w:vAlign w:val="center"/>
                </w:tcPr>
                <w:p w14:paraId="0A459C92">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vAlign w:val="center"/>
                </w:tcPr>
                <w:p w14:paraId="4886CDE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8万</w:t>
                  </w:r>
                </w:p>
              </w:tc>
              <w:tc>
                <w:tcPr>
                  <w:tcW w:w="2281" w:type="dxa"/>
                  <w:vAlign w:val="center"/>
                </w:tcPr>
                <w:p w14:paraId="1CC3B98B">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362F9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46F0859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3</w:t>
                  </w:r>
                </w:p>
              </w:tc>
              <w:tc>
                <w:tcPr>
                  <w:tcW w:w="1250" w:type="dxa"/>
                  <w:vMerge w:val="continue"/>
                  <w:vAlign w:val="center"/>
                </w:tcPr>
                <w:p w14:paraId="511A346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42E6CE8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氮气</w:t>
                  </w:r>
                </w:p>
              </w:tc>
              <w:tc>
                <w:tcPr>
                  <w:tcW w:w="1377" w:type="dxa"/>
                  <w:vAlign w:val="center"/>
                </w:tcPr>
                <w:p w14:paraId="5745309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vAlign w:val="center"/>
                </w:tcPr>
                <w:p w14:paraId="1D437BB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8万</w:t>
                  </w:r>
                </w:p>
              </w:tc>
              <w:tc>
                <w:tcPr>
                  <w:tcW w:w="2281" w:type="dxa"/>
                  <w:vAlign w:val="center"/>
                </w:tcPr>
                <w:p w14:paraId="219E173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5B81E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0B84B91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4</w:t>
                  </w:r>
                </w:p>
              </w:tc>
              <w:tc>
                <w:tcPr>
                  <w:tcW w:w="1250" w:type="dxa"/>
                  <w:vMerge w:val="continue"/>
                  <w:vAlign w:val="center"/>
                </w:tcPr>
                <w:p w14:paraId="4EED40F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0B21583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液</w:t>
                  </w:r>
                  <w:r>
                    <w:rPr>
                      <w:rFonts w:hint="default" w:ascii="Times New Roman" w:hAnsi="Times New Roman" w:eastAsia="宋体" w:cs="Times New Roman"/>
                      <w:bCs/>
                      <w:color w:val="auto"/>
                      <w:sz w:val="21"/>
                      <w:szCs w:val="21"/>
                      <w:vertAlign w:val="baseline"/>
                    </w:rPr>
                    <w:t>氧</w:t>
                  </w:r>
                </w:p>
              </w:tc>
              <w:tc>
                <w:tcPr>
                  <w:tcW w:w="1377" w:type="dxa"/>
                  <w:vAlign w:val="center"/>
                </w:tcPr>
                <w:p w14:paraId="283BDAF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175L/瓶、195L/瓶，499L/瓶</w:t>
                  </w:r>
                </w:p>
              </w:tc>
              <w:tc>
                <w:tcPr>
                  <w:tcW w:w="1408" w:type="dxa"/>
                  <w:vAlign w:val="center"/>
                </w:tcPr>
                <w:p w14:paraId="21DB021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5万</w:t>
                  </w:r>
                </w:p>
              </w:tc>
              <w:tc>
                <w:tcPr>
                  <w:tcW w:w="2281" w:type="dxa"/>
                  <w:vAlign w:val="center"/>
                </w:tcPr>
                <w:p w14:paraId="3E13A20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杜瓦罐装为液态，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68C71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55F8356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5</w:t>
                  </w:r>
                </w:p>
              </w:tc>
              <w:tc>
                <w:tcPr>
                  <w:tcW w:w="1250" w:type="dxa"/>
                  <w:vMerge w:val="continue"/>
                  <w:vAlign w:val="center"/>
                </w:tcPr>
                <w:p w14:paraId="0070805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0811B8E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液氩</w:t>
                  </w:r>
                </w:p>
              </w:tc>
              <w:tc>
                <w:tcPr>
                  <w:tcW w:w="1377" w:type="dxa"/>
                  <w:vAlign w:val="center"/>
                </w:tcPr>
                <w:p w14:paraId="3FA97CC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175L/瓶、195L/瓶，499L/瓶</w:t>
                  </w:r>
                </w:p>
              </w:tc>
              <w:tc>
                <w:tcPr>
                  <w:tcW w:w="1408" w:type="dxa"/>
                  <w:vAlign w:val="center"/>
                </w:tcPr>
                <w:p w14:paraId="69CCB92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4万</w:t>
                  </w:r>
                </w:p>
              </w:tc>
              <w:tc>
                <w:tcPr>
                  <w:tcW w:w="2281" w:type="dxa"/>
                  <w:vAlign w:val="center"/>
                </w:tcPr>
                <w:p w14:paraId="23A2612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杜瓦罐装为液态，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7D2EA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19D953F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6</w:t>
                  </w:r>
                </w:p>
              </w:tc>
              <w:tc>
                <w:tcPr>
                  <w:tcW w:w="1250" w:type="dxa"/>
                  <w:vMerge w:val="continue"/>
                  <w:vAlign w:val="center"/>
                </w:tcPr>
                <w:p w14:paraId="6043327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5C60273B">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液氮</w:t>
                  </w:r>
                </w:p>
              </w:tc>
              <w:tc>
                <w:tcPr>
                  <w:tcW w:w="1377" w:type="dxa"/>
                  <w:vAlign w:val="center"/>
                </w:tcPr>
                <w:p w14:paraId="7C7824A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175L/瓶、195L/瓶，499L/瓶</w:t>
                  </w:r>
                </w:p>
              </w:tc>
              <w:tc>
                <w:tcPr>
                  <w:tcW w:w="1408" w:type="dxa"/>
                  <w:vAlign w:val="center"/>
                </w:tcPr>
                <w:p w14:paraId="3826F5D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4万</w:t>
                  </w:r>
                </w:p>
              </w:tc>
              <w:tc>
                <w:tcPr>
                  <w:tcW w:w="2281" w:type="dxa"/>
                  <w:vAlign w:val="center"/>
                </w:tcPr>
                <w:p w14:paraId="0D8ED35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杜瓦罐装为液态，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49AA4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4CD337B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7</w:t>
                  </w:r>
                </w:p>
              </w:tc>
              <w:tc>
                <w:tcPr>
                  <w:tcW w:w="1250" w:type="dxa"/>
                  <w:vMerge w:val="continue"/>
                  <w:vAlign w:val="center"/>
                </w:tcPr>
                <w:p w14:paraId="2E45A3A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23D72452">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rPr>
                  </w:pPr>
                  <w:r>
                    <w:rPr>
                      <w:rFonts w:hint="default" w:ascii="Times New Roman" w:hAnsi="Times New Roman" w:eastAsia="宋体" w:cs="Times New Roman"/>
                      <w:bCs/>
                      <w:color w:val="auto"/>
                      <w:sz w:val="21"/>
                      <w:szCs w:val="21"/>
                      <w:vertAlign w:val="baseline"/>
                      <w:lang w:val="en-US" w:eastAsia="zh-CN"/>
                    </w:rPr>
                    <w:t>二氧化碳</w:t>
                  </w:r>
                </w:p>
              </w:tc>
              <w:tc>
                <w:tcPr>
                  <w:tcW w:w="1377" w:type="dxa"/>
                  <w:vAlign w:val="center"/>
                </w:tcPr>
                <w:p w14:paraId="2EC3C2B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vAlign w:val="center"/>
                </w:tcPr>
                <w:p w14:paraId="6B8F5EB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10万</w:t>
                  </w:r>
                </w:p>
              </w:tc>
              <w:tc>
                <w:tcPr>
                  <w:tcW w:w="2281" w:type="dxa"/>
                  <w:vAlign w:val="center"/>
                </w:tcPr>
                <w:p w14:paraId="69FC7EF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11F77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7E6C9B2B">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8</w:t>
                  </w:r>
                </w:p>
              </w:tc>
              <w:tc>
                <w:tcPr>
                  <w:tcW w:w="1250" w:type="dxa"/>
                  <w:vMerge w:val="continue"/>
                  <w:vAlign w:val="center"/>
                </w:tcPr>
                <w:p w14:paraId="5B28DC1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578DAC4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丙烷</w:t>
                  </w:r>
                </w:p>
              </w:tc>
              <w:tc>
                <w:tcPr>
                  <w:tcW w:w="1377" w:type="dxa"/>
                  <w:vAlign w:val="center"/>
                </w:tcPr>
                <w:p w14:paraId="5A49D49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175L/瓶、195L/瓶，499L/瓶</w:t>
                  </w:r>
                </w:p>
              </w:tc>
              <w:tc>
                <w:tcPr>
                  <w:tcW w:w="1408" w:type="dxa"/>
                  <w:vAlign w:val="center"/>
                </w:tcPr>
                <w:p w14:paraId="33ABF9D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10万</w:t>
                  </w:r>
                </w:p>
              </w:tc>
              <w:tc>
                <w:tcPr>
                  <w:tcW w:w="2281" w:type="dxa"/>
                  <w:vAlign w:val="center"/>
                </w:tcPr>
                <w:p w14:paraId="3038DE5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杜瓦罐装为液态，丙烷罐瓶间暂存</w:t>
                  </w:r>
                </w:p>
              </w:tc>
            </w:tr>
            <w:tr w14:paraId="100D4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610C023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9</w:t>
                  </w:r>
                </w:p>
              </w:tc>
              <w:tc>
                <w:tcPr>
                  <w:tcW w:w="1250" w:type="dxa"/>
                  <w:vMerge w:val="continue"/>
                  <w:vAlign w:val="center"/>
                </w:tcPr>
                <w:p w14:paraId="08383A3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5FE5FEE8">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color w:val="auto"/>
                      <w:sz w:val="21"/>
                      <w:szCs w:val="21"/>
                    </w:rPr>
                    <w:t>七氟丙烷</w:t>
                  </w:r>
                </w:p>
              </w:tc>
              <w:tc>
                <w:tcPr>
                  <w:tcW w:w="1377" w:type="dxa"/>
                  <w:shd w:val="clear" w:color="auto" w:fill="auto"/>
                  <w:vAlign w:val="center"/>
                </w:tcPr>
                <w:p w14:paraId="6B7781B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rPr>
                    <w:t>40L/瓶</w:t>
                  </w:r>
                </w:p>
              </w:tc>
              <w:tc>
                <w:tcPr>
                  <w:tcW w:w="1408" w:type="dxa"/>
                  <w:shd w:val="clear" w:color="auto" w:fill="auto"/>
                  <w:vAlign w:val="center"/>
                </w:tcPr>
                <w:p w14:paraId="743A22E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2万</w:t>
                  </w:r>
                </w:p>
              </w:tc>
              <w:tc>
                <w:tcPr>
                  <w:tcW w:w="2281" w:type="dxa"/>
                  <w:shd w:val="clear" w:color="auto" w:fill="auto"/>
                  <w:vAlign w:val="center"/>
                </w:tcPr>
                <w:p w14:paraId="78756DB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33459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30B93EA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10</w:t>
                  </w:r>
                </w:p>
              </w:tc>
              <w:tc>
                <w:tcPr>
                  <w:tcW w:w="1250" w:type="dxa"/>
                  <w:vMerge w:val="continue"/>
                  <w:vAlign w:val="center"/>
                </w:tcPr>
                <w:p w14:paraId="6EE8FBC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4C19E86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混合气</w:t>
                  </w:r>
                </w:p>
              </w:tc>
              <w:tc>
                <w:tcPr>
                  <w:tcW w:w="1377" w:type="dxa"/>
                  <w:shd w:val="clear" w:color="auto" w:fill="auto"/>
                  <w:vAlign w:val="center"/>
                </w:tcPr>
                <w:p w14:paraId="7318E50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shd w:val="clear" w:color="auto" w:fill="auto"/>
                  <w:vAlign w:val="center"/>
                </w:tcPr>
                <w:p w14:paraId="5DD30F7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5万</w:t>
                  </w:r>
                </w:p>
              </w:tc>
              <w:tc>
                <w:tcPr>
                  <w:tcW w:w="2281" w:type="dxa"/>
                  <w:shd w:val="clear" w:color="auto" w:fill="auto"/>
                  <w:vAlign w:val="center"/>
                </w:tcPr>
                <w:p w14:paraId="1DB0285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1439C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6A48C50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11</w:t>
                  </w:r>
                </w:p>
              </w:tc>
              <w:tc>
                <w:tcPr>
                  <w:tcW w:w="1250" w:type="dxa"/>
                  <w:vMerge w:val="continue"/>
                  <w:vAlign w:val="center"/>
                </w:tcPr>
                <w:p w14:paraId="11BB513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63A764B8">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标准气</w:t>
                  </w:r>
                </w:p>
              </w:tc>
              <w:tc>
                <w:tcPr>
                  <w:tcW w:w="1377" w:type="dxa"/>
                  <w:shd w:val="clear" w:color="auto" w:fill="auto"/>
                  <w:vAlign w:val="center"/>
                </w:tcPr>
                <w:p w14:paraId="6AAE1E9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shd w:val="clear" w:color="auto" w:fill="auto"/>
                  <w:vAlign w:val="center"/>
                </w:tcPr>
                <w:p w14:paraId="2091E4CB">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5万</w:t>
                  </w:r>
                </w:p>
              </w:tc>
              <w:tc>
                <w:tcPr>
                  <w:tcW w:w="2281" w:type="dxa"/>
                  <w:shd w:val="clear" w:color="auto" w:fill="auto"/>
                  <w:vAlign w:val="center"/>
                </w:tcPr>
                <w:p w14:paraId="15AB540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5CC38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51062F5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12</w:t>
                  </w:r>
                </w:p>
              </w:tc>
              <w:tc>
                <w:tcPr>
                  <w:tcW w:w="1250" w:type="dxa"/>
                  <w:vMerge w:val="continue"/>
                  <w:vAlign w:val="center"/>
                </w:tcPr>
                <w:p w14:paraId="4947B48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vAlign w:val="center"/>
                </w:tcPr>
                <w:p w14:paraId="2DD8C096">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消防气</w:t>
                  </w:r>
                </w:p>
              </w:tc>
              <w:tc>
                <w:tcPr>
                  <w:tcW w:w="1377" w:type="dxa"/>
                  <w:shd w:val="clear" w:color="auto" w:fill="auto"/>
                  <w:vAlign w:val="center"/>
                </w:tcPr>
                <w:p w14:paraId="1D6AF73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p>
              </w:tc>
              <w:tc>
                <w:tcPr>
                  <w:tcW w:w="1408" w:type="dxa"/>
                  <w:shd w:val="clear" w:color="auto" w:fill="auto"/>
                  <w:vAlign w:val="center"/>
                </w:tcPr>
                <w:p w14:paraId="3961D5A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5万</w:t>
                  </w:r>
                </w:p>
              </w:tc>
              <w:tc>
                <w:tcPr>
                  <w:tcW w:w="2281" w:type="dxa"/>
                  <w:shd w:val="clear" w:color="auto" w:fill="auto"/>
                  <w:vAlign w:val="center"/>
                </w:tcPr>
                <w:p w14:paraId="27C7AE5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w:t>
                  </w:r>
                  <w:r>
                    <w:rPr>
                      <w:rFonts w:hint="default" w:ascii="Times New Roman" w:hAnsi="Times New Roman" w:eastAsia="宋体" w:cs="Times New Roman"/>
                      <w:bCs/>
                      <w:color w:val="auto"/>
                      <w:sz w:val="21"/>
                      <w:szCs w:val="21"/>
                      <w:vertAlign w:val="baseline"/>
                      <w:lang w:eastAsia="zh-CN"/>
                    </w:rPr>
                    <w:t>工业气体充装车间</w:t>
                  </w:r>
                  <w:r>
                    <w:rPr>
                      <w:rFonts w:hint="default" w:ascii="Times New Roman" w:hAnsi="Times New Roman" w:eastAsia="宋体" w:cs="Times New Roman"/>
                      <w:bCs/>
                      <w:color w:val="auto"/>
                      <w:sz w:val="21"/>
                      <w:szCs w:val="21"/>
                      <w:vertAlign w:val="baseline"/>
                    </w:rPr>
                    <w:t>暂存</w:t>
                  </w:r>
                </w:p>
              </w:tc>
            </w:tr>
            <w:tr w14:paraId="5AFD6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69A7A19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13</w:t>
                  </w:r>
                </w:p>
              </w:tc>
              <w:tc>
                <w:tcPr>
                  <w:tcW w:w="1250" w:type="dxa"/>
                  <w:vMerge w:val="restart"/>
                  <w:vAlign w:val="center"/>
                </w:tcPr>
                <w:p w14:paraId="2129215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外购瓶装气</w:t>
                  </w:r>
                </w:p>
              </w:tc>
              <w:tc>
                <w:tcPr>
                  <w:tcW w:w="1250" w:type="dxa"/>
                  <w:shd w:val="clear" w:color="auto" w:fill="auto"/>
                  <w:vAlign w:val="center"/>
                </w:tcPr>
                <w:p w14:paraId="78E02494">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甲烷</w:t>
                  </w:r>
                </w:p>
              </w:tc>
              <w:tc>
                <w:tcPr>
                  <w:tcW w:w="1377" w:type="dxa"/>
                  <w:vAlign w:val="center"/>
                </w:tcPr>
                <w:p w14:paraId="4D887C7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18.6kg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00DC55FC">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6F0F0A2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6C684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27149C4E">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14</w:t>
                  </w:r>
                </w:p>
              </w:tc>
              <w:tc>
                <w:tcPr>
                  <w:tcW w:w="1250" w:type="dxa"/>
                  <w:vMerge w:val="continue"/>
                  <w:vAlign w:val="center"/>
                </w:tcPr>
                <w:p w14:paraId="52B3F25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594A8F0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氢气</w:t>
                  </w:r>
                </w:p>
              </w:tc>
              <w:tc>
                <w:tcPr>
                  <w:tcW w:w="1377" w:type="dxa"/>
                  <w:vAlign w:val="center"/>
                </w:tcPr>
                <w:p w14:paraId="0A59AD31">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0.5934kg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28623C8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582BE82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14AB6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1250D88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15</w:t>
                  </w:r>
                </w:p>
              </w:tc>
              <w:tc>
                <w:tcPr>
                  <w:tcW w:w="1250" w:type="dxa"/>
                  <w:vMerge w:val="continue"/>
                  <w:vAlign w:val="center"/>
                </w:tcPr>
                <w:p w14:paraId="2635468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5A5710E8">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一氧化碳</w:t>
                  </w:r>
                </w:p>
              </w:tc>
              <w:tc>
                <w:tcPr>
                  <w:tcW w:w="1377" w:type="dxa"/>
                  <w:vAlign w:val="center"/>
                </w:tcPr>
                <w:p w14:paraId="7B5A032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6.328kg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6BFE7E1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4E5B371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38894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6903DA6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16</w:t>
                  </w:r>
                </w:p>
              </w:tc>
              <w:tc>
                <w:tcPr>
                  <w:tcW w:w="1250" w:type="dxa"/>
                  <w:vMerge w:val="continue"/>
                  <w:vAlign w:val="center"/>
                </w:tcPr>
                <w:p w14:paraId="5163E8A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498B7291">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乙烷</w:t>
                  </w:r>
                </w:p>
              </w:tc>
              <w:tc>
                <w:tcPr>
                  <w:tcW w:w="1377" w:type="dxa"/>
                  <w:vAlign w:val="center"/>
                </w:tcPr>
                <w:p w14:paraId="7D3047A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eastAsia="zh-CN"/>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6.8kg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0B7C9E2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2DBC2DD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00F95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7CC646F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17</w:t>
                  </w:r>
                </w:p>
              </w:tc>
              <w:tc>
                <w:tcPr>
                  <w:tcW w:w="1250" w:type="dxa"/>
                  <w:vMerge w:val="continue"/>
                  <w:vAlign w:val="center"/>
                </w:tcPr>
                <w:p w14:paraId="65F3C89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018789D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乙烯</w:t>
                  </w:r>
                </w:p>
              </w:tc>
              <w:tc>
                <w:tcPr>
                  <w:tcW w:w="1377" w:type="dxa"/>
                  <w:vAlign w:val="center"/>
                </w:tcPr>
                <w:p w14:paraId="0AC280C3">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6.25kg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352AEA8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482169C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292DC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55C888E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18</w:t>
                  </w:r>
                </w:p>
              </w:tc>
              <w:tc>
                <w:tcPr>
                  <w:tcW w:w="1250" w:type="dxa"/>
                  <w:vMerge w:val="continue"/>
                  <w:vAlign w:val="center"/>
                </w:tcPr>
                <w:p w14:paraId="19EC5C02">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58C5269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丙烯</w:t>
                  </w:r>
                </w:p>
              </w:tc>
              <w:tc>
                <w:tcPr>
                  <w:tcW w:w="1377" w:type="dxa"/>
                  <w:vAlign w:val="center"/>
                </w:tcPr>
                <w:p w14:paraId="0F6CEA3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16.4kg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752B4C7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323E431B">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21AFF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4C9241E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kern w:val="2"/>
                      <w:sz w:val="21"/>
                      <w:szCs w:val="21"/>
                      <w:vertAlign w:val="baseline"/>
                      <w:lang w:val="en-US" w:eastAsia="zh-CN" w:bidi="ar-SA"/>
                    </w:rPr>
                    <w:t>19</w:t>
                  </w:r>
                </w:p>
              </w:tc>
              <w:tc>
                <w:tcPr>
                  <w:tcW w:w="1250" w:type="dxa"/>
                  <w:vMerge w:val="continue"/>
                  <w:vAlign w:val="center"/>
                </w:tcPr>
                <w:p w14:paraId="11438CF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62AA613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异丁烷</w:t>
                  </w:r>
                </w:p>
              </w:tc>
              <w:tc>
                <w:tcPr>
                  <w:tcW w:w="1377" w:type="dxa"/>
                  <w:vAlign w:val="center"/>
                </w:tcPr>
                <w:p w14:paraId="05F9A4D7">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65.2kg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54E2E12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71F937D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675A3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shd w:val="clear" w:color="auto" w:fill="auto"/>
                  <w:vAlign w:val="center"/>
                </w:tcPr>
                <w:p w14:paraId="5AC7F689">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kern w:val="2"/>
                      <w:sz w:val="21"/>
                      <w:szCs w:val="21"/>
                      <w:vertAlign w:val="baseline"/>
                      <w:lang w:val="en-US" w:eastAsia="zh-CN" w:bidi="ar-SA"/>
                    </w:rPr>
                    <w:t>20</w:t>
                  </w:r>
                </w:p>
              </w:tc>
              <w:tc>
                <w:tcPr>
                  <w:tcW w:w="1250" w:type="dxa"/>
                  <w:vMerge w:val="continue"/>
                  <w:vAlign w:val="center"/>
                </w:tcPr>
                <w:p w14:paraId="08F6832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p>
              </w:tc>
              <w:tc>
                <w:tcPr>
                  <w:tcW w:w="1250" w:type="dxa"/>
                  <w:shd w:val="clear" w:color="auto" w:fill="auto"/>
                  <w:vAlign w:val="center"/>
                </w:tcPr>
                <w:p w14:paraId="0BF88BDF">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乙炔气</w:t>
                  </w:r>
                </w:p>
              </w:tc>
              <w:tc>
                <w:tcPr>
                  <w:tcW w:w="1377" w:type="dxa"/>
                  <w:vAlign w:val="center"/>
                </w:tcPr>
                <w:p w14:paraId="398C8EA5">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40L/瓶</w:t>
                  </w:r>
                  <w:r>
                    <w:rPr>
                      <w:rFonts w:hint="default" w:ascii="Times New Roman" w:hAnsi="Times New Roman" w:eastAsia="宋体" w:cs="Times New Roman"/>
                      <w:bCs/>
                      <w:color w:val="auto"/>
                      <w:sz w:val="21"/>
                      <w:szCs w:val="21"/>
                      <w:vertAlign w:val="baseline"/>
                      <w:lang w:eastAsia="zh-CN"/>
                    </w:rPr>
                    <w:t>（</w:t>
                  </w:r>
                  <w:r>
                    <w:rPr>
                      <w:rFonts w:hint="default" w:ascii="Times New Roman" w:hAnsi="Times New Roman" w:eastAsia="宋体" w:cs="Times New Roman"/>
                      <w:bCs/>
                      <w:color w:val="auto"/>
                      <w:sz w:val="21"/>
                      <w:szCs w:val="21"/>
                      <w:vertAlign w:val="baseline"/>
                      <w:lang w:val="en-US" w:eastAsia="zh-CN"/>
                    </w:rPr>
                    <w:t>4.8kg</w:t>
                  </w:r>
                  <w:r>
                    <w:rPr>
                      <w:rFonts w:hint="default" w:ascii="Times New Roman" w:hAnsi="Times New Roman" w:eastAsia="宋体" w:cs="Times New Roman"/>
                      <w:bCs/>
                      <w:color w:val="auto"/>
                      <w:sz w:val="21"/>
                      <w:szCs w:val="21"/>
                      <w:vertAlign w:val="baseline"/>
                      <w:lang w:eastAsia="zh-CN"/>
                    </w:rPr>
                    <w:t>）</w:t>
                  </w:r>
                </w:p>
              </w:tc>
              <w:tc>
                <w:tcPr>
                  <w:tcW w:w="1408" w:type="dxa"/>
                  <w:vAlign w:val="center"/>
                </w:tcPr>
                <w:p w14:paraId="1B180802">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lang w:val="en-US" w:eastAsia="zh-CN"/>
                    </w:rPr>
                    <w:t>1万</w:t>
                  </w:r>
                </w:p>
              </w:tc>
              <w:tc>
                <w:tcPr>
                  <w:tcW w:w="2281" w:type="dxa"/>
                  <w:vAlign w:val="center"/>
                </w:tcPr>
                <w:p w14:paraId="284925C0">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Cs/>
                      <w:color w:val="auto"/>
                      <w:sz w:val="21"/>
                      <w:szCs w:val="21"/>
                      <w:vertAlign w:val="baseline"/>
                    </w:rPr>
                    <w:t>瓶装为气态，甲类库房暂存</w:t>
                  </w:r>
                </w:p>
              </w:tc>
            </w:tr>
            <w:tr w14:paraId="2F1A5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1" w:type="dxa"/>
                  <w:vAlign w:val="center"/>
                </w:tcPr>
                <w:p w14:paraId="6C766E34">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21</w:t>
                  </w:r>
                </w:p>
              </w:tc>
              <w:tc>
                <w:tcPr>
                  <w:tcW w:w="1250" w:type="dxa"/>
                  <w:vAlign w:val="center"/>
                </w:tcPr>
                <w:p w14:paraId="7F49FA8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外购电石</w:t>
                  </w:r>
                </w:p>
              </w:tc>
              <w:tc>
                <w:tcPr>
                  <w:tcW w:w="1250" w:type="dxa"/>
                  <w:vAlign w:val="center"/>
                </w:tcPr>
                <w:p w14:paraId="6E1DE7CA">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b w:val="0"/>
                      <w:bCs/>
                      <w:color w:val="auto"/>
                      <w:sz w:val="21"/>
                      <w:szCs w:val="21"/>
                      <w:vertAlign w:val="baseline"/>
                      <w:lang w:val="en-US" w:eastAsia="zh-CN"/>
                    </w:rPr>
                    <w:t>电石</w:t>
                  </w:r>
                </w:p>
              </w:tc>
              <w:tc>
                <w:tcPr>
                  <w:tcW w:w="1377" w:type="dxa"/>
                  <w:vAlign w:val="center"/>
                </w:tcPr>
                <w:p w14:paraId="1A45DE52">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408" w:type="dxa"/>
                  <w:vAlign w:val="center"/>
                </w:tcPr>
                <w:p w14:paraId="5D92588F">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1500t</w:t>
                  </w:r>
                </w:p>
              </w:tc>
              <w:tc>
                <w:tcPr>
                  <w:tcW w:w="2281" w:type="dxa"/>
                  <w:vAlign w:val="center"/>
                </w:tcPr>
                <w:p w14:paraId="409676CD">
                  <w:pPr>
                    <w:keepNext w:val="0"/>
                    <w:pageBreakBefore w:val="0"/>
                    <w:wordWrap/>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vertAlign w:val="baseline"/>
                    </w:rPr>
                  </w:pPr>
                  <w:r>
                    <w:rPr>
                      <w:rFonts w:hint="default" w:ascii="Times New Roman" w:hAnsi="Times New Roman" w:eastAsia="宋体" w:cs="Times New Roman"/>
                      <w:color w:val="auto"/>
                      <w:sz w:val="21"/>
                      <w:szCs w:val="21"/>
                      <w:lang w:val="en-US" w:eastAsia="zh-CN"/>
                    </w:rPr>
                    <w:t>甲类库房</w:t>
                  </w:r>
                </w:p>
              </w:tc>
            </w:tr>
          </w:tbl>
          <w:p w14:paraId="65253370">
            <w:pPr>
              <w:keepNext w:val="0"/>
              <w:keepLines/>
              <w:pageBreakBefore w:val="0"/>
              <w:wordWrap/>
              <w:topLinePunct/>
              <w:autoSpaceDE w:val="0"/>
              <w:bidi w:val="0"/>
              <w:adjustRightInd w:val="0"/>
              <w:snapToGrid w:val="0"/>
              <w:spacing w:beforeAutospacing="0" w:afterAutospacing="0" w:line="360" w:lineRule="auto"/>
              <w:ind w:left="0" w:leftChars="0" w:right="0" w:rightChars="0" w:firstLine="482" w:firstLineChars="200"/>
              <w:rPr>
                <w:rFonts w:hint="default" w:ascii="Times New Roman" w:hAnsi="Times New Roman" w:eastAsia="宋体" w:cs="Times New Roman"/>
                <w:b/>
                <w:color w:val="0000FF"/>
                <w:sz w:val="24"/>
                <w:szCs w:val="24"/>
              </w:rPr>
            </w:pPr>
            <w:r>
              <w:rPr>
                <w:rFonts w:hint="default" w:ascii="Times New Roman" w:hAnsi="Times New Roman" w:eastAsia="宋体" w:cs="Times New Roman"/>
                <w:b/>
                <w:color w:val="0000FF"/>
                <w:sz w:val="24"/>
                <w:szCs w:val="24"/>
                <w:lang w:val="en-US" w:eastAsia="zh-CN"/>
              </w:rPr>
              <w:t>4</w:t>
            </w:r>
            <w:r>
              <w:rPr>
                <w:rFonts w:hint="default" w:ascii="Times New Roman" w:hAnsi="Times New Roman" w:eastAsia="宋体" w:cs="Times New Roman"/>
                <w:b/>
                <w:color w:val="0000FF"/>
                <w:sz w:val="24"/>
                <w:szCs w:val="24"/>
              </w:rPr>
              <w:t>、原辅材料消耗</w:t>
            </w:r>
          </w:p>
          <w:p w14:paraId="0DBAEE51">
            <w:pPr>
              <w:keepNext w:val="0"/>
              <w:pageBreakBefore w:val="0"/>
              <w:wordWrap/>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bCs/>
                <w:color w:val="0000FF"/>
                <w:sz w:val="24"/>
                <w:lang w:val="en-US" w:eastAsia="zh-CN"/>
              </w:rPr>
            </w:pPr>
            <w:r>
              <w:rPr>
                <w:rFonts w:hint="default" w:ascii="Times New Roman" w:hAnsi="Times New Roman" w:eastAsia="宋体" w:cs="Times New Roman"/>
                <w:bCs/>
                <w:color w:val="0000FF"/>
                <w:sz w:val="24"/>
                <w:lang w:val="en-US" w:eastAsia="zh-CN"/>
              </w:rPr>
              <w:t>本项目甲烷、氢气、一氧化碳、乙烷、乙烯、丙烯、异丁烷、乙炔气等外购瓶装气，不在本项目厂区内分装，瓶装气进入本项目甲类库房储存，外售周边工业企业。氧气、氩气、氮气、液氧、液氩、液氮、二氧化碳、丙烷、七氟丙烷、混合气、标准气、消防气等由低温储槽充装。</w:t>
            </w:r>
          </w:p>
          <w:p w14:paraId="57685C5E">
            <w:pPr>
              <w:keepNext w:val="0"/>
              <w:pageBreakBefore w:val="0"/>
              <w:wordWrap/>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rPr>
              <w:t>项目主要原辅材料消耗情况见下表</w:t>
            </w:r>
            <w:r>
              <w:rPr>
                <w:rFonts w:hint="default" w:ascii="Times New Roman" w:hAnsi="Times New Roman" w:eastAsia="宋体" w:cs="Times New Roman"/>
                <w:bCs/>
                <w:color w:val="auto"/>
                <w:sz w:val="24"/>
                <w:lang w:eastAsia="zh-CN"/>
              </w:rPr>
              <w:t>。</w:t>
            </w:r>
          </w:p>
          <w:p w14:paraId="3679811A">
            <w:pPr>
              <w:keepNext w:val="0"/>
              <w:pageBreakBefore w:val="0"/>
              <w:wordWrap/>
              <w:bidi w:val="0"/>
              <w:adjustRightInd w:val="0"/>
              <w:snapToGrid w:val="0"/>
              <w:spacing w:beforeAutospacing="0" w:afterAutospacing="0" w:line="360" w:lineRule="auto"/>
              <w:ind w:left="0" w:leftChars="0" w:right="0" w:rightChars="0"/>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表2-</w:t>
            </w:r>
            <w:r>
              <w:rPr>
                <w:rFonts w:hint="default" w:ascii="Times New Roman" w:hAnsi="Times New Roman" w:eastAsia="宋体" w:cs="Times New Roman"/>
                <w:b/>
                <w:color w:val="auto"/>
                <w:sz w:val="24"/>
                <w:lang w:val="en-US" w:eastAsia="zh-CN"/>
              </w:rPr>
              <w:t xml:space="preserve">4  </w:t>
            </w:r>
            <w:r>
              <w:rPr>
                <w:rFonts w:hint="default" w:ascii="Times New Roman" w:hAnsi="Times New Roman" w:eastAsia="宋体" w:cs="Times New Roman"/>
                <w:b/>
                <w:color w:val="auto"/>
                <w:sz w:val="24"/>
              </w:rPr>
              <w:t>项目主要原辅材料消耗一览表单位t/a</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501"/>
              <w:gridCol w:w="1501"/>
              <w:gridCol w:w="1501"/>
              <w:gridCol w:w="1501"/>
              <w:gridCol w:w="1501"/>
            </w:tblGrid>
            <w:tr w14:paraId="665AC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7C10563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序号</w:t>
                  </w:r>
                </w:p>
              </w:tc>
              <w:tc>
                <w:tcPr>
                  <w:tcW w:w="1822" w:type="dxa"/>
                  <w:noWrap w:val="0"/>
                  <w:vAlign w:val="center"/>
                </w:tcPr>
                <w:p w14:paraId="318B23D5">
                  <w:pPr>
                    <w:keepNext w:val="0"/>
                    <w:pageBreakBefore w:val="0"/>
                    <w:widowControl/>
                    <w:wordWrap/>
                    <w:bidi w:val="0"/>
                    <w:spacing w:beforeAutospacing="0" w:afterAutospacing="0"/>
                    <w:ind w:left="0" w:leftChars="0" w:right="0" w:rightChars="0"/>
                    <w:jc w:val="center"/>
                    <w:textAlignment w:val="center"/>
                    <w:rPr>
                      <w:rStyle w:val="67"/>
                      <w:rFonts w:hint="default" w:ascii="Times New Roman" w:hAnsi="Times New Roman" w:eastAsia="宋体" w:cs="Times New Roman"/>
                      <w:b/>
                      <w:bCs/>
                      <w:color w:val="auto"/>
                      <w:sz w:val="21"/>
                      <w:szCs w:val="21"/>
                    </w:rPr>
                  </w:pPr>
                  <w:r>
                    <w:rPr>
                      <w:rStyle w:val="67"/>
                      <w:rFonts w:hint="default" w:ascii="Times New Roman" w:hAnsi="Times New Roman" w:eastAsia="宋体" w:cs="Times New Roman"/>
                      <w:b/>
                      <w:bCs/>
                      <w:color w:val="auto"/>
                      <w:sz w:val="21"/>
                      <w:szCs w:val="21"/>
                    </w:rPr>
                    <w:t>原材料名称</w:t>
                  </w:r>
                </w:p>
              </w:tc>
              <w:tc>
                <w:tcPr>
                  <w:tcW w:w="1822" w:type="dxa"/>
                  <w:noWrap w:val="0"/>
                  <w:vAlign w:val="center"/>
                </w:tcPr>
                <w:p w14:paraId="1D8257C6">
                  <w:pPr>
                    <w:keepNext w:val="0"/>
                    <w:pageBreakBefore w:val="0"/>
                    <w:widowControl/>
                    <w:wordWrap/>
                    <w:bidi w:val="0"/>
                    <w:spacing w:beforeAutospacing="0" w:afterAutospacing="0"/>
                    <w:ind w:left="0" w:leftChars="0" w:right="0" w:rightChars="0"/>
                    <w:jc w:val="center"/>
                    <w:textAlignment w:val="center"/>
                    <w:rPr>
                      <w:rStyle w:val="67"/>
                      <w:rFonts w:hint="default" w:ascii="Times New Roman" w:hAnsi="Times New Roman" w:eastAsia="宋体" w:cs="Times New Roman"/>
                      <w:b/>
                      <w:bCs/>
                      <w:color w:val="auto"/>
                      <w:sz w:val="21"/>
                      <w:szCs w:val="21"/>
                      <w:lang w:val="en-US" w:eastAsia="zh-CN"/>
                    </w:rPr>
                  </w:pPr>
                  <w:r>
                    <w:rPr>
                      <w:rStyle w:val="67"/>
                      <w:rFonts w:hint="default" w:ascii="Times New Roman" w:hAnsi="Times New Roman" w:eastAsia="宋体" w:cs="Times New Roman"/>
                      <w:b/>
                      <w:bCs/>
                      <w:color w:val="0000FF"/>
                      <w:sz w:val="21"/>
                      <w:szCs w:val="21"/>
                      <w:lang w:val="en-US" w:eastAsia="zh-CN"/>
                    </w:rPr>
                    <w:t>年储存量</w:t>
                  </w:r>
                  <w:r>
                    <w:rPr>
                      <w:rFonts w:hint="default" w:ascii="Times New Roman" w:hAnsi="Times New Roman" w:eastAsia="宋体" w:cs="Times New Roman"/>
                      <w:b/>
                      <w:color w:val="0000FF"/>
                      <w:szCs w:val="21"/>
                    </w:rPr>
                    <w:t>（t）</w:t>
                  </w:r>
                </w:p>
              </w:tc>
              <w:tc>
                <w:tcPr>
                  <w:tcW w:w="1822" w:type="dxa"/>
                  <w:noWrap w:val="0"/>
                  <w:vAlign w:val="center"/>
                </w:tcPr>
                <w:p w14:paraId="7A81415A">
                  <w:pPr>
                    <w:keepNext w:val="0"/>
                    <w:pageBreakBefore w:val="0"/>
                    <w:wordWrap/>
                    <w:bidi w:val="0"/>
                    <w:adjustRightInd w:val="0"/>
                    <w:snapToGrid w:val="0"/>
                    <w:spacing w:beforeAutospacing="0" w:afterAutospacing="0"/>
                    <w:ind w:left="0" w:leftChars="0" w:right="0" w:rightChars="0"/>
                    <w:jc w:val="center"/>
                    <w:rPr>
                      <w:rStyle w:val="67"/>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Cs w:val="21"/>
                    </w:rPr>
                    <w:t>最大储存量（t）</w:t>
                  </w:r>
                </w:p>
              </w:tc>
              <w:tc>
                <w:tcPr>
                  <w:tcW w:w="1822" w:type="dxa"/>
                  <w:noWrap w:val="0"/>
                  <w:vAlign w:val="center"/>
                </w:tcPr>
                <w:p w14:paraId="4CFFD188">
                  <w:pPr>
                    <w:keepNext w:val="0"/>
                    <w:pageBreakBefore w:val="0"/>
                    <w:wordWrap/>
                    <w:bidi w:val="0"/>
                    <w:adjustRightInd w:val="0"/>
                    <w:snapToGrid w:val="0"/>
                    <w:spacing w:beforeAutospacing="0" w:afterAutospacing="0"/>
                    <w:ind w:left="0" w:leftChars="0" w:right="0" w:rightChars="0"/>
                    <w:jc w:val="center"/>
                    <w:rPr>
                      <w:rStyle w:val="67"/>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Cs w:val="21"/>
                    </w:rPr>
                    <w:t>储存场所</w:t>
                  </w:r>
                </w:p>
              </w:tc>
              <w:tc>
                <w:tcPr>
                  <w:tcW w:w="1822" w:type="dxa"/>
                  <w:noWrap w:val="0"/>
                  <w:vAlign w:val="center"/>
                </w:tcPr>
                <w:p w14:paraId="16CC764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用途</w:t>
                  </w:r>
                </w:p>
              </w:tc>
            </w:tr>
            <w:tr w14:paraId="60152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2618A52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1822" w:type="dxa"/>
                  <w:noWrap w:val="0"/>
                  <w:vAlign w:val="center"/>
                </w:tcPr>
                <w:p w14:paraId="1D47D7C1">
                  <w:pPr>
                    <w:keepNext w:val="0"/>
                    <w:pageBreakBefore w:val="0"/>
                    <w:widowControl/>
                    <w:wordWrap/>
                    <w:bidi w:val="0"/>
                    <w:spacing w:beforeAutospacing="0" w:afterAutospacing="0"/>
                    <w:ind w:left="0" w:leftChars="0" w:right="0" w:rightChars="0"/>
                    <w:jc w:val="center"/>
                    <w:textAlignment w:val="center"/>
                    <w:rPr>
                      <w:rStyle w:val="65"/>
                      <w:rFonts w:hint="default" w:ascii="Times New Roman" w:hAnsi="Times New Roman" w:eastAsia="宋体" w:cs="Times New Roman"/>
                      <w:color w:val="auto"/>
                      <w:sz w:val="21"/>
                      <w:szCs w:val="21"/>
                      <w:lang w:val="en-US" w:eastAsia="zh-CN"/>
                    </w:rPr>
                  </w:pPr>
                  <w:r>
                    <w:rPr>
                      <w:rStyle w:val="65"/>
                      <w:rFonts w:hint="default" w:ascii="Times New Roman" w:hAnsi="Times New Roman" w:eastAsia="宋体" w:cs="Times New Roman"/>
                      <w:color w:val="auto"/>
                      <w:sz w:val="21"/>
                      <w:szCs w:val="21"/>
                      <w:lang w:val="en-US" w:eastAsia="zh-CN"/>
                    </w:rPr>
                    <w:t>液氧气</w:t>
                  </w:r>
                </w:p>
              </w:tc>
              <w:tc>
                <w:tcPr>
                  <w:tcW w:w="1822" w:type="dxa"/>
                  <w:shd w:val="clear" w:color="auto" w:fill="auto"/>
                  <w:noWrap w:val="0"/>
                  <w:vAlign w:val="center"/>
                </w:tcPr>
                <w:p w14:paraId="19737982">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5415</w:t>
                  </w:r>
                </w:p>
              </w:tc>
              <w:tc>
                <w:tcPr>
                  <w:tcW w:w="1822" w:type="dxa"/>
                  <w:shd w:val="clear" w:color="auto" w:fill="auto"/>
                  <w:noWrap w:val="0"/>
                  <w:vAlign w:val="center"/>
                </w:tcPr>
                <w:p w14:paraId="57720B4A">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57</w:t>
                  </w:r>
                </w:p>
              </w:tc>
              <w:tc>
                <w:tcPr>
                  <w:tcW w:w="1822" w:type="dxa"/>
                  <w:shd w:val="clear" w:color="auto" w:fill="auto"/>
                  <w:noWrap w:val="0"/>
                  <w:vAlign w:val="center"/>
                </w:tcPr>
                <w:p w14:paraId="4102AF44">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Cs w:val="21"/>
                    </w:rPr>
                    <w:t>1个</w:t>
                  </w:r>
                  <w:r>
                    <w:rPr>
                      <w:rFonts w:hint="default" w:ascii="Times New Roman" w:hAnsi="Times New Roman" w:eastAsia="宋体" w:cs="Times New Roman"/>
                      <w:bCs/>
                      <w:color w:val="auto"/>
                      <w:szCs w:val="21"/>
                      <w:lang w:val="en-US" w:eastAsia="zh-CN"/>
                    </w:rPr>
                    <w:t>5</w:t>
                  </w:r>
                  <w:r>
                    <w:rPr>
                      <w:rFonts w:hint="default" w:ascii="Times New Roman" w:hAnsi="Times New Roman" w:eastAsia="宋体" w:cs="Times New Roman"/>
                      <w:bCs/>
                      <w:color w:val="auto"/>
                      <w:szCs w:val="21"/>
                    </w:rPr>
                    <w:t>0m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lang w:eastAsia="zh-CN"/>
                    </w:rPr>
                    <w:t>储槽</w:t>
                  </w:r>
                </w:p>
              </w:tc>
              <w:tc>
                <w:tcPr>
                  <w:tcW w:w="1822" w:type="dxa"/>
                  <w:shd w:val="clear" w:color="auto" w:fill="auto"/>
                  <w:noWrap w:val="0"/>
                  <w:vAlign w:val="center"/>
                </w:tcPr>
                <w:p w14:paraId="06394B43">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4909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2173445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1822" w:type="dxa"/>
                  <w:noWrap w:val="0"/>
                  <w:vAlign w:val="center"/>
                </w:tcPr>
                <w:p w14:paraId="1D99CB9D">
                  <w:pPr>
                    <w:keepNext w:val="0"/>
                    <w:pageBreakBefore w:val="0"/>
                    <w:widowControl/>
                    <w:wordWrap/>
                    <w:bidi w:val="0"/>
                    <w:spacing w:beforeAutospacing="0" w:afterAutospacing="0"/>
                    <w:ind w:left="0" w:leftChars="0" w:right="0" w:rightChars="0"/>
                    <w:jc w:val="center"/>
                    <w:textAlignment w:val="center"/>
                    <w:rPr>
                      <w:rStyle w:val="65"/>
                      <w:rFonts w:hint="default" w:ascii="Times New Roman" w:hAnsi="Times New Roman" w:eastAsia="宋体" w:cs="Times New Roman"/>
                      <w:color w:val="auto"/>
                      <w:sz w:val="21"/>
                      <w:szCs w:val="21"/>
                      <w:lang w:val="en-US" w:eastAsia="zh-CN"/>
                    </w:rPr>
                  </w:pPr>
                  <w:r>
                    <w:rPr>
                      <w:rStyle w:val="65"/>
                      <w:rFonts w:hint="default" w:ascii="Times New Roman" w:hAnsi="Times New Roman" w:eastAsia="宋体" w:cs="Times New Roman"/>
                      <w:color w:val="auto"/>
                      <w:sz w:val="21"/>
                      <w:szCs w:val="21"/>
                      <w:lang w:val="en-US" w:eastAsia="zh-CN"/>
                    </w:rPr>
                    <w:t>液氮气</w:t>
                  </w:r>
                </w:p>
              </w:tc>
              <w:tc>
                <w:tcPr>
                  <w:tcW w:w="1822" w:type="dxa"/>
                  <w:shd w:val="clear" w:color="auto" w:fill="auto"/>
                  <w:noWrap w:val="0"/>
                  <w:vAlign w:val="center"/>
                </w:tcPr>
                <w:p w14:paraId="2559E051">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3000</w:t>
                  </w:r>
                </w:p>
              </w:tc>
              <w:tc>
                <w:tcPr>
                  <w:tcW w:w="1822" w:type="dxa"/>
                  <w:shd w:val="clear" w:color="auto" w:fill="auto"/>
                  <w:noWrap w:val="0"/>
                  <w:vAlign w:val="center"/>
                </w:tcPr>
                <w:p w14:paraId="477046B8">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40</w:t>
                  </w:r>
                </w:p>
              </w:tc>
              <w:tc>
                <w:tcPr>
                  <w:tcW w:w="1822" w:type="dxa"/>
                  <w:shd w:val="clear" w:color="auto" w:fill="auto"/>
                  <w:noWrap w:val="0"/>
                  <w:vAlign w:val="center"/>
                </w:tcPr>
                <w:p w14:paraId="2B91109B">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Cs w:val="21"/>
                    </w:rPr>
                    <w:t>1个</w:t>
                  </w:r>
                  <w:r>
                    <w:rPr>
                      <w:rFonts w:hint="default" w:ascii="Times New Roman" w:hAnsi="Times New Roman" w:eastAsia="宋体" w:cs="Times New Roman"/>
                      <w:bCs/>
                      <w:color w:val="auto"/>
                      <w:szCs w:val="21"/>
                      <w:lang w:val="en-US" w:eastAsia="zh-CN"/>
                    </w:rPr>
                    <w:t>5</w:t>
                  </w:r>
                  <w:r>
                    <w:rPr>
                      <w:rFonts w:hint="default" w:ascii="Times New Roman" w:hAnsi="Times New Roman" w:eastAsia="宋体" w:cs="Times New Roman"/>
                      <w:bCs/>
                      <w:color w:val="auto"/>
                      <w:szCs w:val="21"/>
                    </w:rPr>
                    <w:t>0m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lang w:eastAsia="zh-CN"/>
                    </w:rPr>
                    <w:t>储槽</w:t>
                  </w:r>
                </w:p>
              </w:tc>
              <w:tc>
                <w:tcPr>
                  <w:tcW w:w="1822" w:type="dxa"/>
                  <w:shd w:val="clear" w:color="auto" w:fill="auto"/>
                  <w:noWrap w:val="0"/>
                  <w:vAlign w:val="center"/>
                </w:tcPr>
                <w:p w14:paraId="1D44DC34">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7DAF6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339E069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p>
              </w:tc>
              <w:tc>
                <w:tcPr>
                  <w:tcW w:w="1822" w:type="dxa"/>
                  <w:noWrap w:val="0"/>
                  <w:vAlign w:val="center"/>
                </w:tcPr>
                <w:p w14:paraId="302D00C2">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Style w:val="65"/>
                      <w:rFonts w:hint="default" w:ascii="Times New Roman" w:hAnsi="Times New Roman" w:eastAsia="宋体" w:cs="Times New Roman"/>
                      <w:color w:val="auto"/>
                      <w:sz w:val="21"/>
                      <w:szCs w:val="21"/>
                      <w:lang w:val="en-US" w:eastAsia="zh-CN"/>
                    </w:rPr>
                    <w:t>液</w:t>
                  </w:r>
                  <w:r>
                    <w:rPr>
                      <w:rFonts w:hint="default" w:ascii="Times New Roman" w:hAnsi="Times New Roman" w:eastAsia="宋体" w:cs="Times New Roman"/>
                      <w:color w:val="auto"/>
                      <w:szCs w:val="21"/>
                      <w:lang w:val="en-US" w:eastAsia="zh-CN"/>
                    </w:rPr>
                    <w:t>氩气</w:t>
                  </w:r>
                </w:p>
              </w:tc>
              <w:tc>
                <w:tcPr>
                  <w:tcW w:w="1822" w:type="dxa"/>
                  <w:shd w:val="clear" w:color="auto" w:fill="auto"/>
                  <w:noWrap w:val="0"/>
                  <w:vAlign w:val="center"/>
                </w:tcPr>
                <w:p w14:paraId="5E29C6EF">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4200</w:t>
                  </w:r>
                </w:p>
              </w:tc>
              <w:tc>
                <w:tcPr>
                  <w:tcW w:w="1822" w:type="dxa"/>
                  <w:shd w:val="clear" w:color="auto" w:fill="auto"/>
                  <w:noWrap w:val="0"/>
                  <w:vAlign w:val="center"/>
                </w:tcPr>
                <w:p w14:paraId="6C033A5F">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70</w:t>
                  </w:r>
                </w:p>
              </w:tc>
              <w:tc>
                <w:tcPr>
                  <w:tcW w:w="1822" w:type="dxa"/>
                  <w:shd w:val="clear" w:color="auto" w:fill="auto"/>
                  <w:noWrap w:val="0"/>
                  <w:vAlign w:val="center"/>
                </w:tcPr>
                <w:p w14:paraId="54041D5A">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Cs w:val="21"/>
                    </w:rPr>
                    <w:t>1个</w:t>
                  </w:r>
                  <w:r>
                    <w:rPr>
                      <w:rFonts w:hint="default" w:ascii="Times New Roman" w:hAnsi="Times New Roman" w:eastAsia="宋体" w:cs="Times New Roman"/>
                      <w:bCs/>
                      <w:color w:val="auto"/>
                      <w:szCs w:val="21"/>
                      <w:lang w:val="en-US" w:eastAsia="zh-CN"/>
                    </w:rPr>
                    <w:t>5</w:t>
                  </w:r>
                  <w:r>
                    <w:rPr>
                      <w:rFonts w:hint="default" w:ascii="Times New Roman" w:hAnsi="Times New Roman" w:eastAsia="宋体" w:cs="Times New Roman"/>
                      <w:bCs/>
                      <w:color w:val="auto"/>
                      <w:szCs w:val="21"/>
                    </w:rPr>
                    <w:t>0m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lang w:eastAsia="zh-CN"/>
                    </w:rPr>
                    <w:t>储槽</w:t>
                  </w:r>
                </w:p>
              </w:tc>
              <w:tc>
                <w:tcPr>
                  <w:tcW w:w="1822" w:type="dxa"/>
                  <w:shd w:val="clear" w:color="auto" w:fill="auto"/>
                  <w:noWrap w:val="0"/>
                  <w:vAlign w:val="center"/>
                </w:tcPr>
                <w:p w14:paraId="0FA983D8">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5A2D2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4A00D6F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w:t>
                  </w:r>
                </w:p>
              </w:tc>
              <w:tc>
                <w:tcPr>
                  <w:tcW w:w="1822" w:type="dxa"/>
                  <w:noWrap w:val="0"/>
                  <w:vAlign w:val="center"/>
                </w:tcPr>
                <w:p w14:paraId="3CAB6E0E">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Style w:val="65"/>
                      <w:rFonts w:hint="default" w:ascii="Times New Roman" w:hAnsi="Times New Roman" w:eastAsia="宋体" w:cs="Times New Roman"/>
                      <w:color w:val="auto"/>
                      <w:sz w:val="21"/>
                      <w:szCs w:val="21"/>
                      <w:lang w:val="en-US" w:eastAsia="zh-CN"/>
                    </w:rPr>
                    <w:t>液</w:t>
                  </w:r>
                  <w:r>
                    <w:rPr>
                      <w:rStyle w:val="65"/>
                      <w:rFonts w:hint="default" w:ascii="Times New Roman" w:hAnsi="Times New Roman" w:eastAsia="宋体" w:cs="Times New Roman"/>
                      <w:color w:val="auto"/>
                      <w:sz w:val="21"/>
                      <w:szCs w:val="21"/>
                    </w:rPr>
                    <w:t>二氧化碳</w:t>
                  </w:r>
                </w:p>
              </w:tc>
              <w:tc>
                <w:tcPr>
                  <w:tcW w:w="1822" w:type="dxa"/>
                  <w:shd w:val="clear" w:color="auto" w:fill="auto"/>
                  <w:noWrap w:val="0"/>
                  <w:vAlign w:val="center"/>
                </w:tcPr>
                <w:p w14:paraId="0B281634">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3150</w:t>
                  </w:r>
                </w:p>
              </w:tc>
              <w:tc>
                <w:tcPr>
                  <w:tcW w:w="1822" w:type="dxa"/>
                  <w:shd w:val="clear" w:color="auto" w:fill="auto"/>
                  <w:noWrap w:val="0"/>
                  <w:vAlign w:val="center"/>
                </w:tcPr>
                <w:p w14:paraId="27EB7ECC">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822" w:type="dxa"/>
                  <w:shd w:val="clear" w:color="auto" w:fill="auto"/>
                  <w:noWrap w:val="0"/>
                  <w:vAlign w:val="center"/>
                </w:tcPr>
                <w:p w14:paraId="03F0D3F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Cs w:val="21"/>
                    </w:rPr>
                    <w:t>1个</w:t>
                  </w:r>
                  <w:r>
                    <w:rPr>
                      <w:rFonts w:hint="default" w:ascii="Times New Roman" w:hAnsi="Times New Roman" w:eastAsia="宋体" w:cs="Times New Roman"/>
                      <w:bCs/>
                      <w:color w:val="auto"/>
                      <w:szCs w:val="21"/>
                      <w:lang w:val="en-US" w:eastAsia="zh-CN"/>
                    </w:rPr>
                    <w:t>5</w:t>
                  </w:r>
                  <w:r>
                    <w:rPr>
                      <w:rFonts w:hint="default" w:ascii="Times New Roman" w:hAnsi="Times New Roman" w:eastAsia="宋体" w:cs="Times New Roman"/>
                      <w:bCs/>
                      <w:color w:val="auto"/>
                      <w:szCs w:val="21"/>
                    </w:rPr>
                    <w:t>0m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lang w:eastAsia="zh-CN"/>
                    </w:rPr>
                    <w:t>储槽</w:t>
                  </w:r>
                </w:p>
              </w:tc>
              <w:tc>
                <w:tcPr>
                  <w:tcW w:w="1822" w:type="dxa"/>
                  <w:shd w:val="clear" w:color="auto" w:fill="auto"/>
                  <w:noWrap w:val="0"/>
                  <w:vAlign w:val="center"/>
                </w:tcPr>
                <w:p w14:paraId="77A4020B">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3A7C2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11D8905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w:t>
                  </w:r>
                </w:p>
              </w:tc>
              <w:tc>
                <w:tcPr>
                  <w:tcW w:w="1822" w:type="dxa"/>
                  <w:shd w:val="clear" w:color="auto" w:fill="auto"/>
                  <w:noWrap w:val="0"/>
                  <w:vAlign w:val="center"/>
                </w:tcPr>
                <w:p w14:paraId="7B72E2F0">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Style w:val="65"/>
                      <w:rFonts w:hint="default" w:ascii="Times New Roman" w:hAnsi="Times New Roman" w:eastAsia="宋体" w:cs="Times New Roman"/>
                      <w:color w:val="auto"/>
                      <w:sz w:val="21"/>
                      <w:szCs w:val="21"/>
                    </w:rPr>
                    <w:t>丙烷</w:t>
                  </w:r>
                </w:p>
              </w:tc>
              <w:tc>
                <w:tcPr>
                  <w:tcW w:w="1822" w:type="dxa"/>
                  <w:shd w:val="clear" w:color="auto" w:fill="auto"/>
                  <w:noWrap w:val="0"/>
                  <w:vAlign w:val="center"/>
                </w:tcPr>
                <w:p w14:paraId="044ECF6D">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7565</w:t>
                  </w:r>
                </w:p>
              </w:tc>
              <w:tc>
                <w:tcPr>
                  <w:tcW w:w="1822" w:type="dxa"/>
                  <w:shd w:val="clear" w:color="auto" w:fill="auto"/>
                  <w:noWrap w:val="0"/>
                  <w:vAlign w:val="center"/>
                </w:tcPr>
                <w:p w14:paraId="269404DA">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lang w:val="en-US" w:eastAsia="zh-CN"/>
                    </w:rPr>
                    <w:t>89</w:t>
                  </w:r>
                </w:p>
              </w:tc>
              <w:tc>
                <w:tcPr>
                  <w:tcW w:w="1822" w:type="dxa"/>
                  <w:shd w:val="clear" w:color="auto" w:fill="auto"/>
                  <w:noWrap w:val="0"/>
                  <w:vAlign w:val="center"/>
                </w:tcPr>
                <w:p w14:paraId="1564A3E5">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Cs w:val="21"/>
                      <w:lang w:val="en-US" w:eastAsia="zh-CN"/>
                    </w:rPr>
                    <w:t>4</w:t>
                  </w:r>
                  <w:r>
                    <w:rPr>
                      <w:rFonts w:hint="default" w:ascii="Times New Roman" w:hAnsi="Times New Roman" w:eastAsia="宋体" w:cs="Times New Roman"/>
                      <w:bCs/>
                      <w:color w:val="auto"/>
                      <w:szCs w:val="21"/>
                    </w:rPr>
                    <w:t>个</w:t>
                  </w:r>
                  <w:r>
                    <w:rPr>
                      <w:rFonts w:hint="default" w:ascii="Times New Roman" w:hAnsi="Times New Roman" w:eastAsia="宋体" w:cs="Times New Roman"/>
                      <w:bCs/>
                      <w:color w:val="auto"/>
                      <w:szCs w:val="21"/>
                      <w:lang w:val="en-US" w:eastAsia="zh-CN"/>
                    </w:rPr>
                    <w:t>5</w:t>
                  </w:r>
                  <w:r>
                    <w:rPr>
                      <w:rFonts w:hint="default" w:ascii="Times New Roman" w:hAnsi="Times New Roman" w:eastAsia="宋体" w:cs="Times New Roman"/>
                      <w:bCs/>
                      <w:color w:val="auto"/>
                      <w:szCs w:val="21"/>
                    </w:rPr>
                    <w:t>0m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lang w:eastAsia="zh-CN"/>
                    </w:rPr>
                    <w:t>储槽</w:t>
                  </w:r>
                </w:p>
              </w:tc>
              <w:tc>
                <w:tcPr>
                  <w:tcW w:w="1822" w:type="dxa"/>
                  <w:shd w:val="clear" w:color="auto" w:fill="auto"/>
                  <w:noWrap w:val="0"/>
                  <w:vAlign w:val="center"/>
                </w:tcPr>
                <w:p w14:paraId="2157D97D">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3E919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7F4499B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w:t>
                  </w:r>
                </w:p>
              </w:tc>
              <w:tc>
                <w:tcPr>
                  <w:tcW w:w="1822" w:type="dxa"/>
                  <w:noWrap w:val="0"/>
                  <w:vAlign w:val="center"/>
                </w:tcPr>
                <w:p w14:paraId="066B07B1">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七氟丙烷</w:t>
                  </w:r>
                </w:p>
              </w:tc>
              <w:tc>
                <w:tcPr>
                  <w:tcW w:w="1822" w:type="dxa"/>
                  <w:shd w:val="clear" w:color="auto" w:fill="auto"/>
                  <w:noWrap w:val="0"/>
                  <w:vAlign w:val="center"/>
                </w:tcPr>
                <w:p w14:paraId="7475678E">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1485</w:t>
                  </w:r>
                </w:p>
              </w:tc>
              <w:tc>
                <w:tcPr>
                  <w:tcW w:w="1822" w:type="dxa"/>
                  <w:shd w:val="clear" w:color="auto" w:fill="auto"/>
                  <w:noWrap w:val="0"/>
                  <w:vAlign w:val="center"/>
                </w:tcPr>
                <w:p w14:paraId="1F9D4D50">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27</w:t>
                  </w:r>
                </w:p>
              </w:tc>
              <w:tc>
                <w:tcPr>
                  <w:tcW w:w="1822" w:type="dxa"/>
                  <w:shd w:val="clear" w:color="auto" w:fill="auto"/>
                  <w:noWrap w:val="0"/>
                  <w:vAlign w:val="center"/>
                </w:tcPr>
                <w:p w14:paraId="1D122B5D">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Cs w:val="21"/>
                      <w:lang w:val="en-US" w:eastAsia="zh-CN"/>
                    </w:rPr>
                    <w:t>2</w:t>
                  </w:r>
                  <w:r>
                    <w:rPr>
                      <w:rFonts w:hint="default" w:ascii="Times New Roman" w:hAnsi="Times New Roman" w:eastAsia="宋体" w:cs="Times New Roman"/>
                      <w:bCs/>
                      <w:color w:val="auto"/>
                      <w:szCs w:val="21"/>
                    </w:rPr>
                    <w:t>个30m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lang w:eastAsia="zh-CN"/>
                    </w:rPr>
                    <w:t>储槽</w:t>
                  </w:r>
                </w:p>
              </w:tc>
              <w:tc>
                <w:tcPr>
                  <w:tcW w:w="1822" w:type="dxa"/>
                  <w:shd w:val="clear" w:color="auto" w:fill="auto"/>
                  <w:noWrap w:val="0"/>
                  <w:vAlign w:val="center"/>
                </w:tcPr>
                <w:p w14:paraId="118BA252">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53CB9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5782733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w:t>
                  </w:r>
                </w:p>
              </w:tc>
              <w:tc>
                <w:tcPr>
                  <w:tcW w:w="1822" w:type="dxa"/>
                  <w:shd w:val="clear" w:color="auto" w:fill="auto"/>
                  <w:noWrap w:val="0"/>
                  <w:vAlign w:val="center"/>
                </w:tcPr>
                <w:p w14:paraId="1EF0801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甲烷</w:t>
                  </w:r>
                </w:p>
              </w:tc>
              <w:tc>
                <w:tcPr>
                  <w:tcW w:w="1822" w:type="dxa"/>
                  <w:noWrap w:val="0"/>
                  <w:vAlign w:val="center"/>
                </w:tcPr>
                <w:p w14:paraId="7FB24A3F">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186</w:t>
                  </w:r>
                </w:p>
              </w:tc>
              <w:tc>
                <w:tcPr>
                  <w:tcW w:w="1822" w:type="dxa"/>
                  <w:noWrap w:val="0"/>
                  <w:vAlign w:val="center"/>
                </w:tcPr>
                <w:p w14:paraId="1BC7B18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0.93</w:t>
                  </w:r>
                </w:p>
              </w:tc>
              <w:tc>
                <w:tcPr>
                  <w:tcW w:w="1822" w:type="dxa"/>
                  <w:noWrap w:val="0"/>
                  <w:vAlign w:val="center"/>
                </w:tcPr>
                <w:p w14:paraId="7249F7C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147FD113">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2E653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5BB6852A">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w:t>
                  </w:r>
                </w:p>
              </w:tc>
              <w:tc>
                <w:tcPr>
                  <w:tcW w:w="1822" w:type="dxa"/>
                  <w:shd w:val="clear" w:color="auto" w:fill="auto"/>
                  <w:noWrap w:val="0"/>
                  <w:vAlign w:val="center"/>
                </w:tcPr>
                <w:p w14:paraId="3A36DD61">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氢气</w:t>
                  </w:r>
                </w:p>
              </w:tc>
              <w:tc>
                <w:tcPr>
                  <w:tcW w:w="1822" w:type="dxa"/>
                  <w:noWrap w:val="0"/>
                  <w:vAlign w:val="center"/>
                </w:tcPr>
                <w:p w14:paraId="4D456261">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5.394</w:t>
                  </w:r>
                </w:p>
              </w:tc>
              <w:tc>
                <w:tcPr>
                  <w:tcW w:w="1822" w:type="dxa"/>
                  <w:noWrap w:val="0"/>
                  <w:vAlign w:val="center"/>
                </w:tcPr>
                <w:p w14:paraId="3DF353B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0.027</w:t>
                  </w:r>
                </w:p>
              </w:tc>
              <w:tc>
                <w:tcPr>
                  <w:tcW w:w="1822" w:type="dxa"/>
                  <w:noWrap w:val="0"/>
                  <w:vAlign w:val="center"/>
                </w:tcPr>
                <w:p w14:paraId="255340E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7C0CA1CB">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69E88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470A9288">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9</w:t>
                  </w:r>
                </w:p>
              </w:tc>
              <w:tc>
                <w:tcPr>
                  <w:tcW w:w="1822" w:type="dxa"/>
                  <w:shd w:val="clear" w:color="auto" w:fill="auto"/>
                  <w:noWrap w:val="0"/>
                  <w:vAlign w:val="center"/>
                </w:tcPr>
                <w:p w14:paraId="22D4BAB4">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一氧化碳</w:t>
                  </w:r>
                </w:p>
              </w:tc>
              <w:tc>
                <w:tcPr>
                  <w:tcW w:w="1822" w:type="dxa"/>
                  <w:noWrap w:val="0"/>
                  <w:vAlign w:val="center"/>
                </w:tcPr>
                <w:p w14:paraId="3A16E309">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63.28</w:t>
                  </w:r>
                </w:p>
              </w:tc>
              <w:tc>
                <w:tcPr>
                  <w:tcW w:w="1822" w:type="dxa"/>
                  <w:noWrap w:val="0"/>
                  <w:vAlign w:val="center"/>
                </w:tcPr>
                <w:p w14:paraId="08732AA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0.32</w:t>
                  </w:r>
                </w:p>
              </w:tc>
              <w:tc>
                <w:tcPr>
                  <w:tcW w:w="1822" w:type="dxa"/>
                  <w:noWrap w:val="0"/>
                  <w:vAlign w:val="center"/>
                </w:tcPr>
                <w:p w14:paraId="31E0A7A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6A5F760F">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4637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3C788E5F">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10</w:t>
                  </w:r>
                </w:p>
              </w:tc>
              <w:tc>
                <w:tcPr>
                  <w:tcW w:w="1822" w:type="dxa"/>
                  <w:shd w:val="clear" w:color="auto" w:fill="auto"/>
                  <w:noWrap w:val="0"/>
                  <w:vAlign w:val="center"/>
                </w:tcPr>
                <w:p w14:paraId="65EFF76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乙烷</w:t>
                  </w:r>
                </w:p>
              </w:tc>
              <w:tc>
                <w:tcPr>
                  <w:tcW w:w="1822" w:type="dxa"/>
                  <w:noWrap w:val="0"/>
                  <w:vAlign w:val="center"/>
                </w:tcPr>
                <w:p w14:paraId="3D690A33">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68</w:t>
                  </w:r>
                </w:p>
              </w:tc>
              <w:tc>
                <w:tcPr>
                  <w:tcW w:w="1822" w:type="dxa"/>
                  <w:noWrap w:val="0"/>
                  <w:vAlign w:val="center"/>
                </w:tcPr>
                <w:p w14:paraId="1810B1A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0.34</w:t>
                  </w:r>
                </w:p>
              </w:tc>
              <w:tc>
                <w:tcPr>
                  <w:tcW w:w="1822" w:type="dxa"/>
                  <w:noWrap w:val="0"/>
                  <w:vAlign w:val="center"/>
                </w:tcPr>
                <w:p w14:paraId="3E9135C4">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13AD70A8">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6B9C8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719D490C">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11</w:t>
                  </w:r>
                </w:p>
              </w:tc>
              <w:tc>
                <w:tcPr>
                  <w:tcW w:w="1822" w:type="dxa"/>
                  <w:shd w:val="clear" w:color="auto" w:fill="auto"/>
                  <w:noWrap w:val="0"/>
                  <w:vAlign w:val="center"/>
                </w:tcPr>
                <w:p w14:paraId="7185C15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乙烯</w:t>
                  </w:r>
                </w:p>
              </w:tc>
              <w:tc>
                <w:tcPr>
                  <w:tcW w:w="1822" w:type="dxa"/>
                  <w:noWrap w:val="0"/>
                  <w:vAlign w:val="center"/>
                </w:tcPr>
                <w:p w14:paraId="6A2DDA6A">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62.5</w:t>
                  </w:r>
                </w:p>
              </w:tc>
              <w:tc>
                <w:tcPr>
                  <w:tcW w:w="1822" w:type="dxa"/>
                  <w:noWrap w:val="0"/>
                  <w:vAlign w:val="center"/>
                </w:tcPr>
                <w:p w14:paraId="0BE5075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0.31</w:t>
                  </w:r>
                </w:p>
              </w:tc>
              <w:tc>
                <w:tcPr>
                  <w:tcW w:w="1822" w:type="dxa"/>
                  <w:noWrap w:val="0"/>
                  <w:vAlign w:val="center"/>
                </w:tcPr>
                <w:p w14:paraId="6141A0D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3DE99BAE">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0A260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5D0C4819">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12</w:t>
                  </w:r>
                </w:p>
              </w:tc>
              <w:tc>
                <w:tcPr>
                  <w:tcW w:w="1822" w:type="dxa"/>
                  <w:shd w:val="clear" w:color="auto" w:fill="auto"/>
                  <w:noWrap w:val="0"/>
                  <w:vAlign w:val="center"/>
                </w:tcPr>
                <w:p w14:paraId="7703442D">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丙烯</w:t>
                  </w:r>
                </w:p>
              </w:tc>
              <w:tc>
                <w:tcPr>
                  <w:tcW w:w="1822" w:type="dxa"/>
                  <w:noWrap w:val="0"/>
                  <w:vAlign w:val="center"/>
                </w:tcPr>
                <w:p w14:paraId="4E7AF19E">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164</w:t>
                  </w:r>
                </w:p>
              </w:tc>
              <w:tc>
                <w:tcPr>
                  <w:tcW w:w="1822" w:type="dxa"/>
                  <w:noWrap w:val="0"/>
                  <w:vAlign w:val="center"/>
                </w:tcPr>
                <w:p w14:paraId="22C384F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0.82</w:t>
                  </w:r>
                </w:p>
              </w:tc>
              <w:tc>
                <w:tcPr>
                  <w:tcW w:w="1822" w:type="dxa"/>
                  <w:noWrap w:val="0"/>
                  <w:vAlign w:val="center"/>
                </w:tcPr>
                <w:p w14:paraId="66C5A09D">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0B93193F">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0ADD1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3E20E190">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13</w:t>
                  </w:r>
                </w:p>
              </w:tc>
              <w:tc>
                <w:tcPr>
                  <w:tcW w:w="1822" w:type="dxa"/>
                  <w:shd w:val="clear" w:color="auto" w:fill="auto"/>
                  <w:noWrap w:val="0"/>
                  <w:vAlign w:val="center"/>
                </w:tcPr>
                <w:p w14:paraId="44D118B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异丁烷</w:t>
                  </w:r>
                </w:p>
              </w:tc>
              <w:tc>
                <w:tcPr>
                  <w:tcW w:w="1822" w:type="dxa"/>
                  <w:noWrap w:val="0"/>
                  <w:vAlign w:val="center"/>
                </w:tcPr>
                <w:p w14:paraId="395B481B">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652</w:t>
                  </w:r>
                </w:p>
              </w:tc>
              <w:tc>
                <w:tcPr>
                  <w:tcW w:w="1822" w:type="dxa"/>
                  <w:noWrap w:val="0"/>
                  <w:vAlign w:val="center"/>
                </w:tcPr>
                <w:p w14:paraId="1D74CD9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lang w:val="en-US" w:eastAsia="zh-CN"/>
                    </w:rPr>
                    <w:t>3.26</w:t>
                  </w:r>
                </w:p>
              </w:tc>
              <w:tc>
                <w:tcPr>
                  <w:tcW w:w="1822" w:type="dxa"/>
                  <w:noWrap w:val="0"/>
                  <w:vAlign w:val="center"/>
                </w:tcPr>
                <w:p w14:paraId="76BFD59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60B60DF8">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01A9A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387FCF87">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14</w:t>
                  </w:r>
                </w:p>
              </w:tc>
              <w:tc>
                <w:tcPr>
                  <w:tcW w:w="1822" w:type="dxa"/>
                  <w:shd w:val="clear" w:color="auto" w:fill="auto"/>
                  <w:noWrap w:val="0"/>
                  <w:vAlign w:val="center"/>
                </w:tcPr>
                <w:p w14:paraId="6EB2D83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乙炔气</w:t>
                  </w:r>
                </w:p>
              </w:tc>
              <w:tc>
                <w:tcPr>
                  <w:tcW w:w="1822" w:type="dxa"/>
                  <w:noWrap w:val="0"/>
                  <w:vAlign w:val="center"/>
                </w:tcPr>
                <w:p w14:paraId="03B92D8C">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48</w:t>
                  </w:r>
                </w:p>
              </w:tc>
              <w:tc>
                <w:tcPr>
                  <w:tcW w:w="1822" w:type="dxa"/>
                  <w:noWrap w:val="0"/>
                  <w:vAlign w:val="center"/>
                </w:tcPr>
                <w:p w14:paraId="6302439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0.24</w:t>
                  </w:r>
                </w:p>
              </w:tc>
              <w:tc>
                <w:tcPr>
                  <w:tcW w:w="1822" w:type="dxa"/>
                  <w:noWrap w:val="0"/>
                  <w:vAlign w:val="center"/>
                </w:tcPr>
                <w:p w14:paraId="539F8B75">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560D39D0">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r w14:paraId="04B33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0" w:type="dxa"/>
                  <w:noWrap w:val="0"/>
                  <w:vAlign w:val="center"/>
                </w:tcPr>
                <w:p w14:paraId="1B473689">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15</w:t>
                  </w:r>
                </w:p>
              </w:tc>
              <w:tc>
                <w:tcPr>
                  <w:tcW w:w="1822" w:type="dxa"/>
                  <w:shd w:val="clear" w:color="auto" w:fill="auto"/>
                  <w:noWrap w:val="0"/>
                  <w:vAlign w:val="center"/>
                </w:tcPr>
                <w:p w14:paraId="2EBAFE8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电石</w:t>
                  </w:r>
                </w:p>
              </w:tc>
              <w:tc>
                <w:tcPr>
                  <w:tcW w:w="1822" w:type="dxa"/>
                  <w:noWrap w:val="0"/>
                  <w:vAlign w:val="center"/>
                </w:tcPr>
                <w:p w14:paraId="00C2DB0E">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1500</w:t>
                  </w:r>
                </w:p>
              </w:tc>
              <w:tc>
                <w:tcPr>
                  <w:tcW w:w="1822" w:type="dxa"/>
                  <w:noWrap w:val="0"/>
                  <w:vAlign w:val="center"/>
                </w:tcPr>
                <w:p w14:paraId="29E864C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w:t>
                  </w:r>
                </w:p>
              </w:tc>
              <w:tc>
                <w:tcPr>
                  <w:tcW w:w="1822" w:type="dxa"/>
                  <w:noWrap w:val="0"/>
                  <w:vAlign w:val="center"/>
                </w:tcPr>
                <w:p w14:paraId="4D49589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lang w:val="en-US" w:eastAsia="zh-CN"/>
                    </w:rPr>
                    <w:t>甲类库房</w:t>
                  </w:r>
                </w:p>
              </w:tc>
              <w:tc>
                <w:tcPr>
                  <w:tcW w:w="1822" w:type="dxa"/>
                  <w:noWrap w:val="0"/>
                  <w:vAlign w:val="center"/>
                </w:tcPr>
                <w:p w14:paraId="432D6EF3">
                  <w:pPr>
                    <w:keepNext w:val="0"/>
                    <w:pageBreakBefore w:val="0"/>
                    <w:wordWrap/>
                    <w:bidi w:val="0"/>
                    <w:adjustRightInd w:val="0"/>
                    <w:snapToGrid w:val="0"/>
                    <w:spacing w:beforeAutospacing="0" w:afterAutospacing="0" w:line="240" w:lineRule="auto"/>
                    <w:ind w:left="0" w:leftChars="0" w:right="0" w:rightChars="0" w:firstLine="420" w:firstLineChars="200"/>
                    <w:jc w:val="left"/>
                    <w:rPr>
                      <w:rFonts w:hint="default" w:ascii="Times New Roman" w:hAnsi="Times New Roman" w:eastAsia="宋体" w:cs="Times New Roman"/>
                      <w:bCs/>
                      <w:color w:val="0000FF"/>
                      <w:sz w:val="21"/>
                      <w:szCs w:val="21"/>
                      <w:lang w:val="en-US" w:eastAsia="zh-CN"/>
                    </w:rPr>
                  </w:pPr>
                  <w:r>
                    <w:rPr>
                      <w:rFonts w:hint="default" w:ascii="Times New Roman" w:hAnsi="Times New Roman" w:eastAsia="宋体" w:cs="Times New Roman"/>
                      <w:bCs/>
                      <w:color w:val="0000FF"/>
                      <w:sz w:val="21"/>
                      <w:szCs w:val="21"/>
                      <w:lang w:val="en-US" w:eastAsia="zh-CN"/>
                    </w:rPr>
                    <w:t>外售</w:t>
                  </w:r>
                </w:p>
              </w:tc>
            </w:tr>
          </w:tbl>
          <w:p w14:paraId="75A874CE">
            <w:pPr>
              <w:keepNext w:val="0"/>
              <w:keepLines/>
              <w:pageBreakBefore w:val="0"/>
              <w:wordWrap/>
              <w:topLinePunct/>
              <w:autoSpaceDE w:val="0"/>
              <w:bidi w:val="0"/>
              <w:adjustRightInd w:val="0"/>
              <w:snapToGrid w:val="0"/>
              <w:spacing w:beforeAutospacing="0" w:afterAutospacing="0" w:line="360" w:lineRule="auto"/>
              <w:ind w:left="0" w:leftChars="0" w:right="0" w:rightChars="0" w:firstLine="482" w:firstLineChars="200"/>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本项目主要原料的理化性质见下表。</w:t>
            </w:r>
          </w:p>
          <w:p w14:paraId="696904D2">
            <w:pPr>
              <w:keepNext w:val="0"/>
              <w:keepLines/>
              <w:pageBreakBefore w:val="0"/>
              <w:wordWrap/>
              <w:topLinePunct/>
              <w:autoSpaceDE w:val="0"/>
              <w:bidi w:val="0"/>
              <w:adjustRightInd w:val="0"/>
              <w:snapToGrid w:val="0"/>
              <w:spacing w:beforeAutospacing="0" w:afterAutospacing="0" w:line="360" w:lineRule="auto"/>
              <w:ind w:left="0" w:leftChars="0" w:right="0" w:rightChars="0"/>
              <w:jc w:val="center"/>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表2-5  主要原辅材料理化性质及危险特性一览表</w:t>
            </w:r>
          </w:p>
          <w:tbl>
            <w:tblPr>
              <w:tblStyle w:val="3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
              <w:gridCol w:w="831"/>
              <w:gridCol w:w="3307"/>
              <w:gridCol w:w="3308"/>
            </w:tblGrid>
            <w:tr w14:paraId="74AB6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16784AC1">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序号</w:t>
                  </w:r>
                </w:p>
              </w:tc>
              <w:tc>
                <w:tcPr>
                  <w:tcW w:w="850" w:type="dxa"/>
                  <w:vAlign w:val="center"/>
                </w:tcPr>
                <w:p w14:paraId="3B5218E1">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名称</w:t>
                  </w:r>
                </w:p>
              </w:tc>
              <w:tc>
                <w:tcPr>
                  <w:tcW w:w="3402" w:type="dxa"/>
                  <w:vAlign w:val="center"/>
                </w:tcPr>
                <w:p w14:paraId="14106995">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理化性质</w:t>
                  </w:r>
                </w:p>
              </w:tc>
              <w:tc>
                <w:tcPr>
                  <w:tcW w:w="3402" w:type="dxa"/>
                  <w:vAlign w:val="center"/>
                </w:tcPr>
                <w:p w14:paraId="26F6E02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危险特性</w:t>
                  </w:r>
                </w:p>
              </w:tc>
            </w:tr>
            <w:tr w14:paraId="38ABB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2161FE0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w:t>
                  </w:r>
                </w:p>
              </w:tc>
              <w:tc>
                <w:tcPr>
                  <w:tcW w:w="850" w:type="dxa"/>
                  <w:vAlign w:val="center"/>
                </w:tcPr>
                <w:p w14:paraId="1EDE50C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液氧</w:t>
                  </w:r>
                </w:p>
              </w:tc>
              <w:tc>
                <w:tcPr>
                  <w:tcW w:w="3402" w:type="dxa"/>
                  <w:vAlign w:val="center"/>
                </w:tcPr>
                <w:p w14:paraId="312E52A8">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无色无臭气体。液氧为天蓝色透明而易流动的液体。在-227℃可固化成固氧（固态氧），淡青色六角形晶体，熔点（℃）：-218.8，溶解性：溶于水、乙醇；沸点（℃）：-183.1，饱和蒸气压（kPa）：506.62（-164℃），相对密度（空气=1）：1.43，相对密度（水=1）：1.14（-183℃，常压），临界温度（℃）：-118.4，临界压力（MPa）：5.08</w:t>
                  </w:r>
                </w:p>
              </w:tc>
              <w:tc>
                <w:tcPr>
                  <w:tcW w:w="3402" w:type="dxa"/>
                  <w:vAlign w:val="center"/>
                </w:tcPr>
                <w:p w14:paraId="3A534A4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助燃，是易燃物、可燃物燃烧爆炸的基本要素之一，能氧化大多数活性物质。与易燃物（如乙炔、甲烷等）形成有爆炸性的混合物。常压下，当氧的浓度超过40%时，将可能氧中毒。吸入40-60%的氧时，出现胸骨后不适感、轻咳，进而胸闷、胸骨后灼烧感和呼吸困难，咳嗽加剧；严重时发生肺水肿，甚至出现呼吸窘迫综合征。吸入氧80%以上时，出现面部肌肉抽动、面色苍白、眩晕、心动过速、虚脱，继而全身强直性癫痫样抽搐、昏迷、呼吸衰竭而死亡。长期处于氧分压60-100kpa（相当于吸入氧浓度40%左右）的条件下可发生眼损害，严重者可失明。皮肤接触液氧时能形成冷烧伤</w:t>
                  </w:r>
                </w:p>
              </w:tc>
            </w:tr>
            <w:tr w14:paraId="0676C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1C5E115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2</w:t>
                  </w:r>
                </w:p>
              </w:tc>
              <w:tc>
                <w:tcPr>
                  <w:tcW w:w="850" w:type="dxa"/>
                  <w:shd w:val="clear" w:color="auto" w:fill="auto"/>
                  <w:vAlign w:val="center"/>
                </w:tcPr>
                <w:p w14:paraId="7029BEFD">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液氮</w:t>
                  </w:r>
                </w:p>
              </w:tc>
              <w:tc>
                <w:tcPr>
                  <w:tcW w:w="3402" w:type="dxa"/>
                  <w:shd w:val="clear" w:color="auto" w:fill="auto"/>
                  <w:vAlign w:val="center"/>
                </w:tcPr>
                <w:p w14:paraId="6AE8ED9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无色无臭气体。熔点-209.8℃，沸点-195.6℃。相对密度（水=1）：0.81（-196℃）。相对蒸汽密度（空气=1）：0.97。饱和蒸汽压（Kpa）：1026.42（-173℃）。临界温度-147℃。临界压（Mpa）3.40。溶解性微溶于水、乙醇</w:t>
                  </w:r>
                </w:p>
              </w:tc>
              <w:tc>
                <w:tcPr>
                  <w:tcW w:w="3402" w:type="dxa"/>
                  <w:shd w:val="clear" w:color="auto" w:fill="auto"/>
                  <w:vAlign w:val="center"/>
                </w:tcPr>
                <w:p w14:paraId="7E8B8F6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不燃，遇高热，容器内压增大，有开裂和爆炸的危险。空气中氮气含量过高，使吸入气氧分压下降，引起缺氧窒息。吸入氮气浓度不太高时，患者最初感胸闷、气短、疲软无力；继而有烦躁不安、极度兴奋、乱跑、叫喊、精神恍惚、步态不稳，称之为氮酩酊，可进入昏睡或昏迷状态。吸入高浓度，患者可迅速出现昏迷、呼吸心跳停止而死亡。潜水员深潜时，可发生氮的麻醉作用；若从高压环境下过快转入常压环境，体内会形成氮气气泡，压迫神经、血管或造成微血管阻塞，发生减压病</w:t>
                  </w:r>
                </w:p>
              </w:tc>
            </w:tr>
            <w:tr w14:paraId="40A07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6182773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3</w:t>
                  </w:r>
                </w:p>
              </w:tc>
              <w:tc>
                <w:tcPr>
                  <w:tcW w:w="850" w:type="dxa"/>
                  <w:vAlign w:val="center"/>
                </w:tcPr>
                <w:p w14:paraId="2B2D912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液氩气</w:t>
                  </w:r>
                </w:p>
              </w:tc>
              <w:tc>
                <w:tcPr>
                  <w:tcW w:w="3402" w:type="dxa"/>
                  <w:vAlign w:val="center"/>
                </w:tcPr>
                <w:p w14:paraId="44F781C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无色无臭的惰性气体，溶解性：微溶于水，熔点（℃）：-189.2，沸点（℃）：-185.7，相对密度（水=1）：1.40（-186℃），临界温度（℃）：-122.3，临界压力（MPa）：4.86，相对密度（空气=1）：1.38，饱和蒸汽压（KPa）：202.64（-179℃）</w:t>
                  </w:r>
                </w:p>
              </w:tc>
              <w:tc>
                <w:tcPr>
                  <w:tcW w:w="3402" w:type="dxa"/>
                  <w:vAlign w:val="center"/>
                </w:tcPr>
                <w:p w14:paraId="17BA5AD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不燃，若遇高热，容器内压增大，有开裂和爆炸的危险。普通大气压下无毒。高浓度时，使氧分压降低而发生窒息。氩浓度达50%以上，引起严重症状；75%以上时，可在数分钟内死亡。当空气中浓度增高时，先出现呼吸加速，注意力不集中，共济失调。继而，疲倦乏力、烦躁不安、恶心、呕吐、昏迷、抽搐，以至死亡。液态氩可致皮肤冻伤；眼部接触可引起炎症</w:t>
                  </w:r>
                </w:p>
              </w:tc>
            </w:tr>
            <w:tr w14:paraId="7D2A1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2BC02D8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4</w:t>
                  </w:r>
                </w:p>
              </w:tc>
              <w:tc>
                <w:tcPr>
                  <w:tcW w:w="850" w:type="dxa"/>
                  <w:vAlign w:val="center"/>
                </w:tcPr>
                <w:p w14:paraId="2555F8D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液二氧化碳</w:t>
                  </w:r>
                </w:p>
              </w:tc>
              <w:tc>
                <w:tcPr>
                  <w:tcW w:w="3402" w:type="dxa"/>
                  <w:vAlign w:val="center"/>
                </w:tcPr>
                <w:p w14:paraId="1339A9B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无色无臭气体，溶解性：溶于水、烃类等多数有机溶剂，熔点（℃）：-56.6（527kPa），沸点（℃）：-78.5（升华），相对密度（水=1）：1.56（－79℃），临界温度（℃）：31，临界压力（MPa）：7.39，相对密度（空气=1）：1.53，饱和蒸汽压（KPa）：1013.25（-39℃）</w:t>
                  </w:r>
                </w:p>
              </w:tc>
              <w:tc>
                <w:tcPr>
                  <w:tcW w:w="3402" w:type="dxa"/>
                  <w:vAlign w:val="center"/>
                </w:tcPr>
                <w:p w14:paraId="23E1B08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不燃，若遇高热，容器内压增大，有开裂和爆炸的危险。在低浓度时，对呼吸中枢呈兴奋作用，高浓度时则产生抑制甚至麻痹作用。中毒机制中还兼有缺氧的因素。急性中毒：人进入高浓度二氧化碳环境，在几秒钟内迅速昏迷倒下，反射消失、瞳孔扩大或缩小、大小便失禁、呕吐等，更严重者出现呼吸停止及休克，甚至死亡。固态（干冰）和液态二氧化碳在常压下迅速汽化，能造成-80～-43℃低温，引起皮肤和眼睛严重的冻伤。慢性影响：经常接触较高浓度的二氧化碳者，可有头晕、头痛、失眠、易兴奋、无力等神经功能紊乱等主诉。但在生产中是否存在慢性中毒国内外均未见病例报道</w:t>
                  </w:r>
                </w:p>
              </w:tc>
            </w:tr>
            <w:tr w14:paraId="7E633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79A4DC6D">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5</w:t>
                  </w:r>
                </w:p>
              </w:tc>
              <w:tc>
                <w:tcPr>
                  <w:tcW w:w="850" w:type="dxa"/>
                  <w:vAlign w:val="center"/>
                </w:tcPr>
                <w:p w14:paraId="798571B8">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丙烷</w:t>
                  </w:r>
                </w:p>
              </w:tc>
              <w:tc>
                <w:tcPr>
                  <w:tcW w:w="3402" w:type="dxa"/>
                  <w:vAlign w:val="center"/>
                </w:tcPr>
                <w:p w14:paraId="2F1DE2A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无色气体，纯品无臭溶解性：微溶液于水，溶于乙醇、乙醚。熔点（℃）：-187.6，沸点（℃）：-42.1，相对密度（水=1）：0.58（-44.5℃），临界温度（℃）：96.8临界压力（MPa）：4.25，相对密度（空气=1）：1.6，燃烧热（KJ/mol）：-2217.8，饱和蒸汽压（KPa）：840（20℃），闪点（℃）：-104，爆炸下限（%）：2.1，爆炸上限（%）：9.5，引燃温度（℃）：450</w:t>
                  </w:r>
                </w:p>
              </w:tc>
              <w:tc>
                <w:tcPr>
                  <w:tcW w:w="3402" w:type="dxa"/>
                  <w:vAlign w:val="center"/>
                </w:tcPr>
                <w:p w14:paraId="649C2E9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易燃气体。与空气混合能形成爆炸性混合物，遇热源和明火有燃烧爆炸的危险。与氧化剂接触会猛烈反应。气体比空气重，能在较低处扩散到相当远的地方，遇明火会引着回燃。本品有单纯性窒息及麻醉作用。人短暂接触1%丙烷，不引起症状；10%以下的浓度，只引起轻度头晕；高浓度时可出现麻醉状态、意识丧失；极高浓度时可致窒息</w:t>
                  </w:r>
                </w:p>
              </w:tc>
            </w:tr>
            <w:tr w14:paraId="51C78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722B0EED">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6</w:t>
                  </w:r>
                </w:p>
              </w:tc>
              <w:tc>
                <w:tcPr>
                  <w:tcW w:w="850" w:type="dxa"/>
                  <w:vAlign w:val="center"/>
                </w:tcPr>
                <w:p w14:paraId="0719152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七氟丙烷</w:t>
                  </w:r>
                </w:p>
              </w:tc>
              <w:tc>
                <w:tcPr>
                  <w:tcW w:w="3402" w:type="dxa"/>
                  <w:vAlign w:val="center"/>
                </w:tcPr>
                <w:p w14:paraId="39A15A6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常温常压下为无色、几乎无味、不导电的气体，熔点（℃）：-131.1，沸点（℃）：-16.4，相对密度（水=1）：1.403，临界温度（℃）：101.6，临界压力（MPa）：不可用，相对密度（空气=1）：不可用，饱和蒸汽压（KPa）：不可用</w:t>
                  </w:r>
                </w:p>
              </w:tc>
              <w:tc>
                <w:tcPr>
                  <w:tcW w:w="3402" w:type="dxa"/>
                  <w:vAlign w:val="center"/>
                </w:tcPr>
                <w:p w14:paraId="5F064164">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不燃，急性毒性：经口：无资料吸入：LC50Ratinhalation800，000ppm/4hr经皮：无资料</w:t>
                  </w:r>
                </w:p>
              </w:tc>
            </w:tr>
            <w:tr w14:paraId="7BD28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647D80FC">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7</w:t>
                  </w:r>
                </w:p>
              </w:tc>
              <w:tc>
                <w:tcPr>
                  <w:tcW w:w="850" w:type="dxa"/>
                  <w:vAlign w:val="center"/>
                </w:tcPr>
                <w:p w14:paraId="07D8B6AF">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甲烷</w:t>
                  </w:r>
                </w:p>
              </w:tc>
              <w:tc>
                <w:tcPr>
                  <w:tcW w:w="3402" w:type="dxa"/>
                  <w:vAlign w:val="center"/>
                </w:tcPr>
                <w:p w14:paraId="717D9054">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无色无臭气体。溶解性：微溶于水，溶于醇、乙醚。熔点（℃）：-182.5，沸点（℃）：-161.5，相对密度（水=1）：0.42（-164℃），临界温度（℃）：-82.6，临界压力（MPa）：4.59，相对密度（空气=1）：0.55，燃烧热（KJ/mol）：889.5，最小点火能（mJ）：0.28，饱和蒸汽压（KPa）：53.32（－168.8℃）</w:t>
                  </w:r>
                </w:p>
              </w:tc>
              <w:tc>
                <w:tcPr>
                  <w:tcW w:w="3402" w:type="dxa"/>
                  <w:vAlign w:val="center"/>
                </w:tcPr>
                <w:p w14:paraId="3AC9F1A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易燃，与空气混合能形成爆炸性混合物，遇热源和明火有燃烧爆炸的危险。与五氧化溴、氯气、次氯酸、三氟化氮、液氧、二氟化氧及其它强氧化剂接触剧烈反应。甲烷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14:paraId="495EC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3E7C13E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8</w:t>
                  </w:r>
                </w:p>
              </w:tc>
              <w:tc>
                <w:tcPr>
                  <w:tcW w:w="850" w:type="dxa"/>
                  <w:vAlign w:val="center"/>
                </w:tcPr>
                <w:p w14:paraId="0CA5215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氢气</w:t>
                  </w:r>
                </w:p>
              </w:tc>
              <w:tc>
                <w:tcPr>
                  <w:tcW w:w="3402" w:type="dxa"/>
                  <w:vAlign w:val="center"/>
                </w:tcPr>
                <w:p w14:paraId="68D66D2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无色无臭气体；溶解性：不溶于水，不溶于乙醇、乙醚；熔点（℃）：－259.2，沸点（℃）：－252.8，相对密度（水=1）：0.07（－252℃），临界温度（℃）：－240，临界压力（MPa）：1.30，相对密度（空气=1）：0.07，燃烧热（KJ/mol）：241.0，饱和蒸汽压（KPa）：13.33（－257.9℃），爆炸下限（%）：4.1，爆炸上限（%）：74.1，最大爆炸压力（MPa）：0.720，引燃温度（℃）：400</w:t>
                  </w:r>
                </w:p>
              </w:tc>
              <w:tc>
                <w:tcPr>
                  <w:tcW w:w="3402" w:type="dxa"/>
                  <w:vAlign w:val="center"/>
                </w:tcPr>
                <w:p w14:paraId="2F3F029F">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与空气混合能形成爆炸性混合物，遇热或明火即会发生爆炸。气体比空气轻，在室内使用和储存时，漏气上升滞留屋顶不易排出，遇火星会引起爆炸。氢气与氟、氯、溴等卤素会剧烈反应。本品在生理学上是惰性气体，仅在高浓度时，由于空气中氧分压降低才引起窒息。在很高的分压下，氢气可呈现出麻痹作用</w:t>
                  </w:r>
                </w:p>
              </w:tc>
            </w:tr>
            <w:tr w14:paraId="08BEF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769BD28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9</w:t>
                  </w:r>
                </w:p>
              </w:tc>
              <w:tc>
                <w:tcPr>
                  <w:tcW w:w="850" w:type="dxa"/>
                  <w:vAlign w:val="center"/>
                </w:tcPr>
                <w:p w14:paraId="77A4255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一氧化碳</w:t>
                  </w:r>
                </w:p>
              </w:tc>
              <w:tc>
                <w:tcPr>
                  <w:tcW w:w="3402" w:type="dxa"/>
                  <w:vAlign w:val="center"/>
                </w:tcPr>
                <w:p w14:paraId="3713DF3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性状：无色无臭气体；溶解性：不微溶于水，溶于乙醇、苯等多种有机溶剂；熔点（℃）：－205，沸点（℃）：－191.5，相对密度（水=1）：1.25，临界温度（℃）：－140.2，临界压力（MPa）：3.5，相对密度（空气=1）：0.97，爆炸下限（%）：74.2，爆炸上限（%）：12.5，引燃温度（℃）：610</w:t>
                  </w:r>
                </w:p>
              </w:tc>
              <w:tc>
                <w:tcPr>
                  <w:tcW w:w="3402" w:type="dxa"/>
                  <w:vAlign w:val="center"/>
                </w:tcPr>
                <w:p w14:paraId="6F850AA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是一种易燃易爆气体。与空气混合能形成爆炸性混合物，遇明火、高热能引起燃烧爆炸。一氧化碳在血中与血红蛋白结合而造成组织缺氧。急性中毒：轻度中毒者出现头痛、头晕、耳鸣、心悸、恶心、呕吐、无力，血液碳氧血红蛋白浓度可高于10%；中度中毒者除上述症状外，还有皮肤粘膜呈樱红色、脉快、烦躁、步态不稳、浅至中度昏迷，血液碳氧血红蛋白浓度可高于30%；重度患者深度昏迷、瞳孔缩小、肌张力增强、频繁抽搐、大小便失禁、休克、肺水肿、严重心肌损害等，血液碳氧血红蛋白可高于50%。部分患者昏迷苏醒后，约经2～60天的症状缓解期后，又可能出现迟发性脑病，以意识精神障碍、锥体系或锥体外系损害为主。慢性影响：能否造成慢性中毒及对心血管影响无定论。</w:t>
                  </w:r>
                </w:p>
              </w:tc>
            </w:tr>
            <w:tr w14:paraId="212F4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63395CF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10</w:t>
                  </w:r>
                </w:p>
              </w:tc>
              <w:tc>
                <w:tcPr>
                  <w:tcW w:w="850" w:type="dxa"/>
                  <w:vAlign w:val="center"/>
                </w:tcPr>
                <w:p w14:paraId="626C9FB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乙烷</w:t>
                  </w:r>
                </w:p>
              </w:tc>
              <w:tc>
                <w:tcPr>
                  <w:tcW w:w="3402" w:type="dxa"/>
                  <w:vAlign w:val="center"/>
                </w:tcPr>
                <w:p w14:paraId="43B2C8E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外观与性状：无色无臭气体；熔点（℃）：-183.3；沸点（℃）：-88.6；相对密度（水=1）：0.45；相对蒸气密度（空气=1）：1.04；饱和蒸气压（kPa）：53.32（-99.7℃）；燃烧热（kJ/mol）：1558.3；临界温度（℃）：32.2；临界压力（MPa）：4.87；闪点（℃）：&lt;-50；引燃温度（℃）：472；爆炸上限%（V/V）：16.0；爆炸下限%（V/V）：3.0；溶解性：不溶于水，微溶于乙醇、丙酮，溶于苯，与四氯化碳互溶</w:t>
                  </w:r>
                </w:p>
              </w:tc>
              <w:tc>
                <w:tcPr>
                  <w:tcW w:w="3402" w:type="dxa"/>
                  <w:vAlign w:val="center"/>
                </w:tcPr>
                <w:p w14:paraId="41DC8CF5">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易燃，与空气混合能形成爆炸性混合物，遇热源和明火有燃烧爆炸的危险。与氟、氯等接触回发生剧烈的化学反应</w:t>
                  </w:r>
                </w:p>
              </w:tc>
            </w:tr>
            <w:tr w14:paraId="30E08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2046A60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11</w:t>
                  </w:r>
                </w:p>
              </w:tc>
              <w:tc>
                <w:tcPr>
                  <w:tcW w:w="850" w:type="dxa"/>
                  <w:vAlign w:val="center"/>
                </w:tcPr>
                <w:p w14:paraId="7723C3E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乙烯</w:t>
                  </w:r>
                </w:p>
              </w:tc>
              <w:tc>
                <w:tcPr>
                  <w:tcW w:w="3402" w:type="dxa"/>
                  <w:vAlign w:val="center"/>
                </w:tcPr>
                <w:p w14:paraId="48F2482C">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无色气体，略具烃类特有的臭味；熔点-169.4℃；相对密度（水=1）0.61；沸点-103.9℃；相对蒸汽密度（空气=1）0.98；闪点无意义；饱和蒸汽压4083.40kPa（0℃）；引燃温度425℃；爆炸上限/下限36.0%/5.04%（V/V）；临界压力5.04MPa；临界温度9.2℃。</w:t>
                  </w:r>
                </w:p>
              </w:tc>
              <w:tc>
                <w:tcPr>
                  <w:tcW w:w="3402" w:type="dxa"/>
                  <w:vAlign w:val="center"/>
                </w:tcPr>
                <w:p w14:paraId="076F7B71">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易燃，与空气混合能形成爆炸性混合物；遇明火、高热或与氧化剂接触，有引起燃烧爆炸的危险；与氟、氯等接触会发生剧烈的化学反应</w:t>
                  </w:r>
                </w:p>
              </w:tc>
            </w:tr>
            <w:tr w14:paraId="5CBD0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1D09BB7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12</w:t>
                  </w:r>
                </w:p>
              </w:tc>
              <w:tc>
                <w:tcPr>
                  <w:tcW w:w="850" w:type="dxa"/>
                  <w:vAlign w:val="center"/>
                </w:tcPr>
                <w:p w14:paraId="60DD28A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丙烯</w:t>
                  </w:r>
                </w:p>
              </w:tc>
              <w:tc>
                <w:tcPr>
                  <w:tcW w:w="3402" w:type="dxa"/>
                  <w:vAlign w:val="center"/>
                </w:tcPr>
                <w:p w14:paraId="3712A954">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无色、有烃类气味的气体；熔点（℃）-191.2；沸点（℃）-47.7；相对密度（水=1）0.5；相对蒸汽密度（空气=1）1.48；饱和蒸汽压（kPa）602.88（0℃）；引燃温度（℃）455；爆炸上限（v%）15.0；爆炸下限（v%）1.0</w:t>
                  </w:r>
                </w:p>
              </w:tc>
              <w:tc>
                <w:tcPr>
                  <w:tcW w:w="3402" w:type="dxa"/>
                  <w:vAlign w:val="center"/>
                </w:tcPr>
                <w:p w14:paraId="3391AF5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易燃，与空气混合能形成爆炸性混合物；遇热源和明火有燃烧爆炸的危险。与二氧化氮、四氧化二氮、氧化二氮等激烈化合，与其他氧化剂接触剧烈反应。气体比空气重，能在较低处扩散到相当远的地方，遇火源会着火回燃</w:t>
                  </w:r>
                </w:p>
              </w:tc>
            </w:tr>
            <w:tr w14:paraId="146E0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5E7B0DC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13</w:t>
                  </w:r>
                </w:p>
              </w:tc>
              <w:tc>
                <w:tcPr>
                  <w:tcW w:w="850" w:type="dxa"/>
                  <w:vAlign w:val="center"/>
                </w:tcPr>
                <w:p w14:paraId="7E0EE93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异丁烷</w:t>
                  </w:r>
                </w:p>
              </w:tc>
              <w:tc>
                <w:tcPr>
                  <w:tcW w:w="3402" w:type="dxa"/>
                  <w:vAlign w:val="center"/>
                </w:tcPr>
                <w:p w14:paraId="2C0F4DE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无色、稍有气味的气体，分子式为C</w:t>
                  </w:r>
                  <w:r>
                    <w:rPr>
                      <w:rFonts w:hint="default" w:ascii="Times New Roman" w:hAnsi="Times New Roman" w:eastAsia="宋体" w:cs="Times New Roman"/>
                      <w:b w:val="0"/>
                      <w:bCs/>
                      <w:color w:val="auto"/>
                      <w:sz w:val="21"/>
                      <w:szCs w:val="21"/>
                      <w:vertAlign w:val="subscript"/>
                      <w:lang w:val="en-US" w:eastAsia="zh-CN"/>
                    </w:rPr>
                    <w:t>4</w:t>
                  </w:r>
                  <w:r>
                    <w:rPr>
                      <w:rFonts w:hint="default" w:ascii="Times New Roman" w:hAnsi="Times New Roman" w:eastAsia="宋体" w:cs="Times New Roman"/>
                      <w:b w:val="0"/>
                      <w:bCs/>
                      <w:color w:val="auto"/>
                      <w:sz w:val="21"/>
                      <w:szCs w:val="21"/>
                      <w:vertAlign w:val="baseline"/>
                      <w:lang w:val="en-US" w:eastAsia="zh-CN"/>
                    </w:rPr>
                    <w:t>H</w:t>
                  </w:r>
                  <w:r>
                    <w:rPr>
                      <w:rFonts w:hint="default" w:ascii="Times New Roman" w:hAnsi="Times New Roman" w:eastAsia="宋体" w:cs="Times New Roman"/>
                      <w:b w:val="0"/>
                      <w:bCs/>
                      <w:color w:val="auto"/>
                      <w:sz w:val="21"/>
                      <w:szCs w:val="21"/>
                      <w:vertAlign w:val="subscript"/>
                      <w:lang w:val="en-US" w:eastAsia="zh-CN"/>
                    </w:rPr>
                    <w:t>10</w:t>
                  </w:r>
                  <w:r>
                    <w:rPr>
                      <w:rFonts w:hint="default" w:ascii="Times New Roman" w:hAnsi="Times New Roman" w:eastAsia="宋体" w:cs="Times New Roman"/>
                      <w:b w:val="0"/>
                      <w:bCs/>
                      <w:color w:val="auto"/>
                      <w:sz w:val="21"/>
                      <w:szCs w:val="21"/>
                      <w:vertAlign w:val="baseline"/>
                      <w:lang w:val="en-US" w:eastAsia="zh-CN"/>
                    </w:rPr>
                    <w:t>，分子量为58.12，熔点为-159.6℃，沸点为-11.8℃，相对密度（水=1）为0.56，相对蒸气密度（空气=1）为2.01，饱和蒸气压为160.09kPa（0℃），燃烧热为2856.6kJ/mol，临界温度为135℃，临界压力为3.65MPa，闪点为-82.8℃，引燃温度为460℃，爆炸上限为8.5%（V/V），爆炸下限为1.8%（V/V），溶解性为微溶于水，溶于乙醚。</w:t>
                  </w:r>
                </w:p>
              </w:tc>
              <w:tc>
                <w:tcPr>
                  <w:tcW w:w="3402" w:type="dxa"/>
                  <w:vAlign w:val="center"/>
                </w:tcPr>
                <w:p w14:paraId="74DCF588">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易燃气体，与空气混合能形成爆炸性混合物，遇热源和明火有燃烧爆炸的危险，与氧化剂接触猛烈反应，其蒸气比空气重，能在较低处扩散到相当远的地方，遇火源会着火回燃</w:t>
                  </w:r>
                </w:p>
              </w:tc>
            </w:tr>
            <w:tr w14:paraId="036B2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1F5D7071">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14</w:t>
                  </w:r>
                </w:p>
              </w:tc>
              <w:tc>
                <w:tcPr>
                  <w:tcW w:w="850" w:type="dxa"/>
                  <w:vAlign w:val="center"/>
                </w:tcPr>
                <w:p w14:paraId="0E6F7DA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乙炔气</w:t>
                  </w:r>
                </w:p>
              </w:tc>
              <w:tc>
                <w:tcPr>
                  <w:tcW w:w="3402" w:type="dxa"/>
                  <w:vAlign w:val="center"/>
                </w:tcPr>
                <w:p w14:paraId="1B4E551C">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无色无臭气体，工业品有使人不愉快的大蒜气味；熔点：-81.8℃（119kPa）；沸点：-83.8℃；相对密度（水=1）：0.62；相对蒸汽密度（空气=1）：0.91；饱和蒸汽压（kPa）：4053（16.8℃）；引燃温度（℃）：305；爆炸上限/下限（%V/V）：80.0/2.1；溶解性：微溶于水、乙醇，溶于丙酮、氯仿、苯</w:t>
                  </w:r>
                </w:p>
              </w:tc>
              <w:tc>
                <w:tcPr>
                  <w:tcW w:w="3402" w:type="dxa"/>
                  <w:vAlign w:val="center"/>
                </w:tcPr>
                <w:p w14:paraId="10400CB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极易燃烧爆炸。与空气混合能形成爆炸性混合物，遇明火、高热能引起燃烧爆炸。与氧化剂接触会猛烈反应。与氟、氯等接触会发生剧烈的化学反应。能与铜、银、汞等的化合物生成爆炸性物质。具有弱麻醉作用。吸入高浓度，初期兴奋、多语、哭笑不安，后出现眩晕、头痛、恶心、呕吐、共济失调、嗜睡；严重者昏迷、紫绀、瞳孔对光反应消失、脉弱而不齐。高浓度吸入可引起单纯窒息。当混有磷化氢、硫化氢时，毒性增大，应予注意</w:t>
                  </w:r>
                </w:p>
              </w:tc>
            </w:tr>
            <w:tr w14:paraId="53F83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dxa"/>
                  <w:vAlign w:val="center"/>
                </w:tcPr>
                <w:p w14:paraId="0C1874F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15</w:t>
                  </w:r>
                </w:p>
              </w:tc>
              <w:tc>
                <w:tcPr>
                  <w:tcW w:w="850" w:type="dxa"/>
                  <w:vAlign w:val="center"/>
                </w:tcPr>
                <w:p w14:paraId="427FC37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电石</w:t>
                  </w:r>
                </w:p>
              </w:tc>
              <w:tc>
                <w:tcPr>
                  <w:tcW w:w="3402" w:type="dxa"/>
                  <w:shd w:val="clear" w:color="auto" w:fill="auto"/>
                  <w:vAlign w:val="center"/>
                </w:tcPr>
                <w:p w14:paraId="0085F705">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kern w:val="2"/>
                      <w:sz w:val="21"/>
                      <w:szCs w:val="21"/>
                      <w:vertAlign w:val="baseline"/>
                      <w:lang w:val="en-US" w:eastAsia="zh-CN" w:bidi="ar-SA"/>
                    </w:rPr>
                    <w:t>无色晶体，工业品为灰黑色块状物，断面为紫色或灰色。熔点2300℃；相对密度（水=1）2.22；</w:t>
                  </w:r>
                </w:p>
              </w:tc>
              <w:tc>
                <w:tcPr>
                  <w:tcW w:w="3402" w:type="dxa"/>
                  <w:shd w:val="clear" w:color="auto" w:fill="auto"/>
                  <w:vAlign w:val="center"/>
                </w:tcPr>
                <w:p w14:paraId="64650FC5">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kern w:val="2"/>
                      <w:sz w:val="21"/>
                      <w:szCs w:val="21"/>
                      <w:vertAlign w:val="baseline"/>
                      <w:lang w:val="en-US" w:eastAsia="zh-CN" w:bidi="ar-SA"/>
                    </w:rPr>
                    <w:t>干燥时不燃，遇水或湿气能迅速产生高度易燃的乙炔气体，在空气中达到一定的浓度时，可发生爆炸性灾害。与酸类物质能发生剧烈反应</w:t>
                  </w:r>
                </w:p>
              </w:tc>
            </w:tr>
          </w:tbl>
          <w:p w14:paraId="611BB1FB">
            <w:pPr>
              <w:keepNext w:val="0"/>
              <w:keepLines/>
              <w:pageBreakBefore w:val="0"/>
              <w:wordWrap/>
              <w:topLinePunct/>
              <w:autoSpaceDE w:val="0"/>
              <w:bidi w:val="0"/>
              <w:adjustRightInd w:val="0"/>
              <w:snapToGrid w:val="0"/>
              <w:spacing w:beforeAutospacing="0" w:afterAutospacing="0" w:line="360" w:lineRule="auto"/>
              <w:ind w:left="0" w:leftChars="0" w:right="0" w:rightChars="0" w:firstLine="482"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5</w:t>
            </w:r>
            <w:r>
              <w:rPr>
                <w:rFonts w:hint="default" w:ascii="Times New Roman" w:hAnsi="Times New Roman" w:eastAsia="宋体" w:cs="Times New Roman"/>
                <w:b/>
                <w:color w:val="auto"/>
                <w:sz w:val="24"/>
              </w:rPr>
              <w:t>、本项目能源消耗</w:t>
            </w:r>
          </w:p>
          <w:p w14:paraId="680A97F7">
            <w:pPr>
              <w:keepNext w:val="0"/>
              <w:keepLines/>
              <w:pageBreakBefore w:val="0"/>
              <w:wordWrap/>
              <w:topLinePunct/>
              <w:autoSpaceDE w:val="0"/>
              <w:bidi w:val="0"/>
              <w:adjustRightInd w:val="0"/>
              <w:snapToGrid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本项目的能源消耗见表</w:t>
            </w:r>
            <w:r>
              <w:rPr>
                <w:rFonts w:hint="default" w:ascii="Times New Roman" w:hAnsi="Times New Roman" w:eastAsia="宋体" w:cs="Times New Roman"/>
                <w:color w:val="auto"/>
                <w:sz w:val="24"/>
                <w:lang w:val="en-US" w:eastAsia="zh-CN"/>
              </w:rPr>
              <w:t>2-6</w:t>
            </w:r>
            <w:r>
              <w:rPr>
                <w:rFonts w:hint="default" w:ascii="Times New Roman" w:hAnsi="Times New Roman" w:eastAsia="宋体" w:cs="Times New Roman"/>
                <w:color w:val="auto"/>
                <w:sz w:val="24"/>
              </w:rPr>
              <w:t>。</w:t>
            </w:r>
          </w:p>
          <w:p w14:paraId="512859F9">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 xml:space="preserve">2-6  </w:t>
            </w:r>
            <w:r>
              <w:rPr>
                <w:rFonts w:hint="default" w:ascii="Times New Roman" w:hAnsi="Times New Roman" w:eastAsia="宋体" w:cs="Times New Roman"/>
                <w:b/>
                <w:color w:val="auto"/>
                <w:sz w:val="24"/>
              </w:rPr>
              <w:t>本项目能源消耗一览表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9"/>
              <w:gridCol w:w="2069"/>
              <w:gridCol w:w="2069"/>
              <w:gridCol w:w="2070"/>
            </w:tblGrid>
            <w:tr w14:paraId="511A9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69" w:type="dxa"/>
                  <w:noWrap w:val="0"/>
                  <w:tcMar>
                    <w:left w:w="28" w:type="dxa"/>
                    <w:right w:w="28" w:type="dxa"/>
                  </w:tcMar>
                  <w:vAlign w:val="center"/>
                </w:tcPr>
                <w:p w14:paraId="53A9352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编号</w:t>
                  </w:r>
                </w:p>
              </w:tc>
              <w:tc>
                <w:tcPr>
                  <w:tcW w:w="2069" w:type="dxa"/>
                  <w:noWrap w:val="0"/>
                  <w:tcMar>
                    <w:left w:w="28" w:type="dxa"/>
                    <w:right w:w="28" w:type="dxa"/>
                  </w:tcMar>
                  <w:vAlign w:val="center"/>
                </w:tcPr>
                <w:p w14:paraId="28E3855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名称</w:t>
                  </w:r>
                </w:p>
              </w:tc>
              <w:tc>
                <w:tcPr>
                  <w:tcW w:w="2069" w:type="dxa"/>
                  <w:noWrap w:val="0"/>
                  <w:tcMar>
                    <w:left w:w="28" w:type="dxa"/>
                    <w:right w:w="28" w:type="dxa"/>
                  </w:tcMar>
                  <w:vAlign w:val="center"/>
                </w:tcPr>
                <w:p w14:paraId="1F8E1ED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消耗量（单位）</w:t>
                  </w:r>
                </w:p>
              </w:tc>
              <w:tc>
                <w:tcPr>
                  <w:tcW w:w="2070" w:type="dxa"/>
                  <w:noWrap w:val="0"/>
                  <w:tcMar>
                    <w:left w:w="28" w:type="dxa"/>
                    <w:right w:w="28" w:type="dxa"/>
                  </w:tcMar>
                  <w:vAlign w:val="center"/>
                </w:tcPr>
                <w:p w14:paraId="00BC225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color w:val="auto"/>
                      <w:lang w:eastAsia="zh-CN"/>
                    </w:rPr>
                    <w:t>来源</w:t>
                  </w:r>
                </w:p>
              </w:tc>
            </w:tr>
            <w:tr w14:paraId="63575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69" w:type="dxa"/>
                  <w:noWrap w:val="0"/>
                  <w:tcMar>
                    <w:left w:w="28" w:type="dxa"/>
                    <w:right w:w="28" w:type="dxa"/>
                  </w:tcMar>
                  <w:vAlign w:val="center"/>
                </w:tcPr>
                <w:p w14:paraId="13C7952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1</w:t>
                  </w:r>
                </w:p>
              </w:tc>
              <w:tc>
                <w:tcPr>
                  <w:tcW w:w="2069" w:type="dxa"/>
                  <w:noWrap w:val="0"/>
                  <w:tcMar>
                    <w:left w:w="28" w:type="dxa"/>
                    <w:right w:w="28" w:type="dxa"/>
                  </w:tcMar>
                  <w:vAlign w:val="center"/>
                </w:tcPr>
                <w:p w14:paraId="4B5705E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电</w:t>
                  </w:r>
                </w:p>
              </w:tc>
              <w:tc>
                <w:tcPr>
                  <w:tcW w:w="2069" w:type="dxa"/>
                  <w:noWrap w:val="0"/>
                  <w:tcMar>
                    <w:left w:w="28" w:type="dxa"/>
                    <w:right w:w="28" w:type="dxa"/>
                  </w:tcMar>
                  <w:vAlign w:val="center"/>
                </w:tcPr>
                <w:p w14:paraId="17CC6CE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1.9</w:t>
                  </w:r>
                  <w:r>
                    <w:rPr>
                      <w:rFonts w:hint="default" w:ascii="Times New Roman" w:hAnsi="Times New Roman" w:eastAsia="宋体" w:cs="Times New Roman"/>
                      <w:color w:val="auto"/>
                    </w:rPr>
                    <w:t>×10</w:t>
                  </w:r>
                  <w:r>
                    <w:rPr>
                      <w:rFonts w:hint="default" w:ascii="Times New Roman" w:hAnsi="Times New Roman" w:eastAsia="宋体" w:cs="Times New Roman"/>
                      <w:color w:val="auto"/>
                      <w:vertAlign w:val="superscript"/>
                    </w:rPr>
                    <w:t>4</w:t>
                  </w:r>
                  <w:r>
                    <w:rPr>
                      <w:rFonts w:hint="default" w:ascii="Times New Roman" w:hAnsi="Times New Roman" w:eastAsia="宋体" w:cs="Times New Roman"/>
                      <w:color w:val="auto"/>
                    </w:rPr>
                    <w:t>KWh/a</w:t>
                  </w:r>
                </w:p>
              </w:tc>
              <w:tc>
                <w:tcPr>
                  <w:tcW w:w="2070" w:type="dxa"/>
                  <w:noWrap w:val="0"/>
                  <w:tcMar>
                    <w:left w:w="28" w:type="dxa"/>
                    <w:right w:w="28" w:type="dxa"/>
                  </w:tcMar>
                  <w:vAlign w:val="center"/>
                </w:tcPr>
                <w:p w14:paraId="38B3D2D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lang w:val="en-US" w:eastAsia="zh-CN"/>
                    </w:rPr>
                    <w:t>园区供电网</w:t>
                  </w:r>
                </w:p>
              </w:tc>
            </w:tr>
            <w:tr w14:paraId="04B13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069" w:type="dxa"/>
                  <w:noWrap w:val="0"/>
                  <w:tcMar>
                    <w:left w:w="28" w:type="dxa"/>
                    <w:right w:w="28" w:type="dxa"/>
                  </w:tcMar>
                  <w:vAlign w:val="center"/>
                </w:tcPr>
                <w:p w14:paraId="1730E37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lang w:val="en-US" w:eastAsia="zh-CN"/>
                    </w:rPr>
                    <w:t>2</w:t>
                  </w:r>
                </w:p>
              </w:tc>
              <w:tc>
                <w:tcPr>
                  <w:tcW w:w="2069" w:type="dxa"/>
                  <w:noWrap w:val="0"/>
                  <w:tcMar>
                    <w:left w:w="28" w:type="dxa"/>
                    <w:right w:w="28" w:type="dxa"/>
                  </w:tcMar>
                  <w:vAlign w:val="center"/>
                </w:tcPr>
                <w:p w14:paraId="3C08B11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水</w:t>
                  </w:r>
                </w:p>
              </w:tc>
              <w:tc>
                <w:tcPr>
                  <w:tcW w:w="2069" w:type="dxa"/>
                  <w:noWrap w:val="0"/>
                  <w:tcMar>
                    <w:left w:w="28" w:type="dxa"/>
                    <w:right w:w="28" w:type="dxa"/>
                  </w:tcMar>
                  <w:vAlign w:val="center"/>
                </w:tcPr>
                <w:p w14:paraId="4B3DE54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180</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w:t>
                  </w:r>
                </w:p>
              </w:tc>
              <w:tc>
                <w:tcPr>
                  <w:tcW w:w="2070" w:type="dxa"/>
                  <w:noWrap w:val="0"/>
                  <w:tcMar>
                    <w:left w:w="28" w:type="dxa"/>
                    <w:right w:w="28" w:type="dxa"/>
                  </w:tcMar>
                  <w:vAlign w:val="center"/>
                </w:tcPr>
                <w:p w14:paraId="26DB2D6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lang w:val="en-US" w:eastAsia="zh-CN"/>
                    </w:rPr>
                    <w:t>园区自来水管网</w:t>
                  </w:r>
                </w:p>
              </w:tc>
            </w:tr>
          </w:tbl>
          <w:p w14:paraId="4BF1CFD2">
            <w:pPr>
              <w:keepNext w:val="0"/>
              <w:pageBreakBefore w:val="0"/>
              <w:widowControl w:val="0"/>
              <w:kinsoku/>
              <w:wordWrap/>
              <w:overflowPunct/>
              <w:autoSpaceDN/>
              <w:bidi w:val="0"/>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、劳动定员及工作制度</w:t>
            </w:r>
          </w:p>
          <w:p w14:paraId="6F6F65B1">
            <w:pPr>
              <w:keepNext w:val="0"/>
              <w:pageBreakBefore w:val="0"/>
              <w:widowControl w:val="0"/>
              <w:kinsoku/>
              <w:wordWrap/>
              <w:overflowPunct/>
              <w:autoSpaceDN/>
              <w:bidi w:val="0"/>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eastAsia="zh-CN"/>
              </w:rPr>
              <w:t>工作人员共计</w:t>
            </w:r>
            <w:r>
              <w:rPr>
                <w:rFonts w:hint="default" w:ascii="Times New Roman" w:hAnsi="Times New Roman" w:eastAsia="宋体" w:cs="Times New Roman"/>
                <w:color w:val="auto"/>
                <w:sz w:val="24"/>
                <w:szCs w:val="24"/>
                <w:lang w:val="en-US" w:eastAsia="zh-CN"/>
              </w:rPr>
              <w:t>10人；</w:t>
            </w:r>
            <w:r>
              <w:rPr>
                <w:rFonts w:hint="default" w:ascii="Times New Roman" w:hAnsi="Times New Roman" w:eastAsia="宋体" w:cs="Times New Roman"/>
                <w:color w:val="auto"/>
                <w:sz w:val="24"/>
                <w:szCs w:val="24"/>
              </w:rPr>
              <w:t>全年工作</w:t>
            </w:r>
            <w:r>
              <w:rPr>
                <w:rFonts w:hint="default" w:ascii="Times New Roman" w:hAnsi="Times New Roman" w:eastAsia="宋体" w:cs="Times New Roman"/>
                <w:color w:val="auto"/>
                <w:sz w:val="24"/>
                <w:szCs w:val="24"/>
                <w:lang w:val="en-US" w:eastAsia="zh-CN"/>
              </w:rPr>
              <w:t>300</w:t>
            </w:r>
            <w:r>
              <w:rPr>
                <w:rFonts w:hint="default" w:ascii="Times New Roman" w:hAnsi="Times New Roman" w:eastAsia="宋体" w:cs="Times New Roman"/>
                <w:color w:val="auto"/>
                <w:sz w:val="24"/>
                <w:szCs w:val="24"/>
              </w:rPr>
              <w:t>天，</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小时</w:t>
            </w:r>
            <w:r>
              <w:rPr>
                <w:rFonts w:hint="default" w:ascii="Times New Roman" w:hAnsi="Times New Roman" w:eastAsia="宋体" w:cs="Times New Roman"/>
                <w:color w:val="auto"/>
                <w:sz w:val="24"/>
                <w:szCs w:val="24"/>
                <w:lang w:val="en-US" w:eastAsia="zh-CN"/>
              </w:rPr>
              <w:t>单班制</w:t>
            </w:r>
            <w:r>
              <w:rPr>
                <w:rFonts w:hint="default" w:ascii="Times New Roman" w:hAnsi="Times New Roman" w:eastAsia="宋体" w:cs="Times New Roman"/>
                <w:color w:val="auto"/>
                <w:sz w:val="24"/>
                <w:szCs w:val="24"/>
              </w:rPr>
              <w:t>。</w:t>
            </w:r>
          </w:p>
          <w:p w14:paraId="6D6E9B05">
            <w:pPr>
              <w:keepNext w:val="0"/>
              <w:keepLines/>
              <w:pageBreakBefore w:val="0"/>
              <w:widowControl w:val="0"/>
              <w:kinsoku/>
              <w:wordWrap/>
              <w:overflowPunct/>
              <w:topLinePunct/>
              <w:autoSpaceDE w:val="0"/>
              <w:autoSpaceDN/>
              <w:bidi w:val="0"/>
              <w:adjustRightInd w:val="0"/>
              <w:snapToGrid w:val="0"/>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7、</w:t>
            </w:r>
            <w:r>
              <w:rPr>
                <w:rFonts w:hint="default" w:ascii="Times New Roman" w:hAnsi="Times New Roman" w:eastAsia="宋体" w:cs="Times New Roman"/>
                <w:b/>
                <w:color w:val="auto"/>
                <w:sz w:val="24"/>
                <w:szCs w:val="24"/>
              </w:rPr>
              <w:t>公用工程</w:t>
            </w:r>
          </w:p>
          <w:p w14:paraId="17FF2BA7">
            <w:pPr>
              <w:keepNext w:val="0"/>
              <w:keepLines/>
              <w:pageBreakBefore w:val="0"/>
              <w:widowControl w:val="0"/>
              <w:kinsoku/>
              <w:wordWrap/>
              <w:overflowPunct/>
              <w:topLinePunct/>
              <w:autoSpaceDE w:val="0"/>
              <w:autoSpaceDN/>
              <w:bidi w:val="0"/>
              <w:adjustRightInd w:val="0"/>
              <w:snapToGrid w:val="0"/>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color w:val="0000FF"/>
                <w:sz w:val="24"/>
              </w:rPr>
            </w:pPr>
            <w:r>
              <w:rPr>
                <w:rFonts w:hint="default" w:ascii="Times New Roman" w:hAnsi="Times New Roman" w:eastAsia="宋体" w:cs="Times New Roman"/>
                <w:b/>
                <w:color w:val="0000FF"/>
                <w:sz w:val="24"/>
                <w:lang w:val="en-US" w:eastAsia="zh-CN"/>
              </w:rPr>
              <w:t>7</w:t>
            </w:r>
            <w:r>
              <w:rPr>
                <w:rFonts w:hint="default" w:ascii="Times New Roman" w:hAnsi="Times New Roman" w:eastAsia="宋体" w:cs="Times New Roman"/>
                <w:b/>
                <w:color w:val="0000FF"/>
                <w:sz w:val="24"/>
              </w:rPr>
              <w:t>.1给排水</w:t>
            </w:r>
          </w:p>
          <w:p w14:paraId="54025381">
            <w:pPr>
              <w:keepNext w:val="0"/>
              <w:pageBreakBefore w:val="0"/>
              <w:widowControl w:val="0"/>
              <w:kinsoku/>
              <w:wordWrap/>
              <w:overflowPunct/>
              <w:autoSpaceDN/>
              <w:bidi w:val="0"/>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0000FF"/>
                <w:sz w:val="24"/>
              </w:rPr>
            </w:pPr>
            <w:r>
              <w:rPr>
                <w:rFonts w:hint="default" w:ascii="Times New Roman" w:hAnsi="Times New Roman" w:eastAsia="宋体" w:cs="Times New Roman"/>
                <w:b/>
                <w:bCs/>
                <w:color w:val="0000FF"/>
                <w:sz w:val="24"/>
                <w:lang w:val="en-US" w:eastAsia="zh-CN"/>
              </w:rPr>
              <w:t>7.1.1</w:t>
            </w:r>
            <w:r>
              <w:rPr>
                <w:rFonts w:hint="default" w:ascii="Times New Roman" w:hAnsi="Times New Roman" w:eastAsia="宋体" w:cs="Times New Roman"/>
                <w:b/>
                <w:bCs/>
                <w:color w:val="0000FF"/>
                <w:sz w:val="24"/>
              </w:rPr>
              <w:t>给水</w:t>
            </w:r>
          </w:p>
          <w:p w14:paraId="699091A4">
            <w:pPr>
              <w:keepNext w:val="0"/>
              <w:pageBreakBefore w:val="0"/>
              <w:widowControl w:val="0"/>
              <w:kinsoku/>
              <w:wordWrap/>
              <w:overflowPunct/>
              <w:autoSpaceDN/>
              <w:bidi w:val="0"/>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FF"/>
                <w:sz w:val="24"/>
                <w:lang w:val="en-US" w:eastAsia="zh-CN"/>
              </w:rPr>
            </w:pPr>
            <w:r>
              <w:rPr>
                <w:rFonts w:hint="default" w:ascii="Times New Roman" w:hAnsi="Times New Roman" w:eastAsia="宋体" w:cs="Times New Roman"/>
                <w:color w:val="0000FF"/>
                <w:sz w:val="24"/>
              </w:rPr>
              <w:t>本项目</w:t>
            </w:r>
            <w:r>
              <w:rPr>
                <w:rFonts w:hint="default" w:ascii="Times New Roman" w:hAnsi="Times New Roman" w:eastAsia="宋体" w:cs="Times New Roman"/>
                <w:color w:val="0000FF"/>
                <w:sz w:val="24"/>
                <w:lang w:val="en-US" w:eastAsia="zh-CN"/>
              </w:rPr>
              <w:t>运营期无生产用水，用水主要是生活用水，由</w:t>
            </w:r>
            <w:r>
              <w:rPr>
                <w:rFonts w:hint="default" w:ascii="Times New Roman" w:hAnsi="Times New Roman" w:eastAsia="宋体" w:cs="Times New Roman"/>
                <w:color w:val="0000FF"/>
                <w:sz w:val="24"/>
                <w:lang w:eastAsia="zh-CN"/>
              </w:rPr>
              <w:t>乌拉特中旗甘其毛都口岸加工园区</w:t>
            </w:r>
            <w:r>
              <w:rPr>
                <w:rFonts w:hint="default" w:ascii="Times New Roman" w:hAnsi="Times New Roman" w:eastAsia="宋体" w:cs="Times New Roman"/>
                <w:color w:val="0000FF"/>
                <w:sz w:val="24"/>
                <w:lang w:val="en-US" w:eastAsia="zh-CN"/>
              </w:rPr>
              <w:t>自来水管网供给。</w:t>
            </w:r>
          </w:p>
          <w:p w14:paraId="7B5F50F6">
            <w:pPr>
              <w:keepNext w:val="0"/>
              <w:pageBreakBefore w:val="0"/>
              <w:widowControl w:val="0"/>
              <w:kinsoku/>
              <w:wordWrap/>
              <w:overflowPunct/>
              <w:autoSpaceDN/>
              <w:bidi w:val="0"/>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rPr>
              <w:t>项目劳动定员为</w:t>
            </w:r>
            <w:r>
              <w:rPr>
                <w:rFonts w:hint="default" w:ascii="Times New Roman" w:hAnsi="Times New Roman" w:eastAsia="宋体" w:cs="Times New Roman"/>
                <w:color w:val="0000FF"/>
                <w:sz w:val="24"/>
                <w:lang w:val="en-US" w:eastAsia="zh-CN"/>
              </w:rPr>
              <w:t>10</w:t>
            </w:r>
            <w:r>
              <w:rPr>
                <w:rFonts w:hint="default" w:ascii="Times New Roman" w:hAnsi="Times New Roman" w:eastAsia="宋体" w:cs="Times New Roman"/>
                <w:color w:val="0000FF"/>
                <w:sz w:val="24"/>
              </w:rPr>
              <w:t>人，人员用水标准按</w:t>
            </w:r>
            <w:r>
              <w:rPr>
                <w:rFonts w:hint="default" w:ascii="Times New Roman" w:hAnsi="Times New Roman" w:eastAsia="宋体" w:cs="Times New Roman"/>
                <w:color w:val="0000FF"/>
                <w:sz w:val="24"/>
                <w:lang w:val="en-US" w:eastAsia="zh-CN"/>
              </w:rPr>
              <w:t>6</w:t>
            </w:r>
            <w:r>
              <w:rPr>
                <w:rFonts w:hint="default" w:ascii="Times New Roman" w:hAnsi="Times New Roman" w:eastAsia="宋体" w:cs="Times New Roman"/>
                <w:color w:val="0000FF"/>
                <w:sz w:val="24"/>
              </w:rPr>
              <w:t>0L/人•d计，每天用水量为</w:t>
            </w:r>
            <w:r>
              <w:rPr>
                <w:rFonts w:hint="default" w:ascii="Times New Roman" w:hAnsi="Times New Roman" w:eastAsia="宋体" w:cs="Times New Roman"/>
                <w:color w:val="0000FF"/>
                <w:sz w:val="24"/>
                <w:lang w:val="en-US" w:eastAsia="zh-CN"/>
              </w:rPr>
              <w:t>0.6m</w:t>
            </w:r>
            <w:r>
              <w:rPr>
                <w:rFonts w:hint="default" w:ascii="Times New Roman" w:hAnsi="Times New Roman" w:eastAsia="宋体" w:cs="Times New Roman"/>
                <w:color w:val="0000FF"/>
                <w:sz w:val="24"/>
                <w:vertAlign w:val="superscript"/>
                <w:lang w:val="en-US" w:eastAsia="zh-CN"/>
              </w:rPr>
              <w:t>3</w:t>
            </w:r>
            <w:r>
              <w:rPr>
                <w:rFonts w:hint="default" w:ascii="Times New Roman" w:hAnsi="Times New Roman" w:eastAsia="宋体" w:cs="Times New Roman"/>
                <w:color w:val="0000FF"/>
                <w:sz w:val="24"/>
              </w:rPr>
              <w:t>/d，全年总用水量为</w:t>
            </w:r>
            <w:r>
              <w:rPr>
                <w:rFonts w:hint="default" w:ascii="Times New Roman" w:hAnsi="Times New Roman" w:eastAsia="宋体" w:cs="Times New Roman"/>
                <w:color w:val="0000FF"/>
                <w:sz w:val="24"/>
                <w:lang w:val="en-US" w:eastAsia="zh-CN"/>
              </w:rPr>
              <w:t>180m</w:t>
            </w:r>
            <w:r>
              <w:rPr>
                <w:rFonts w:hint="default" w:ascii="Times New Roman" w:hAnsi="Times New Roman" w:eastAsia="宋体" w:cs="Times New Roman"/>
                <w:color w:val="0000FF"/>
                <w:sz w:val="24"/>
                <w:vertAlign w:val="superscript"/>
                <w:lang w:val="en-US" w:eastAsia="zh-CN"/>
              </w:rPr>
              <w:t>3</w:t>
            </w:r>
            <w:r>
              <w:rPr>
                <w:rFonts w:hint="default" w:ascii="Times New Roman" w:hAnsi="Times New Roman" w:eastAsia="宋体" w:cs="Times New Roman"/>
                <w:color w:val="0000FF"/>
                <w:sz w:val="24"/>
              </w:rPr>
              <w:t>/a</w:t>
            </w:r>
            <w:r>
              <w:rPr>
                <w:rFonts w:hint="default" w:ascii="Times New Roman" w:hAnsi="Times New Roman" w:eastAsia="宋体" w:cs="Times New Roman"/>
                <w:color w:val="0000FF"/>
                <w:sz w:val="24"/>
                <w:szCs w:val="24"/>
              </w:rPr>
              <w:t>。</w:t>
            </w:r>
          </w:p>
          <w:p w14:paraId="52AFCB6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0000FF"/>
                <w:sz w:val="24"/>
                <w:szCs w:val="32"/>
              </w:rPr>
            </w:pPr>
            <w:r>
              <w:rPr>
                <w:rFonts w:hint="default" w:ascii="Times New Roman" w:hAnsi="Times New Roman" w:eastAsia="宋体" w:cs="Times New Roman"/>
                <w:b/>
                <w:bCs/>
                <w:color w:val="0000FF"/>
                <w:sz w:val="24"/>
                <w:szCs w:val="32"/>
                <w:lang w:val="en-US" w:eastAsia="zh-CN"/>
              </w:rPr>
              <w:t>7.1.2</w:t>
            </w:r>
            <w:r>
              <w:rPr>
                <w:rFonts w:hint="default" w:ascii="Times New Roman" w:hAnsi="Times New Roman" w:eastAsia="宋体" w:cs="Times New Roman"/>
                <w:b/>
                <w:bCs/>
                <w:color w:val="0000FF"/>
                <w:sz w:val="24"/>
                <w:szCs w:val="32"/>
              </w:rPr>
              <w:t>排水</w:t>
            </w:r>
          </w:p>
          <w:p w14:paraId="14AE6C0C">
            <w:pPr>
              <w:keepNext w:val="0"/>
              <w:pageBreakBefore w:val="0"/>
              <w:widowControl w:val="0"/>
              <w:kinsoku/>
              <w:wordWrap/>
              <w:overflowPunct/>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0000FF"/>
                <w:sz w:val="24"/>
                <w:szCs w:val="24"/>
                <w:lang w:eastAsia="zh-CN"/>
              </w:rPr>
            </w:pPr>
            <w:r>
              <w:rPr>
                <w:rFonts w:hint="default" w:ascii="Times New Roman" w:hAnsi="Times New Roman" w:eastAsia="宋体" w:cs="Times New Roman"/>
                <w:color w:val="0000FF"/>
                <w:sz w:val="24"/>
                <w:szCs w:val="24"/>
                <w:lang w:val="en-US" w:eastAsia="zh-CN"/>
              </w:rPr>
              <w:t>项目</w:t>
            </w:r>
            <w:r>
              <w:rPr>
                <w:rFonts w:hint="default" w:ascii="Times New Roman" w:hAnsi="Times New Roman" w:eastAsia="宋体" w:cs="Times New Roman"/>
                <w:color w:val="0000FF"/>
                <w:sz w:val="24"/>
                <w:szCs w:val="24"/>
                <w:lang w:eastAsia="zh-CN"/>
              </w:rPr>
              <w:t>生活污水的排放系数按80%计，则本项目生活污水排放量为</w:t>
            </w:r>
            <w:r>
              <w:rPr>
                <w:rFonts w:hint="default" w:ascii="Times New Roman" w:hAnsi="Times New Roman" w:eastAsia="宋体" w:cs="Times New Roman"/>
                <w:color w:val="0000FF"/>
                <w:sz w:val="24"/>
                <w:szCs w:val="24"/>
                <w:lang w:val="en-US" w:eastAsia="zh-CN"/>
              </w:rPr>
              <w:t>0.48m</w:t>
            </w:r>
            <w:r>
              <w:rPr>
                <w:rFonts w:hint="default" w:ascii="Times New Roman" w:hAnsi="Times New Roman" w:eastAsia="宋体" w:cs="Times New Roman"/>
                <w:color w:val="0000FF"/>
                <w:sz w:val="24"/>
                <w:szCs w:val="24"/>
                <w:vertAlign w:val="superscript"/>
                <w:lang w:val="en-US" w:eastAsia="zh-CN"/>
              </w:rPr>
              <w:t>3</w:t>
            </w:r>
            <w:r>
              <w:rPr>
                <w:rFonts w:hint="default" w:ascii="Times New Roman" w:hAnsi="Times New Roman" w:eastAsia="宋体" w:cs="Times New Roman"/>
                <w:color w:val="0000FF"/>
                <w:sz w:val="24"/>
              </w:rPr>
              <w:t>/</w:t>
            </w:r>
            <w:r>
              <w:rPr>
                <w:rFonts w:hint="default" w:ascii="Times New Roman" w:hAnsi="Times New Roman" w:eastAsia="宋体" w:cs="Times New Roman"/>
                <w:color w:val="0000FF"/>
                <w:sz w:val="24"/>
                <w:szCs w:val="24"/>
                <w:lang w:eastAsia="zh-CN"/>
              </w:rPr>
              <w:t>d（</w:t>
            </w:r>
            <w:r>
              <w:rPr>
                <w:rFonts w:hint="default" w:ascii="Times New Roman" w:hAnsi="Times New Roman" w:eastAsia="宋体" w:cs="Times New Roman"/>
                <w:color w:val="0000FF"/>
                <w:sz w:val="24"/>
                <w:szCs w:val="24"/>
                <w:lang w:val="en-US" w:eastAsia="zh-CN"/>
              </w:rPr>
              <w:t>144m</w:t>
            </w:r>
            <w:r>
              <w:rPr>
                <w:rFonts w:hint="default" w:ascii="Times New Roman" w:hAnsi="Times New Roman" w:eastAsia="宋体" w:cs="Times New Roman"/>
                <w:color w:val="0000FF"/>
                <w:sz w:val="24"/>
                <w:szCs w:val="24"/>
                <w:vertAlign w:val="superscript"/>
                <w:lang w:val="en-US" w:eastAsia="zh-CN"/>
              </w:rPr>
              <w:t>3</w:t>
            </w:r>
            <w:r>
              <w:rPr>
                <w:rFonts w:hint="default" w:ascii="Times New Roman" w:hAnsi="Times New Roman" w:eastAsia="宋体" w:cs="Times New Roman"/>
                <w:color w:val="0000FF"/>
                <w:sz w:val="24"/>
                <w:szCs w:val="24"/>
                <w:lang w:eastAsia="zh-CN"/>
              </w:rPr>
              <w:t>/a），生活污水经化粪池处理后，经园区污水管网进入</w:t>
            </w:r>
            <w:r>
              <w:rPr>
                <w:rFonts w:hint="eastAsia" w:ascii="Times New Roman" w:hAnsi="Times New Roman" w:eastAsia="宋体" w:cs="Times New Roman"/>
                <w:color w:val="0000FF"/>
                <w:sz w:val="24"/>
                <w:szCs w:val="24"/>
                <w:lang w:eastAsia="zh-CN"/>
              </w:rPr>
              <w:t>甘其毛都口岸加工园区工业污水处理厂</w:t>
            </w:r>
            <w:r>
              <w:rPr>
                <w:rFonts w:hint="default" w:ascii="Times New Roman" w:hAnsi="Times New Roman" w:eastAsia="宋体" w:cs="Times New Roman"/>
                <w:color w:val="0000FF"/>
                <w:sz w:val="24"/>
                <w:szCs w:val="24"/>
                <w:lang w:eastAsia="zh-CN"/>
              </w:rPr>
              <w:t>处理。</w:t>
            </w:r>
          </w:p>
          <w:p w14:paraId="64A909F2">
            <w:pPr>
              <w:keepNext w:val="0"/>
              <w:pageBreakBefore w:val="0"/>
              <w:widowControl w:val="0"/>
              <w:kinsoku/>
              <w:wordWrap/>
              <w:overflowPunct/>
              <w:autoSpaceDN/>
              <w:bidi w:val="0"/>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val="0"/>
                <w:bCs w:val="0"/>
                <w:color w:val="0000FF"/>
                <w:sz w:val="24"/>
              </w:rPr>
            </w:pPr>
            <w:r>
              <w:rPr>
                <w:rFonts w:hint="default" w:ascii="Times New Roman" w:hAnsi="Times New Roman" w:eastAsia="宋体" w:cs="Times New Roman"/>
                <w:b/>
                <w:bCs/>
                <w:color w:val="0000FF"/>
                <w:sz w:val="24"/>
                <w:szCs w:val="24"/>
                <w:lang w:val="en-US" w:eastAsia="zh-CN"/>
              </w:rPr>
              <w:t>7.1.3</w:t>
            </w:r>
            <w:r>
              <w:rPr>
                <w:rFonts w:hint="default" w:ascii="Times New Roman" w:hAnsi="Times New Roman" w:eastAsia="宋体" w:cs="Times New Roman"/>
                <w:b/>
                <w:bCs/>
                <w:color w:val="0000FF"/>
                <w:sz w:val="24"/>
              </w:rPr>
              <w:t>水平衡</w:t>
            </w:r>
          </w:p>
          <w:p w14:paraId="459F3B9F">
            <w:pPr>
              <w:keepNext w:val="0"/>
              <w:pageBreakBefore w:val="0"/>
              <w:widowControl w:val="0"/>
              <w:kinsoku/>
              <w:wordWrap/>
              <w:overflowPunct/>
              <w:autoSpaceDN/>
              <w:bidi w:val="0"/>
              <w:spacing w:beforeAutospacing="0" w:afterAutospacing="0" w:line="360" w:lineRule="auto"/>
              <w:ind w:left="0" w:leftChars="0" w:right="0" w:righ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object>
                <v:shape id="_x0000_i1025" o:spt="75" type="#_x0000_t75" style="height:82.25pt;width:369.35pt;" o:ole="t" filled="f" o:preferrelative="f" stroked="f" coordsize="21600,21600">
                  <v:path/>
                  <v:fill on="f" focussize="0,0"/>
                  <v:stroke on="f"/>
                  <v:imagedata r:id="rId10" o:title=""/>
                  <o:lock v:ext="edit" aspectratio="f"/>
                  <w10:wrap type="none"/>
                  <w10:anchorlock/>
                </v:shape>
                <o:OLEObject Type="Embed" ProgID="Visio.Drawing.11" ShapeID="_x0000_i1025" DrawAspect="Content" ObjectID="_1468075725" r:id="rId9">
                  <o:LockedField>false</o:LockedField>
                </o:OLEObject>
              </w:object>
            </w:r>
          </w:p>
          <w:p w14:paraId="55B86709">
            <w:pPr>
              <w:keepNext w:val="0"/>
              <w:pageBreakBefore w:val="0"/>
              <w:widowControl w:val="0"/>
              <w:kinsoku/>
              <w:wordWrap/>
              <w:overflowPunct/>
              <w:autoSpaceDN/>
              <w:bidi w:val="0"/>
              <w:spacing w:beforeAutospacing="0" w:afterAutospacing="0" w:line="360" w:lineRule="auto"/>
              <w:ind w:left="0" w:leftChars="0" w:right="0" w:rightChars="0"/>
              <w:jc w:val="center"/>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b/>
                <w:bCs/>
                <w:color w:val="0000FF"/>
                <w:sz w:val="24"/>
                <w:szCs w:val="24"/>
              </w:rPr>
              <w:t>图</w:t>
            </w:r>
            <w:r>
              <w:rPr>
                <w:rFonts w:hint="default" w:ascii="Times New Roman" w:hAnsi="Times New Roman" w:eastAsia="宋体" w:cs="Times New Roman"/>
                <w:b/>
                <w:bCs/>
                <w:color w:val="0000FF"/>
                <w:sz w:val="24"/>
                <w:szCs w:val="24"/>
                <w:lang w:val="en-US" w:eastAsia="zh-CN"/>
              </w:rPr>
              <w:t xml:space="preserve">2-1  </w:t>
            </w:r>
            <w:r>
              <w:rPr>
                <w:rFonts w:hint="default" w:ascii="Times New Roman" w:hAnsi="Times New Roman" w:eastAsia="宋体" w:cs="Times New Roman"/>
                <w:b/>
                <w:bCs/>
                <w:color w:val="0000FF"/>
                <w:sz w:val="24"/>
                <w:szCs w:val="24"/>
              </w:rPr>
              <w:t>项目水平衡图</w:t>
            </w:r>
            <w:r>
              <w:rPr>
                <w:rFonts w:hint="default" w:ascii="Times New Roman" w:hAnsi="Times New Roman" w:eastAsia="宋体" w:cs="Times New Roman"/>
                <w:b/>
                <w:bCs/>
                <w:color w:val="0000FF"/>
                <w:sz w:val="24"/>
                <w:szCs w:val="24"/>
                <w:lang w:val="en-US" w:eastAsia="zh-CN"/>
              </w:rPr>
              <w:t xml:space="preserve">  </w:t>
            </w:r>
            <w:r>
              <w:rPr>
                <w:rFonts w:hint="default" w:ascii="Times New Roman" w:hAnsi="Times New Roman" w:eastAsia="宋体" w:cs="Times New Roman"/>
                <w:b/>
                <w:bCs/>
                <w:color w:val="0000FF"/>
                <w:sz w:val="24"/>
                <w:szCs w:val="24"/>
              </w:rPr>
              <w:t>单位：m</w:t>
            </w:r>
            <w:r>
              <w:rPr>
                <w:rFonts w:hint="default" w:ascii="Times New Roman" w:hAnsi="Times New Roman" w:eastAsia="宋体" w:cs="Times New Roman"/>
                <w:b/>
                <w:bCs/>
                <w:color w:val="0000FF"/>
                <w:sz w:val="24"/>
                <w:szCs w:val="24"/>
                <w:vertAlign w:val="superscript"/>
              </w:rPr>
              <w:t>3</w:t>
            </w:r>
            <w:r>
              <w:rPr>
                <w:rFonts w:hint="default" w:ascii="Times New Roman" w:hAnsi="Times New Roman" w:eastAsia="宋体" w:cs="Times New Roman"/>
                <w:b/>
                <w:bCs/>
                <w:color w:val="0000FF"/>
                <w:sz w:val="24"/>
                <w:szCs w:val="24"/>
              </w:rPr>
              <w:t>/d</w:t>
            </w:r>
          </w:p>
          <w:p w14:paraId="697CF0A2">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.2供电</w:t>
            </w:r>
          </w:p>
          <w:p w14:paraId="64D8B503">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lang w:eastAsia="zh-CN"/>
              </w:rPr>
              <w:t>本项目供电由巴彦淖尔市乌拉特中旗甘其毛都口岸加工园区供电电网供给，用电量为</w:t>
            </w:r>
            <w:r>
              <w:rPr>
                <w:rFonts w:hint="default" w:ascii="Times New Roman" w:hAnsi="Times New Roman" w:eastAsia="宋体" w:cs="Times New Roman"/>
                <w:color w:val="auto"/>
                <w:sz w:val="24"/>
                <w:szCs w:val="24"/>
                <w:lang w:val="en-US" w:eastAsia="zh-CN"/>
              </w:rPr>
              <w:t>1.9</w:t>
            </w:r>
            <w:r>
              <w:rPr>
                <w:rFonts w:hint="default" w:ascii="Times New Roman" w:hAnsi="Times New Roman" w:eastAsia="宋体" w:cs="Times New Roman"/>
                <w:color w:val="auto"/>
                <w:sz w:val="24"/>
                <w:szCs w:val="24"/>
                <w:lang w:eastAsia="zh-CN"/>
              </w:rPr>
              <w:t>×10</w:t>
            </w:r>
            <w:r>
              <w:rPr>
                <w:rFonts w:hint="default" w:ascii="Times New Roman" w:hAnsi="Times New Roman" w:eastAsia="宋体" w:cs="Times New Roman"/>
                <w:color w:val="auto"/>
                <w:sz w:val="24"/>
                <w:szCs w:val="24"/>
                <w:vertAlign w:val="superscript"/>
                <w:lang w:val="en-US" w:eastAsia="zh-CN"/>
              </w:rPr>
              <w:t>4</w:t>
            </w:r>
            <w:r>
              <w:rPr>
                <w:rFonts w:hint="default" w:ascii="Times New Roman" w:hAnsi="Times New Roman" w:eastAsia="宋体" w:cs="Times New Roman"/>
                <w:color w:val="auto"/>
                <w:sz w:val="24"/>
                <w:szCs w:val="24"/>
                <w:lang w:eastAsia="zh-CN"/>
              </w:rPr>
              <w:t>kw·h/a</w:t>
            </w:r>
            <w:r>
              <w:rPr>
                <w:rFonts w:hint="default" w:ascii="Times New Roman" w:hAnsi="Times New Roman" w:eastAsia="宋体" w:cs="Times New Roman"/>
                <w:color w:val="auto"/>
                <w:sz w:val="24"/>
                <w:szCs w:val="24"/>
              </w:rPr>
              <w:t>。</w:t>
            </w:r>
          </w:p>
          <w:p w14:paraId="743052D2">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3供暖</w:t>
            </w:r>
          </w:p>
          <w:p w14:paraId="42E9305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冬季办公楼供暖由电暖气供给。</w:t>
            </w:r>
          </w:p>
          <w:p w14:paraId="1B9C9471">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24"/>
                <w:lang w:val="en-US"/>
              </w:rPr>
            </w:pPr>
            <w:r>
              <w:rPr>
                <w:rFonts w:hint="default" w:ascii="Times New Roman" w:hAnsi="Times New Roman" w:eastAsia="宋体" w:cs="Times New Roman"/>
                <w:b/>
                <w:bCs/>
                <w:color w:val="auto"/>
                <w:sz w:val="24"/>
                <w:szCs w:val="24"/>
                <w:lang w:val="en-US" w:eastAsia="zh-CN"/>
              </w:rPr>
              <w:t>7.4消防</w:t>
            </w:r>
          </w:p>
          <w:p w14:paraId="7FF7E5E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项目严格按照《建筑设计防火规范（2018年版）》（GB20016-2014）、《建筑灭火器配置设计规范》（GB50140-2005）、《建筑防火通用规范》（GB55037-2022）等相关消防规范设置室外</w:t>
            </w:r>
            <w:r>
              <w:rPr>
                <w:rFonts w:hint="default" w:ascii="Times New Roman" w:hAnsi="Times New Roman" w:eastAsia="宋体" w:cs="Times New Roman"/>
                <w:color w:val="0000FF"/>
                <w:sz w:val="24"/>
                <w:szCs w:val="24"/>
                <w:lang w:val="en-US" w:eastAsia="zh-CN"/>
              </w:rPr>
              <w:t>消防水池</w:t>
            </w:r>
            <w:r>
              <w:rPr>
                <w:rFonts w:hint="default" w:ascii="Times New Roman" w:hAnsi="Times New Roman" w:eastAsia="宋体" w:cs="Times New Roman"/>
                <w:color w:val="auto"/>
                <w:sz w:val="24"/>
                <w:szCs w:val="24"/>
                <w:lang w:val="en-US" w:eastAsia="zh-CN"/>
              </w:rPr>
              <w:t>、消防栓系统、手提灭火器等防火设施。</w:t>
            </w:r>
          </w:p>
          <w:p w14:paraId="2C19738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outlineLvl w:val="9"/>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8、厂区平面布置</w:t>
            </w:r>
          </w:p>
          <w:p w14:paraId="6ED99E0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项目厂区布置按照《建筑设计防火规范》（GB50016-2014）、《氧气站设计规范》（GB50030-2013）等相关规范要求设置。</w:t>
            </w:r>
          </w:p>
          <w:p w14:paraId="0E9D9AB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outlineLvl w:val="9"/>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color w:val="auto"/>
                <w:sz w:val="24"/>
                <w:szCs w:val="24"/>
                <w:highlight w:val="none"/>
                <w:lang w:val="en-US" w:eastAsia="zh-CN"/>
              </w:rPr>
              <w:t>项目出入口位于厂区东面中部，紧邻道路，方便车辆运输以及业务往来；项目原料储存位于相应储槽内，罐区位于充装车间旁；厂房内部按照生产工序进行布置，合理设置分区，生产、生活等设施应集中设置、综合利用。总体来说，项目厂区严格按照“原料—生产线—产品”的流向布置，既满足物料加工的工艺流程，又满足成品进出以及水、电、道路等方面的要求，各功能区分区明确，布局合理。项目厂区平面布置图详见附图3。</w:t>
            </w:r>
          </w:p>
        </w:tc>
      </w:tr>
      <w:tr w14:paraId="20B35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7" w:type="dxa"/>
            <w:vAlign w:val="center"/>
          </w:tcPr>
          <w:p w14:paraId="36FD573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工艺流程和产排污环节</w:t>
            </w:r>
          </w:p>
        </w:tc>
        <w:tc>
          <w:tcPr>
            <w:tcW w:w="8424" w:type="dxa"/>
            <w:vAlign w:val="center"/>
          </w:tcPr>
          <w:p w14:paraId="4B7B632A">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工艺流程简述：</w:t>
            </w:r>
          </w:p>
          <w:p w14:paraId="5C649AED">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一、施工期</w:t>
            </w:r>
          </w:p>
          <w:p w14:paraId="7F235A92">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本项目施工流程包括场地平整、建筑施工、地面硬化及道路建设、设备安装及装修、绿化等，施工期主要工艺过程及产污环节见图2-</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w:t>
            </w:r>
          </w:p>
          <w:p w14:paraId="17BD1C86">
            <w:pPr>
              <w:keepNext w:val="0"/>
              <w:keepLines w:val="0"/>
              <w:pageBreakBefore w:val="0"/>
              <w:widowControl/>
              <w:kinsoku/>
              <w:wordWrap/>
              <w:overflowPunct/>
              <w:topLinePunct w:val="0"/>
              <w:bidi w:val="0"/>
              <w:spacing w:beforeAutospacing="0" w:afterAutospacing="0" w:line="360" w:lineRule="auto"/>
              <w:ind w:right="0" w:right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rPr>
              <w:drawing>
                <wp:inline distT="0" distB="0" distL="114300" distR="114300">
                  <wp:extent cx="5039995" cy="2277110"/>
                  <wp:effectExtent l="0" t="0" r="8255" b="889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11"/>
                          <a:stretch>
                            <a:fillRect/>
                          </a:stretch>
                        </pic:blipFill>
                        <pic:spPr>
                          <a:xfrm>
                            <a:off x="0" y="0"/>
                            <a:ext cx="5039995" cy="2277110"/>
                          </a:xfrm>
                          <a:prstGeom prst="rect">
                            <a:avLst/>
                          </a:prstGeom>
                          <a:noFill/>
                          <a:ln>
                            <a:noFill/>
                          </a:ln>
                        </pic:spPr>
                      </pic:pic>
                    </a:graphicData>
                  </a:graphic>
                </wp:inline>
              </w:drawing>
            </w:r>
          </w:p>
          <w:p w14:paraId="09820A0F">
            <w:pPr>
              <w:keepNext w:val="0"/>
              <w:keepLines w:val="0"/>
              <w:pageBreakBefore w:val="0"/>
              <w:widowControl/>
              <w:kinsoku/>
              <w:wordWrap/>
              <w:overflowPunct/>
              <w:topLinePunct w:val="0"/>
              <w:bidi w:val="0"/>
              <w:spacing w:beforeAutospacing="0" w:afterAutospacing="0" w:line="360" w:lineRule="auto"/>
              <w:ind w:right="0" w:rightChars="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图2-2  施工流程及产污节点图</w:t>
            </w:r>
          </w:p>
          <w:p w14:paraId="0A53656A">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施工期工艺流程简述：</w:t>
            </w:r>
          </w:p>
          <w:p w14:paraId="7291D987">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①场地整理：项目用地目前为</w:t>
            </w:r>
            <w:r>
              <w:rPr>
                <w:rFonts w:hint="default" w:ascii="Times New Roman" w:hAnsi="Times New Roman" w:eastAsia="宋体" w:cs="Times New Roman"/>
                <w:b w:val="0"/>
                <w:bCs w:val="0"/>
                <w:color w:val="auto"/>
                <w:sz w:val="24"/>
                <w:szCs w:val="24"/>
                <w:lang w:val="en-US" w:eastAsia="zh-CN"/>
              </w:rPr>
              <w:t>空</w:t>
            </w:r>
            <w:r>
              <w:rPr>
                <w:rFonts w:hint="default" w:ascii="Times New Roman" w:hAnsi="Times New Roman" w:eastAsia="宋体" w:cs="Times New Roman"/>
                <w:b w:val="0"/>
                <w:bCs w:val="0"/>
                <w:color w:val="auto"/>
                <w:sz w:val="24"/>
                <w:szCs w:val="24"/>
              </w:rPr>
              <w:t>地，其上主要为杂草，项目用地为工业用地，已进行平整，不需高填低挖；根据设计方案需对项目场地进行整理，土地平整过程中会产生扬尘、噪声、水土流失、植物废弃物等污染物；</w:t>
            </w:r>
          </w:p>
          <w:p w14:paraId="5337BA88">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②建筑施工：本项目需建设地上构建筑物，以及挖掘地下室、地下水池等地下等辅助设施；该过程会产生扬尘、噪声、水土流失、建筑垃圾等污染物；各地下设施开挖产生土方平铺于厂区内，不产生弃方；</w:t>
            </w:r>
          </w:p>
          <w:p w14:paraId="4B548057">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③地面硬化：道路、停车坪等处需进行硬化；道路建设配套建设雨水收集管网、污水收集管网，该过程会产生噪声、混凝土地面养护废水；</w:t>
            </w:r>
          </w:p>
          <w:p w14:paraId="039654ED">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④设备安装及室内装修：生产设备进厂安装调试，必要时补漆；构筑物进行内外部装修装饰，该过程会产生噪声、装修废气、建筑垃圾等；</w:t>
            </w:r>
          </w:p>
          <w:p w14:paraId="1818E7E8">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⑤绿化：在构筑物与道路、道路与围墙及远期预留用地上建设绿化带。</w:t>
            </w:r>
          </w:p>
          <w:p w14:paraId="6827CA61">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bCs/>
                <w:color w:val="auto"/>
                <w:sz w:val="24"/>
                <w:szCs w:val="24"/>
              </w:rPr>
              <w:t>二、营运期</w:t>
            </w:r>
          </w:p>
          <w:p w14:paraId="254103BB">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项目营运期充装气体</w:t>
            </w:r>
            <w:r>
              <w:rPr>
                <w:rFonts w:hint="default" w:ascii="Times New Roman" w:hAnsi="Times New Roman" w:eastAsia="宋体" w:cs="Times New Roman"/>
                <w:b w:val="0"/>
                <w:bCs w:val="0"/>
                <w:color w:val="auto"/>
                <w:sz w:val="24"/>
                <w:szCs w:val="24"/>
                <w:lang w:val="en-US" w:eastAsia="zh-CN"/>
              </w:rPr>
              <w:t>主要</w:t>
            </w:r>
            <w:r>
              <w:rPr>
                <w:rFonts w:hint="default" w:ascii="Times New Roman" w:hAnsi="Times New Roman" w:eastAsia="宋体" w:cs="Times New Roman"/>
                <w:b w:val="0"/>
                <w:bCs w:val="0"/>
                <w:color w:val="auto"/>
                <w:sz w:val="24"/>
                <w:szCs w:val="24"/>
              </w:rPr>
              <w:t>为氧气、氮气、氩气、二氧化碳</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混合气、七氟丙烷</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消防气、标准气、</w:t>
            </w:r>
            <w:r>
              <w:rPr>
                <w:rFonts w:hint="default" w:ascii="Times New Roman" w:hAnsi="Times New Roman" w:eastAsia="宋体" w:cs="Times New Roman"/>
                <w:b w:val="0"/>
                <w:bCs w:val="0"/>
                <w:color w:val="auto"/>
                <w:sz w:val="24"/>
                <w:szCs w:val="24"/>
                <w:lang w:eastAsia="zh-CN"/>
              </w:rPr>
              <w:t>丙烷</w:t>
            </w:r>
            <w:r>
              <w:rPr>
                <w:rFonts w:hint="default" w:ascii="Times New Roman" w:hAnsi="Times New Roman" w:eastAsia="宋体" w:cs="Times New Roman"/>
                <w:b w:val="0"/>
                <w:bCs w:val="0"/>
                <w:color w:val="auto"/>
                <w:sz w:val="24"/>
                <w:szCs w:val="24"/>
                <w:lang w:val="en-US" w:eastAsia="zh-CN"/>
              </w:rPr>
              <w:t>等。</w:t>
            </w:r>
          </w:p>
          <w:p w14:paraId="73A1908A">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氧气、氮气、氩气</w:t>
            </w:r>
            <w:r>
              <w:rPr>
                <w:rFonts w:hint="default" w:ascii="Times New Roman" w:hAnsi="Times New Roman" w:eastAsia="宋体" w:cs="Times New Roman"/>
                <w:b/>
                <w:bCs/>
                <w:color w:val="auto"/>
                <w:sz w:val="24"/>
                <w:szCs w:val="24"/>
                <w:lang w:val="en-US" w:eastAsia="zh-CN"/>
              </w:rPr>
              <w:t>等气态工业气体充装工艺流程简述：</w:t>
            </w:r>
          </w:p>
          <w:p w14:paraId="79CBDF59">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val="en-US"/>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低温液体</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贮存工业气体：此环节是从上游空分厂家生产的合格液态工业气体</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液氧、液氩或液氮</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通过专业低温槽车运输至厂内，利用增压器增大低温槽车槽罐的压力，同时减小厂内低温</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的压力，使得液氧、液氩或液氮等液态气体卸车自动输送至各低温</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中，储存于低温液体</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中。</w:t>
            </w:r>
            <w:r>
              <w:rPr>
                <w:rFonts w:hint="default" w:ascii="Times New Roman" w:hAnsi="Times New Roman" w:eastAsia="宋体" w:cs="Times New Roman"/>
                <w:b w:val="0"/>
                <w:bCs w:val="0"/>
                <w:color w:val="0000FF"/>
                <w:sz w:val="24"/>
                <w:szCs w:val="24"/>
              </w:rPr>
              <w:t>低温液体</w:t>
            </w:r>
            <w:r>
              <w:rPr>
                <w:rFonts w:hint="default" w:ascii="Times New Roman" w:hAnsi="Times New Roman" w:eastAsia="宋体" w:cs="Times New Roman"/>
                <w:b w:val="0"/>
                <w:bCs w:val="0"/>
                <w:color w:val="0000FF"/>
                <w:sz w:val="24"/>
                <w:szCs w:val="24"/>
                <w:lang w:eastAsia="zh-CN"/>
              </w:rPr>
              <w:t>储槽</w:t>
            </w:r>
            <w:r>
              <w:rPr>
                <w:rFonts w:hint="default" w:ascii="Times New Roman" w:hAnsi="Times New Roman" w:eastAsia="宋体" w:cs="Times New Roman"/>
                <w:b w:val="0"/>
                <w:bCs w:val="0"/>
                <w:color w:val="0000FF"/>
                <w:sz w:val="24"/>
                <w:szCs w:val="24"/>
                <w:lang w:val="en-US" w:eastAsia="zh-CN"/>
              </w:rPr>
              <w:t>分区储存。</w:t>
            </w:r>
          </w:p>
          <w:p w14:paraId="45FB1F19">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）充装前检查：充装前对气瓶外观、阀座等进行检查检验，合格的气瓶运至充装车间各个充装区进行充装，检验不合格的</w:t>
            </w:r>
            <w:r>
              <w:rPr>
                <w:rFonts w:hint="default" w:ascii="Times New Roman" w:hAnsi="Times New Roman" w:eastAsia="宋体" w:cs="Times New Roman"/>
                <w:b w:val="0"/>
                <w:bCs w:val="0"/>
                <w:color w:val="auto"/>
                <w:sz w:val="24"/>
                <w:szCs w:val="24"/>
                <w:lang w:eastAsia="zh-CN"/>
              </w:rPr>
              <w:t>废气瓶</w:t>
            </w:r>
            <w:r>
              <w:rPr>
                <w:rFonts w:hint="default" w:ascii="Times New Roman" w:hAnsi="Times New Roman" w:eastAsia="宋体" w:cs="Times New Roman"/>
                <w:b w:val="0"/>
                <w:bCs w:val="0"/>
                <w:color w:val="auto"/>
                <w:sz w:val="24"/>
                <w:szCs w:val="24"/>
              </w:rPr>
              <w:t>或</w:t>
            </w:r>
            <w:r>
              <w:rPr>
                <w:rFonts w:hint="default" w:ascii="Times New Roman" w:hAnsi="Times New Roman" w:eastAsia="宋体" w:cs="Times New Roman"/>
                <w:b w:val="0"/>
                <w:bCs w:val="0"/>
                <w:color w:val="auto"/>
                <w:sz w:val="24"/>
                <w:szCs w:val="24"/>
                <w:lang w:eastAsia="zh-CN"/>
              </w:rPr>
              <w:t>废配件</w:t>
            </w:r>
            <w:r>
              <w:rPr>
                <w:rFonts w:hint="default" w:ascii="Times New Roman" w:hAnsi="Times New Roman" w:eastAsia="宋体" w:cs="Times New Roman"/>
                <w:b w:val="0"/>
                <w:bCs w:val="0"/>
                <w:color w:val="auto"/>
                <w:sz w:val="24"/>
                <w:szCs w:val="24"/>
              </w:rPr>
              <w:t>返回厂家。</w:t>
            </w:r>
          </w:p>
          <w:p w14:paraId="7748940F">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rPr>
              <w:t>）气瓶充装：被加压的低温液体送入</w:t>
            </w:r>
            <w:r>
              <w:rPr>
                <w:rFonts w:hint="default" w:ascii="Times New Roman" w:hAnsi="Times New Roman" w:eastAsia="宋体" w:cs="Times New Roman"/>
                <w:b w:val="0"/>
                <w:bCs w:val="0"/>
                <w:color w:val="auto"/>
                <w:sz w:val="24"/>
                <w:szCs w:val="24"/>
                <w:lang w:eastAsia="zh-CN"/>
              </w:rPr>
              <w:t>高压汽化器</w:t>
            </w:r>
            <w:r>
              <w:rPr>
                <w:rFonts w:hint="default" w:ascii="Times New Roman" w:hAnsi="Times New Roman" w:eastAsia="宋体" w:cs="Times New Roman"/>
                <w:b w:val="0"/>
                <w:bCs w:val="0"/>
                <w:color w:val="auto"/>
                <w:sz w:val="24"/>
                <w:szCs w:val="24"/>
              </w:rPr>
              <w:t>，由自然空气提供热量，使低温液体汽化为气态</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成为常温气体，然后通过汇流排充入钢瓶中。开始充装作业时，逐个打开瓶阀与支路阀，打开泵进液阀、预冷阀、回气阀进行泵预冷，当预冷阀出口管余气排净并出现满管液体开始充装作业；气瓶充装达到既定压力后，逐步关闭该组进气阀并微开另一组进气阀，直至全关该组进气阀，逐个关闭瓶阀和支路阀卸下气瓶，关闭泵的进液阀、回气阀，打开预冷阀泄压，确认预冷阀出口管无液体和气体时，关闭预冷阀，充装结束。整个充装过程密闭性较强，但预冷放空排气、充装完成后与充装口之间管道残余的少量气体时会发生逸散，逸散气体以短时、瞬时形式排放，氧气、氮气、氩气等均属于自然空气组分，</w:t>
            </w:r>
            <w:r>
              <w:rPr>
                <w:rFonts w:hint="default" w:ascii="Times New Roman" w:hAnsi="Times New Roman" w:eastAsia="宋体" w:cs="Times New Roman"/>
                <w:b w:val="0"/>
                <w:bCs w:val="0"/>
                <w:color w:val="auto"/>
                <w:sz w:val="24"/>
                <w:szCs w:val="24"/>
                <w:lang w:val="en-US" w:eastAsia="zh-CN"/>
              </w:rPr>
              <w:t>无有毒有害成分，不属于废气污染物，</w:t>
            </w:r>
            <w:r>
              <w:rPr>
                <w:rFonts w:hint="default" w:ascii="Times New Roman" w:hAnsi="Times New Roman" w:eastAsia="宋体" w:cs="Times New Roman"/>
                <w:b w:val="0"/>
                <w:bCs w:val="0"/>
                <w:color w:val="auto"/>
                <w:sz w:val="24"/>
                <w:szCs w:val="24"/>
              </w:rPr>
              <w:t>对周围环境影响较小。</w:t>
            </w:r>
          </w:p>
          <w:p w14:paraId="52EF47B5">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rPr>
              <w:t>）复检外售：将待检满瓶静置1小时后，抽样检验。经分析仪器设备对气瓶重量及密闭性进行检查，发现气瓶重量不足等情况及时进行补充。若无质量问题则判定该批产品合格，贴上合格证。</w:t>
            </w:r>
          </w:p>
          <w:p w14:paraId="3CE08827">
            <w:pPr>
              <w:keepNext w:val="0"/>
              <w:keepLines w:val="0"/>
              <w:pageBreakBefore w:val="0"/>
              <w:widowControl/>
              <w:kinsoku/>
              <w:wordWrap/>
              <w:overflowPunct/>
              <w:topLinePunct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26" o:spt="75" type="#_x0000_t75" style="height:357.15pt;width:265.7pt;" o:ole="t" filled="f" o:preferrelative="t" stroked="f" coordsize="21600,21600">
                  <v:path/>
                  <v:fill on="f" focussize="0,0"/>
                  <v:stroke on="f"/>
                  <v:imagedata r:id="rId13" o:title=""/>
                  <o:lock v:ext="edit" aspectratio="t"/>
                  <w10:wrap type="none"/>
                  <w10:anchorlock/>
                </v:shape>
                <o:OLEObject Type="Embed" ProgID="Visio.Drawing.11" ShapeID="_x0000_i1026" DrawAspect="Content" ObjectID="_1468075726" r:id="rId12">
                  <o:LockedField>false</o:LockedField>
                </o:OLEObject>
              </w:object>
            </w:r>
          </w:p>
          <w:p w14:paraId="5E0C5840">
            <w:pPr>
              <w:pStyle w:val="41"/>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图2</w:t>
            </w:r>
            <w:r>
              <w:rPr>
                <w:rFonts w:hint="default" w:ascii="Times New Roman" w:hAnsi="Times New Roman" w:eastAsia="宋体" w:cs="Times New Roman"/>
                <w:b/>
                <w:bCs w:val="0"/>
                <w:color w:val="auto"/>
                <w:sz w:val="24"/>
                <w:szCs w:val="24"/>
                <w:lang w:val="en-US" w:eastAsia="zh-CN"/>
              </w:rPr>
              <w:t>-3</w:t>
            </w:r>
            <w:r>
              <w:rPr>
                <w:rFonts w:hint="default" w:ascii="Times New Roman" w:hAnsi="Times New Roman" w:eastAsia="宋体" w:cs="Times New Roman"/>
                <w:b/>
                <w:bCs w:val="0"/>
                <w:color w:val="auto"/>
                <w:sz w:val="24"/>
                <w:szCs w:val="24"/>
                <w:lang w:eastAsia="zh-CN"/>
              </w:rPr>
              <w:t xml:space="preserve">   </w:t>
            </w:r>
            <w:r>
              <w:rPr>
                <w:rFonts w:hint="default" w:ascii="Times New Roman" w:hAnsi="Times New Roman" w:eastAsia="宋体" w:cs="Times New Roman"/>
                <w:b/>
                <w:bCs w:val="0"/>
                <w:color w:val="auto"/>
                <w:sz w:val="24"/>
                <w:szCs w:val="24"/>
                <w:lang w:val="en-US" w:eastAsia="zh-CN"/>
              </w:rPr>
              <w:t>气态</w:t>
            </w:r>
            <w:r>
              <w:rPr>
                <w:rFonts w:hint="default" w:ascii="Times New Roman" w:hAnsi="Times New Roman" w:eastAsia="宋体" w:cs="Times New Roman"/>
                <w:b/>
                <w:bCs w:val="0"/>
                <w:color w:val="auto"/>
                <w:sz w:val="24"/>
                <w:szCs w:val="24"/>
                <w:lang w:eastAsia="zh-CN"/>
              </w:rPr>
              <w:t>工业</w:t>
            </w:r>
            <w:r>
              <w:rPr>
                <w:rFonts w:hint="default" w:ascii="Times New Roman" w:hAnsi="Times New Roman" w:eastAsia="宋体" w:cs="Times New Roman"/>
                <w:b/>
                <w:bCs w:val="0"/>
                <w:color w:val="auto"/>
                <w:sz w:val="24"/>
                <w:szCs w:val="24"/>
                <w:lang w:val="en-US" w:eastAsia="zh-CN"/>
              </w:rPr>
              <w:t>气体</w:t>
            </w:r>
            <w:r>
              <w:rPr>
                <w:rFonts w:hint="default" w:ascii="Times New Roman" w:hAnsi="Times New Roman" w:eastAsia="宋体" w:cs="Times New Roman"/>
                <w:b/>
                <w:bCs w:val="0"/>
                <w:color w:val="auto"/>
                <w:sz w:val="24"/>
                <w:szCs w:val="24"/>
                <w:lang w:eastAsia="zh-CN"/>
              </w:rPr>
              <w:t>充装工艺流程简图</w:t>
            </w:r>
          </w:p>
          <w:p w14:paraId="36F5D8AF">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2、液</w:t>
            </w:r>
            <w:r>
              <w:rPr>
                <w:rFonts w:hint="default" w:ascii="Times New Roman" w:hAnsi="Times New Roman" w:eastAsia="宋体" w:cs="Times New Roman"/>
                <w:b/>
                <w:bCs/>
                <w:color w:val="auto"/>
                <w:sz w:val="24"/>
                <w:szCs w:val="24"/>
              </w:rPr>
              <w:t>氧、</w:t>
            </w:r>
            <w:r>
              <w:rPr>
                <w:rFonts w:hint="default" w:ascii="Times New Roman" w:hAnsi="Times New Roman" w:eastAsia="宋体" w:cs="Times New Roman"/>
                <w:b/>
                <w:bCs/>
                <w:color w:val="auto"/>
                <w:sz w:val="24"/>
                <w:szCs w:val="24"/>
                <w:lang w:val="en-US" w:eastAsia="zh-CN"/>
              </w:rPr>
              <w:t>液</w:t>
            </w:r>
            <w:r>
              <w:rPr>
                <w:rFonts w:hint="default" w:ascii="Times New Roman" w:hAnsi="Times New Roman" w:eastAsia="宋体" w:cs="Times New Roman"/>
                <w:b/>
                <w:bCs/>
                <w:color w:val="auto"/>
                <w:sz w:val="24"/>
                <w:szCs w:val="24"/>
              </w:rPr>
              <w:t>氮、</w:t>
            </w:r>
            <w:r>
              <w:rPr>
                <w:rFonts w:hint="default" w:ascii="Times New Roman" w:hAnsi="Times New Roman" w:eastAsia="宋体" w:cs="Times New Roman"/>
                <w:b/>
                <w:bCs/>
                <w:color w:val="auto"/>
                <w:sz w:val="24"/>
                <w:szCs w:val="24"/>
                <w:lang w:val="en-US" w:eastAsia="zh-CN"/>
              </w:rPr>
              <w:t>液</w:t>
            </w:r>
            <w:r>
              <w:rPr>
                <w:rFonts w:hint="default" w:ascii="Times New Roman" w:hAnsi="Times New Roman" w:eastAsia="宋体" w:cs="Times New Roman"/>
                <w:b/>
                <w:bCs/>
                <w:color w:val="auto"/>
                <w:sz w:val="24"/>
                <w:szCs w:val="24"/>
              </w:rPr>
              <w:t>氩</w:t>
            </w:r>
            <w:r>
              <w:rPr>
                <w:rFonts w:hint="default" w:ascii="Times New Roman" w:hAnsi="Times New Roman" w:eastAsia="宋体" w:cs="Times New Roman"/>
                <w:b/>
                <w:bCs/>
                <w:color w:val="auto"/>
                <w:sz w:val="24"/>
                <w:szCs w:val="24"/>
                <w:lang w:val="en-US" w:eastAsia="zh-CN"/>
              </w:rPr>
              <w:t>等液态工业气体充装工艺流程简述：</w:t>
            </w:r>
          </w:p>
          <w:p w14:paraId="061881B2">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eastAsia="zh-CN"/>
              </w:rPr>
              <w:t>充装前设备检查</w:t>
            </w:r>
          </w:p>
          <w:p w14:paraId="281EE25E">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充装前确认低温泵、汽化器、充装卡具、阀门和管道系统完好，压力液和安全阀状态正常、灵敏可靠。</w:t>
            </w:r>
          </w:p>
          <w:p w14:paraId="2B3AF4F4">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eastAsia="zh-CN"/>
              </w:rPr>
              <w:t>充装</w:t>
            </w:r>
          </w:p>
          <w:p w14:paraId="317B4815">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先将经检验合格的钢瓶（充装前的气瓶检验依托有资质的第三方进行检验，存在问题的气瓶存放在气瓶检修车间，定期运至有资质的第三方进行检验）与充装汇流排的入气口用卡具连接，打开瓶阀；开启低温液体循环泵，低温液体通过加压泵送至充装区的汇流排，通过汇流排阀门向钢瓶内计量充装，在充装过程中采集当前温度并实时计算当前温度下当前充装气体的目标压力，直到充装到最终的目标压力后，停止充装，严禁超装，操作人员关闭瓶阀和低温液体泵，取下钢瓶，对软管进行放空。充装好的钢瓶进行成品检验。此工序</w:t>
            </w:r>
            <w:r>
              <w:rPr>
                <w:rFonts w:hint="default" w:ascii="Times New Roman" w:hAnsi="Times New Roman" w:eastAsia="宋体" w:cs="Times New Roman"/>
                <w:b w:val="0"/>
                <w:bCs w:val="0"/>
                <w:color w:val="auto"/>
                <w:sz w:val="24"/>
                <w:szCs w:val="24"/>
                <w:lang w:val="en-US" w:eastAsia="zh-CN"/>
              </w:rPr>
              <w:t>产生</w:t>
            </w:r>
            <w:r>
              <w:rPr>
                <w:rFonts w:hint="default" w:ascii="Times New Roman" w:hAnsi="Times New Roman" w:eastAsia="宋体" w:cs="Times New Roman"/>
                <w:b w:val="0"/>
                <w:bCs w:val="0"/>
                <w:color w:val="auto"/>
                <w:sz w:val="24"/>
                <w:szCs w:val="24"/>
              </w:rPr>
              <w:t>氧气、氮气、氩气等均属于自然空气组分，</w:t>
            </w:r>
            <w:r>
              <w:rPr>
                <w:rFonts w:hint="default" w:ascii="Times New Roman" w:hAnsi="Times New Roman" w:eastAsia="宋体" w:cs="Times New Roman"/>
                <w:b w:val="0"/>
                <w:bCs w:val="0"/>
                <w:color w:val="auto"/>
                <w:sz w:val="24"/>
                <w:szCs w:val="24"/>
                <w:lang w:val="en-US" w:eastAsia="zh-CN"/>
              </w:rPr>
              <w:t>无有毒有害成分，不属于废气污染物，</w:t>
            </w:r>
            <w:r>
              <w:rPr>
                <w:rFonts w:hint="default" w:ascii="Times New Roman" w:hAnsi="Times New Roman" w:eastAsia="宋体" w:cs="Times New Roman"/>
                <w:b w:val="0"/>
                <w:bCs w:val="0"/>
                <w:color w:val="auto"/>
                <w:sz w:val="24"/>
                <w:szCs w:val="24"/>
              </w:rPr>
              <w:t>对周围环境影响较小。</w:t>
            </w:r>
          </w:p>
          <w:p w14:paraId="74688A6E">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eastAsia="zh-CN"/>
              </w:rPr>
              <w:t>充装后成品检验：</w:t>
            </w:r>
          </w:p>
          <w:p w14:paraId="1B30EA81">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气瓶充装后再次逐只检查，检查瓶阀瓶体有无异常，瓶阀及其瓶口连接密封性是否良好，瓶内压力是否在规定范围内等，并做好记录，检查合格后方可登记装车。不合格的排气复检。</w:t>
            </w:r>
          </w:p>
          <w:p w14:paraId="29536EE4">
            <w:pPr>
              <w:keepNext w:val="0"/>
              <w:keepLines w:val="0"/>
              <w:pageBreakBefore w:val="0"/>
              <w:widowControl/>
              <w:kinsoku/>
              <w:wordWrap/>
              <w:overflowPunct/>
              <w:topLinePunct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27" o:spt="75" type="#_x0000_t75" style="height:306pt;width:265.7pt;" o:ole="t" filled="f" o:preferrelative="t" stroked="f" coordsize="21600,21600">
                  <v:path/>
                  <v:fill on="f" focussize="0,0"/>
                  <v:stroke on="f"/>
                  <v:imagedata r:id="rId15" o:title=""/>
                  <o:lock v:ext="edit" aspectratio="t"/>
                  <w10:wrap type="none"/>
                  <w10:anchorlock/>
                </v:shape>
                <o:OLEObject Type="Embed" ProgID="Visio.Drawing.11" ShapeID="_x0000_i1027" DrawAspect="Content" ObjectID="_1468075727" r:id="rId14">
                  <o:LockedField>false</o:LockedField>
                </o:OLEObject>
              </w:object>
            </w:r>
          </w:p>
          <w:p w14:paraId="60ECB0D7">
            <w:pPr>
              <w:pStyle w:val="41"/>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图2</w:t>
            </w:r>
            <w:r>
              <w:rPr>
                <w:rFonts w:hint="default" w:ascii="Times New Roman" w:hAnsi="Times New Roman" w:eastAsia="宋体" w:cs="Times New Roman"/>
                <w:b/>
                <w:bCs w:val="0"/>
                <w:color w:val="auto"/>
                <w:sz w:val="24"/>
                <w:szCs w:val="24"/>
                <w:lang w:val="en-US" w:eastAsia="zh-CN"/>
              </w:rPr>
              <w:t xml:space="preserve">-4 </w:t>
            </w:r>
            <w:r>
              <w:rPr>
                <w:rFonts w:hint="default" w:ascii="Times New Roman" w:hAnsi="Times New Roman" w:eastAsia="宋体" w:cs="Times New Roman"/>
                <w:b/>
                <w:bCs w:val="0"/>
                <w:color w:val="auto"/>
                <w:sz w:val="24"/>
                <w:szCs w:val="24"/>
                <w:lang w:eastAsia="zh-CN"/>
              </w:rPr>
              <w:t xml:space="preserve">  </w:t>
            </w:r>
            <w:r>
              <w:rPr>
                <w:rFonts w:hint="default" w:ascii="Times New Roman" w:hAnsi="Times New Roman" w:eastAsia="宋体" w:cs="Times New Roman"/>
                <w:b/>
                <w:bCs w:val="0"/>
                <w:color w:val="auto"/>
                <w:sz w:val="24"/>
                <w:szCs w:val="24"/>
                <w:lang w:val="en-US" w:eastAsia="zh-CN"/>
              </w:rPr>
              <w:t>液态</w:t>
            </w:r>
            <w:r>
              <w:rPr>
                <w:rFonts w:hint="default" w:ascii="Times New Roman" w:hAnsi="Times New Roman" w:eastAsia="宋体" w:cs="Times New Roman"/>
                <w:b/>
                <w:bCs w:val="0"/>
                <w:color w:val="auto"/>
                <w:sz w:val="24"/>
                <w:szCs w:val="24"/>
                <w:lang w:eastAsia="zh-CN"/>
              </w:rPr>
              <w:t>工业</w:t>
            </w:r>
            <w:r>
              <w:rPr>
                <w:rFonts w:hint="default" w:ascii="Times New Roman" w:hAnsi="Times New Roman" w:eastAsia="宋体" w:cs="Times New Roman"/>
                <w:b/>
                <w:bCs w:val="0"/>
                <w:color w:val="auto"/>
                <w:sz w:val="24"/>
                <w:szCs w:val="24"/>
                <w:lang w:val="en-US" w:eastAsia="zh-CN"/>
              </w:rPr>
              <w:t>气体</w:t>
            </w:r>
            <w:r>
              <w:rPr>
                <w:rFonts w:hint="default" w:ascii="Times New Roman" w:hAnsi="Times New Roman" w:eastAsia="宋体" w:cs="Times New Roman"/>
                <w:b/>
                <w:bCs w:val="0"/>
                <w:color w:val="auto"/>
                <w:sz w:val="24"/>
                <w:szCs w:val="24"/>
                <w:lang w:eastAsia="zh-CN"/>
              </w:rPr>
              <w:t>充装工艺流程简图</w:t>
            </w:r>
          </w:p>
          <w:p w14:paraId="2B8E1A85">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eastAsia="zh-CN"/>
              </w:rPr>
              <w:t>二氧化碳</w:t>
            </w:r>
            <w:r>
              <w:rPr>
                <w:rFonts w:hint="default" w:ascii="Times New Roman" w:hAnsi="Times New Roman" w:eastAsia="宋体" w:cs="Times New Roman"/>
                <w:b/>
                <w:bCs/>
                <w:color w:val="auto"/>
                <w:sz w:val="24"/>
                <w:szCs w:val="24"/>
              </w:rPr>
              <w:t>气体充装工艺流程简述：</w:t>
            </w:r>
          </w:p>
          <w:p w14:paraId="7357AE8A">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1）低温液体</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贮存：液态二氧化碳通过专业低温运输槽车（带自动增压器）运输到厂内，利用增压器增大低温槽车槽罐的压力，同时减小厂内低温</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的压力，使得液态二氧化碳卸车自动输送至液态二氧化碳低温</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中。</w:t>
            </w:r>
          </w:p>
          <w:p w14:paraId="01961FB4">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2）充装前检查：充装前对气瓶（钢瓶）外观、阀座等进行检查检验，合格的气瓶运至充装车间各个充装区进行充装。</w:t>
            </w:r>
          </w:p>
          <w:p w14:paraId="190D793F">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3）气瓶充装：将</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里的液态二氧化碳通过低温液体泵抽出，通过</w:t>
            </w:r>
            <w:r>
              <w:rPr>
                <w:rFonts w:hint="default" w:ascii="Times New Roman" w:hAnsi="Times New Roman" w:eastAsia="宋体" w:cs="Times New Roman"/>
                <w:b w:val="0"/>
                <w:bCs w:val="0"/>
                <w:color w:val="auto"/>
                <w:sz w:val="24"/>
                <w:szCs w:val="24"/>
                <w:lang w:eastAsia="zh-CN"/>
              </w:rPr>
              <w:t>汇流排</w:t>
            </w:r>
            <w:r>
              <w:rPr>
                <w:rFonts w:hint="default" w:ascii="Times New Roman" w:hAnsi="Times New Roman" w:eastAsia="宋体" w:cs="Times New Roman"/>
                <w:b w:val="0"/>
                <w:bCs w:val="0"/>
                <w:color w:val="auto"/>
                <w:sz w:val="24"/>
                <w:szCs w:val="24"/>
              </w:rPr>
              <w:t>充装到钢瓶中得到液态二氧化碳成品。</w:t>
            </w:r>
          </w:p>
          <w:p w14:paraId="16D7EB9B">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4）复检、销售：在充装完成后进行复检，复验完毕后直接外售。</w:t>
            </w:r>
          </w:p>
          <w:p w14:paraId="342F9A77">
            <w:pPr>
              <w:pStyle w:val="15"/>
              <w:keepNext w:val="0"/>
              <w:keepLines/>
              <w:pageBreakBefore w:val="0"/>
              <w:widowControl w:val="0"/>
              <w:kinsoku/>
              <w:wordWrap/>
              <w:overflowPunct/>
              <w:topLinePunct w:val="0"/>
              <w:autoSpaceDE/>
              <w:autoSpaceDN/>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val="0"/>
                <w:bCs w:val="0"/>
                <w:color w:val="auto"/>
                <w:kern w:val="0"/>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28" o:spt="75" type="#_x0000_t75" style="height:357.15pt;width:342.8pt;" o:ole="t" filled="f" o:preferrelative="t" stroked="f" coordsize="21600,21600">
                  <v:path/>
                  <v:fill on="f" focussize="0,0"/>
                  <v:stroke on="f"/>
                  <v:imagedata r:id="rId17" o:title=""/>
                  <o:lock v:ext="edit" aspectratio="t"/>
                  <w10:wrap type="none"/>
                  <w10:anchorlock/>
                </v:shape>
                <o:OLEObject Type="Embed" ProgID="Visio.Drawing.11" ShapeID="_x0000_i1028" DrawAspect="Content" ObjectID="_1468075728" r:id="rId16">
                  <o:LockedField>false</o:LockedField>
                </o:OLEObject>
              </w:object>
            </w:r>
          </w:p>
          <w:p w14:paraId="0EDD0361">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kern w:val="0"/>
                <w:sz w:val="24"/>
                <w:szCs w:val="24"/>
                <w:lang w:val="en-US" w:eastAsia="zh-CN"/>
              </w:rPr>
              <w:t>图2-5   工业二氧化碳充装工艺流程简图</w:t>
            </w:r>
          </w:p>
          <w:p w14:paraId="47B40915">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4、混合气</w:t>
            </w:r>
            <w:r>
              <w:rPr>
                <w:rFonts w:hint="default" w:ascii="Times New Roman" w:hAnsi="Times New Roman" w:eastAsia="宋体" w:cs="Times New Roman"/>
                <w:b/>
                <w:bCs/>
                <w:color w:val="auto"/>
                <w:sz w:val="24"/>
                <w:szCs w:val="24"/>
              </w:rPr>
              <w:t>充装工艺流程简述：</w:t>
            </w:r>
          </w:p>
          <w:p w14:paraId="210268D4">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①外购的</w:t>
            </w:r>
            <w:r>
              <w:rPr>
                <w:rFonts w:hint="default" w:ascii="Times New Roman" w:hAnsi="Times New Roman" w:eastAsia="宋体" w:cs="Times New Roman"/>
                <w:b w:val="0"/>
                <w:bCs w:val="0"/>
                <w:color w:val="auto"/>
                <w:sz w:val="24"/>
                <w:szCs w:val="24"/>
                <w:lang w:val="en-US" w:eastAsia="zh-CN"/>
              </w:rPr>
              <w:t>液氧、</w:t>
            </w:r>
            <w:r>
              <w:rPr>
                <w:rFonts w:hint="default" w:ascii="Times New Roman" w:hAnsi="Times New Roman" w:eastAsia="宋体" w:cs="Times New Roman"/>
                <w:b w:val="0"/>
                <w:bCs w:val="0"/>
                <w:color w:val="auto"/>
                <w:sz w:val="24"/>
                <w:szCs w:val="24"/>
              </w:rPr>
              <w:t>液氩和液氮通过低温槽车运输进入厂区，高压打入</w:t>
            </w:r>
            <w:r>
              <w:rPr>
                <w:rFonts w:hint="default" w:ascii="Times New Roman" w:hAnsi="Times New Roman" w:eastAsia="宋体" w:cs="Times New Roman"/>
                <w:b w:val="0"/>
                <w:bCs w:val="0"/>
                <w:color w:val="auto"/>
                <w:sz w:val="24"/>
                <w:szCs w:val="24"/>
                <w:lang w:val="en-US" w:eastAsia="zh-CN"/>
              </w:rPr>
              <w:t>各自</w:t>
            </w:r>
            <w:r>
              <w:rPr>
                <w:rFonts w:hint="default" w:ascii="Times New Roman" w:hAnsi="Times New Roman" w:eastAsia="宋体" w:cs="Times New Roman"/>
                <w:b w:val="0"/>
                <w:bCs w:val="0"/>
                <w:color w:val="auto"/>
                <w:sz w:val="24"/>
                <w:szCs w:val="24"/>
              </w:rPr>
              <w:t>低温</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储存，经</w:t>
            </w:r>
            <w:r>
              <w:rPr>
                <w:rFonts w:hint="default" w:ascii="Times New Roman" w:hAnsi="Times New Roman" w:eastAsia="宋体" w:cs="Times New Roman"/>
                <w:b w:val="0"/>
                <w:bCs w:val="0"/>
                <w:color w:val="auto"/>
                <w:sz w:val="24"/>
                <w:szCs w:val="24"/>
                <w:lang w:eastAsia="zh-CN"/>
              </w:rPr>
              <w:t>高压汽化器</w:t>
            </w:r>
            <w:r>
              <w:rPr>
                <w:rFonts w:hint="default" w:ascii="Times New Roman" w:hAnsi="Times New Roman" w:eastAsia="宋体" w:cs="Times New Roman"/>
                <w:b w:val="0"/>
                <w:bCs w:val="0"/>
                <w:color w:val="auto"/>
                <w:sz w:val="24"/>
                <w:szCs w:val="24"/>
              </w:rPr>
              <w:t>将</w:t>
            </w:r>
            <w:r>
              <w:rPr>
                <w:rFonts w:hint="default" w:ascii="Times New Roman" w:hAnsi="Times New Roman" w:eastAsia="宋体" w:cs="Times New Roman"/>
                <w:b w:val="0"/>
                <w:bCs w:val="0"/>
                <w:color w:val="auto"/>
                <w:sz w:val="24"/>
                <w:szCs w:val="24"/>
                <w:lang w:val="en-US" w:eastAsia="zh-CN"/>
              </w:rPr>
              <w:t>液氧、</w:t>
            </w:r>
            <w:r>
              <w:rPr>
                <w:rFonts w:hint="default" w:ascii="Times New Roman" w:hAnsi="Times New Roman" w:eastAsia="宋体" w:cs="Times New Roman"/>
                <w:b w:val="0"/>
                <w:bCs w:val="0"/>
                <w:color w:val="auto"/>
                <w:sz w:val="24"/>
                <w:szCs w:val="24"/>
              </w:rPr>
              <w:t>液氩和液氮由液态转化为气态后输送至混合气充装架；</w:t>
            </w:r>
          </w:p>
          <w:p w14:paraId="69FBA3A9">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②低温液态二氧化碳由低温液体槽车运输进入厂区，高压打入厂内低温</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储存，</w:t>
            </w:r>
            <w:r>
              <w:rPr>
                <w:rFonts w:hint="default" w:ascii="Times New Roman" w:hAnsi="Times New Roman" w:eastAsia="宋体" w:cs="Times New Roman"/>
                <w:b w:val="0"/>
                <w:bCs w:val="0"/>
                <w:color w:val="auto"/>
                <w:sz w:val="24"/>
                <w:szCs w:val="24"/>
                <w:lang w:eastAsia="zh-CN"/>
              </w:rPr>
              <w:t>储槽</w:t>
            </w:r>
            <w:r>
              <w:rPr>
                <w:rFonts w:hint="default" w:ascii="Times New Roman" w:hAnsi="Times New Roman" w:eastAsia="宋体" w:cs="Times New Roman"/>
                <w:b w:val="0"/>
                <w:bCs w:val="0"/>
                <w:color w:val="auto"/>
                <w:sz w:val="24"/>
                <w:szCs w:val="24"/>
              </w:rPr>
              <w:t>中的液态气体经专用液体泵加压后输送至混合气充装架；</w:t>
            </w:r>
          </w:p>
          <w:p w14:paraId="379F80B9">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③需要混合的气体经过单向阀进入两级或多级压力平衡装置，平衡其输入压差，从而保证了混合前组分气体和稀释气体的压力绝对相同，然后调节流量控制阀，可将各种气体的流量依据希望达到的混气比例进行调定。</w:t>
            </w:r>
          </w:p>
          <w:p w14:paraId="127BB103">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原理上采用动态气体混合法，即混即用，从而保证了混合气体的均匀性，复现性优良，比例稳定。</w:t>
            </w:r>
          </w:p>
          <w:p w14:paraId="5899A438">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其他混合气充装工艺与上述一致，只需更换气源。</w:t>
            </w:r>
          </w:p>
          <w:p w14:paraId="47DE0D7A">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lang w:val="en-US" w:eastAsia="zh-CN"/>
              </w:rPr>
            </w:pPr>
          </w:p>
          <w:p w14:paraId="69D8DD3F">
            <w:pPr>
              <w:keepNext w:val="0"/>
              <w:keepLines w:val="0"/>
              <w:pageBreakBefore w:val="0"/>
              <w:widowControl/>
              <w:kinsoku/>
              <w:wordWrap/>
              <w:overflowPunct/>
              <w:topLinePunct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29" o:spt="75" type="#_x0000_t75" style="height:231.95pt;width:375.4pt;" o:ole="t" filled="f" o:preferrelative="t" stroked="f" coordsize="21600,21600">
                  <v:path/>
                  <v:fill on="f" focussize="0,0"/>
                  <v:stroke on="f"/>
                  <v:imagedata r:id="rId19" o:title=""/>
                  <o:lock v:ext="edit" aspectratio="t"/>
                  <w10:wrap type="none"/>
                  <w10:anchorlock/>
                </v:shape>
                <o:OLEObject Type="Embed" ProgID="Visio.Drawing.11" ShapeID="_x0000_i1029" DrawAspect="Content" ObjectID="_1468075729" r:id="rId18">
                  <o:LockedField>false</o:LockedField>
                </o:OLEObject>
              </w:object>
            </w:r>
          </w:p>
          <w:p w14:paraId="5E80A4A8">
            <w:pPr>
              <w:pStyle w:val="41"/>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图2</w:t>
            </w:r>
            <w:r>
              <w:rPr>
                <w:rFonts w:hint="default" w:ascii="Times New Roman" w:hAnsi="Times New Roman" w:eastAsia="宋体" w:cs="Times New Roman"/>
                <w:b/>
                <w:bCs w:val="0"/>
                <w:color w:val="auto"/>
                <w:sz w:val="24"/>
                <w:szCs w:val="24"/>
                <w:lang w:val="en-US" w:eastAsia="zh-CN"/>
              </w:rPr>
              <w:t>-6</w:t>
            </w:r>
            <w:r>
              <w:rPr>
                <w:rFonts w:hint="default" w:ascii="Times New Roman" w:hAnsi="Times New Roman" w:eastAsia="宋体" w:cs="Times New Roman"/>
                <w:b/>
                <w:bCs w:val="0"/>
                <w:color w:val="auto"/>
                <w:sz w:val="24"/>
                <w:szCs w:val="24"/>
                <w:lang w:eastAsia="zh-CN"/>
              </w:rPr>
              <w:t xml:space="preserve">   </w:t>
            </w:r>
            <w:r>
              <w:rPr>
                <w:rFonts w:hint="default" w:ascii="Times New Roman" w:hAnsi="Times New Roman" w:eastAsia="宋体" w:cs="Times New Roman"/>
                <w:b/>
                <w:bCs w:val="0"/>
                <w:color w:val="auto"/>
                <w:sz w:val="24"/>
                <w:szCs w:val="24"/>
                <w:lang w:val="en-US" w:eastAsia="zh-CN"/>
              </w:rPr>
              <w:t>混合气体</w:t>
            </w:r>
            <w:r>
              <w:rPr>
                <w:rFonts w:hint="default" w:ascii="Times New Roman" w:hAnsi="Times New Roman" w:eastAsia="宋体" w:cs="Times New Roman"/>
                <w:b/>
                <w:bCs w:val="0"/>
                <w:color w:val="auto"/>
                <w:sz w:val="24"/>
                <w:szCs w:val="24"/>
                <w:lang w:eastAsia="zh-CN"/>
              </w:rPr>
              <w:t>充装工艺流程简图</w:t>
            </w:r>
          </w:p>
          <w:p w14:paraId="26FB82C4">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bCs/>
                <w:color w:val="auto"/>
                <w:sz w:val="24"/>
                <w:szCs w:val="24"/>
                <w:lang w:val="en-US" w:eastAsia="zh-CN"/>
              </w:rPr>
              <w:t>5、七氟丙烷</w:t>
            </w:r>
            <w:r>
              <w:rPr>
                <w:rFonts w:hint="default" w:ascii="Times New Roman" w:hAnsi="Times New Roman" w:eastAsia="宋体" w:cs="Times New Roman"/>
                <w:b/>
                <w:bCs/>
                <w:color w:val="auto"/>
                <w:sz w:val="24"/>
                <w:szCs w:val="24"/>
              </w:rPr>
              <w:t>充装工艺流程简述：</w:t>
            </w:r>
          </w:p>
          <w:p w14:paraId="396DE813">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将已经组装好的七氟丙烷钢瓶的进气口与气源相联，进行气密性试验后，启动真空泵，进行抽真空置换。瓶组检测合格后按重量进行分装，重装完成进行重量、气密性检查，合格则贴上标签进行外售。同样充装完成后与充装口之间管道残余的极少量气体发生逸散。</w:t>
            </w:r>
          </w:p>
          <w:p w14:paraId="32820C5F">
            <w:pPr>
              <w:keepNext w:val="0"/>
              <w:keepLines w:val="0"/>
              <w:pageBreakBefore w:val="0"/>
              <w:widowControl/>
              <w:kinsoku/>
              <w:wordWrap/>
              <w:overflowPunct/>
              <w:topLinePunct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30" o:spt="75" type="#_x0000_t75" style="height:226.55pt;width:215.75pt;" o:ole="t" filled="f" o:preferrelative="t" stroked="f" coordsize="21600,21600">
                  <v:path/>
                  <v:fill on="f" focussize="0,0"/>
                  <v:stroke on="f"/>
                  <v:imagedata r:id="rId21" o:title=""/>
                  <o:lock v:ext="edit" aspectratio="t"/>
                  <w10:wrap type="none"/>
                  <w10:anchorlock/>
                </v:shape>
                <o:OLEObject Type="Embed" ProgID="Visio.Drawing.11" ShapeID="_x0000_i1030" DrawAspect="Content" ObjectID="_1468075730" r:id="rId20">
                  <o:LockedField>false</o:LockedField>
                </o:OLEObject>
              </w:object>
            </w:r>
          </w:p>
          <w:p w14:paraId="4EE1F3FA">
            <w:pPr>
              <w:pStyle w:val="41"/>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图2</w:t>
            </w:r>
            <w:r>
              <w:rPr>
                <w:rFonts w:hint="default" w:ascii="Times New Roman" w:hAnsi="Times New Roman" w:eastAsia="宋体" w:cs="Times New Roman"/>
                <w:b/>
                <w:bCs w:val="0"/>
                <w:color w:val="auto"/>
                <w:sz w:val="24"/>
                <w:szCs w:val="24"/>
                <w:lang w:val="en-US" w:eastAsia="zh-CN"/>
              </w:rPr>
              <w:t xml:space="preserve">-7 </w:t>
            </w:r>
            <w:r>
              <w:rPr>
                <w:rFonts w:hint="default" w:ascii="Times New Roman" w:hAnsi="Times New Roman" w:eastAsia="宋体" w:cs="Times New Roman"/>
                <w:b/>
                <w:bCs w:val="0"/>
                <w:color w:val="auto"/>
                <w:sz w:val="24"/>
                <w:szCs w:val="24"/>
                <w:lang w:eastAsia="zh-CN"/>
              </w:rPr>
              <w:t xml:space="preserve">  七氟丙烷充装工艺流程简图</w:t>
            </w:r>
          </w:p>
          <w:p w14:paraId="098E9698">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消防气体充装工艺流程简述：</w:t>
            </w:r>
          </w:p>
          <w:p w14:paraId="7BB78564">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采用称重法进行充装。充装前确认泵、气化器、阀门、管道压力表等指示正常，灵敏可靠。对待充装气瓶进行充装前检查，符合充装要求后才可进行充装。充装过程中用卡具连接好待充气瓶，打开瓶阀。打开泵进液阀、预冷阀和回气阀，对泵进行预冷，当预冷阀出口管余气排净出现满管液体时，启动泵。逐渐关闭预冷阀，打开泵出口阀（泵出现有节奏的敲击声，否则应重新预冷）进行充装作业，充装中应监视压力表指示值变化，达到充装重量应及时关阀卸瓶。充装合格的气瓶粘贴充装标签和警示标签进行外售。</w:t>
            </w:r>
          </w:p>
          <w:p w14:paraId="193F17CC">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工艺废气来源于充装完成后与充装口之间管道残余的少量气体逸散，逸散气体以短时、瞬时形式排放。</w:t>
            </w:r>
          </w:p>
          <w:p w14:paraId="6BCE5B67">
            <w:pPr>
              <w:keepNext w:val="0"/>
              <w:keepLines w:val="0"/>
              <w:pageBreakBefore w:val="0"/>
              <w:widowControl/>
              <w:kinsoku/>
              <w:wordWrap/>
              <w:overflowPunct/>
              <w:topLinePunct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31" o:spt="75" type="#_x0000_t75" style="height:238pt;width:295.3pt;" o:ole="t" filled="f" o:preferrelative="t" stroked="f" coordsize="21600,21600">
                  <v:path/>
                  <v:fill on="f" focussize="0,0"/>
                  <v:stroke on="f"/>
                  <v:imagedata r:id="rId23" o:title=""/>
                  <o:lock v:ext="edit" aspectratio="t"/>
                  <w10:wrap type="none"/>
                  <w10:anchorlock/>
                </v:shape>
                <o:OLEObject Type="Embed" ProgID="Visio.Drawing.11" ShapeID="_x0000_i1031" DrawAspect="Content" ObjectID="_1468075731" r:id="rId22">
                  <o:LockedField>false</o:LockedField>
                </o:OLEObject>
              </w:object>
            </w:r>
          </w:p>
          <w:p w14:paraId="209D112D">
            <w:pPr>
              <w:pStyle w:val="41"/>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图2</w:t>
            </w:r>
            <w:r>
              <w:rPr>
                <w:rFonts w:hint="default" w:ascii="Times New Roman" w:hAnsi="Times New Roman" w:eastAsia="宋体" w:cs="Times New Roman"/>
                <w:b/>
                <w:bCs w:val="0"/>
                <w:color w:val="auto"/>
                <w:sz w:val="24"/>
                <w:szCs w:val="24"/>
                <w:lang w:val="en-US" w:eastAsia="zh-CN"/>
              </w:rPr>
              <w:t>-8</w:t>
            </w:r>
            <w:r>
              <w:rPr>
                <w:rFonts w:hint="default" w:ascii="Times New Roman" w:hAnsi="Times New Roman" w:eastAsia="宋体" w:cs="Times New Roman"/>
                <w:b/>
                <w:bCs w:val="0"/>
                <w:color w:val="auto"/>
                <w:sz w:val="24"/>
                <w:szCs w:val="24"/>
                <w:lang w:eastAsia="zh-CN"/>
              </w:rPr>
              <w:t xml:space="preserve">   </w:t>
            </w:r>
            <w:r>
              <w:rPr>
                <w:rFonts w:hint="default" w:ascii="Times New Roman" w:hAnsi="Times New Roman" w:eastAsia="宋体" w:cs="Times New Roman"/>
                <w:b/>
                <w:bCs/>
                <w:color w:val="auto"/>
                <w:sz w:val="24"/>
                <w:szCs w:val="24"/>
              </w:rPr>
              <w:t>消防气体</w:t>
            </w:r>
            <w:r>
              <w:rPr>
                <w:rFonts w:hint="default" w:ascii="Times New Roman" w:hAnsi="Times New Roman" w:eastAsia="宋体" w:cs="Times New Roman"/>
                <w:b/>
                <w:bCs w:val="0"/>
                <w:color w:val="auto"/>
                <w:sz w:val="24"/>
                <w:szCs w:val="24"/>
                <w:lang w:eastAsia="zh-CN"/>
              </w:rPr>
              <w:t>充装工艺流程简图</w:t>
            </w:r>
          </w:p>
          <w:p w14:paraId="611AB293">
            <w:pPr>
              <w:keepNext w:val="0"/>
              <w:keepLines w:val="0"/>
              <w:pageBreakBefore w:val="0"/>
              <w:widowControl/>
              <w:kinsoku/>
              <w:wordWrap/>
              <w:overflowPunct/>
              <w:topLinePunct w:val="0"/>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标准气体充装工艺流程简述：</w:t>
            </w:r>
          </w:p>
          <w:p w14:paraId="49C4AD31">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采用分压法或称重法进行标准气体的混配及充装。将标准气体气瓶进行洁净化处理，然后根据原料气的化学性质，设定目标值的压力或者重量，分别将各组分原料加入气瓶中瓶内余压及配比要求准确计算出充入原料气后应达到的压力和重量，当达到所需质量时关闭阀门。按检验合格后入库。当存在检验不合格的气瓶时，及时送至充装间按照原料浓度进行重量或压力的调整，如有调整后复检发现不合格气瓶，则直接报废处理。</w:t>
            </w:r>
          </w:p>
          <w:p w14:paraId="7F521579">
            <w:pPr>
              <w:keepNext w:val="0"/>
              <w:keepLines w:val="0"/>
              <w:pageBreakBefore w:val="0"/>
              <w:widowControl/>
              <w:kinsoku/>
              <w:wordWrap/>
              <w:overflowPunct/>
              <w:topLinePunct w:val="0"/>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充装过程产生的工艺废气主要为充装完成后与充装口之间管道残余的少量逸散气体以及报废后气瓶中释放的气体，逸散气体经过有效收集处理后排放，对周边环境影响较小，报废后气瓶中释</w:t>
            </w:r>
            <w:r>
              <w:rPr>
                <w:rFonts w:hint="default" w:ascii="Times New Roman" w:hAnsi="Times New Roman" w:eastAsia="宋体" w:cs="Times New Roman"/>
                <w:b w:val="0"/>
                <w:bCs w:val="0"/>
                <w:color w:val="auto"/>
                <w:sz w:val="24"/>
                <w:szCs w:val="24"/>
                <w:lang w:eastAsia="zh-CN"/>
              </w:rPr>
              <w:t>放的</w:t>
            </w:r>
            <w:r>
              <w:rPr>
                <w:rFonts w:hint="default" w:ascii="Times New Roman" w:hAnsi="Times New Roman" w:eastAsia="宋体" w:cs="Times New Roman"/>
                <w:b w:val="0"/>
                <w:bCs w:val="0"/>
                <w:color w:val="auto"/>
                <w:sz w:val="24"/>
                <w:szCs w:val="24"/>
              </w:rPr>
              <w:t>气体与逸散气体一同被处理后，空钢瓶经气瓶检验间检验合格后继续回收使用。</w:t>
            </w:r>
          </w:p>
          <w:p w14:paraId="769B138C">
            <w:pPr>
              <w:keepNext w:val="0"/>
              <w:keepLines w:val="0"/>
              <w:pageBreakBefore w:val="0"/>
              <w:widowControl/>
              <w:kinsoku/>
              <w:wordWrap/>
              <w:overflowPunct/>
              <w:topLinePunct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val="0"/>
                <w:bCs w:val="0"/>
                <w:color w:val="auto"/>
                <w:kern w:val="0"/>
                <w:szCs w:val="24"/>
                <w:lang w:val="en-US" w:eastAsia="zh-CN"/>
              </w:rPr>
              <w:object>
                <v:shape id="_x0000_i1032" o:spt="75" type="#_x0000_t75" style="height:231.95pt;width:375.4pt;" o:ole="t" filled="f" o:preferrelative="t" stroked="f" coordsize="21600,21600">
                  <v:path/>
                  <v:fill on="f" focussize="0,0"/>
                  <v:stroke on="f"/>
                  <v:imagedata r:id="rId25" o:title=""/>
                  <o:lock v:ext="edit" aspectratio="t"/>
                  <w10:wrap type="none"/>
                  <w10:anchorlock/>
                </v:shape>
                <o:OLEObject Type="Embed" ProgID="Visio.Drawing.11" ShapeID="_x0000_i1032" DrawAspect="Content" ObjectID="_1468075732" r:id="rId24">
                  <o:LockedField>false</o:LockedField>
                </o:OLEObject>
              </w:object>
            </w:r>
          </w:p>
          <w:p w14:paraId="32C4D5D2">
            <w:pPr>
              <w:pStyle w:val="41"/>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图2</w:t>
            </w:r>
            <w:r>
              <w:rPr>
                <w:rFonts w:hint="default" w:ascii="Times New Roman" w:hAnsi="Times New Roman" w:eastAsia="宋体" w:cs="Times New Roman"/>
                <w:b/>
                <w:bCs w:val="0"/>
                <w:color w:val="auto"/>
                <w:sz w:val="24"/>
                <w:szCs w:val="24"/>
                <w:lang w:val="en-US" w:eastAsia="zh-CN"/>
              </w:rPr>
              <w:t>-9</w:t>
            </w:r>
            <w:r>
              <w:rPr>
                <w:rFonts w:hint="default" w:ascii="Times New Roman" w:hAnsi="Times New Roman" w:eastAsia="宋体" w:cs="Times New Roman"/>
                <w:b/>
                <w:bCs w:val="0"/>
                <w:color w:val="auto"/>
                <w:sz w:val="24"/>
                <w:szCs w:val="24"/>
                <w:lang w:eastAsia="zh-CN"/>
              </w:rPr>
              <w:t xml:space="preserve">   </w:t>
            </w:r>
            <w:r>
              <w:rPr>
                <w:rFonts w:hint="default" w:ascii="Times New Roman" w:hAnsi="Times New Roman" w:eastAsia="宋体" w:cs="Times New Roman"/>
                <w:b/>
                <w:bCs w:val="0"/>
                <w:color w:val="auto"/>
                <w:sz w:val="24"/>
                <w:szCs w:val="24"/>
                <w:lang w:val="en-US" w:eastAsia="zh-CN"/>
              </w:rPr>
              <w:t>标准气体</w:t>
            </w:r>
            <w:r>
              <w:rPr>
                <w:rFonts w:hint="default" w:ascii="Times New Roman" w:hAnsi="Times New Roman" w:eastAsia="宋体" w:cs="Times New Roman"/>
                <w:b/>
                <w:bCs w:val="0"/>
                <w:color w:val="auto"/>
                <w:sz w:val="24"/>
                <w:szCs w:val="24"/>
                <w:lang w:eastAsia="zh-CN"/>
              </w:rPr>
              <w:t>充装工艺流程简图</w:t>
            </w:r>
          </w:p>
          <w:p w14:paraId="2E34563E">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、丙烷气体分装工艺流程说明</w:t>
            </w:r>
          </w:p>
          <w:p w14:paraId="79A9B018">
            <w:pPr>
              <w:pStyle w:val="68"/>
              <w:keepNext w:val="0"/>
              <w:pageBreakBefore w:val="0"/>
              <w:wordWrap/>
              <w:bidi w:val="0"/>
              <w:spacing w:beforeAutospacing="0" w:afterAutospacing="0" w:line="360" w:lineRule="auto"/>
              <w:ind w:left="0" w:firstLine="482" w:firstLineChars="200"/>
              <w:jc w:val="both"/>
              <w:rPr>
                <w:rFonts w:hint="default" w:ascii="Times New Roman" w:hAnsi="Times New Roman" w:eastAsia="宋体" w:cs="Times New Roman"/>
                <w:b w:val="0"/>
                <w:bCs/>
                <w:color w:val="0000FF"/>
              </w:rPr>
            </w:pPr>
            <w:r>
              <w:rPr>
                <w:rFonts w:hint="default" w:ascii="Times New Roman" w:hAnsi="Times New Roman" w:eastAsia="宋体" w:cs="Times New Roman"/>
                <w:color w:val="auto"/>
              </w:rPr>
              <w:t>汽车槽车运入：</w:t>
            </w:r>
            <w:r>
              <w:rPr>
                <w:rFonts w:hint="default" w:ascii="Times New Roman" w:hAnsi="Times New Roman" w:eastAsia="宋体" w:cs="Times New Roman"/>
                <w:b w:val="0"/>
                <w:color w:val="auto"/>
              </w:rPr>
              <w:t>汽车槽车从气源公司将</w:t>
            </w:r>
            <w:r>
              <w:rPr>
                <w:rFonts w:hint="default" w:ascii="Times New Roman" w:hAnsi="Times New Roman" w:eastAsia="宋体" w:cs="Times New Roman"/>
                <w:b w:val="0"/>
                <w:color w:val="auto"/>
                <w:lang w:eastAsia="zh-CN"/>
              </w:rPr>
              <w:t>丙烷</w:t>
            </w:r>
            <w:r>
              <w:rPr>
                <w:rFonts w:hint="default" w:ascii="Times New Roman" w:hAnsi="Times New Roman" w:eastAsia="宋体" w:cs="Times New Roman"/>
                <w:b w:val="0"/>
                <w:color w:val="auto"/>
              </w:rPr>
              <w:t>运至厂区的卸车区内。</w:t>
            </w:r>
          </w:p>
          <w:p w14:paraId="1C3D5414">
            <w:pPr>
              <w:pStyle w:val="68"/>
              <w:keepNext w:val="0"/>
              <w:pageBreakBefore w:val="0"/>
              <w:wordWrap/>
              <w:bidi w:val="0"/>
              <w:spacing w:beforeAutospacing="0" w:afterAutospacing="0" w:line="360" w:lineRule="auto"/>
              <w:ind w:left="0" w:firstLine="482" w:firstLineChars="200"/>
              <w:jc w:val="both"/>
              <w:rPr>
                <w:rFonts w:hint="default" w:ascii="Times New Roman" w:hAnsi="Times New Roman" w:eastAsia="宋体" w:cs="Times New Roman"/>
                <w:b w:val="0"/>
                <w:bCs/>
                <w:color w:val="auto"/>
              </w:rPr>
            </w:pPr>
            <w:r>
              <w:rPr>
                <w:rFonts w:hint="default" w:ascii="Times New Roman" w:hAnsi="Times New Roman" w:eastAsia="宋体" w:cs="Times New Roman"/>
                <w:color w:val="auto"/>
              </w:rPr>
              <w:t>卸液、储存：</w:t>
            </w:r>
            <w:r>
              <w:rPr>
                <w:rFonts w:hint="default" w:ascii="Times New Roman" w:hAnsi="Times New Roman" w:eastAsia="宋体" w:cs="Times New Roman"/>
                <w:b w:val="0"/>
                <w:color w:val="auto"/>
              </w:rPr>
              <w:t>采用压缩机将</w:t>
            </w:r>
            <w:r>
              <w:rPr>
                <w:rFonts w:hint="default" w:ascii="Times New Roman" w:hAnsi="Times New Roman" w:eastAsia="宋体" w:cs="Times New Roman"/>
                <w:b w:val="0"/>
                <w:color w:val="auto"/>
                <w:lang w:eastAsia="zh-CN"/>
              </w:rPr>
              <w:t>丙烷</w:t>
            </w:r>
            <w:r>
              <w:rPr>
                <w:rFonts w:hint="default" w:ascii="Times New Roman" w:hAnsi="Times New Roman" w:eastAsia="宋体" w:cs="Times New Roman"/>
                <w:b w:val="0"/>
                <w:color w:val="auto"/>
              </w:rPr>
              <w:t>从槽车卸至</w:t>
            </w:r>
            <w:r>
              <w:rPr>
                <w:rFonts w:hint="default" w:ascii="Times New Roman" w:hAnsi="Times New Roman" w:eastAsia="宋体" w:cs="Times New Roman"/>
                <w:b w:val="0"/>
                <w:color w:val="auto"/>
                <w:lang w:eastAsia="zh-CN"/>
              </w:rPr>
              <w:t>丙烷</w:t>
            </w:r>
            <w:r>
              <w:rPr>
                <w:rFonts w:hint="default" w:ascii="Times New Roman" w:hAnsi="Times New Roman" w:eastAsia="宋体" w:cs="Times New Roman"/>
                <w:b w:val="0"/>
                <w:color w:val="auto"/>
                <w:lang w:val="en-US" w:eastAsia="zh-CN"/>
              </w:rPr>
              <w:t>地埋式</w:t>
            </w:r>
            <w:r>
              <w:rPr>
                <w:rFonts w:hint="default" w:ascii="Times New Roman" w:hAnsi="Times New Roman" w:eastAsia="宋体" w:cs="Times New Roman"/>
                <w:b w:val="0"/>
                <w:color w:val="auto"/>
              </w:rPr>
              <w:t>卧式</w:t>
            </w:r>
            <w:r>
              <w:rPr>
                <w:rFonts w:hint="default" w:ascii="Times New Roman" w:hAnsi="Times New Roman" w:eastAsia="宋体" w:cs="Times New Roman"/>
                <w:b w:val="0"/>
                <w:color w:val="auto"/>
                <w:lang w:eastAsia="zh-CN"/>
              </w:rPr>
              <w:t>储槽</w:t>
            </w:r>
            <w:r>
              <w:rPr>
                <w:rFonts w:hint="default" w:ascii="Times New Roman" w:hAnsi="Times New Roman" w:eastAsia="宋体" w:cs="Times New Roman"/>
                <w:b w:val="0"/>
                <w:color w:val="auto"/>
              </w:rPr>
              <w:t>内，进行储存。</w:t>
            </w:r>
          </w:p>
          <w:p w14:paraId="4C1742CB">
            <w:pPr>
              <w:pStyle w:val="68"/>
              <w:keepNext w:val="0"/>
              <w:pageBreakBefore w:val="0"/>
              <w:wordWrap/>
              <w:bidi w:val="0"/>
              <w:spacing w:beforeAutospacing="0" w:afterAutospacing="0" w:line="360" w:lineRule="auto"/>
              <w:ind w:left="0" w:firstLine="482" w:firstLineChars="200"/>
              <w:jc w:val="both"/>
              <w:rPr>
                <w:rFonts w:hint="default" w:ascii="Times New Roman" w:hAnsi="Times New Roman" w:eastAsia="宋体" w:cs="Times New Roman"/>
                <w:b w:val="0"/>
                <w:bCs/>
                <w:color w:val="auto"/>
              </w:rPr>
            </w:pPr>
            <w:r>
              <w:rPr>
                <w:rFonts w:hint="default" w:ascii="Times New Roman" w:hAnsi="Times New Roman" w:eastAsia="宋体" w:cs="Times New Roman"/>
                <w:color w:val="auto"/>
              </w:rPr>
              <w:t>充装：</w:t>
            </w:r>
            <w:r>
              <w:rPr>
                <w:rFonts w:hint="default" w:ascii="Times New Roman" w:hAnsi="Times New Roman" w:eastAsia="宋体" w:cs="Times New Roman"/>
                <w:b w:val="0"/>
                <w:color w:val="auto"/>
              </w:rPr>
              <w:t>经检查合格的气瓶送至充装台，连接气瓶充装接头，开启气泵进出口阀门和气相连通管阀门，启动气泵自</w:t>
            </w:r>
            <w:r>
              <w:rPr>
                <w:rFonts w:hint="default" w:ascii="Times New Roman" w:hAnsi="Times New Roman" w:eastAsia="宋体" w:cs="Times New Roman"/>
                <w:b w:val="0"/>
                <w:color w:val="auto"/>
                <w:lang w:eastAsia="zh-CN"/>
              </w:rPr>
              <w:t>丙烷储槽</w:t>
            </w:r>
            <w:r>
              <w:rPr>
                <w:rFonts w:hint="default" w:ascii="Times New Roman" w:hAnsi="Times New Roman" w:eastAsia="宋体" w:cs="Times New Roman"/>
                <w:b w:val="0"/>
                <w:color w:val="auto"/>
              </w:rPr>
              <w:t>抽出液体，经管道将</w:t>
            </w:r>
            <w:r>
              <w:rPr>
                <w:rFonts w:hint="default" w:ascii="Times New Roman" w:hAnsi="Times New Roman" w:eastAsia="宋体" w:cs="Times New Roman"/>
                <w:b w:val="0"/>
                <w:color w:val="auto"/>
                <w:lang w:eastAsia="zh-CN"/>
              </w:rPr>
              <w:t>丙烷</w:t>
            </w:r>
            <w:r>
              <w:rPr>
                <w:rFonts w:hint="default" w:ascii="Times New Roman" w:hAnsi="Times New Roman" w:eastAsia="宋体" w:cs="Times New Roman"/>
                <w:b w:val="0"/>
                <w:color w:val="auto"/>
              </w:rPr>
              <w:t>送至充装间，而后通过灌装嘴对</w:t>
            </w:r>
            <w:r>
              <w:rPr>
                <w:rFonts w:hint="default" w:ascii="Times New Roman" w:hAnsi="Times New Roman" w:eastAsia="宋体" w:cs="Times New Roman"/>
                <w:b w:val="0"/>
                <w:color w:val="auto"/>
                <w:lang w:eastAsia="zh-CN"/>
              </w:rPr>
              <w:t>丙烷</w:t>
            </w:r>
            <w:r>
              <w:rPr>
                <w:rFonts w:hint="default" w:ascii="Times New Roman" w:hAnsi="Times New Roman" w:eastAsia="宋体" w:cs="Times New Roman"/>
                <w:b w:val="0"/>
                <w:color w:val="auto"/>
              </w:rPr>
              <w:t>钢瓶进行充装，气体经气相联通管回到</w:t>
            </w:r>
            <w:r>
              <w:rPr>
                <w:rFonts w:hint="default" w:ascii="Times New Roman" w:hAnsi="Times New Roman" w:eastAsia="宋体" w:cs="Times New Roman"/>
                <w:b w:val="0"/>
                <w:color w:val="auto"/>
                <w:lang w:eastAsia="zh-CN"/>
              </w:rPr>
              <w:t>储槽</w:t>
            </w:r>
            <w:r>
              <w:rPr>
                <w:rFonts w:hint="default" w:ascii="Times New Roman" w:hAnsi="Times New Roman" w:eastAsia="宋体" w:cs="Times New Roman"/>
                <w:b w:val="0"/>
                <w:color w:val="auto"/>
              </w:rPr>
              <w:t>，使气液平衡。</w:t>
            </w:r>
          </w:p>
          <w:p w14:paraId="16C0E1F4">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外运：</w:t>
            </w:r>
            <w:r>
              <w:rPr>
                <w:rFonts w:hint="default" w:ascii="Times New Roman" w:hAnsi="Times New Roman" w:eastAsia="宋体" w:cs="Times New Roman"/>
                <w:b w:val="0"/>
                <w:color w:val="auto"/>
                <w:sz w:val="24"/>
                <w:szCs w:val="24"/>
              </w:rPr>
              <w:t>充装后的钢瓶进行质量检验，通过钢瓶上的压力表进行检漏，检测合格后贴上合格证方可出站。在此过程中主要产生汽车尾气以及噪声</w:t>
            </w:r>
            <w:r>
              <w:rPr>
                <w:rFonts w:hint="default" w:ascii="Times New Roman" w:hAnsi="Times New Roman" w:eastAsia="宋体" w:cs="Times New Roman"/>
                <w:color w:val="auto"/>
                <w:sz w:val="24"/>
                <w:szCs w:val="24"/>
              </w:rPr>
              <w:t>。</w:t>
            </w:r>
          </w:p>
          <w:p w14:paraId="15B4C40C">
            <w:pPr>
              <w:pStyle w:val="54"/>
              <w:keepNext w:val="0"/>
              <w:keepLines w:val="0"/>
              <w:pageBreakBefore w:val="0"/>
              <w:tabs>
                <w:tab w:val="left" w:pos="897"/>
              </w:tabs>
              <w:kinsoku/>
              <w:wordWrap/>
              <w:overflowPunct/>
              <w:topLinePunct w:val="0"/>
              <w:autoSpaceDE w:val="0"/>
              <w:autoSpaceDN w:val="0"/>
              <w:bidi w:val="0"/>
              <w:spacing w:beforeAutospacing="0" w:afterAutospacing="0" w:line="360" w:lineRule="auto"/>
              <w:ind w:left="0" w:leftChars="0" w:right="0" w:rightChars="0" w:firstLine="0"/>
              <w:jc w:val="center"/>
              <w:rPr>
                <w:rFonts w:hint="default" w:ascii="Times New Roman" w:hAnsi="Times New Roman" w:eastAsia="宋体" w:cs="Times New Roman"/>
                <w:b/>
                <w:bCs/>
                <w:color w:val="auto"/>
                <w:sz w:val="24"/>
                <w:szCs w:val="24"/>
                <w:lang w:val="en-US"/>
              </w:rPr>
            </w:pPr>
            <w:r>
              <w:rPr>
                <w:rFonts w:hint="default" w:ascii="Times New Roman" w:hAnsi="Times New Roman" w:eastAsia="宋体" w:cs="Times New Roman"/>
                <w:b w:val="0"/>
                <w:bCs w:val="0"/>
                <w:color w:val="auto"/>
                <w:kern w:val="0"/>
                <w:szCs w:val="24"/>
                <w:lang w:val="en-US" w:eastAsia="zh-CN"/>
              </w:rPr>
              <w:object>
                <v:shape id="_x0000_i1033" o:spt="75" type="#_x0000_t75" style="height:300.45pt;width:238.4pt;" o:ole="t" filled="f" o:preferrelative="t" stroked="f" coordsize="21600,21600">
                  <v:path/>
                  <v:fill on="f" focussize="0,0"/>
                  <v:stroke on="f"/>
                  <v:imagedata r:id="rId27" o:title=""/>
                  <o:lock v:ext="edit" aspectratio="t"/>
                  <w10:wrap type="none"/>
                  <w10:anchorlock/>
                </v:shape>
                <o:OLEObject Type="Embed" ProgID="Visio.Drawing.11" ShapeID="_x0000_i1033" DrawAspect="Content" ObjectID="_1468075733" r:id="rId26">
                  <o:LockedField>false</o:LockedField>
                </o:OLEObject>
              </w:object>
            </w:r>
          </w:p>
          <w:p w14:paraId="0BD91D9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color w:val="auto"/>
                <w:sz w:val="24"/>
                <w:szCs w:val="24"/>
                <w:lang w:val="en-US" w:bidi="ar-SA"/>
              </w:rPr>
              <w:t>图2-</w:t>
            </w:r>
            <w:r>
              <w:rPr>
                <w:rFonts w:hint="default" w:ascii="Times New Roman" w:hAnsi="Times New Roman" w:eastAsia="宋体" w:cs="Times New Roman"/>
                <w:b/>
                <w:color w:val="auto"/>
                <w:sz w:val="24"/>
                <w:szCs w:val="24"/>
                <w:lang w:val="en-US" w:eastAsia="zh-CN" w:bidi="ar-SA"/>
              </w:rPr>
              <w:t xml:space="preserve">10  </w:t>
            </w:r>
            <w:r>
              <w:rPr>
                <w:rFonts w:hint="default" w:ascii="Times New Roman" w:hAnsi="Times New Roman" w:eastAsia="宋体" w:cs="Times New Roman"/>
                <w:b/>
                <w:color w:val="auto"/>
                <w:sz w:val="24"/>
                <w:szCs w:val="24"/>
                <w:lang w:val="en-US" w:bidi="ar-SA"/>
              </w:rPr>
              <w:t>丙烷气体分装工艺流程图</w:t>
            </w:r>
          </w:p>
          <w:p w14:paraId="50B4161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2、产排污环节</w:t>
            </w:r>
          </w:p>
          <w:p w14:paraId="67103E7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本项目主要污染物的产生情况见下表。</w:t>
            </w:r>
          </w:p>
          <w:p w14:paraId="439E46C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表2-</w:t>
            </w:r>
            <w:r>
              <w:rPr>
                <w:rFonts w:hint="default" w:ascii="Times New Roman" w:hAnsi="Times New Roman" w:eastAsia="宋体" w:cs="Times New Roman"/>
                <w:b/>
                <w:bCs/>
                <w:color w:val="auto"/>
                <w:sz w:val="24"/>
                <w:szCs w:val="24"/>
                <w:lang w:val="en-US" w:eastAsia="zh-CN"/>
              </w:rPr>
              <w:t xml:space="preserve">7  </w:t>
            </w:r>
            <w:r>
              <w:rPr>
                <w:rFonts w:hint="default" w:ascii="Times New Roman" w:hAnsi="Times New Roman" w:eastAsia="宋体" w:cs="Times New Roman"/>
                <w:b/>
                <w:bCs/>
                <w:color w:val="auto"/>
                <w:sz w:val="24"/>
                <w:szCs w:val="24"/>
              </w:rPr>
              <w:t>项目主要排污节点一览表</w:t>
            </w:r>
          </w:p>
          <w:tbl>
            <w:tblPr>
              <w:tblStyle w:val="3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719"/>
              <w:gridCol w:w="1700"/>
              <w:gridCol w:w="1458"/>
              <w:gridCol w:w="1067"/>
              <w:gridCol w:w="2015"/>
            </w:tblGrid>
            <w:tr w14:paraId="597B3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Align w:val="center"/>
                </w:tcPr>
                <w:p w14:paraId="1828F8D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污染物类型</w:t>
                  </w:r>
                </w:p>
              </w:tc>
              <w:tc>
                <w:tcPr>
                  <w:tcW w:w="719" w:type="dxa"/>
                  <w:vAlign w:val="center"/>
                </w:tcPr>
                <w:p w14:paraId="2FC4F5D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700" w:type="dxa"/>
                  <w:vAlign w:val="center"/>
                </w:tcPr>
                <w:p w14:paraId="1EF0D93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排污节点</w:t>
                  </w:r>
                </w:p>
              </w:tc>
              <w:tc>
                <w:tcPr>
                  <w:tcW w:w="1458" w:type="dxa"/>
                  <w:vAlign w:val="center"/>
                </w:tcPr>
                <w:p w14:paraId="73D1B3A8">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主要污染物</w:t>
                  </w:r>
                </w:p>
              </w:tc>
              <w:tc>
                <w:tcPr>
                  <w:tcW w:w="1067" w:type="dxa"/>
                  <w:vAlign w:val="center"/>
                </w:tcPr>
                <w:p w14:paraId="3C216C2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产生特征</w:t>
                  </w:r>
                </w:p>
              </w:tc>
              <w:tc>
                <w:tcPr>
                  <w:tcW w:w="2015" w:type="dxa"/>
                  <w:vAlign w:val="center"/>
                </w:tcPr>
                <w:p w14:paraId="74C901F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治理措施</w:t>
                  </w:r>
                </w:p>
              </w:tc>
            </w:tr>
            <w:tr w14:paraId="0CFB4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318" w:type="dxa"/>
                  <w:vMerge w:val="restart"/>
                  <w:vAlign w:val="center"/>
                </w:tcPr>
                <w:p w14:paraId="5443B7A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5"/>
                      <w:sz w:val="21"/>
                      <w:szCs w:val="21"/>
                    </w:rPr>
                    <w:t>废气</w:t>
                  </w:r>
                </w:p>
              </w:tc>
              <w:tc>
                <w:tcPr>
                  <w:tcW w:w="719" w:type="dxa"/>
                  <w:vAlign w:val="center"/>
                </w:tcPr>
                <w:p w14:paraId="6731CF7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G</w:t>
                  </w:r>
                  <w:r>
                    <w:rPr>
                      <w:rFonts w:hint="default" w:ascii="Times New Roman" w:hAnsi="Times New Roman" w:eastAsia="宋体" w:cs="Times New Roman"/>
                      <w:color w:val="auto"/>
                      <w:spacing w:val="3"/>
                      <w:sz w:val="21"/>
                      <w:szCs w:val="21"/>
                    </w:rPr>
                    <w:t>1</w:t>
                  </w:r>
                </w:p>
              </w:tc>
              <w:tc>
                <w:tcPr>
                  <w:tcW w:w="1700" w:type="dxa"/>
                  <w:vAlign w:val="center"/>
                </w:tcPr>
                <w:p w14:paraId="0AD3A85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 w:val="0"/>
                      <w:bCs/>
                      <w:color w:val="auto"/>
                      <w:szCs w:val="21"/>
                    </w:rPr>
                    <w:t>七氟丙烷</w:t>
                  </w:r>
                  <w:r>
                    <w:rPr>
                      <w:rFonts w:hint="default" w:ascii="Times New Roman" w:hAnsi="Times New Roman" w:eastAsia="宋体" w:cs="Times New Roman"/>
                      <w:b w:val="0"/>
                      <w:bCs/>
                      <w:color w:val="auto"/>
                      <w:szCs w:val="21"/>
                      <w:lang w:val="en-US" w:eastAsia="zh-CN"/>
                    </w:rPr>
                    <w:t>和</w:t>
                  </w:r>
                  <w:r>
                    <w:rPr>
                      <w:rFonts w:hint="default" w:ascii="Times New Roman" w:hAnsi="Times New Roman" w:eastAsia="宋体" w:cs="Times New Roman"/>
                      <w:b w:val="0"/>
                      <w:bCs/>
                      <w:color w:val="auto"/>
                      <w:szCs w:val="21"/>
                    </w:rPr>
                    <w:t>丙烷</w:t>
                  </w:r>
                  <w:r>
                    <w:rPr>
                      <w:rFonts w:hint="default" w:ascii="Times New Roman" w:hAnsi="Times New Roman" w:eastAsia="宋体" w:cs="Times New Roman"/>
                      <w:bCs/>
                      <w:color w:val="auto"/>
                      <w:sz w:val="21"/>
                      <w:szCs w:val="21"/>
                      <w:lang w:eastAsia="zh-CN"/>
                    </w:rPr>
                    <w:t>储槽</w:t>
                  </w:r>
                  <w:r>
                    <w:rPr>
                      <w:rFonts w:hint="default" w:ascii="Times New Roman" w:hAnsi="Times New Roman" w:eastAsia="宋体" w:cs="Times New Roman"/>
                      <w:bCs/>
                      <w:color w:val="auto"/>
                      <w:sz w:val="21"/>
                      <w:szCs w:val="21"/>
                    </w:rPr>
                    <w:t>装卸</w:t>
                  </w:r>
                </w:p>
              </w:tc>
              <w:tc>
                <w:tcPr>
                  <w:tcW w:w="1458" w:type="dxa"/>
                  <w:vMerge w:val="restart"/>
                  <w:vAlign w:val="center"/>
                </w:tcPr>
                <w:p w14:paraId="3536445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挥发性有机物（以非甲烷总烃计）</w:t>
                  </w:r>
                </w:p>
              </w:tc>
              <w:tc>
                <w:tcPr>
                  <w:tcW w:w="1067" w:type="dxa"/>
                  <w:vMerge w:val="restart"/>
                  <w:vAlign w:val="center"/>
                </w:tcPr>
                <w:p w14:paraId="6FAAB33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7030A0"/>
                      <w:sz w:val="21"/>
                      <w:szCs w:val="21"/>
                      <w:vertAlign w:val="baseline"/>
                      <w:lang w:val="en-US" w:eastAsia="zh-CN"/>
                    </w:rPr>
                    <w:t>间断</w:t>
                  </w:r>
                </w:p>
              </w:tc>
              <w:tc>
                <w:tcPr>
                  <w:tcW w:w="2015" w:type="dxa"/>
                  <w:vMerge w:val="restart"/>
                  <w:vAlign w:val="center"/>
                </w:tcPr>
                <w:p w14:paraId="7920088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密闭储槽+密闭管道</w:t>
                  </w:r>
                </w:p>
              </w:tc>
            </w:tr>
            <w:tr w14:paraId="42B24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Merge w:val="continue"/>
                  <w:vAlign w:val="center"/>
                </w:tcPr>
                <w:p w14:paraId="48BBFD4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p>
              </w:tc>
              <w:tc>
                <w:tcPr>
                  <w:tcW w:w="719" w:type="dxa"/>
                  <w:vAlign w:val="center"/>
                </w:tcPr>
                <w:p w14:paraId="25FB7A2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G</w:t>
                  </w:r>
                  <w:r>
                    <w:rPr>
                      <w:rFonts w:hint="default" w:ascii="Times New Roman" w:hAnsi="Times New Roman" w:eastAsia="宋体" w:cs="Times New Roman"/>
                      <w:color w:val="auto"/>
                      <w:sz w:val="21"/>
                      <w:szCs w:val="21"/>
                      <w:lang w:val="en-US" w:eastAsia="zh-CN"/>
                    </w:rPr>
                    <w:t>2</w:t>
                  </w:r>
                </w:p>
              </w:tc>
              <w:tc>
                <w:tcPr>
                  <w:tcW w:w="1700" w:type="dxa"/>
                  <w:vAlign w:val="center"/>
                </w:tcPr>
                <w:p w14:paraId="3CE32D6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七氟丙烷</w:t>
                  </w:r>
                  <w:r>
                    <w:rPr>
                      <w:rFonts w:hint="default" w:ascii="Times New Roman" w:hAnsi="Times New Roman" w:eastAsia="宋体" w:cs="Times New Roman"/>
                      <w:b w:val="0"/>
                      <w:bCs/>
                      <w:color w:val="auto"/>
                      <w:szCs w:val="21"/>
                      <w:lang w:val="en-US" w:eastAsia="zh-CN"/>
                    </w:rPr>
                    <w:t>和</w:t>
                  </w:r>
                  <w:r>
                    <w:rPr>
                      <w:rFonts w:hint="default" w:ascii="Times New Roman" w:hAnsi="Times New Roman" w:eastAsia="宋体" w:cs="Times New Roman"/>
                      <w:b w:val="0"/>
                      <w:bCs/>
                      <w:color w:val="auto"/>
                      <w:szCs w:val="21"/>
                    </w:rPr>
                    <w:t>丙烷</w:t>
                  </w:r>
                  <w:r>
                    <w:rPr>
                      <w:rFonts w:hint="default" w:ascii="Times New Roman" w:hAnsi="Times New Roman" w:eastAsia="宋体" w:cs="Times New Roman"/>
                      <w:bCs/>
                      <w:color w:val="auto"/>
                      <w:kern w:val="2"/>
                      <w:sz w:val="21"/>
                      <w:szCs w:val="21"/>
                      <w:lang w:val="en-US" w:eastAsia="zh-CN" w:bidi="ar-SA"/>
                    </w:rPr>
                    <w:t>气瓶</w:t>
                  </w:r>
                  <w:r>
                    <w:rPr>
                      <w:rFonts w:hint="default" w:ascii="Times New Roman" w:hAnsi="Times New Roman" w:eastAsia="宋体" w:cs="Times New Roman"/>
                      <w:bCs/>
                      <w:color w:val="auto"/>
                      <w:sz w:val="21"/>
                      <w:szCs w:val="21"/>
                    </w:rPr>
                    <w:t>充装</w:t>
                  </w:r>
                </w:p>
              </w:tc>
              <w:tc>
                <w:tcPr>
                  <w:tcW w:w="1458" w:type="dxa"/>
                  <w:vMerge w:val="continue"/>
                  <w:vAlign w:val="center"/>
                </w:tcPr>
                <w:p w14:paraId="510DEFC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067" w:type="dxa"/>
                  <w:vMerge w:val="continue"/>
                  <w:vAlign w:val="center"/>
                </w:tcPr>
                <w:p w14:paraId="4219FBA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2015" w:type="dxa"/>
                  <w:vMerge w:val="continue"/>
                  <w:vAlign w:val="center"/>
                </w:tcPr>
                <w:p w14:paraId="01A300D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r>
            <w:tr w14:paraId="2EE17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Align w:val="center"/>
                </w:tcPr>
                <w:p w14:paraId="603DDEA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5"/>
                      <w:sz w:val="21"/>
                      <w:szCs w:val="21"/>
                    </w:rPr>
                    <w:t>废水</w:t>
                  </w:r>
                </w:p>
              </w:tc>
              <w:tc>
                <w:tcPr>
                  <w:tcW w:w="719" w:type="dxa"/>
                  <w:vAlign w:val="center"/>
                </w:tcPr>
                <w:p w14:paraId="2F3D046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700" w:type="dxa"/>
                  <w:vAlign w:val="center"/>
                </w:tcPr>
                <w:p w14:paraId="50D04BC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生活污</w:t>
                  </w:r>
                  <w:r>
                    <w:rPr>
                      <w:rFonts w:hint="default" w:ascii="Times New Roman" w:hAnsi="Times New Roman" w:eastAsia="宋体" w:cs="Times New Roman"/>
                      <w:color w:val="auto"/>
                      <w:spacing w:val="6"/>
                      <w:sz w:val="21"/>
                      <w:szCs w:val="21"/>
                    </w:rPr>
                    <w:t>水</w:t>
                  </w:r>
                </w:p>
              </w:tc>
              <w:tc>
                <w:tcPr>
                  <w:tcW w:w="1458" w:type="dxa"/>
                  <w:vAlign w:val="center"/>
                </w:tcPr>
                <w:p w14:paraId="1E7DDF4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rPr>
                    <w:t>COD、BOD、SS、氨氮</w:t>
                  </w:r>
                </w:p>
              </w:tc>
              <w:tc>
                <w:tcPr>
                  <w:tcW w:w="1067" w:type="dxa"/>
                  <w:vAlign w:val="center"/>
                </w:tcPr>
                <w:p w14:paraId="7CB2463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pacing w:val="-4"/>
                      <w:sz w:val="21"/>
                      <w:szCs w:val="21"/>
                    </w:rPr>
                    <w:t>间</w:t>
                  </w:r>
                  <w:r>
                    <w:rPr>
                      <w:rFonts w:hint="default" w:ascii="Times New Roman" w:hAnsi="Times New Roman" w:eastAsia="宋体" w:cs="Times New Roman"/>
                      <w:color w:val="auto"/>
                      <w:spacing w:val="-3"/>
                      <w:sz w:val="21"/>
                      <w:szCs w:val="21"/>
                    </w:rPr>
                    <w:t>断</w:t>
                  </w:r>
                </w:p>
              </w:tc>
              <w:tc>
                <w:tcPr>
                  <w:tcW w:w="2015" w:type="dxa"/>
                  <w:vAlign w:val="center"/>
                </w:tcPr>
                <w:p w14:paraId="51A136E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14"/>
                      <w:sz w:val="21"/>
                      <w:szCs w:val="21"/>
                      <w:lang w:eastAsia="zh-CN"/>
                    </w:rPr>
                  </w:pPr>
                  <w:r>
                    <w:rPr>
                      <w:rFonts w:hint="default" w:ascii="Times New Roman" w:hAnsi="Times New Roman" w:eastAsia="宋体" w:cs="Times New Roman"/>
                      <w:color w:val="auto"/>
                      <w:spacing w:val="14"/>
                      <w:sz w:val="21"/>
                      <w:szCs w:val="21"/>
                    </w:rPr>
                    <w:t>经化粪池处理后，</w:t>
                  </w:r>
                  <w:r>
                    <w:rPr>
                      <w:rFonts w:hint="default" w:ascii="Times New Roman" w:hAnsi="Times New Roman" w:eastAsia="宋体" w:cs="Times New Roman"/>
                      <w:color w:val="auto"/>
                      <w:spacing w:val="14"/>
                      <w:sz w:val="21"/>
                      <w:szCs w:val="21"/>
                      <w:lang w:eastAsia="zh-CN"/>
                    </w:rPr>
                    <w:t>经园区污水管网进入</w:t>
                  </w:r>
                  <w:r>
                    <w:rPr>
                      <w:rFonts w:hint="eastAsia" w:ascii="Times New Roman" w:hAnsi="Times New Roman" w:eastAsia="宋体" w:cs="Times New Roman"/>
                      <w:color w:val="auto"/>
                      <w:spacing w:val="14"/>
                      <w:sz w:val="21"/>
                      <w:szCs w:val="21"/>
                      <w:lang w:eastAsia="zh-CN"/>
                    </w:rPr>
                    <w:t>甘其毛都口岸加工园区工业污水处理厂</w:t>
                  </w:r>
                  <w:r>
                    <w:rPr>
                      <w:rFonts w:hint="default" w:ascii="Times New Roman" w:hAnsi="Times New Roman" w:eastAsia="宋体" w:cs="Times New Roman"/>
                      <w:color w:val="auto"/>
                      <w:spacing w:val="14"/>
                      <w:sz w:val="21"/>
                      <w:szCs w:val="21"/>
                      <w:lang w:eastAsia="zh-CN"/>
                    </w:rPr>
                    <w:t>处理</w:t>
                  </w:r>
                </w:p>
              </w:tc>
            </w:tr>
            <w:tr w14:paraId="336C9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Align w:val="center"/>
                </w:tcPr>
                <w:p w14:paraId="0EEEEEB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1"/>
                      <w:sz w:val="21"/>
                      <w:szCs w:val="21"/>
                    </w:rPr>
                    <w:t>噪</w:t>
                  </w:r>
                  <w:r>
                    <w:rPr>
                      <w:rFonts w:hint="default" w:ascii="Times New Roman" w:hAnsi="Times New Roman" w:eastAsia="宋体" w:cs="Times New Roman"/>
                      <w:color w:val="auto"/>
                      <w:sz w:val="21"/>
                      <w:szCs w:val="21"/>
                    </w:rPr>
                    <w:t>声</w:t>
                  </w:r>
                </w:p>
              </w:tc>
              <w:tc>
                <w:tcPr>
                  <w:tcW w:w="719" w:type="dxa"/>
                  <w:vAlign w:val="center"/>
                </w:tcPr>
                <w:p w14:paraId="3F4106B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8"/>
                      <w:sz w:val="21"/>
                      <w:szCs w:val="21"/>
                    </w:rPr>
                    <w:t>N</w:t>
                  </w:r>
                </w:p>
              </w:tc>
              <w:tc>
                <w:tcPr>
                  <w:tcW w:w="1700" w:type="dxa"/>
                  <w:vAlign w:val="center"/>
                </w:tcPr>
                <w:p w14:paraId="44850A6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11"/>
                      <w:sz w:val="21"/>
                      <w:szCs w:val="21"/>
                    </w:rPr>
                    <w:t>生</w:t>
                  </w:r>
                  <w:r>
                    <w:rPr>
                      <w:rFonts w:hint="default" w:ascii="Times New Roman" w:hAnsi="Times New Roman" w:eastAsia="宋体" w:cs="Times New Roman"/>
                      <w:color w:val="auto"/>
                      <w:spacing w:val="8"/>
                      <w:sz w:val="21"/>
                      <w:szCs w:val="21"/>
                    </w:rPr>
                    <w:t>产设备</w:t>
                  </w:r>
                </w:p>
              </w:tc>
              <w:tc>
                <w:tcPr>
                  <w:tcW w:w="1458" w:type="dxa"/>
                  <w:vAlign w:val="center"/>
                </w:tcPr>
                <w:p w14:paraId="09BE75E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1"/>
                      <w:sz w:val="21"/>
                      <w:szCs w:val="21"/>
                    </w:rPr>
                    <w:t>等</w:t>
                  </w:r>
                  <w:r>
                    <w:rPr>
                      <w:rFonts w:hint="default" w:ascii="Times New Roman" w:hAnsi="Times New Roman" w:eastAsia="宋体" w:cs="Times New Roman"/>
                      <w:color w:val="auto"/>
                      <w:sz w:val="21"/>
                      <w:szCs w:val="21"/>
                    </w:rPr>
                    <w:t>效连续A声级</w:t>
                  </w:r>
                </w:p>
              </w:tc>
              <w:tc>
                <w:tcPr>
                  <w:tcW w:w="1067" w:type="dxa"/>
                  <w:vAlign w:val="center"/>
                </w:tcPr>
                <w:p w14:paraId="40F9248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4"/>
                      <w:sz w:val="21"/>
                      <w:szCs w:val="21"/>
                    </w:rPr>
                    <w:t>连续</w:t>
                  </w:r>
                </w:p>
              </w:tc>
              <w:tc>
                <w:tcPr>
                  <w:tcW w:w="2015" w:type="dxa"/>
                  <w:vAlign w:val="center"/>
                </w:tcPr>
                <w:p w14:paraId="49C5500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11"/>
                      <w:sz w:val="21"/>
                      <w:szCs w:val="21"/>
                    </w:rPr>
                    <w:t>选</w:t>
                  </w:r>
                  <w:r>
                    <w:rPr>
                      <w:rFonts w:hint="default" w:ascii="Times New Roman" w:hAnsi="Times New Roman" w:eastAsia="宋体" w:cs="Times New Roman"/>
                      <w:color w:val="auto"/>
                      <w:spacing w:val="9"/>
                      <w:sz w:val="21"/>
                      <w:szCs w:val="21"/>
                    </w:rPr>
                    <w:t>取低噪声设备，并采取基础减振，厂房隔</w:t>
                  </w:r>
                  <w:r>
                    <w:rPr>
                      <w:rFonts w:hint="default" w:ascii="Times New Roman" w:hAnsi="Times New Roman" w:eastAsia="宋体" w:cs="Times New Roman"/>
                      <w:color w:val="auto"/>
                      <w:spacing w:val="8"/>
                      <w:sz w:val="21"/>
                      <w:szCs w:val="21"/>
                    </w:rPr>
                    <w:t>声</w:t>
                  </w:r>
                </w:p>
              </w:tc>
            </w:tr>
            <w:tr w14:paraId="5495F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Merge w:val="restart"/>
                  <w:vAlign w:val="center"/>
                </w:tcPr>
                <w:p w14:paraId="67D7D00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固废</w:t>
                  </w:r>
                </w:p>
              </w:tc>
              <w:tc>
                <w:tcPr>
                  <w:tcW w:w="719" w:type="dxa"/>
                  <w:vAlign w:val="center"/>
                </w:tcPr>
                <w:p w14:paraId="39D3AB3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S</w:t>
                  </w:r>
                  <w:r>
                    <w:rPr>
                      <w:rFonts w:hint="default" w:ascii="Times New Roman" w:hAnsi="Times New Roman" w:eastAsia="宋体" w:cs="Times New Roman"/>
                      <w:color w:val="auto"/>
                      <w:spacing w:val="-3"/>
                      <w:sz w:val="21"/>
                      <w:szCs w:val="21"/>
                    </w:rPr>
                    <w:t>1</w:t>
                  </w:r>
                </w:p>
              </w:tc>
              <w:tc>
                <w:tcPr>
                  <w:tcW w:w="1700" w:type="dxa"/>
                  <w:vAlign w:val="center"/>
                </w:tcPr>
                <w:p w14:paraId="3AC27D0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充装</w:t>
                  </w:r>
                </w:p>
              </w:tc>
              <w:tc>
                <w:tcPr>
                  <w:tcW w:w="1458" w:type="dxa"/>
                  <w:vAlign w:val="center"/>
                </w:tcPr>
                <w:p w14:paraId="7BA9FF4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废气瓶</w:t>
                  </w:r>
                </w:p>
              </w:tc>
              <w:tc>
                <w:tcPr>
                  <w:tcW w:w="1067" w:type="dxa"/>
                  <w:vAlign w:val="center"/>
                </w:tcPr>
                <w:p w14:paraId="4029D75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4"/>
                      <w:sz w:val="21"/>
                      <w:szCs w:val="21"/>
                    </w:rPr>
                    <w:t>间</w:t>
                  </w:r>
                  <w:r>
                    <w:rPr>
                      <w:rFonts w:hint="default" w:ascii="Times New Roman" w:hAnsi="Times New Roman" w:eastAsia="宋体" w:cs="Times New Roman"/>
                      <w:color w:val="auto"/>
                      <w:spacing w:val="-3"/>
                      <w:sz w:val="21"/>
                      <w:szCs w:val="21"/>
                    </w:rPr>
                    <w:t>断</w:t>
                  </w:r>
                </w:p>
              </w:tc>
              <w:tc>
                <w:tcPr>
                  <w:tcW w:w="2015" w:type="dxa"/>
                  <w:vMerge w:val="restart"/>
                  <w:vAlign w:val="center"/>
                </w:tcPr>
                <w:p w14:paraId="63A53EA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lang w:eastAsia="zh-CN"/>
                    </w:rPr>
                    <w:t>暂存于甲类库房，</w:t>
                  </w:r>
                  <w:r>
                    <w:rPr>
                      <w:rFonts w:hint="default" w:ascii="Times New Roman" w:hAnsi="Times New Roman" w:eastAsia="宋体" w:cs="Times New Roman"/>
                      <w:color w:val="auto"/>
                      <w:sz w:val="21"/>
                      <w:szCs w:val="21"/>
                      <w:lang w:val="en-US" w:eastAsia="zh-CN"/>
                    </w:rPr>
                    <w:t>定期送至第三方检测公司处置</w:t>
                  </w:r>
                </w:p>
              </w:tc>
            </w:tr>
            <w:tr w14:paraId="0CD73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Merge w:val="continue"/>
                  <w:vAlign w:val="center"/>
                </w:tcPr>
                <w:p w14:paraId="6FF2189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p>
              </w:tc>
              <w:tc>
                <w:tcPr>
                  <w:tcW w:w="719" w:type="dxa"/>
                  <w:vAlign w:val="center"/>
                </w:tcPr>
                <w:p w14:paraId="0FA00D9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S</w:t>
                  </w:r>
                  <w:r>
                    <w:rPr>
                      <w:rFonts w:hint="default" w:ascii="Times New Roman" w:hAnsi="Times New Roman" w:eastAsia="宋体" w:cs="Times New Roman"/>
                      <w:color w:val="auto"/>
                      <w:spacing w:val="-3"/>
                      <w:sz w:val="21"/>
                      <w:szCs w:val="21"/>
                    </w:rPr>
                    <w:t>2</w:t>
                  </w:r>
                </w:p>
              </w:tc>
              <w:tc>
                <w:tcPr>
                  <w:tcW w:w="1700" w:type="dxa"/>
                  <w:vAlign w:val="center"/>
                </w:tcPr>
                <w:p w14:paraId="1E06D9C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充装</w:t>
                  </w:r>
                </w:p>
              </w:tc>
              <w:tc>
                <w:tcPr>
                  <w:tcW w:w="1458" w:type="dxa"/>
                  <w:vAlign w:val="center"/>
                </w:tcPr>
                <w:p w14:paraId="0501778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废配件</w:t>
                  </w:r>
                </w:p>
              </w:tc>
              <w:tc>
                <w:tcPr>
                  <w:tcW w:w="1067" w:type="dxa"/>
                  <w:vAlign w:val="center"/>
                </w:tcPr>
                <w:p w14:paraId="0CE5F4D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4"/>
                      <w:sz w:val="21"/>
                      <w:szCs w:val="21"/>
                    </w:rPr>
                    <w:t>间</w:t>
                  </w:r>
                  <w:r>
                    <w:rPr>
                      <w:rFonts w:hint="default" w:ascii="Times New Roman" w:hAnsi="Times New Roman" w:eastAsia="宋体" w:cs="Times New Roman"/>
                      <w:color w:val="auto"/>
                      <w:spacing w:val="-3"/>
                      <w:sz w:val="21"/>
                      <w:szCs w:val="21"/>
                    </w:rPr>
                    <w:t>断</w:t>
                  </w:r>
                </w:p>
              </w:tc>
              <w:tc>
                <w:tcPr>
                  <w:tcW w:w="2015" w:type="dxa"/>
                  <w:vMerge w:val="continue"/>
                  <w:vAlign w:val="center"/>
                </w:tcPr>
                <w:p w14:paraId="3712CFF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p>
              </w:tc>
            </w:tr>
            <w:tr w14:paraId="698E3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8" w:type="dxa"/>
                  <w:vMerge w:val="continue"/>
                  <w:vAlign w:val="center"/>
                </w:tcPr>
                <w:p w14:paraId="000F09A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p>
              </w:tc>
              <w:tc>
                <w:tcPr>
                  <w:tcW w:w="719" w:type="dxa"/>
                  <w:vAlign w:val="center"/>
                </w:tcPr>
                <w:p w14:paraId="5BA99DE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700" w:type="dxa"/>
                  <w:vAlign w:val="center"/>
                </w:tcPr>
                <w:p w14:paraId="5667B1A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职工生活</w:t>
                  </w:r>
                </w:p>
              </w:tc>
              <w:tc>
                <w:tcPr>
                  <w:tcW w:w="1458" w:type="dxa"/>
                  <w:vAlign w:val="center"/>
                </w:tcPr>
                <w:p w14:paraId="208CA85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生活垃</w:t>
                  </w:r>
                  <w:r>
                    <w:rPr>
                      <w:rFonts w:hint="default" w:ascii="Times New Roman" w:hAnsi="Times New Roman" w:eastAsia="宋体" w:cs="Times New Roman"/>
                      <w:color w:val="auto"/>
                      <w:spacing w:val="6"/>
                      <w:sz w:val="21"/>
                      <w:szCs w:val="21"/>
                    </w:rPr>
                    <w:t>圾</w:t>
                  </w:r>
                </w:p>
              </w:tc>
              <w:tc>
                <w:tcPr>
                  <w:tcW w:w="1067" w:type="dxa"/>
                  <w:vAlign w:val="center"/>
                </w:tcPr>
                <w:p w14:paraId="3EE2B7C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pacing w:val="-4"/>
                      <w:sz w:val="21"/>
                      <w:szCs w:val="21"/>
                    </w:rPr>
                    <w:t>间</w:t>
                  </w:r>
                  <w:r>
                    <w:rPr>
                      <w:rFonts w:hint="default" w:ascii="Times New Roman" w:hAnsi="Times New Roman" w:eastAsia="宋体" w:cs="Times New Roman"/>
                      <w:color w:val="auto"/>
                      <w:spacing w:val="-3"/>
                      <w:sz w:val="21"/>
                      <w:szCs w:val="21"/>
                    </w:rPr>
                    <w:t>断</w:t>
                  </w:r>
                </w:p>
              </w:tc>
              <w:tc>
                <w:tcPr>
                  <w:tcW w:w="2015" w:type="dxa"/>
                  <w:vAlign w:val="center"/>
                </w:tcPr>
                <w:p w14:paraId="640C228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Cs/>
                      <w:color w:val="auto"/>
                      <w:sz w:val="21"/>
                      <w:szCs w:val="21"/>
                    </w:rPr>
                    <w:t>经垃圾桶收集后，</w:t>
                  </w:r>
                  <w:r>
                    <w:rPr>
                      <w:rFonts w:hint="default" w:ascii="Times New Roman" w:hAnsi="Times New Roman" w:eastAsia="宋体" w:cs="Times New Roman"/>
                      <w:color w:val="auto"/>
                      <w:sz w:val="21"/>
                      <w:szCs w:val="21"/>
                      <w:lang w:val="en-US" w:eastAsia="zh-CN"/>
                    </w:rPr>
                    <w:t>定期清运至环卫部门指定地点。</w:t>
                  </w:r>
                </w:p>
              </w:tc>
            </w:tr>
          </w:tbl>
          <w:p w14:paraId="181252AA">
            <w:pPr>
              <w:keepNext w:val="0"/>
              <w:pageBreakBefore w:val="0"/>
              <w:wordWrap/>
              <w:bidi w:val="0"/>
              <w:spacing w:beforeAutospacing="0" w:afterAutospacing="0" w:line="360" w:lineRule="auto"/>
              <w:ind w:left="0" w:leftChars="0" w:right="0" w:rightChars="0"/>
              <w:jc w:val="both"/>
              <w:rPr>
                <w:rFonts w:hint="default" w:ascii="Times New Roman" w:hAnsi="Times New Roman" w:eastAsia="宋体" w:cs="Times New Roman"/>
                <w:b w:val="0"/>
                <w:bCs w:val="0"/>
                <w:color w:val="auto"/>
                <w:sz w:val="24"/>
                <w:szCs w:val="24"/>
                <w:vertAlign w:val="baseline"/>
              </w:rPr>
            </w:pPr>
          </w:p>
        </w:tc>
      </w:tr>
      <w:tr w14:paraId="5F15A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7" w:type="dxa"/>
            <w:vAlign w:val="center"/>
          </w:tcPr>
          <w:p w14:paraId="37E241B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与项目有关的原有环境污染问题</w:t>
            </w:r>
          </w:p>
        </w:tc>
        <w:tc>
          <w:tcPr>
            <w:tcW w:w="8424" w:type="dxa"/>
            <w:vAlign w:val="center"/>
          </w:tcPr>
          <w:p w14:paraId="44CE397A">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color w:val="auto"/>
                <w:sz w:val="24"/>
                <w:szCs w:val="24"/>
              </w:rPr>
              <w:t>本项目属于新建项目，故没有与本项目有关的原有污染源</w:t>
            </w:r>
            <w:r>
              <w:rPr>
                <w:rFonts w:hint="default" w:ascii="Times New Roman" w:hAnsi="Times New Roman" w:eastAsia="宋体" w:cs="Times New Roman"/>
                <w:color w:val="auto"/>
                <w:sz w:val="24"/>
                <w:szCs w:val="24"/>
                <w:lang w:eastAsia="zh-CN"/>
              </w:rPr>
              <w:t>。</w:t>
            </w:r>
          </w:p>
        </w:tc>
      </w:tr>
    </w:tbl>
    <w:p w14:paraId="66FF926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pPr>
    </w:p>
    <w:p w14:paraId="18003D9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sectPr>
          <w:pgSz w:w="11906" w:h="16838"/>
          <w:pgMar w:top="1440" w:right="1800" w:bottom="1440" w:left="1800" w:header="851" w:footer="992" w:gutter="0"/>
          <w:pgNumType w:fmt="decimal"/>
          <w:cols w:space="425" w:num="1"/>
          <w:docGrid w:type="lines" w:linePitch="312" w:charSpace="0"/>
        </w:sectPr>
      </w:pPr>
    </w:p>
    <w:p w14:paraId="6FD8E4A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三、区域环境质量现状、环境保护目标及评价标准</w:t>
      </w:r>
    </w:p>
    <w:tbl>
      <w:tblPr>
        <w:tblStyle w:val="3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8374"/>
      </w:tblGrid>
      <w:tr w14:paraId="74C85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dxa"/>
            <w:vAlign w:val="center"/>
          </w:tcPr>
          <w:p w14:paraId="3E408CB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区域环境质量现状</w:t>
            </w:r>
          </w:p>
        </w:tc>
        <w:tc>
          <w:tcPr>
            <w:tcW w:w="8374" w:type="dxa"/>
            <w:vAlign w:val="center"/>
          </w:tcPr>
          <w:p w14:paraId="17887CC8">
            <w:pPr>
              <w:keepNext w:val="0"/>
              <w:keepLines w:val="0"/>
              <w:pageBreakBefore w:val="0"/>
              <w:widowControl/>
              <w:kinsoku/>
              <w:wordWrap/>
              <w:overflowPunct/>
              <w:topLinePunct w:val="0"/>
              <w:autoSpaceDE w:val="0"/>
              <w:autoSpaceDN w:val="0"/>
              <w:bidi w:val="0"/>
              <w:adjustRightInd w:val="0"/>
              <w:snapToGrid/>
              <w:spacing w:beforeAutospacing="0" w:afterAutospacing="0" w:line="360" w:lineRule="auto"/>
              <w:ind w:left="0" w:leftChars="0" w:right="0" w:rightChars="0" w:firstLine="482" w:firstLineChars="200"/>
              <w:jc w:val="left"/>
              <w:rPr>
                <w:rFonts w:hint="default" w:ascii="Times New Roman" w:hAnsi="Times New Roman" w:eastAsia="宋体" w:cs="Times New Roman"/>
                <w:b/>
                <w:bCs w:val="0"/>
                <w:color w:val="auto"/>
                <w:kern w:val="0"/>
                <w:sz w:val="24"/>
                <w:szCs w:val="24"/>
              </w:rPr>
            </w:pPr>
            <w:r>
              <w:rPr>
                <w:rFonts w:hint="default" w:ascii="Times New Roman" w:hAnsi="Times New Roman" w:eastAsia="宋体" w:cs="Times New Roman"/>
                <w:b/>
                <w:bCs w:val="0"/>
                <w:color w:val="auto"/>
                <w:kern w:val="0"/>
                <w:sz w:val="24"/>
                <w:szCs w:val="24"/>
              </w:rPr>
              <w:t>1、</w:t>
            </w:r>
            <w:r>
              <w:rPr>
                <w:rFonts w:hint="default" w:ascii="Times New Roman" w:hAnsi="Times New Roman" w:eastAsia="宋体" w:cs="Times New Roman"/>
                <w:b/>
                <w:bCs w:val="0"/>
                <w:color w:val="auto"/>
                <w:kern w:val="0"/>
                <w:sz w:val="24"/>
                <w:szCs w:val="24"/>
                <w:lang w:eastAsia="zh-CN"/>
              </w:rPr>
              <w:t>环境空气</w:t>
            </w:r>
            <w:r>
              <w:rPr>
                <w:rFonts w:hint="default" w:ascii="Times New Roman" w:hAnsi="Times New Roman" w:eastAsia="宋体" w:cs="Times New Roman"/>
                <w:b/>
                <w:bCs w:val="0"/>
                <w:color w:val="auto"/>
                <w:kern w:val="0"/>
                <w:sz w:val="24"/>
                <w:szCs w:val="24"/>
              </w:rPr>
              <w:t>质量</w:t>
            </w:r>
          </w:p>
          <w:p w14:paraId="0222BD18">
            <w:pPr>
              <w:keepNext w:val="0"/>
              <w:keepLines w:val="0"/>
              <w:pageBreakBefore w:val="0"/>
              <w:kinsoku/>
              <w:wordWrap/>
              <w:overflowPunct/>
              <w:topLinePunct w:val="0"/>
              <w:bidi w:val="0"/>
              <w:snapToGrid/>
              <w:spacing w:beforeAutospacing="0" w:afterAutospacing="0" w:line="360" w:lineRule="auto"/>
              <w:ind w:left="0" w:leftChars="0" w:right="0" w:rightChars="0" w:firstLine="482" w:firstLineChars="200"/>
              <w:jc w:val="left"/>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bCs w:val="0"/>
                <w:color w:val="auto"/>
                <w:sz w:val="24"/>
                <w:szCs w:val="24"/>
                <w:lang w:val="en-US" w:eastAsia="zh-CN"/>
              </w:rPr>
              <w:t>1</w:t>
            </w:r>
            <w:r>
              <w:rPr>
                <w:rFonts w:hint="default" w:ascii="Times New Roman" w:hAnsi="Times New Roman" w:eastAsia="宋体" w:cs="Times New Roman"/>
                <w:b/>
                <w:bCs w:val="0"/>
                <w:color w:val="auto"/>
                <w:sz w:val="24"/>
                <w:szCs w:val="24"/>
              </w:rPr>
              <w:t>）</w:t>
            </w:r>
            <w:r>
              <w:rPr>
                <w:rFonts w:hint="default" w:ascii="Times New Roman" w:hAnsi="Times New Roman" w:eastAsia="宋体" w:cs="Times New Roman"/>
                <w:b/>
                <w:bCs w:val="0"/>
                <w:color w:val="auto"/>
                <w:sz w:val="24"/>
                <w:szCs w:val="24"/>
                <w:lang w:eastAsia="zh-CN"/>
              </w:rPr>
              <w:t>项目所在区域达标判断</w:t>
            </w:r>
          </w:p>
          <w:p w14:paraId="43CBD8A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color w:val="auto"/>
                <w:kern w:val="0"/>
                <w:sz w:val="24"/>
                <w:szCs w:val="24"/>
                <w:highlight w:val="none"/>
              </w:rPr>
            </w:pPr>
            <w:r>
              <w:rPr>
                <w:rFonts w:hint="default" w:ascii="Times New Roman" w:hAnsi="Times New Roman" w:eastAsia="宋体" w:cs="Times New Roman"/>
                <w:b w:val="0"/>
                <w:bCs/>
                <w:color w:val="auto"/>
                <w:kern w:val="0"/>
                <w:sz w:val="24"/>
                <w:szCs w:val="24"/>
                <w:highlight w:val="none"/>
              </w:rPr>
              <w:t>根据《环境影响评价技术导则</w:t>
            </w:r>
            <w:r>
              <w:rPr>
                <w:rFonts w:hint="default" w:ascii="Times New Roman" w:hAnsi="Times New Roman" w:eastAsia="宋体" w:cs="Times New Roman"/>
                <w:b w:val="0"/>
                <w:bCs/>
                <w:color w:val="auto"/>
                <w:kern w:val="0"/>
                <w:sz w:val="24"/>
                <w:szCs w:val="24"/>
                <w:highlight w:val="none"/>
                <w:lang w:val="en-US" w:eastAsia="zh-CN"/>
              </w:rPr>
              <w:t xml:space="preserve"> </w:t>
            </w:r>
            <w:r>
              <w:rPr>
                <w:rFonts w:hint="default" w:ascii="Times New Roman" w:hAnsi="Times New Roman" w:eastAsia="宋体" w:cs="Times New Roman"/>
                <w:b w:val="0"/>
                <w:bCs/>
                <w:color w:val="auto"/>
                <w:kern w:val="0"/>
                <w:sz w:val="24"/>
                <w:szCs w:val="24"/>
                <w:highlight w:val="none"/>
              </w:rPr>
              <w:t>大气环境》（HJ2.2-2018）中6.4.1.1中的内容“城市环境空气质量达标评价指标为SO</w:t>
            </w:r>
            <w:r>
              <w:rPr>
                <w:rFonts w:hint="default" w:ascii="Times New Roman" w:hAnsi="Times New Roman" w:eastAsia="宋体" w:cs="Times New Roman"/>
                <w:b w:val="0"/>
                <w:bCs/>
                <w:color w:val="auto"/>
                <w:kern w:val="0"/>
                <w:sz w:val="24"/>
                <w:szCs w:val="24"/>
                <w:highlight w:val="none"/>
                <w:vertAlign w:val="subscript"/>
              </w:rPr>
              <w:t>2</w:t>
            </w:r>
            <w:r>
              <w:rPr>
                <w:rFonts w:hint="default" w:ascii="Times New Roman" w:hAnsi="Times New Roman" w:eastAsia="宋体" w:cs="Times New Roman"/>
                <w:b w:val="0"/>
                <w:bCs/>
                <w:color w:val="auto"/>
                <w:kern w:val="0"/>
                <w:sz w:val="24"/>
                <w:szCs w:val="24"/>
                <w:highlight w:val="none"/>
              </w:rPr>
              <w:t>、NO</w:t>
            </w:r>
            <w:r>
              <w:rPr>
                <w:rFonts w:hint="default" w:ascii="Times New Roman" w:hAnsi="Times New Roman" w:eastAsia="宋体" w:cs="Times New Roman"/>
                <w:b w:val="0"/>
                <w:bCs/>
                <w:color w:val="auto"/>
                <w:kern w:val="0"/>
                <w:sz w:val="24"/>
                <w:szCs w:val="24"/>
                <w:highlight w:val="none"/>
                <w:vertAlign w:val="subscript"/>
              </w:rPr>
              <w:t>2</w:t>
            </w:r>
            <w:r>
              <w:rPr>
                <w:rFonts w:hint="default" w:ascii="Times New Roman" w:hAnsi="Times New Roman" w:eastAsia="宋体" w:cs="Times New Roman"/>
                <w:b w:val="0"/>
                <w:bCs/>
                <w:color w:val="auto"/>
                <w:kern w:val="0"/>
                <w:sz w:val="24"/>
                <w:szCs w:val="24"/>
                <w:highlight w:val="none"/>
              </w:rPr>
              <w:t>、PM</w:t>
            </w:r>
            <w:r>
              <w:rPr>
                <w:rFonts w:hint="default" w:ascii="Times New Roman" w:hAnsi="Times New Roman" w:eastAsia="宋体" w:cs="Times New Roman"/>
                <w:b w:val="0"/>
                <w:bCs/>
                <w:color w:val="auto"/>
                <w:kern w:val="0"/>
                <w:sz w:val="24"/>
                <w:szCs w:val="24"/>
                <w:highlight w:val="none"/>
                <w:vertAlign w:val="subscript"/>
              </w:rPr>
              <w:t>10</w:t>
            </w:r>
            <w:r>
              <w:rPr>
                <w:rFonts w:hint="default" w:ascii="Times New Roman" w:hAnsi="Times New Roman" w:eastAsia="宋体" w:cs="Times New Roman"/>
                <w:b w:val="0"/>
                <w:bCs/>
                <w:color w:val="auto"/>
                <w:kern w:val="0"/>
                <w:sz w:val="24"/>
                <w:szCs w:val="24"/>
                <w:highlight w:val="none"/>
              </w:rPr>
              <w:t>、PM</w:t>
            </w:r>
            <w:r>
              <w:rPr>
                <w:rFonts w:hint="default" w:ascii="Times New Roman" w:hAnsi="Times New Roman" w:eastAsia="宋体" w:cs="Times New Roman"/>
                <w:b w:val="0"/>
                <w:bCs/>
                <w:color w:val="auto"/>
                <w:kern w:val="0"/>
                <w:sz w:val="24"/>
                <w:szCs w:val="24"/>
                <w:highlight w:val="none"/>
                <w:vertAlign w:val="subscript"/>
              </w:rPr>
              <w:t>2.5</w:t>
            </w:r>
            <w:r>
              <w:rPr>
                <w:rFonts w:hint="default" w:ascii="Times New Roman" w:hAnsi="Times New Roman" w:eastAsia="宋体" w:cs="Times New Roman"/>
                <w:b w:val="0"/>
                <w:bCs/>
                <w:color w:val="auto"/>
                <w:kern w:val="0"/>
                <w:sz w:val="24"/>
                <w:szCs w:val="24"/>
                <w:highlight w:val="none"/>
              </w:rPr>
              <w:t>、CO和O</w:t>
            </w:r>
            <w:r>
              <w:rPr>
                <w:rFonts w:hint="default" w:ascii="Times New Roman" w:hAnsi="Times New Roman" w:eastAsia="宋体" w:cs="Times New Roman"/>
                <w:b w:val="0"/>
                <w:bCs/>
                <w:color w:val="auto"/>
                <w:kern w:val="0"/>
                <w:sz w:val="24"/>
                <w:szCs w:val="24"/>
                <w:highlight w:val="none"/>
                <w:vertAlign w:val="subscript"/>
              </w:rPr>
              <w:t>3</w:t>
            </w:r>
            <w:r>
              <w:rPr>
                <w:rFonts w:hint="default" w:ascii="Times New Roman" w:hAnsi="Times New Roman" w:eastAsia="宋体" w:cs="Times New Roman"/>
                <w:b w:val="0"/>
                <w:bCs/>
                <w:color w:val="auto"/>
                <w:kern w:val="0"/>
                <w:sz w:val="24"/>
                <w:szCs w:val="24"/>
                <w:highlight w:val="none"/>
              </w:rPr>
              <w:t>，六项污染物全部达标即为城市环境空气质量达标”。</w:t>
            </w:r>
          </w:p>
          <w:p w14:paraId="1D171D2D">
            <w:pPr>
              <w:keepNext w:val="0"/>
              <w:keepLines w:val="0"/>
              <w:pageBreakBefore w:val="0"/>
              <w:kinsoku/>
              <w:wordWrap/>
              <w:overflowPunct/>
              <w:topLinePunct w:val="0"/>
              <w:bidi w:val="0"/>
              <w:snapToGrid/>
              <w:spacing w:beforeAutospacing="0" w:afterAutospacing="0" w:line="360" w:lineRule="auto"/>
              <w:ind w:left="0" w:leftChars="0" w:right="0" w:rightChars="0" w:firstLine="480" w:firstLineChars="200"/>
              <w:jc w:val="left"/>
              <w:rPr>
                <w:rFonts w:hint="default" w:ascii="Times New Roman" w:hAnsi="Times New Roman" w:eastAsia="宋体" w:cs="Times New Roman"/>
                <w:b w:val="0"/>
                <w:bCs/>
                <w:color w:val="auto"/>
                <w:sz w:val="24"/>
                <w:szCs w:val="32"/>
              </w:rPr>
            </w:pPr>
            <w:r>
              <w:rPr>
                <w:rFonts w:hint="default" w:ascii="Times New Roman" w:hAnsi="Times New Roman" w:eastAsia="宋体" w:cs="Times New Roman"/>
                <w:b w:val="0"/>
                <w:bCs/>
                <w:color w:val="auto"/>
                <w:sz w:val="24"/>
                <w:szCs w:val="32"/>
              </w:rPr>
              <w:t>本项目所在区域达标判定引用《巴彦淖尔市环境质量状况公报（202</w:t>
            </w:r>
            <w:r>
              <w:rPr>
                <w:rFonts w:hint="default" w:ascii="Times New Roman" w:hAnsi="Times New Roman" w:eastAsia="宋体" w:cs="Times New Roman"/>
                <w:b w:val="0"/>
                <w:bCs/>
                <w:color w:val="auto"/>
                <w:sz w:val="24"/>
                <w:szCs w:val="32"/>
                <w:lang w:val="en-US" w:eastAsia="zh-CN"/>
              </w:rPr>
              <w:t>3</w:t>
            </w:r>
            <w:r>
              <w:rPr>
                <w:rFonts w:hint="default" w:ascii="Times New Roman" w:hAnsi="Times New Roman" w:eastAsia="宋体" w:cs="Times New Roman"/>
                <w:b w:val="0"/>
                <w:bCs/>
                <w:color w:val="auto"/>
                <w:sz w:val="24"/>
                <w:szCs w:val="32"/>
              </w:rPr>
              <w:t>年）》</w:t>
            </w:r>
            <w:r>
              <w:rPr>
                <w:rFonts w:hint="default" w:ascii="Times New Roman" w:hAnsi="Times New Roman" w:eastAsia="宋体" w:cs="Times New Roman"/>
                <w:b w:val="0"/>
                <w:bCs/>
                <w:color w:val="auto"/>
                <w:sz w:val="24"/>
                <w:szCs w:val="32"/>
                <w:lang w:eastAsia="zh-CN"/>
              </w:rPr>
              <w:t>海流图镇</w:t>
            </w:r>
            <w:r>
              <w:rPr>
                <w:rFonts w:hint="default" w:ascii="Times New Roman" w:hAnsi="Times New Roman" w:eastAsia="宋体" w:cs="Times New Roman"/>
                <w:b w:val="0"/>
                <w:bCs/>
                <w:color w:val="auto"/>
                <w:sz w:val="24"/>
                <w:szCs w:val="32"/>
              </w:rPr>
              <w:t>环境空气监测数据，具体数据见下表。</w:t>
            </w:r>
          </w:p>
          <w:p w14:paraId="1B6F8955">
            <w:pPr>
              <w:keepNext w:val="0"/>
              <w:keepLines w:val="0"/>
              <w:pageBreakBefore w:val="0"/>
              <w:widowControl w:val="0"/>
              <w:suppressLineNumbers w:val="0"/>
              <w:kinsoku/>
              <w:wordWrap/>
              <w:overflowPunct/>
              <w:topLinePunct w:val="0"/>
              <w:bidi w:val="0"/>
              <w:adjustRightInd w:val="0"/>
              <w:snapToGrid/>
              <w:spacing w:beforeAutospacing="0" w:afterAutospacing="0" w:line="360" w:lineRule="auto"/>
              <w:ind w:left="0" w:leftChars="0" w:right="0" w:rightChars="0" w:firstLine="482" w:firstLineChars="200"/>
              <w:jc w:val="center"/>
              <w:textAlignment w:val="bottom"/>
              <w:outlineLvl w:val="1"/>
              <w:rPr>
                <w:rFonts w:hint="default" w:ascii="Times New Roman" w:hAnsi="Times New Roman" w:eastAsia="宋体" w:cs="Times New Roman"/>
                <w:b/>
                <w:bCs w:val="0"/>
                <w:color w:val="auto"/>
                <w:sz w:val="24"/>
                <w:szCs w:val="24"/>
              </w:rPr>
            </w:pPr>
            <w:r>
              <w:rPr>
                <w:rFonts w:hint="default" w:ascii="Times New Roman" w:hAnsi="Times New Roman" w:eastAsia="宋体" w:cs="Times New Roman"/>
                <w:b/>
                <w:bCs w:val="0"/>
                <w:color w:val="auto"/>
                <w:sz w:val="24"/>
                <w:szCs w:val="24"/>
              </w:rPr>
              <w:t>表3</w:t>
            </w:r>
            <w:r>
              <w:rPr>
                <w:rFonts w:hint="default" w:ascii="Times New Roman" w:hAnsi="Times New Roman" w:eastAsia="宋体" w:cs="Times New Roman"/>
                <w:b/>
                <w:bCs w:val="0"/>
                <w:color w:val="auto"/>
                <w:sz w:val="24"/>
                <w:szCs w:val="24"/>
                <w:lang w:val="en-US" w:eastAsia="zh-CN"/>
              </w:rPr>
              <w:t xml:space="preserve">-1  </w:t>
            </w:r>
            <w:r>
              <w:rPr>
                <w:rFonts w:hint="default" w:ascii="Times New Roman" w:hAnsi="Times New Roman" w:eastAsia="宋体" w:cs="Times New Roman"/>
                <w:b/>
                <w:bCs w:val="0"/>
                <w:color w:val="auto"/>
                <w:sz w:val="24"/>
                <w:szCs w:val="24"/>
              </w:rPr>
              <w:t>大气环境质量现状与评价结果一览表</w:t>
            </w:r>
          </w:p>
          <w:tbl>
            <w:tblPr>
              <w:tblStyle w:val="31"/>
              <w:tblW w:w="82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76"/>
              <w:gridCol w:w="2590"/>
              <w:gridCol w:w="1152"/>
              <w:gridCol w:w="1023"/>
              <w:gridCol w:w="1001"/>
              <w:gridCol w:w="1035"/>
            </w:tblGrid>
            <w:tr w14:paraId="35C7E0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476" w:type="dxa"/>
                  <w:tcBorders>
                    <w:top w:val="single" w:color="auto" w:sz="4" w:space="0"/>
                    <w:left w:val="single" w:color="auto" w:sz="0" w:space="0"/>
                    <w:bottom w:val="single" w:color="auto" w:sz="4" w:space="0"/>
                    <w:right w:val="single" w:color="auto" w:sz="4" w:space="0"/>
                  </w:tcBorders>
                  <w:shd w:val="clear" w:color="auto" w:fill="auto"/>
                  <w:vAlign w:val="center"/>
                </w:tcPr>
                <w:p w14:paraId="2FBC20F3">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污染物</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4E1C5D6D">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年评价指标</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0E62E72F">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现状浓度（</w:t>
                  </w:r>
                  <w:r>
                    <w:rPr>
                      <w:rFonts w:hint="default" w:ascii="Times New Roman" w:hAnsi="Times New Roman" w:eastAsia="宋体" w:cs="Times New Roman"/>
                      <w:color w:val="auto"/>
                      <w:spacing w:val="-16"/>
                      <w:lang w:eastAsia="zh-CN"/>
                    </w:rPr>
                    <w:t>μg/m</w:t>
                  </w:r>
                  <w:r>
                    <w:rPr>
                      <w:rFonts w:hint="default" w:ascii="Times New Roman" w:hAnsi="Times New Roman" w:eastAsia="宋体" w:cs="Times New Roman"/>
                      <w:color w:val="auto"/>
                      <w:spacing w:val="-16"/>
                      <w:vertAlign w:val="superscript"/>
                      <w:lang w:eastAsia="zh-CN"/>
                    </w:rPr>
                    <w:t>3</w:t>
                  </w:r>
                  <w:r>
                    <w:rPr>
                      <w:rFonts w:hint="default" w:ascii="Times New Roman" w:hAnsi="Times New Roman" w:eastAsia="宋体" w:cs="Times New Roman"/>
                      <w:color w:val="auto"/>
                      <w:spacing w:val="-16"/>
                    </w:rPr>
                    <w:t>）</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1093A658">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标准值</w:t>
                  </w:r>
                </w:p>
                <w:p w14:paraId="70A2380D">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w:t>
                  </w:r>
                  <w:r>
                    <w:rPr>
                      <w:rFonts w:hint="default" w:ascii="Times New Roman" w:hAnsi="Times New Roman" w:eastAsia="宋体" w:cs="Times New Roman"/>
                      <w:color w:val="auto"/>
                      <w:spacing w:val="-16"/>
                      <w:lang w:eastAsia="zh-CN"/>
                    </w:rPr>
                    <w:t>μg/m</w:t>
                  </w:r>
                  <w:r>
                    <w:rPr>
                      <w:rFonts w:hint="default" w:ascii="Times New Roman" w:hAnsi="Times New Roman" w:eastAsia="宋体" w:cs="Times New Roman"/>
                      <w:color w:val="auto"/>
                      <w:spacing w:val="-16"/>
                      <w:vertAlign w:val="superscript"/>
                      <w:lang w:eastAsia="zh-CN"/>
                    </w:rPr>
                    <w:t>3</w:t>
                  </w:r>
                  <w:r>
                    <w:rPr>
                      <w:rFonts w:hint="default" w:ascii="Times New Roman" w:hAnsi="Times New Roman" w:eastAsia="宋体" w:cs="Times New Roman"/>
                      <w:color w:val="auto"/>
                      <w:spacing w:val="-16"/>
                    </w:rPr>
                    <w:t>）</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04D1A5F7">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占标率%</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44418B65">
                  <w:pPr>
                    <w:keepNext w:val="0"/>
                    <w:keepLines w:val="0"/>
                    <w:pageBreakBefore w:val="0"/>
                    <w:suppressLineNumbers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pacing w:val="-16"/>
                    </w:rPr>
                  </w:pPr>
                  <w:r>
                    <w:rPr>
                      <w:rFonts w:hint="default" w:ascii="Times New Roman" w:hAnsi="Times New Roman" w:eastAsia="宋体" w:cs="Times New Roman"/>
                      <w:color w:val="auto"/>
                      <w:spacing w:val="-16"/>
                    </w:rPr>
                    <w:t>达标情况</w:t>
                  </w:r>
                </w:p>
              </w:tc>
            </w:tr>
            <w:tr w14:paraId="35FB3C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6" w:type="dxa"/>
                  <w:tcBorders>
                    <w:top w:val="single" w:color="auto" w:sz="4" w:space="0"/>
                    <w:left w:val="single" w:color="auto" w:sz="4" w:space="0"/>
                    <w:bottom w:val="single" w:color="auto" w:sz="4" w:space="0"/>
                    <w:right w:val="single" w:color="auto" w:sz="4" w:space="0"/>
                  </w:tcBorders>
                  <w:shd w:val="clear" w:color="auto" w:fill="auto"/>
                  <w:vAlign w:val="center"/>
                </w:tcPr>
                <w:p w14:paraId="637261DA">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16504AF3">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年平均质量浓度</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30443CE2">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6</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6A6BD61D">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60</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3B4122F0">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10.0</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704F7857">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达标</w:t>
                  </w:r>
                </w:p>
              </w:tc>
            </w:tr>
            <w:tr w14:paraId="7D5AE3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6" w:type="dxa"/>
                  <w:tcBorders>
                    <w:top w:val="single" w:color="auto" w:sz="4" w:space="0"/>
                    <w:left w:val="single" w:color="auto" w:sz="4" w:space="0"/>
                    <w:bottom w:val="single" w:color="auto" w:sz="4" w:space="0"/>
                    <w:right w:val="single" w:color="auto" w:sz="4" w:space="0"/>
                  </w:tcBorders>
                  <w:shd w:val="clear" w:color="auto" w:fill="auto"/>
                  <w:vAlign w:val="center"/>
                </w:tcPr>
                <w:p w14:paraId="7B7D199C">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6209767C">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年平均质量浓度</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38498A67">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12</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78A3EAC2">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40</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41F0FB5B">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30.0</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654DA3C7">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达标</w:t>
                  </w:r>
                </w:p>
              </w:tc>
            </w:tr>
            <w:tr w14:paraId="28829A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6" w:type="dxa"/>
                  <w:tcBorders>
                    <w:top w:val="single" w:color="auto" w:sz="4" w:space="0"/>
                    <w:left w:val="single" w:color="auto" w:sz="4" w:space="0"/>
                    <w:bottom w:val="single" w:color="auto" w:sz="4" w:space="0"/>
                    <w:right w:val="single" w:color="auto" w:sz="4" w:space="0"/>
                  </w:tcBorders>
                  <w:shd w:val="clear" w:color="auto" w:fill="auto"/>
                  <w:vAlign w:val="center"/>
                </w:tcPr>
                <w:p w14:paraId="01F16556">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4AFCE53A">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年平均质量浓度</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39492801">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36</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7EBBC2EF">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70</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00E3FCDC">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51.4</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593ED9B6">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达标</w:t>
                  </w:r>
                </w:p>
              </w:tc>
            </w:tr>
            <w:tr w14:paraId="4B5CA8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6" w:type="dxa"/>
                  <w:tcBorders>
                    <w:top w:val="single" w:color="auto" w:sz="4" w:space="0"/>
                    <w:left w:val="single" w:color="auto" w:sz="4" w:space="0"/>
                    <w:bottom w:val="single" w:color="auto" w:sz="4" w:space="0"/>
                    <w:right w:val="single" w:color="auto" w:sz="4" w:space="0"/>
                  </w:tcBorders>
                  <w:shd w:val="clear" w:color="auto" w:fill="auto"/>
                  <w:vAlign w:val="center"/>
                </w:tcPr>
                <w:p w14:paraId="1F46C8F0">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028AA630">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年平均质量浓度</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2BD51F0E">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19</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3E5D9A9E">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35</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06DB4879">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54.3</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37410BA0">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达标</w:t>
                  </w:r>
                </w:p>
              </w:tc>
            </w:tr>
            <w:tr w14:paraId="75D5BD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6" w:type="dxa"/>
                  <w:tcBorders>
                    <w:top w:val="single" w:color="auto" w:sz="4" w:space="0"/>
                    <w:left w:val="single" w:color="auto" w:sz="4" w:space="0"/>
                    <w:bottom w:val="single" w:color="auto" w:sz="4" w:space="0"/>
                    <w:right w:val="single" w:color="auto" w:sz="4" w:space="0"/>
                  </w:tcBorders>
                  <w:shd w:val="clear" w:color="auto" w:fill="auto"/>
                  <w:vAlign w:val="center"/>
                </w:tcPr>
                <w:p w14:paraId="52DC09C1">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2F42E997">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第90百分位数8小时平均</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303FAE94">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138</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122A9ADC">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160</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17F97E7A">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86.3</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368C71C6">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达标</w:t>
                  </w:r>
                </w:p>
              </w:tc>
            </w:tr>
            <w:tr w14:paraId="524A00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476" w:type="dxa"/>
                  <w:tcBorders>
                    <w:top w:val="single" w:color="auto" w:sz="4" w:space="0"/>
                    <w:left w:val="single" w:color="auto" w:sz="4" w:space="0"/>
                    <w:bottom w:val="single" w:color="auto" w:sz="4" w:space="0"/>
                    <w:right w:val="single" w:color="auto" w:sz="4" w:space="0"/>
                  </w:tcBorders>
                  <w:shd w:val="clear" w:color="auto" w:fill="auto"/>
                  <w:vAlign w:val="center"/>
                </w:tcPr>
                <w:p w14:paraId="601C4B0F">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CO</w:t>
                  </w:r>
                </w:p>
              </w:tc>
              <w:tc>
                <w:tcPr>
                  <w:tcW w:w="2590" w:type="dxa"/>
                  <w:tcBorders>
                    <w:top w:val="single" w:color="auto" w:sz="4" w:space="0"/>
                    <w:left w:val="single" w:color="auto" w:sz="4" w:space="0"/>
                    <w:bottom w:val="single" w:color="auto" w:sz="4" w:space="0"/>
                    <w:right w:val="single" w:color="auto" w:sz="4" w:space="0"/>
                  </w:tcBorders>
                  <w:shd w:val="clear" w:color="auto" w:fill="auto"/>
                  <w:vAlign w:val="center"/>
                </w:tcPr>
                <w:p w14:paraId="5B17061A">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第95百分位数日平均</w:t>
                  </w:r>
                </w:p>
              </w:tc>
              <w:tc>
                <w:tcPr>
                  <w:tcW w:w="1152" w:type="dxa"/>
                  <w:tcBorders>
                    <w:top w:val="single" w:color="auto" w:sz="4" w:space="0"/>
                    <w:left w:val="single" w:color="auto" w:sz="4" w:space="0"/>
                    <w:bottom w:val="single" w:color="auto" w:sz="4" w:space="0"/>
                    <w:right w:val="single" w:color="auto" w:sz="4" w:space="0"/>
                  </w:tcBorders>
                  <w:shd w:val="clear" w:color="auto" w:fill="auto"/>
                  <w:vAlign w:val="center"/>
                </w:tcPr>
                <w:p w14:paraId="00733BA4">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900</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45EE5E7F">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4000</w:t>
                  </w:r>
                </w:p>
              </w:tc>
              <w:tc>
                <w:tcPr>
                  <w:tcW w:w="1001" w:type="dxa"/>
                  <w:tcBorders>
                    <w:top w:val="single" w:color="auto" w:sz="4" w:space="0"/>
                    <w:left w:val="single" w:color="auto" w:sz="4" w:space="0"/>
                    <w:bottom w:val="single" w:color="auto" w:sz="4" w:space="0"/>
                    <w:right w:val="single" w:color="auto" w:sz="4" w:space="0"/>
                  </w:tcBorders>
                  <w:shd w:val="clear" w:color="auto" w:fill="auto"/>
                  <w:vAlign w:val="center"/>
                </w:tcPr>
                <w:p w14:paraId="1B6F4CA8">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22.5</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14:paraId="70CE627A">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sz w:val="21"/>
                      <w:szCs w:val="20"/>
                    </w:rPr>
                    <w:t>达标</w:t>
                  </w:r>
                </w:p>
              </w:tc>
            </w:tr>
          </w:tbl>
          <w:p w14:paraId="7DAD8C3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rPr>
              <w:t>从上表可以看出，</w:t>
            </w:r>
            <w:r>
              <w:rPr>
                <w:rFonts w:hint="default" w:ascii="Times New Roman" w:hAnsi="Times New Roman" w:eastAsia="宋体" w:cs="Times New Roman"/>
                <w:color w:val="auto"/>
                <w:kern w:val="0"/>
                <w:sz w:val="24"/>
                <w:szCs w:val="24"/>
                <w:highlight w:val="none"/>
                <w:lang w:eastAsia="zh-CN"/>
              </w:rPr>
              <w:t>巴彦淖尔市</w:t>
            </w:r>
            <w:r>
              <w:rPr>
                <w:rFonts w:hint="default" w:ascii="Times New Roman" w:hAnsi="Times New Roman" w:eastAsia="宋体" w:cs="Times New Roman"/>
                <w:color w:val="auto"/>
                <w:sz w:val="24"/>
                <w:szCs w:val="24"/>
                <w:lang w:val="en-US" w:eastAsia="zh-CN"/>
              </w:rPr>
              <w:t>乌拉特中旗</w:t>
            </w:r>
            <w:r>
              <w:rPr>
                <w:rFonts w:hint="default" w:ascii="Times New Roman" w:hAnsi="Times New Roman" w:eastAsia="宋体" w:cs="Times New Roman"/>
                <w:color w:val="auto"/>
                <w:kern w:val="0"/>
                <w:sz w:val="24"/>
                <w:szCs w:val="24"/>
                <w:highlight w:val="none"/>
                <w:lang w:eastAsia="zh-CN"/>
              </w:rPr>
              <w:t>海流图镇</w:t>
            </w:r>
            <w:r>
              <w:rPr>
                <w:rFonts w:hint="default" w:ascii="Times New Roman" w:hAnsi="Times New Roman" w:eastAsia="宋体" w:cs="Times New Roman"/>
                <w:color w:val="auto"/>
                <w:kern w:val="0"/>
                <w:sz w:val="24"/>
                <w:szCs w:val="24"/>
                <w:highlight w:val="none"/>
                <w:lang w:val="en-US" w:eastAsia="zh-CN"/>
              </w:rPr>
              <w:t>2023年大气环境中6项</w:t>
            </w:r>
            <w:r>
              <w:rPr>
                <w:rFonts w:hint="default" w:ascii="Times New Roman" w:hAnsi="Times New Roman" w:eastAsia="宋体" w:cs="Times New Roman"/>
                <w:color w:val="auto"/>
                <w:kern w:val="0"/>
                <w:sz w:val="24"/>
                <w:szCs w:val="24"/>
                <w:highlight w:val="none"/>
              </w:rPr>
              <w:t>污染物</w:t>
            </w:r>
            <w:r>
              <w:rPr>
                <w:rFonts w:hint="default" w:ascii="Times New Roman" w:hAnsi="Times New Roman" w:eastAsia="宋体" w:cs="Times New Roman"/>
                <w:color w:val="auto"/>
                <w:kern w:val="0"/>
                <w:sz w:val="24"/>
                <w:szCs w:val="24"/>
                <w:highlight w:val="none"/>
                <w:lang w:eastAsia="zh-CN"/>
              </w:rPr>
              <w:t>中</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均满足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由此可判断</w:t>
            </w:r>
            <w:r>
              <w:rPr>
                <w:rFonts w:hint="default" w:ascii="Times New Roman" w:hAnsi="Times New Roman" w:eastAsia="宋体" w:cs="Times New Roman"/>
                <w:color w:val="auto"/>
                <w:sz w:val="24"/>
                <w:szCs w:val="24"/>
                <w:lang w:val="en-US" w:eastAsia="zh-CN"/>
              </w:rPr>
              <w:t>乌拉特中旗</w:t>
            </w:r>
            <w:r>
              <w:rPr>
                <w:rFonts w:hint="default" w:ascii="Times New Roman" w:hAnsi="Times New Roman" w:eastAsia="宋体" w:cs="Times New Roman"/>
                <w:color w:val="auto"/>
                <w:kern w:val="0"/>
                <w:sz w:val="24"/>
                <w:szCs w:val="24"/>
                <w:highlight w:val="none"/>
                <w:lang w:eastAsia="zh-CN"/>
              </w:rPr>
              <w:t>为</w:t>
            </w:r>
            <w:r>
              <w:rPr>
                <w:rFonts w:hint="default" w:ascii="Times New Roman" w:hAnsi="Times New Roman" w:eastAsia="宋体" w:cs="Times New Roman"/>
                <w:color w:val="auto"/>
                <w:kern w:val="0"/>
                <w:sz w:val="24"/>
                <w:szCs w:val="24"/>
                <w:highlight w:val="none"/>
              </w:rPr>
              <w:t>达标区</w:t>
            </w:r>
            <w:r>
              <w:rPr>
                <w:rFonts w:hint="default" w:ascii="Times New Roman" w:hAnsi="Times New Roman" w:eastAsia="宋体" w:cs="Times New Roman"/>
                <w:color w:val="auto"/>
                <w:sz w:val="24"/>
                <w:szCs w:val="24"/>
              </w:rPr>
              <w:t>。</w:t>
            </w:r>
          </w:p>
          <w:p w14:paraId="726D782D">
            <w:pPr>
              <w:keepNext w:val="0"/>
              <w:keepLines w:val="0"/>
              <w:pageBreakBefore w:val="0"/>
              <w:suppressLineNumbers w:val="0"/>
              <w:shd w:val="clear"/>
              <w:kinsoku/>
              <w:wordWrap/>
              <w:overflowPunct/>
              <w:bidi w:val="0"/>
              <w:spacing w:beforeAutospacing="0" w:afterAutospacing="0" w:line="360" w:lineRule="auto"/>
              <w:ind w:left="0" w:leftChars="0" w:right="0" w:rightChars="0" w:firstLine="482" w:firstLineChars="200"/>
              <w:jc w:val="left"/>
              <w:rPr>
                <w:rFonts w:hint="default" w:ascii="Times New Roman" w:hAnsi="Times New Roman" w:eastAsia="宋体" w:cs="Times New Roman"/>
                <w:b/>
                <w:bCs/>
                <w:color w:val="auto"/>
                <w:sz w:val="24"/>
                <w:szCs w:val="22"/>
                <w:highlight w:val="none"/>
                <w:lang w:eastAsia="zh-CN"/>
              </w:rPr>
            </w:pPr>
            <w:r>
              <w:rPr>
                <w:rFonts w:hint="default" w:ascii="Times New Roman" w:hAnsi="Times New Roman" w:eastAsia="宋体" w:cs="Times New Roman"/>
                <w:b/>
                <w:bCs/>
                <w:color w:val="auto"/>
                <w:sz w:val="24"/>
                <w:szCs w:val="22"/>
                <w:highlight w:val="none"/>
              </w:rPr>
              <w:t>（2）其他污染物环境质量现状</w:t>
            </w:r>
            <w:r>
              <w:rPr>
                <w:rFonts w:hint="default" w:ascii="Times New Roman" w:hAnsi="Times New Roman" w:eastAsia="宋体" w:cs="Times New Roman"/>
                <w:b/>
                <w:bCs/>
                <w:color w:val="auto"/>
                <w:sz w:val="24"/>
                <w:szCs w:val="22"/>
                <w:highlight w:val="none"/>
                <w:lang w:eastAsia="zh-CN"/>
              </w:rPr>
              <w:t>评价</w:t>
            </w:r>
          </w:p>
          <w:p w14:paraId="29280B64">
            <w:pPr>
              <w:keepNext w:val="0"/>
              <w:keepLines w:val="0"/>
              <w:pageBreakBefore w:val="0"/>
              <w:suppressLineNumbers w:val="0"/>
              <w:shd w:val="clear"/>
              <w:kinsoku/>
              <w:wordWrap/>
              <w:overflowPunct/>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评价的其他污染物为</w:t>
            </w:r>
            <w:r>
              <w:rPr>
                <w:rFonts w:hint="default" w:ascii="Times New Roman" w:hAnsi="Times New Roman" w:eastAsia="宋体" w:cs="Times New Roman"/>
                <w:color w:val="auto"/>
                <w:sz w:val="24"/>
                <w:highlight w:val="none"/>
                <w:lang w:val="en-US" w:eastAsia="zh-CN"/>
              </w:rPr>
              <w:t>非甲烷总烃</w:t>
            </w:r>
            <w:r>
              <w:rPr>
                <w:rFonts w:hint="default" w:ascii="Times New Roman" w:hAnsi="Times New Roman" w:eastAsia="宋体" w:cs="Times New Roman"/>
                <w:color w:val="auto"/>
                <w:sz w:val="24"/>
                <w:highlight w:val="none"/>
              </w:rPr>
              <w:t>，为掌握评价区环境空气质量现状，并为影响评价提供基础资料和数据，本次评价引用《《国能巴彦淖尔煤化工有限责任公司年产120万吨捣固焦及综合利用项目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变更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影响评价报告书》中非甲烷总烃的监测数据。</w:t>
            </w:r>
          </w:p>
          <w:p w14:paraId="2F398102">
            <w:pPr>
              <w:keepNext w:val="0"/>
              <w:keepLines w:val="0"/>
              <w:pageBreakBefore w:val="0"/>
              <w:suppressLineNumbers w:val="0"/>
              <w:shd w:val="clear"/>
              <w:kinsoku/>
              <w:wordWrap/>
              <w:overflowPunct/>
              <w:bidi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监测时间：20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日至202</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29</w:t>
            </w:r>
            <w:r>
              <w:rPr>
                <w:rFonts w:hint="default" w:ascii="Times New Roman" w:hAnsi="Times New Roman" w:eastAsia="宋体" w:cs="Times New Roman"/>
                <w:color w:val="auto"/>
                <w:sz w:val="24"/>
                <w:highlight w:val="none"/>
              </w:rPr>
              <w:t>日；监测点位与</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的位置关系见表3-2；监测因子：</w:t>
            </w:r>
            <w:r>
              <w:rPr>
                <w:rFonts w:hint="default" w:ascii="Times New Roman" w:hAnsi="Times New Roman" w:eastAsia="宋体" w:cs="Times New Roman"/>
                <w:color w:val="auto"/>
                <w:sz w:val="24"/>
                <w:highlight w:val="none"/>
                <w:lang w:val="en-US" w:eastAsia="zh-CN"/>
              </w:rPr>
              <w:t>非甲烷总烃</w:t>
            </w:r>
            <w:r>
              <w:rPr>
                <w:rFonts w:hint="default" w:ascii="Times New Roman" w:hAnsi="Times New Roman" w:eastAsia="宋体" w:cs="Times New Roman"/>
                <w:color w:val="auto"/>
                <w:sz w:val="24"/>
                <w:highlight w:val="none"/>
              </w:rPr>
              <w:t>。监测结果统计见表3-3。</w:t>
            </w:r>
          </w:p>
          <w:p w14:paraId="375AA57A">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表3-</w:t>
            </w:r>
            <w:r>
              <w:rPr>
                <w:rFonts w:hint="default" w:ascii="Times New Roman" w:hAnsi="Times New Roman" w:eastAsia="宋体" w:cs="Times New Roman"/>
                <w:b/>
                <w:bCs/>
                <w:color w:val="auto"/>
                <w:sz w:val="24"/>
                <w:szCs w:val="22"/>
                <w:highlight w:val="none"/>
                <w:lang w:val="en-US" w:eastAsia="zh-CN"/>
              </w:rPr>
              <w:t xml:space="preserve">2  </w:t>
            </w:r>
            <w:r>
              <w:rPr>
                <w:rFonts w:hint="default" w:ascii="Times New Roman" w:hAnsi="Times New Roman" w:eastAsia="宋体" w:cs="Times New Roman"/>
                <w:b/>
                <w:bCs/>
                <w:color w:val="auto"/>
                <w:sz w:val="24"/>
                <w:szCs w:val="22"/>
                <w:highlight w:val="none"/>
              </w:rPr>
              <w:t>其他污染物补充监测点位基本信息</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441"/>
              <w:gridCol w:w="1594"/>
              <w:gridCol w:w="932"/>
              <w:gridCol w:w="1325"/>
              <w:gridCol w:w="1194"/>
              <w:gridCol w:w="1071"/>
            </w:tblGrid>
            <w:tr w14:paraId="25B33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restart"/>
                  <w:noWrap w:val="0"/>
                  <w:vAlign w:val="center"/>
                </w:tcPr>
                <w:p w14:paraId="7B86344E">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3035" w:type="dxa"/>
                  <w:gridSpan w:val="2"/>
                  <w:noWrap w:val="0"/>
                  <w:vAlign w:val="center"/>
                </w:tcPr>
                <w:p w14:paraId="216C9FA1">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坐标</w:t>
                  </w:r>
                </w:p>
              </w:tc>
              <w:tc>
                <w:tcPr>
                  <w:tcW w:w="932" w:type="dxa"/>
                  <w:vMerge w:val="restart"/>
                  <w:noWrap w:val="0"/>
                  <w:vAlign w:val="center"/>
                </w:tcPr>
                <w:p w14:paraId="58CF35EA">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w:t>
                  </w:r>
                </w:p>
                <w:p w14:paraId="04948B7A">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因子</w:t>
                  </w:r>
                </w:p>
              </w:tc>
              <w:tc>
                <w:tcPr>
                  <w:tcW w:w="1325" w:type="dxa"/>
                  <w:vMerge w:val="restart"/>
                  <w:noWrap w:val="0"/>
                  <w:vAlign w:val="center"/>
                </w:tcPr>
                <w:p w14:paraId="24E2B600">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监测时段</w:t>
                  </w:r>
                </w:p>
              </w:tc>
              <w:tc>
                <w:tcPr>
                  <w:tcW w:w="1194" w:type="dxa"/>
                  <w:vMerge w:val="restart"/>
                  <w:noWrap w:val="0"/>
                  <w:vAlign w:val="center"/>
                </w:tcPr>
                <w:p w14:paraId="1B532E03">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w:t>
                  </w:r>
                  <w:r>
                    <w:rPr>
                      <w:rFonts w:hint="default" w:ascii="Times New Roman" w:hAnsi="Times New Roman" w:eastAsia="宋体" w:cs="Times New Roman"/>
                      <w:b/>
                      <w:color w:val="auto"/>
                      <w:sz w:val="21"/>
                      <w:szCs w:val="21"/>
                      <w:highlight w:val="none"/>
                      <w:lang w:val="en-US" w:eastAsia="zh-CN"/>
                    </w:rPr>
                    <w:t>本</w:t>
                  </w:r>
                  <w:r>
                    <w:rPr>
                      <w:rFonts w:hint="default" w:ascii="Times New Roman" w:hAnsi="Times New Roman" w:eastAsia="宋体" w:cs="Times New Roman"/>
                      <w:b/>
                      <w:color w:val="auto"/>
                      <w:sz w:val="21"/>
                      <w:szCs w:val="21"/>
                      <w:highlight w:val="none"/>
                      <w:lang w:eastAsia="zh-CN"/>
                    </w:rPr>
                    <w:t>项目</w:t>
                  </w:r>
                  <w:r>
                    <w:rPr>
                      <w:rFonts w:hint="default" w:ascii="Times New Roman" w:hAnsi="Times New Roman" w:eastAsia="宋体" w:cs="Times New Roman"/>
                      <w:b/>
                      <w:color w:val="auto"/>
                      <w:sz w:val="21"/>
                      <w:szCs w:val="21"/>
                      <w:highlight w:val="none"/>
                    </w:rPr>
                    <w:t>厂址方位</w:t>
                  </w:r>
                </w:p>
              </w:tc>
              <w:tc>
                <w:tcPr>
                  <w:tcW w:w="1071" w:type="dxa"/>
                  <w:vMerge w:val="restart"/>
                  <w:noWrap w:val="0"/>
                  <w:vAlign w:val="center"/>
                </w:tcPr>
                <w:p w14:paraId="5A0A9884">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w:t>
                  </w:r>
                  <w:r>
                    <w:rPr>
                      <w:rFonts w:hint="default" w:ascii="Times New Roman" w:hAnsi="Times New Roman" w:eastAsia="宋体" w:cs="Times New Roman"/>
                      <w:b/>
                      <w:color w:val="auto"/>
                      <w:sz w:val="21"/>
                      <w:szCs w:val="21"/>
                      <w:highlight w:val="none"/>
                      <w:lang w:val="en-US" w:eastAsia="zh-CN"/>
                    </w:rPr>
                    <w:t>本</w:t>
                  </w:r>
                  <w:r>
                    <w:rPr>
                      <w:rFonts w:hint="default" w:ascii="Times New Roman" w:hAnsi="Times New Roman" w:eastAsia="宋体" w:cs="Times New Roman"/>
                      <w:b/>
                      <w:color w:val="auto"/>
                      <w:sz w:val="21"/>
                      <w:szCs w:val="21"/>
                      <w:highlight w:val="none"/>
                      <w:lang w:eastAsia="zh-CN"/>
                    </w:rPr>
                    <w:t>项目</w:t>
                  </w:r>
                  <w:r>
                    <w:rPr>
                      <w:rFonts w:hint="default" w:ascii="Times New Roman" w:hAnsi="Times New Roman" w:eastAsia="宋体" w:cs="Times New Roman"/>
                      <w:b/>
                      <w:color w:val="auto"/>
                      <w:sz w:val="21"/>
                      <w:szCs w:val="21"/>
                      <w:highlight w:val="none"/>
                    </w:rPr>
                    <w:t>厂界距离/m</w:t>
                  </w:r>
                </w:p>
              </w:tc>
            </w:tr>
            <w:tr w14:paraId="55E13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vMerge w:val="continue"/>
                  <w:noWrap w:val="0"/>
                  <w:vAlign w:val="center"/>
                </w:tcPr>
                <w:p w14:paraId="1CC59969">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441" w:type="dxa"/>
                  <w:noWrap w:val="0"/>
                  <w:vAlign w:val="center"/>
                </w:tcPr>
                <w:p w14:paraId="78F88F01">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北纬</w:t>
                  </w:r>
                </w:p>
              </w:tc>
              <w:tc>
                <w:tcPr>
                  <w:tcW w:w="1594" w:type="dxa"/>
                  <w:noWrap w:val="0"/>
                  <w:vAlign w:val="center"/>
                </w:tcPr>
                <w:p w14:paraId="0A267DD4">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东经</w:t>
                  </w:r>
                </w:p>
              </w:tc>
              <w:tc>
                <w:tcPr>
                  <w:tcW w:w="932" w:type="dxa"/>
                  <w:vMerge w:val="continue"/>
                  <w:noWrap w:val="0"/>
                  <w:vAlign w:val="center"/>
                </w:tcPr>
                <w:p w14:paraId="6F127535">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325" w:type="dxa"/>
                  <w:vMerge w:val="continue"/>
                  <w:noWrap w:val="0"/>
                  <w:vAlign w:val="center"/>
                </w:tcPr>
                <w:p w14:paraId="26977C0B">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194" w:type="dxa"/>
                  <w:vMerge w:val="continue"/>
                  <w:noWrap w:val="0"/>
                  <w:vAlign w:val="center"/>
                </w:tcPr>
                <w:p w14:paraId="0706F284">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c>
                <w:tcPr>
                  <w:tcW w:w="1071" w:type="dxa"/>
                  <w:vMerge w:val="continue"/>
                  <w:noWrap w:val="0"/>
                  <w:vAlign w:val="center"/>
                </w:tcPr>
                <w:p w14:paraId="0DD60EE7">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p>
              </w:tc>
            </w:tr>
            <w:tr w14:paraId="0F4C8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dxa"/>
                  <w:noWrap w:val="0"/>
                  <w:vAlign w:val="center"/>
                </w:tcPr>
                <w:p w14:paraId="75AE0B64">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东四义堂</w:t>
                  </w:r>
                </w:p>
              </w:tc>
              <w:tc>
                <w:tcPr>
                  <w:tcW w:w="1441" w:type="dxa"/>
                  <w:noWrap w:val="0"/>
                  <w:vAlign w:val="center"/>
                </w:tcPr>
                <w:p w14:paraId="204CAC58">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108°31′48.84″</w:t>
                  </w:r>
                </w:p>
              </w:tc>
              <w:tc>
                <w:tcPr>
                  <w:tcW w:w="1594" w:type="dxa"/>
                  <w:noWrap w:val="0"/>
                  <w:vAlign w:val="center"/>
                </w:tcPr>
                <w:p w14:paraId="75C678FD">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en-US"/>
                    </w:rPr>
                  </w:pPr>
                  <w:r>
                    <w:rPr>
                      <w:rFonts w:hint="default" w:ascii="Times New Roman" w:hAnsi="Times New Roman" w:eastAsia="宋体" w:cs="Times New Roman"/>
                      <w:color w:val="auto"/>
                      <w:sz w:val="21"/>
                      <w:szCs w:val="21"/>
                      <w:highlight w:val="none"/>
                      <w:lang w:val="en-US" w:eastAsia="en-US"/>
                    </w:rPr>
                    <w:t>41°16′39.79″</w:t>
                  </w:r>
                </w:p>
              </w:tc>
              <w:tc>
                <w:tcPr>
                  <w:tcW w:w="932" w:type="dxa"/>
                  <w:noWrap w:val="0"/>
                  <w:vAlign w:val="center"/>
                </w:tcPr>
                <w:p w14:paraId="27A78099">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highlight w:val="none"/>
                    </w:rPr>
                    <w:t>非甲烷总烃</w:t>
                  </w:r>
                </w:p>
              </w:tc>
              <w:tc>
                <w:tcPr>
                  <w:tcW w:w="1325" w:type="dxa"/>
                  <w:noWrap w:val="0"/>
                  <w:vAlign w:val="center"/>
                </w:tcPr>
                <w:p w14:paraId="7DCE90C7">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bCs/>
                      <w:color w:val="auto"/>
                      <w:sz w:val="21"/>
                      <w:szCs w:val="21"/>
                      <w:highlight w:val="none"/>
                    </w:rPr>
                    <w:t>小时平均浓度</w:t>
                  </w:r>
                </w:p>
              </w:tc>
              <w:tc>
                <w:tcPr>
                  <w:tcW w:w="1194" w:type="dxa"/>
                  <w:noWrap w:val="0"/>
                  <w:vAlign w:val="center"/>
                </w:tcPr>
                <w:p w14:paraId="6AA7A549">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南侧</w:t>
                  </w:r>
                </w:p>
              </w:tc>
              <w:tc>
                <w:tcPr>
                  <w:tcW w:w="1071" w:type="dxa"/>
                  <w:noWrap w:val="0"/>
                  <w:vAlign w:val="center"/>
                </w:tcPr>
                <w:p w14:paraId="7EE8F647">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2430</w:t>
                  </w:r>
                </w:p>
              </w:tc>
            </w:tr>
          </w:tbl>
          <w:p w14:paraId="548ACAEE">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360" w:lineRule="auto"/>
              <w:ind w:left="0" w:leftChars="0" w:right="0" w:rightChars="0" w:firstLine="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bCs/>
                <w:color w:val="auto"/>
                <w:kern w:val="0"/>
                <w:sz w:val="24"/>
                <w:szCs w:val="24"/>
                <w:highlight w:val="none"/>
                <w:lang w:val="en-US" w:eastAsia="zh-CN"/>
              </w:rPr>
              <w:t xml:space="preserve">3-3  </w:t>
            </w:r>
            <w:r>
              <w:rPr>
                <w:rFonts w:hint="default" w:ascii="Times New Roman" w:hAnsi="Times New Roman" w:eastAsia="宋体" w:cs="Times New Roman"/>
                <w:b/>
                <w:color w:val="auto"/>
                <w:sz w:val="24"/>
                <w:highlight w:val="none"/>
              </w:rPr>
              <w:t>其他污染物环境质量现状（监测结果）表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185"/>
              <w:gridCol w:w="1154"/>
              <w:gridCol w:w="1155"/>
              <w:gridCol w:w="1155"/>
              <w:gridCol w:w="963"/>
              <w:gridCol w:w="963"/>
              <w:gridCol w:w="963"/>
            </w:tblGrid>
            <w:tr w14:paraId="3D5AB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noWrap w:val="0"/>
                  <w:vAlign w:val="center"/>
                </w:tcPr>
                <w:p w14:paraId="1DC8C78F">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1185" w:type="dxa"/>
                  <w:noWrap w:val="0"/>
                  <w:vAlign w:val="center"/>
                </w:tcPr>
                <w:p w14:paraId="763AE9C8">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1154" w:type="dxa"/>
                  <w:noWrap w:val="0"/>
                  <w:vAlign w:val="center"/>
                </w:tcPr>
                <w:p w14:paraId="0C55E0CE">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平均时间</w:t>
                  </w:r>
                </w:p>
              </w:tc>
              <w:tc>
                <w:tcPr>
                  <w:tcW w:w="1155" w:type="dxa"/>
                  <w:noWrap w:val="0"/>
                  <w:vAlign w:val="center"/>
                </w:tcPr>
                <w:p w14:paraId="0C4A53A8">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平均标准（μg/m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1155" w:type="dxa"/>
                  <w:noWrap w:val="0"/>
                  <w:vAlign w:val="center"/>
                </w:tcPr>
                <w:p w14:paraId="6D27EB6E">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监测浓度范围（μg/m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963" w:type="dxa"/>
                  <w:noWrap w:val="0"/>
                  <w:vAlign w:val="center"/>
                </w:tcPr>
                <w:p w14:paraId="1D2CFAD0">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最大浓度占标率/%</w:t>
                  </w:r>
                </w:p>
              </w:tc>
              <w:tc>
                <w:tcPr>
                  <w:tcW w:w="963" w:type="dxa"/>
                  <w:noWrap w:val="0"/>
                  <w:vAlign w:val="center"/>
                </w:tcPr>
                <w:p w14:paraId="079D61E7">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超标率/%</w:t>
                  </w:r>
                </w:p>
              </w:tc>
              <w:tc>
                <w:tcPr>
                  <w:tcW w:w="963" w:type="dxa"/>
                  <w:noWrap w:val="0"/>
                  <w:vAlign w:val="center"/>
                </w:tcPr>
                <w:p w14:paraId="01D650BB">
                  <w:pPr>
                    <w:pStyle w:val="2"/>
                    <w:keepNext w:val="0"/>
                    <w:keepLines w:val="0"/>
                    <w:pageBreakBefore w:val="0"/>
                    <w:widowControl/>
                    <w:suppressLineNumbers w:val="0"/>
                    <w:shd w:val="clear"/>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是否超标</w:t>
                  </w:r>
                </w:p>
              </w:tc>
            </w:tr>
            <w:tr w14:paraId="61F12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noWrap w:val="0"/>
                  <w:vAlign w:val="center"/>
                </w:tcPr>
                <w:p w14:paraId="748048BB">
                  <w:pPr>
                    <w:pStyle w:val="2"/>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lang w:val="en-US" w:eastAsia="zh-CN" w:bidi="en-US"/>
                    </w:rPr>
                  </w:pPr>
                  <w:r>
                    <w:rPr>
                      <w:rFonts w:hint="default" w:ascii="Times New Roman" w:hAnsi="Times New Roman" w:eastAsia="宋体" w:cs="Times New Roman"/>
                      <w:color w:val="auto"/>
                      <w:sz w:val="21"/>
                      <w:szCs w:val="21"/>
                      <w:highlight w:val="none"/>
                      <w:lang w:val="en-US" w:eastAsia="zh-CN"/>
                    </w:rPr>
                    <w:t>东四义堂</w:t>
                  </w:r>
                </w:p>
              </w:tc>
              <w:tc>
                <w:tcPr>
                  <w:tcW w:w="1185" w:type="dxa"/>
                  <w:noWrap w:val="0"/>
                  <w:vAlign w:val="center"/>
                </w:tcPr>
                <w:p w14:paraId="51B06708">
                  <w:pPr>
                    <w:pStyle w:val="2"/>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en-US" w:bidi="en-US"/>
                    </w:rPr>
                  </w:pPr>
                  <w:r>
                    <w:rPr>
                      <w:rFonts w:hint="default" w:ascii="Times New Roman" w:hAnsi="Times New Roman" w:eastAsia="宋体" w:cs="Times New Roman"/>
                      <w:color w:val="auto"/>
                      <w:sz w:val="24"/>
                      <w:highlight w:val="none"/>
                    </w:rPr>
                    <w:t>非甲烷总烃</w:t>
                  </w:r>
                </w:p>
              </w:tc>
              <w:tc>
                <w:tcPr>
                  <w:tcW w:w="1154" w:type="dxa"/>
                  <w:noWrap w:val="0"/>
                  <w:vAlign w:val="center"/>
                </w:tcPr>
                <w:p w14:paraId="5C7DA960">
                  <w:pPr>
                    <w:keepNext w:val="0"/>
                    <w:keepLines w:val="0"/>
                    <w:pageBreakBefore w:val="0"/>
                    <w:widowControl/>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bCs/>
                      <w:color w:val="auto"/>
                      <w:sz w:val="21"/>
                      <w:szCs w:val="21"/>
                      <w:highlight w:val="none"/>
                    </w:rPr>
                    <w:t>小时平均浓度</w:t>
                  </w:r>
                </w:p>
              </w:tc>
              <w:tc>
                <w:tcPr>
                  <w:tcW w:w="1155" w:type="dxa"/>
                  <w:noWrap w:val="0"/>
                  <w:vAlign w:val="center"/>
                </w:tcPr>
                <w:p w14:paraId="20E71094">
                  <w:pPr>
                    <w:pStyle w:val="2"/>
                    <w:keepNext w:val="0"/>
                    <w:keepLines w:val="0"/>
                    <w:pageBreakBefore w:val="0"/>
                    <w:widowControl/>
                    <w:suppressLineNumbers w:val="0"/>
                    <w:kinsoku/>
                    <w:wordWrap/>
                    <w:overflowPunct/>
                    <w:topLinePunct w:val="0"/>
                    <w:autoSpaceDE/>
                    <w:autoSpaceDN/>
                    <w:bidi w:val="0"/>
                    <w:adjustRightInd/>
                    <w:snapToGrid/>
                    <w:spacing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0"/>
                      <w:sz w:val="21"/>
                      <w:szCs w:val="21"/>
                      <w:highlight w:val="none"/>
                      <w:lang w:val="en-US" w:eastAsia="zh-CN" w:bidi="en-US"/>
                    </w:rPr>
                  </w:pPr>
                  <w:r>
                    <w:rPr>
                      <w:rFonts w:hint="default" w:ascii="Times New Roman" w:hAnsi="Times New Roman" w:eastAsia="宋体" w:cs="Times New Roman"/>
                      <w:bCs/>
                      <w:color w:val="auto"/>
                      <w:sz w:val="21"/>
                      <w:szCs w:val="21"/>
                      <w:highlight w:val="none"/>
                      <w:lang w:val="en-US" w:eastAsia="zh-CN"/>
                    </w:rPr>
                    <w:t>2000</w:t>
                  </w:r>
                </w:p>
              </w:tc>
              <w:tc>
                <w:tcPr>
                  <w:tcW w:w="1155" w:type="dxa"/>
                  <w:noWrap w:val="0"/>
                  <w:vAlign w:val="center"/>
                </w:tcPr>
                <w:p w14:paraId="0601377E">
                  <w:pPr>
                    <w:keepNext w:val="0"/>
                    <w:keepLines w:val="0"/>
                    <w:pageBreakBefore w:val="0"/>
                    <w:widowControl/>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630-780</w:t>
                  </w:r>
                </w:p>
              </w:tc>
              <w:tc>
                <w:tcPr>
                  <w:tcW w:w="963" w:type="dxa"/>
                  <w:noWrap w:val="0"/>
                  <w:vAlign w:val="center"/>
                </w:tcPr>
                <w:p w14:paraId="486D42CD">
                  <w:pPr>
                    <w:keepNext w:val="0"/>
                    <w:keepLines w:val="0"/>
                    <w:pageBreakBefore w:val="0"/>
                    <w:widowControl/>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39.0</w:t>
                  </w:r>
                </w:p>
              </w:tc>
              <w:tc>
                <w:tcPr>
                  <w:tcW w:w="963" w:type="dxa"/>
                  <w:noWrap w:val="0"/>
                  <w:vAlign w:val="center"/>
                </w:tcPr>
                <w:p w14:paraId="2E7923BC">
                  <w:pPr>
                    <w:keepNext w:val="0"/>
                    <w:keepLines w:val="0"/>
                    <w:pageBreakBefore w:val="0"/>
                    <w:widowControl/>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0</w:t>
                  </w:r>
                </w:p>
              </w:tc>
              <w:tc>
                <w:tcPr>
                  <w:tcW w:w="963" w:type="dxa"/>
                  <w:noWrap w:val="0"/>
                  <w:vAlign w:val="center"/>
                </w:tcPr>
                <w:p w14:paraId="3611A3BD">
                  <w:pPr>
                    <w:keepNext w:val="0"/>
                    <w:keepLines w:val="0"/>
                    <w:pageBreakBefore w:val="0"/>
                    <w:widowControl/>
                    <w:suppressLineNumbers w:val="0"/>
                    <w:kinsoku/>
                    <w:wordWrap/>
                    <w:overflowPunct/>
                    <w:topLinePunct w:val="0"/>
                    <w:autoSpaceDE/>
                    <w:autoSpaceDN/>
                    <w:bidi w:val="0"/>
                    <w:adjustRightInd/>
                    <w:snapToGrid/>
                    <w:spacing w:beforeAutospacing="0" w:afterAutospacing="0"/>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否</w:t>
                  </w:r>
                </w:p>
              </w:tc>
            </w:tr>
          </w:tbl>
          <w:p w14:paraId="40689E0B">
            <w:pPr>
              <w:keepNext w:val="0"/>
              <w:keepLines w:val="0"/>
              <w:pageBreakBefore w:val="0"/>
              <w:widowControl w:val="0"/>
              <w:suppressLineNumbers w:val="0"/>
              <w:shd w:val="clear"/>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从上表其他污染物现状监测数据统计结果可知，其他污染物（非甲烷总烃）</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小时平均浓度</w:t>
            </w:r>
            <w:r>
              <w:rPr>
                <w:rFonts w:hint="default" w:ascii="Times New Roman" w:hAnsi="Times New Roman" w:eastAsia="宋体" w:cs="Times New Roman"/>
                <w:bCs/>
                <w:color w:val="auto"/>
                <w:sz w:val="24"/>
                <w:highlight w:val="none"/>
              </w:rPr>
              <w:t>满足《环境空气质量 非甲烷总烃限值》（DB13/1577-2012）二级标准限值要求</w:t>
            </w:r>
            <w:r>
              <w:rPr>
                <w:rFonts w:hint="default" w:ascii="Times New Roman" w:hAnsi="Times New Roman" w:eastAsia="宋体" w:cs="Times New Roman"/>
                <w:color w:val="auto"/>
                <w:sz w:val="24"/>
                <w:highlight w:val="none"/>
                <w:lang w:eastAsia="zh-CN"/>
              </w:rPr>
              <w:t>。</w:t>
            </w:r>
          </w:p>
          <w:p w14:paraId="267DBE3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highlight w:val="none"/>
                <w:lang w:val="en-US" w:eastAsia="zh-CN"/>
              </w:rPr>
              <w:t>引用可行性分析：</w:t>
            </w:r>
            <w:r>
              <w:rPr>
                <w:rFonts w:hint="default" w:ascii="Times New Roman" w:hAnsi="Times New Roman" w:eastAsia="宋体" w:cs="Times New Roman"/>
                <w:b w:val="0"/>
                <w:bCs w:val="0"/>
                <w:color w:val="auto"/>
                <w:sz w:val="24"/>
                <w:szCs w:val="24"/>
                <w:highlight w:val="none"/>
                <w:lang w:val="en-US" w:eastAsia="zh-CN"/>
              </w:rPr>
              <w:t>根据《建设项目环境影响报告表编制技术指南》（污染影响类）（试行）“排放国家、地方环境空气质量标准中有标准限值要求的特征污染物时，引用建设项目周边5千米范围内近3年的现有监测数据”，本项目引用数据的</w:t>
            </w:r>
            <w:r>
              <w:rPr>
                <w:rFonts w:hint="default" w:ascii="Times New Roman" w:hAnsi="Times New Roman" w:eastAsia="宋体" w:cs="Times New Roman"/>
                <w:b w:val="0"/>
                <w:bCs w:val="0"/>
                <w:color w:val="auto"/>
                <w:sz w:val="24"/>
                <w:szCs w:val="24"/>
                <w:highlight w:val="none"/>
                <w:lang w:eastAsia="zh-CN"/>
              </w:rPr>
              <w:t>监测时间为</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日至202</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29</w:t>
            </w:r>
            <w:r>
              <w:rPr>
                <w:rFonts w:hint="default" w:ascii="Times New Roman" w:hAnsi="Times New Roman" w:eastAsia="宋体" w:cs="Times New Roman"/>
                <w:color w:val="auto"/>
                <w:sz w:val="24"/>
                <w:highlight w:val="none"/>
              </w:rPr>
              <w:t>日</w:t>
            </w:r>
            <w:r>
              <w:rPr>
                <w:rFonts w:hint="default" w:ascii="Times New Roman" w:hAnsi="Times New Roman" w:eastAsia="宋体" w:cs="Times New Roman"/>
                <w:b w:val="0"/>
                <w:bCs w:val="0"/>
                <w:color w:val="auto"/>
                <w:sz w:val="24"/>
                <w:szCs w:val="24"/>
                <w:highlight w:val="none"/>
                <w:lang w:val="en-US" w:eastAsia="zh-CN"/>
              </w:rPr>
              <w:t>，在有效期3年之内；</w:t>
            </w:r>
            <w:r>
              <w:rPr>
                <w:rFonts w:hint="default" w:ascii="Times New Roman" w:hAnsi="Times New Roman" w:eastAsia="宋体" w:cs="Times New Roman"/>
                <w:b w:val="0"/>
                <w:bCs w:val="0"/>
                <w:color w:val="auto"/>
                <w:sz w:val="24"/>
                <w:szCs w:val="24"/>
                <w:highlight w:val="none"/>
                <w:lang w:eastAsia="zh-CN"/>
              </w:rPr>
              <w:t>距离本项目</w:t>
            </w:r>
            <w:r>
              <w:rPr>
                <w:rFonts w:hint="default"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宋体" w:cs="Times New Roman"/>
                <w:b w:val="0"/>
                <w:bCs w:val="0"/>
                <w:color w:val="auto"/>
                <w:sz w:val="24"/>
                <w:szCs w:val="24"/>
                <w:highlight w:val="none"/>
                <w:lang w:eastAsia="zh-CN"/>
              </w:rPr>
              <w:t>30</w:t>
            </w:r>
            <w:r>
              <w:rPr>
                <w:rFonts w:hint="default" w:ascii="Times New Roman" w:hAnsi="Times New Roman" w:eastAsia="宋体" w:cs="Times New Roman"/>
                <w:b w:val="0"/>
                <w:bCs w:val="0"/>
                <w:color w:val="auto"/>
                <w:sz w:val="24"/>
                <w:szCs w:val="24"/>
                <w:highlight w:val="none"/>
                <w:lang w:val="en-US" w:eastAsia="zh-CN"/>
              </w:rPr>
              <w:t>m，在5km范围之内；因此，该</w:t>
            </w:r>
            <w:r>
              <w:rPr>
                <w:rFonts w:hint="default" w:ascii="Times New Roman" w:hAnsi="Times New Roman" w:eastAsia="宋体" w:cs="Times New Roman"/>
                <w:b w:val="0"/>
                <w:bCs w:val="0"/>
                <w:color w:val="0000FF"/>
                <w:sz w:val="24"/>
                <w:szCs w:val="24"/>
                <w:highlight w:val="none"/>
                <w:lang w:val="en-US" w:eastAsia="zh-CN"/>
              </w:rPr>
              <w:t>非甲烷总烃</w:t>
            </w:r>
            <w:r>
              <w:rPr>
                <w:rFonts w:hint="default" w:ascii="Times New Roman" w:hAnsi="Times New Roman" w:eastAsia="宋体" w:cs="Times New Roman"/>
                <w:color w:val="auto"/>
                <w:sz w:val="24"/>
                <w:szCs w:val="24"/>
                <w:highlight w:val="none"/>
                <w:lang w:eastAsia="zh-CN"/>
              </w:rPr>
              <w:t>监测点位可引用</w:t>
            </w:r>
            <w:r>
              <w:rPr>
                <w:rFonts w:hint="default" w:ascii="Times New Roman" w:hAnsi="Times New Roman" w:eastAsia="宋体" w:cs="Times New Roman"/>
                <w:color w:val="auto"/>
                <w:sz w:val="24"/>
                <w:szCs w:val="24"/>
                <w:highlight w:val="none"/>
                <w:lang w:val="en-US" w:eastAsia="zh-CN"/>
              </w:rPr>
              <w:t>。</w:t>
            </w:r>
          </w:p>
          <w:p w14:paraId="51D526D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eastAsia="zh-CN"/>
              </w:rPr>
              <w:t>声</w:t>
            </w:r>
            <w:r>
              <w:rPr>
                <w:rFonts w:hint="default" w:ascii="Times New Roman" w:hAnsi="Times New Roman" w:eastAsia="宋体" w:cs="Times New Roman"/>
                <w:b/>
                <w:bCs/>
                <w:color w:val="auto"/>
                <w:sz w:val="24"/>
                <w:szCs w:val="24"/>
              </w:rPr>
              <w:t>环境质量</w:t>
            </w:r>
          </w:p>
          <w:p w14:paraId="670F79D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根据《建设项目环境影响报告表编制技术指南（污染影响类）（试行）》，厂界外周边50米范围内存在声环境保护目标的建设项目，应监测保护目标声环境质量现状并评价达标情况。本项目位于</w:t>
            </w:r>
            <w:r>
              <w:rPr>
                <w:rFonts w:hint="default" w:ascii="Times New Roman" w:hAnsi="Times New Roman" w:eastAsia="宋体" w:cs="Times New Roman"/>
                <w:color w:val="0000FF"/>
                <w:sz w:val="24"/>
                <w:szCs w:val="24"/>
              </w:rPr>
              <w:t>工业园</w:t>
            </w:r>
            <w:r>
              <w:rPr>
                <w:rFonts w:hint="default" w:ascii="Times New Roman" w:hAnsi="Times New Roman" w:eastAsia="宋体" w:cs="Times New Roman"/>
                <w:color w:val="0000FF"/>
                <w:sz w:val="24"/>
                <w:szCs w:val="24"/>
                <w:lang w:val="en-US" w:eastAsia="zh-CN"/>
              </w:rPr>
              <w:t>区内</w:t>
            </w:r>
            <w:r>
              <w:rPr>
                <w:rFonts w:hint="default" w:ascii="Times New Roman" w:hAnsi="Times New Roman" w:eastAsia="宋体" w:cs="Times New Roman"/>
                <w:color w:val="auto"/>
                <w:sz w:val="24"/>
                <w:szCs w:val="24"/>
              </w:rPr>
              <w:t>，厂界外周边50米范围内无声环境保护目标，因此无需对其进行监测与评价。</w:t>
            </w:r>
          </w:p>
          <w:p w14:paraId="33BC082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、生态环境</w:t>
            </w:r>
          </w:p>
          <w:p w14:paraId="26E5DAB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本项目位于工业园区，用地性质为工业用地，拟建地已平整，无生态环境保护目标，根据《建设项目环境影响报告表编制技术指南》（污染影响类）（试行），本项目可不进行生态现状调查。</w:t>
            </w:r>
          </w:p>
          <w:p w14:paraId="1F5422B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、地下水、土壤环境</w:t>
            </w:r>
          </w:p>
          <w:p w14:paraId="7264C45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影响报告表编制技术指南》（污染影响类）（试行），地下水及土壤原则上不开展环境质量现状调查。建设项目存在土壤、地下水环境污染途径的，应结合污染源、保护目标分布情况开展现状调查以留作背景值。</w:t>
            </w:r>
          </w:p>
          <w:p w14:paraId="78A5503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Cs w:val="24"/>
                <w:vertAlign w:val="baseline"/>
              </w:rPr>
            </w:pPr>
            <w:r>
              <w:rPr>
                <w:rFonts w:hint="default" w:ascii="Times New Roman" w:hAnsi="Times New Roman" w:eastAsia="宋体" w:cs="Times New Roman"/>
                <w:color w:val="auto"/>
                <w:sz w:val="24"/>
                <w:szCs w:val="24"/>
              </w:rPr>
              <w:t>本项目所在地为空地，无现有污染源，周边无地下水集中式饮用水水源和热水、矿泉水、温泉等特殊地下水资源，且本项目不排放工业废气、工业废水，可切断土壤、地下水污染途径。因此可不开展地下水、土壤环境质量现状调查。</w:t>
            </w:r>
          </w:p>
        </w:tc>
      </w:tr>
      <w:tr w14:paraId="6C532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dxa"/>
            <w:vAlign w:val="center"/>
          </w:tcPr>
          <w:p w14:paraId="2D1DE31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环境保护目标</w:t>
            </w:r>
          </w:p>
        </w:tc>
        <w:tc>
          <w:tcPr>
            <w:tcW w:w="8374" w:type="dxa"/>
            <w:vAlign w:val="center"/>
          </w:tcPr>
          <w:p w14:paraId="5CFC3F47">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评价范围内无文物古迹、自然保护区等敏感目标，见表</w:t>
            </w:r>
            <w:r>
              <w:rPr>
                <w:rFonts w:hint="default" w:ascii="Times New Roman" w:hAnsi="Times New Roman" w:eastAsia="宋体" w:cs="Times New Roman"/>
                <w:color w:val="auto"/>
                <w:sz w:val="24"/>
                <w:lang w:val="en-US" w:eastAsia="zh-CN"/>
              </w:rPr>
              <w:t>3-4</w:t>
            </w:r>
            <w:r>
              <w:rPr>
                <w:rFonts w:hint="default" w:ascii="Times New Roman" w:hAnsi="Times New Roman" w:eastAsia="宋体" w:cs="Times New Roman"/>
                <w:color w:val="auto"/>
                <w:sz w:val="24"/>
              </w:rPr>
              <w:t>所示。</w:t>
            </w:r>
          </w:p>
          <w:p w14:paraId="0FD77928">
            <w:pPr>
              <w:keepNext w:val="0"/>
              <w:keepLines w:val="0"/>
              <w:pageBreakBefore w:val="0"/>
              <w:suppressLineNumbers w:val="0"/>
              <w:tabs>
                <w:tab w:val="left" w:pos="1992"/>
              </w:tabs>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3-4  </w:t>
            </w:r>
            <w:r>
              <w:rPr>
                <w:rFonts w:hint="default" w:ascii="Times New Roman" w:hAnsi="Times New Roman" w:eastAsia="宋体" w:cs="Times New Roman"/>
                <w:b/>
                <w:bCs/>
                <w:color w:val="auto"/>
                <w:sz w:val="24"/>
                <w:szCs w:val="24"/>
              </w:rPr>
              <w:t>具体保护目标</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034"/>
              <w:gridCol w:w="1034"/>
              <w:gridCol w:w="1035"/>
              <w:gridCol w:w="1035"/>
              <w:gridCol w:w="1035"/>
              <w:gridCol w:w="1035"/>
              <w:gridCol w:w="1035"/>
            </w:tblGrid>
            <w:tr w14:paraId="48398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701" w:type="dxa"/>
                  <w:vAlign w:val="center"/>
                </w:tcPr>
                <w:p w14:paraId="3582CB53">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w:t>
                  </w:r>
                </w:p>
              </w:tc>
              <w:tc>
                <w:tcPr>
                  <w:tcW w:w="1701" w:type="dxa"/>
                  <w:vAlign w:val="center"/>
                </w:tcPr>
                <w:p w14:paraId="2256E4C4">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保护范围</w:t>
                  </w:r>
                </w:p>
              </w:tc>
              <w:tc>
                <w:tcPr>
                  <w:tcW w:w="1701" w:type="dxa"/>
                  <w:vAlign w:val="center"/>
                </w:tcPr>
                <w:p w14:paraId="527C9FFF">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保护目标</w:t>
                  </w:r>
                  <w:r>
                    <w:rPr>
                      <w:rFonts w:hint="default" w:ascii="Times New Roman" w:hAnsi="Times New Roman" w:eastAsia="宋体" w:cs="Times New Roman"/>
                      <w:color w:val="auto"/>
                      <w:sz w:val="21"/>
                      <w:szCs w:val="21"/>
                      <w:lang w:val="en-US" w:eastAsia="zh-CN"/>
                    </w:rPr>
                    <w:t>名称</w:t>
                  </w:r>
                </w:p>
              </w:tc>
              <w:tc>
                <w:tcPr>
                  <w:tcW w:w="1701" w:type="dxa"/>
                  <w:vAlign w:val="center"/>
                </w:tcPr>
                <w:p w14:paraId="2B5E5B5B">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坐标</w:t>
                  </w:r>
                </w:p>
              </w:tc>
              <w:tc>
                <w:tcPr>
                  <w:tcW w:w="1701" w:type="dxa"/>
                  <w:vAlign w:val="center"/>
                </w:tcPr>
                <w:p w14:paraId="37D3BD7D">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相对位置</w:t>
                  </w:r>
                </w:p>
              </w:tc>
              <w:tc>
                <w:tcPr>
                  <w:tcW w:w="1701" w:type="dxa"/>
                  <w:vAlign w:val="center"/>
                </w:tcPr>
                <w:p w14:paraId="7F01D93B">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1701" w:type="dxa"/>
                  <w:vAlign w:val="center"/>
                </w:tcPr>
                <w:p w14:paraId="070CAA31">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人数</w:t>
                  </w:r>
                </w:p>
              </w:tc>
              <w:tc>
                <w:tcPr>
                  <w:tcW w:w="1701" w:type="dxa"/>
                  <w:vAlign w:val="center"/>
                </w:tcPr>
                <w:p w14:paraId="1171AA29">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保护级别</w:t>
                  </w:r>
                </w:p>
              </w:tc>
            </w:tr>
            <w:tr w14:paraId="2F8E3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Align w:val="center"/>
                </w:tcPr>
                <w:p w14:paraId="0FAF82CE">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环境空气</w:t>
                  </w:r>
                </w:p>
              </w:tc>
              <w:tc>
                <w:tcPr>
                  <w:tcW w:w="1701" w:type="dxa"/>
                  <w:vAlign w:val="center"/>
                </w:tcPr>
                <w:p w14:paraId="31DFDE45">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厂界外扩</w:t>
                  </w:r>
                  <w:r>
                    <w:rPr>
                      <w:rFonts w:hint="default" w:ascii="Times New Roman" w:hAnsi="Times New Roman" w:eastAsia="宋体" w:cs="Times New Roman"/>
                      <w:color w:val="0000FF"/>
                      <w:sz w:val="21"/>
                      <w:szCs w:val="21"/>
                      <w:lang w:val="en-US" w:eastAsia="zh-CN"/>
                    </w:rPr>
                    <w:t>500m</w:t>
                  </w:r>
                  <w:r>
                    <w:rPr>
                      <w:rFonts w:hint="default" w:ascii="Times New Roman" w:hAnsi="Times New Roman" w:eastAsia="宋体" w:cs="Times New Roman"/>
                      <w:color w:val="0000FF"/>
                      <w:sz w:val="21"/>
                      <w:szCs w:val="21"/>
                    </w:rPr>
                    <w:t>范围</w:t>
                  </w:r>
                </w:p>
              </w:tc>
              <w:tc>
                <w:tcPr>
                  <w:tcW w:w="1701" w:type="dxa"/>
                  <w:gridSpan w:val="5"/>
                  <w:vAlign w:val="center"/>
                </w:tcPr>
                <w:p w14:paraId="79149A8F">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厂界外500m范围内无自然保护区、风景名胜区、居住区、文化区和农村地区中人群较集中的区域等保护目标。</w:t>
                  </w:r>
                </w:p>
              </w:tc>
              <w:tc>
                <w:tcPr>
                  <w:tcW w:w="1701" w:type="dxa"/>
                  <w:vAlign w:val="center"/>
                </w:tcPr>
                <w:p w14:paraId="66D3CD17">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《环境空气质量标准》（GB3095-2012）二级标准</w:t>
                  </w:r>
                </w:p>
              </w:tc>
            </w:tr>
            <w:tr w14:paraId="14F84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Align w:val="center"/>
                </w:tcPr>
                <w:p w14:paraId="2F0DF416">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声环境</w:t>
                  </w:r>
                </w:p>
              </w:tc>
              <w:tc>
                <w:tcPr>
                  <w:tcW w:w="1701" w:type="dxa"/>
                  <w:vAlign w:val="center"/>
                </w:tcPr>
                <w:p w14:paraId="3EF3F383">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厂界外扩</w:t>
                  </w:r>
                  <w:r>
                    <w:rPr>
                      <w:rFonts w:hint="default" w:ascii="Times New Roman" w:hAnsi="Times New Roman" w:eastAsia="宋体" w:cs="Times New Roman"/>
                      <w:color w:val="auto"/>
                      <w:sz w:val="21"/>
                      <w:szCs w:val="21"/>
                      <w:lang w:val="en-US" w:eastAsia="zh-CN"/>
                    </w:rPr>
                    <w:t>50</w:t>
                  </w:r>
                  <w:r>
                    <w:rPr>
                      <w:rFonts w:hint="default" w:ascii="Times New Roman" w:hAnsi="Times New Roman" w:eastAsia="宋体" w:cs="Times New Roman"/>
                      <w:color w:val="auto"/>
                      <w:sz w:val="21"/>
                      <w:szCs w:val="21"/>
                    </w:rPr>
                    <w:t>m范围</w:t>
                  </w:r>
                </w:p>
              </w:tc>
              <w:tc>
                <w:tcPr>
                  <w:tcW w:w="1701" w:type="dxa"/>
                  <w:gridSpan w:val="5"/>
                  <w:vAlign w:val="center"/>
                </w:tcPr>
                <w:p w14:paraId="63468DB8">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厂界外50m范围内声环境保护目标。</w:t>
                  </w:r>
                </w:p>
              </w:tc>
              <w:tc>
                <w:tcPr>
                  <w:tcW w:w="1701" w:type="dxa"/>
                  <w:vAlign w:val="center"/>
                </w:tcPr>
                <w:p w14:paraId="7DC81580">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《声环境质量标准》（GB3096-2008）</w:t>
                  </w:r>
                  <w:r>
                    <w:rPr>
                      <w:rFonts w:hint="default" w:ascii="Times New Roman" w:hAnsi="Times New Roman" w:eastAsia="宋体" w:cs="Times New Roman"/>
                      <w:color w:val="auto"/>
                      <w:sz w:val="21"/>
                      <w:szCs w:val="21"/>
                      <w:lang w:val="en-US" w:eastAsia="zh-CN"/>
                    </w:rPr>
                    <w:t>3类</w:t>
                  </w:r>
                  <w:r>
                    <w:rPr>
                      <w:rFonts w:hint="default" w:ascii="Times New Roman" w:hAnsi="Times New Roman" w:eastAsia="宋体" w:cs="Times New Roman"/>
                      <w:color w:val="auto"/>
                      <w:sz w:val="21"/>
                      <w:szCs w:val="21"/>
                    </w:rPr>
                    <w:t>标准</w:t>
                  </w:r>
                </w:p>
              </w:tc>
            </w:tr>
            <w:tr w14:paraId="7D786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Align w:val="center"/>
                </w:tcPr>
                <w:p w14:paraId="6382D456">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地下水</w:t>
                  </w:r>
                  <w:r>
                    <w:rPr>
                      <w:rFonts w:hint="default" w:ascii="Times New Roman" w:hAnsi="Times New Roman" w:eastAsia="宋体" w:cs="Times New Roman"/>
                      <w:color w:val="auto"/>
                      <w:sz w:val="21"/>
                      <w:szCs w:val="21"/>
                    </w:rPr>
                    <w:t>环境</w:t>
                  </w:r>
                </w:p>
              </w:tc>
              <w:tc>
                <w:tcPr>
                  <w:tcW w:w="1701" w:type="dxa"/>
                  <w:vAlign w:val="center"/>
                </w:tcPr>
                <w:p w14:paraId="112ABA22">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厂界外扩</w:t>
                  </w:r>
                  <w:r>
                    <w:rPr>
                      <w:rFonts w:hint="default" w:ascii="Times New Roman" w:hAnsi="Times New Roman" w:eastAsia="宋体" w:cs="Times New Roman"/>
                      <w:color w:val="auto"/>
                      <w:sz w:val="21"/>
                      <w:szCs w:val="21"/>
                      <w:lang w:val="en-US" w:eastAsia="zh-CN"/>
                    </w:rPr>
                    <w:t>500m</w:t>
                  </w:r>
                  <w:r>
                    <w:rPr>
                      <w:rFonts w:hint="default" w:ascii="Times New Roman" w:hAnsi="Times New Roman" w:eastAsia="宋体" w:cs="Times New Roman"/>
                      <w:color w:val="auto"/>
                      <w:sz w:val="21"/>
                      <w:szCs w:val="21"/>
                    </w:rPr>
                    <w:t>范围</w:t>
                  </w:r>
                </w:p>
              </w:tc>
              <w:tc>
                <w:tcPr>
                  <w:tcW w:w="1701" w:type="dxa"/>
                  <w:gridSpan w:val="5"/>
                  <w:vAlign w:val="center"/>
                </w:tcPr>
                <w:p w14:paraId="66D5CFFF">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厂界外500m范围内没有地下水集中式饮用水水源和热水、矿泉水、温泉等特殊地下水资源。</w:t>
                  </w:r>
                </w:p>
              </w:tc>
              <w:tc>
                <w:tcPr>
                  <w:tcW w:w="1701" w:type="dxa"/>
                  <w:vAlign w:val="center"/>
                </w:tcPr>
                <w:p w14:paraId="5ABB3784">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《地下水质量标准》</w:t>
                  </w:r>
                </w:p>
                <w:p w14:paraId="172131A4">
                  <w:pPr>
                    <w:keepNext w:val="0"/>
                    <w:keepLines w:val="0"/>
                    <w:pageBreakBefore w:val="0"/>
                    <w:suppressLineNumbers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（GB/T14848-2017）中</w:t>
                  </w:r>
                  <w:r>
                    <w:rPr>
                      <w:rFonts w:hint="default" w:ascii="Times New Roman" w:hAnsi="Times New Roman" w:eastAsia="宋体" w:cs="Times New Roman"/>
                      <w:color w:val="auto"/>
                      <w:sz w:val="21"/>
                      <w:szCs w:val="21"/>
                      <w:lang w:val="en-US" w:eastAsia="zh-CN"/>
                    </w:rPr>
                    <w:fldChar w:fldCharType="begin"/>
                  </w:r>
                  <w:r>
                    <w:rPr>
                      <w:rFonts w:hint="default" w:ascii="Times New Roman" w:hAnsi="Times New Roman" w:eastAsia="宋体" w:cs="Times New Roman"/>
                      <w:color w:val="auto"/>
                      <w:sz w:val="21"/>
                      <w:szCs w:val="21"/>
                      <w:lang w:val="en-US" w:eastAsia="zh-CN"/>
                    </w:rPr>
                    <w:instrText xml:space="preserve"> = 3 \* ROMAN \* MERGEFORMAT </w:instrText>
                  </w:r>
                  <w:r>
                    <w:rPr>
                      <w:rFonts w:hint="default" w:ascii="Times New Roman" w:hAnsi="Times New Roman" w:eastAsia="宋体" w:cs="Times New Roman"/>
                      <w:color w:val="auto"/>
                      <w:sz w:val="21"/>
                      <w:szCs w:val="21"/>
                      <w:lang w:val="en-US" w:eastAsia="zh-CN"/>
                    </w:rPr>
                    <w:fldChar w:fldCharType="separate"/>
                  </w:r>
                  <w:r>
                    <w:rPr>
                      <w:rFonts w:hint="default" w:ascii="Times New Roman" w:hAnsi="Times New Roman" w:eastAsia="宋体" w:cs="Times New Roman"/>
                      <w:color w:val="auto"/>
                      <w:sz w:val="21"/>
                      <w:szCs w:val="21"/>
                      <w:lang w:val="en-US" w:eastAsia="zh-CN"/>
                    </w:rPr>
                    <w:t>Ⅲ</w:t>
                  </w:r>
                  <w:r>
                    <w:rPr>
                      <w:rFonts w:hint="default" w:ascii="Times New Roman" w:hAnsi="Times New Roman" w:eastAsia="宋体" w:cs="Times New Roman"/>
                      <w:color w:val="auto"/>
                      <w:sz w:val="21"/>
                      <w:szCs w:val="21"/>
                      <w:lang w:val="en-US" w:eastAsia="zh-CN"/>
                    </w:rPr>
                    <w:fldChar w:fldCharType="end"/>
                  </w:r>
                  <w:r>
                    <w:rPr>
                      <w:rFonts w:hint="default" w:ascii="Times New Roman" w:hAnsi="Times New Roman" w:eastAsia="宋体" w:cs="Times New Roman"/>
                      <w:color w:val="auto"/>
                      <w:sz w:val="21"/>
                      <w:szCs w:val="21"/>
                      <w:lang w:val="en-US" w:eastAsia="zh-CN"/>
                    </w:rPr>
                    <w:t>类标准</w:t>
                  </w:r>
                </w:p>
              </w:tc>
            </w:tr>
          </w:tbl>
          <w:p w14:paraId="72C7269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tc>
      </w:tr>
      <w:tr w14:paraId="7CEA2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dxa"/>
            <w:vAlign w:val="center"/>
          </w:tcPr>
          <w:p w14:paraId="4648393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污染物排放控制标准</w:t>
            </w:r>
          </w:p>
        </w:tc>
        <w:tc>
          <w:tcPr>
            <w:tcW w:w="8374" w:type="dxa"/>
            <w:vAlign w:val="center"/>
          </w:tcPr>
          <w:p w14:paraId="10D5257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0000FF"/>
                <w:sz w:val="24"/>
                <w:szCs w:val="22"/>
              </w:rPr>
            </w:pPr>
            <w:r>
              <w:rPr>
                <w:rFonts w:hint="default" w:ascii="Times New Roman" w:hAnsi="Times New Roman" w:eastAsia="宋体" w:cs="Times New Roman"/>
                <w:b/>
                <w:bCs/>
                <w:color w:val="0000FF"/>
                <w:sz w:val="24"/>
                <w:szCs w:val="22"/>
              </w:rPr>
              <w:t>1、大气污染物排放标准</w:t>
            </w:r>
          </w:p>
          <w:p w14:paraId="551D1772">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0000FF"/>
                <w:sz w:val="24"/>
                <w:highlight w:val="none"/>
              </w:rPr>
            </w:pPr>
            <w:r>
              <w:rPr>
                <w:rFonts w:hint="default" w:ascii="Times New Roman" w:hAnsi="Times New Roman" w:eastAsia="宋体" w:cs="Times New Roman"/>
                <w:color w:val="0000FF"/>
                <w:sz w:val="24"/>
                <w:highlight w:val="none"/>
              </w:rPr>
              <w:t>运营期</w:t>
            </w:r>
            <w:r>
              <w:rPr>
                <w:rFonts w:hint="default" w:ascii="Times New Roman" w:hAnsi="Times New Roman" w:eastAsia="宋体" w:cs="Times New Roman"/>
                <w:color w:val="0000FF"/>
                <w:sz w:val="24"/>
                <w:highlight w:val="none"/>
                <w:lang w:val="en-US" w:eastAsia="zh-CN"/>
              </w:rPr>
              <w:t>厂界无组织非甲烷总烃执行</w:t>
            </w:r>
            <w:r>
              <w:rPr>
                <w:rFonts w:hint="default" w:ascii="Times New Roman" w:hAnsi="Times New Roman" w:eastAsia="宋体" w:cs="Times New Roman"/>
                <w:color w:val="0000FF"/>
                <w:sz w:val="24"/>
                <w:highlight w:val="none"/>
              </w:rPr>
              <w:t>《大气污染物综合排放标准》</w:t>
            </w:r>
            <w:r>
              <w:rPr>
                <w:rFonts w:hint="default" w:ascii="Times New Roman" w:hAnsi="Times New Roman" w:eastAsia="宋体" w:cs="Times New Roman"/>
                <w:color w:val="0000FF"/>
                <w:sz w:val="24"/>
                <w:highlight w:val="none"/>
                <w:lang w:eastAsia="zh-CN"/>
              </w:rPr>
              <w:t>（</w:t>
            </w:r>
            <w:r>
              <w:rPr>
                <w:rFonts w:hint="default" w:ascii="Times New Roman" w:hAnsi="Times New Roman" w:eastAsia="宋体" w:cs="Times New Roman"/>
                <w:color w:val="0000FF"/>
                <w:sz w:val="24"/>
                <w:highlight w:val="none"/>
              </w:rPr>
              <w:t>GB16297-1996）表2新污染源大气污染物排放限值中“无组织排放监控浓度限值”，具体标准详见表3-</w:t>
            </w:r>
            <w:r>
              <w:rPr>
                <w:rFonts w:hint="default" w:ascii="Times New Roman" w:hAnsi="Times New Roman" w:eastAsia="宋体" w:cs="Times New Roman"/>
                <w:color w:val="0000FF"/>
                <w:sz w:val="24"/>
                <w:highlight w:val="none"/>
                <w:lang w:val="en-US" w:eastAsia="zh-CN"/>
              </w:rPr>
              <w:t>5</w:t>
            </w:r>
            <w:r>
              <w:rPr>
                <w:rFonts w:hint="default" w:ascii="Times New Roman" w:hAnsi="Times New Roman" w:eastAsia="宋体" w:cs="Times New Roman"/>
                <w:color w:val="0000FF"/>
                <w:sz w:val="24"/>
                <w:highlight w:val="none"/>
              </w:rPr>
              <w:t>。</w:t>
            </w:r>
          </w:p>
          <w:p w14:paraId="3C3A4B3D">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color w:val="0000FF"/>
                <w:sz w:val="24"/>
                <w:highlight w:val="none"/>
              </w:rPr>
            </w:pPr>
            <w:r>
              <w:rPr>
                <w:rFonts w:hint="default" w:ascii="Times New Roman" w:hAnsi="Times New Roman" w:eastAsia="宋体" w:cs="Times New Roman"/>
                <w:b/>
                <w:color w:val="0000FF"/>
                <w:sz w:val="24"/>
                <w:highlight w:val="none"/>
              </w:rPr>
              <w:t>表3-</w:t>
            </w:r>
            <w:r>
              <w:rPr>
                <w:rFonts w:hint="default" w:ascii="Times New Roman" w:hAnsi="Times New Roman" w:eastAsia="宋体" w:cs="Times New Roman"/>
                <w:b/>
                <w:color w:val="0000FF"/>
                <w:sz w:val="24"/>
                <w:highlight w:val="none"/>
                <w:lang w:val="en-US" w:eastAsia="zh-CN"/>
              </w:rPr>
              <w:t xml:space="preserve">5  </w:t>
            </w:r>
            <w:r>
              <w:rPr>
                <w:rFonts w:hint="default" w:ascii="Times New Roman" w:hAnsi="Times New Roman" w:eastAsia="宋体" w:cs="Times New Roman"/>
                <w:b/>
                <w:color w:val="0000FF"/>
                <w:sz w:val="24"/>
                <w:highlight w:val="none"/>
              </w:rPr>
              <w:t>《大气污染物综合排放标准》</w:t>
            </w:r>
            <w:r>
              <w:rPr>
                <w:rFonts w:hint="default" w:ascii="Times New Roman" w:hAnsi="Times New Roman" w:eastAsia="宋体" w:cs="Times New Roman"/>
                <w:b/>
                <w:color w:val="0000FF"/>
                <w:sz w:val="24"/>
                <w:highlight w:val="none"/>
                <w:lang w:eastAsia="zh-CN"/>
              </w:rPr>
              <w:t>（</w:t>
            </w:r>
            <w:r>
              <w:rPr>
                <w:rFonts w:hint="default" w:ascii="Times New Roman" w:hAnsi="Times New Roman" w:eastAsia="宋体" w:cs="Times New Roman"/>
                <w:b/>
                <w:color w:val="0000FF"/>
                <w:sz w:val="24"/>
                <w:highlight w:val="none"/>
              </w:rPr>
              <w:t>GB16297-1996）</w:t>
            </w:r>
          </w:p>
          <w:tbl>
            <w:tblPr>
              <w:tblStyle w:val="31"/>
              <w:tblW w:w="82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05"/>
              <w:gridCol w:w="3656"/>
              <w:gridCol w:w="2416"/>
            </w:tblGrid>
            <w:tr w14:paraId="13A4B3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vMerge w:val="restart"/>
                  <w:tcMar>
                    <w:left w:w="28" w:type="dxa"/>
                    <w:right w:w="28" w:type="dxa"/>
                  </w:tcMar>
                  <w:vAlign w:val="center"/>
                </w:tcPr>
                <w:p w14:paraId="32B6102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污染物</w:t>
                  </w:r>
                </w:p>
              </w:tc>
              <w:tc>
                <w:tcPr>
                  <w:tcW w:w="5823" w:type="dxa"/>
                  <w:gridSpan w:val="2"/>
                  <w:tcMar>
                    <w:left w:w="28" w:type="dxa"/>
                    <w:right w:w="28" w:type="dxa"/>
                  </w:tcMar>
                  <w:vAlign w:val="center"/>
                </w:tcPr>
                <w:p w14:paraId="54A9E97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无组织排放监控浓度限值</w:t>
                  </w:r>
                </w:p>
              </w:tc>
            </w:tr>
            <w:tr w14:paraId="59BA9B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vMerge w:val="continue"/>
                  <w:tcMar>
                    <w:left w:w="28" w:type="dxa"/>
                    <w:right w:w="28" w:type="dxa"/>
                  </w:tcMar>
                  <w:vAlign w:val="center"/>
                </w:tcPr>
                <w:p w14:paraId="1563685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p>
              </w:tc>
              <w:tc>
                <w:tcPr>
                  <w:tcW w:w="3506" w:type="dxa"/>
                  <w:tcMar>
                    <w:left w:w="28" w:type="dxa"/>
                    <w:right w:w="28" w:type="dxa"/>
                  </w:tcMar>
                  <w:vAlign w:val="center"/>
                </w:tcPr>
                <w:p w14:paraId="3A0CBE6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监控点</w:t>
                  </w:r>
                </w:p>
              </w:tc>
              <w:tc>
                <w:tcPr>
                  <w:tcW w:w="2317" w:type="dxa"/>
                  <w:tcMar>
                    <w:left w:w="28" w:type="dxa"/>
                    <w:right w:w="28" w:type="dxa"/>
                  </w:tcMar>
                  <w:vAlign w:val="center"/>
                </w:tcPr>
                <w:p w14:paraId="2888F6B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lang w:eastAsia="zh-CN"/>
                    </w:rPr>
                  </w:pPr>
                  <w:r>
                    <w:rPr>
                      <w:rFonts w:hint="default" w:ascii="Times New Roman" w:hAnsi="Times New Roman" w:eastAsia="宋体" w:cs="Times New Roman"/>
                      <w:color w:val="0000FF"/>
                      <w:szCs w:val="21"/>
                      <w:highlight w:val="none"/>
                    </w:rPr>
                    <w:t>浓度</w:t>
                  </w:r>
                  <w:r>
                    <w:rPr>
                      <w:rFonts w:hint="default" w:ascii="Times New Roman" w:hAnsi="Times New Roman" w:eastAsia="宋体" w:cs="Times New Roman"/>
                      <w:color w:val="0000FF"/>
                      <w:szCs w:val="21"/>
                      <w:highlight w:val="none"/>
                      <w:lang w:eastAsia="zh-CN"/>
                    </w:rPr>
                    <w:t>（</w:t>
                  </w:r>
                  <w:r>
                    <w:rPr>
                      <w:rFonts w:hint="default" w:ascii="Times New Roman" w:hAnsi="Times New Roman" w:eastAsia="宋体" w:cs="Times New Roman"/>
                      <w:color w:val="0000FF"/>
                      <w:szCs w:val="21"/>
                      <w:highlight w:val="none"/>
                    </w:rPr>
                    <w:t>mg/m</w:t>
                  </w:r>
                  <w:r>
                    <w:rPr>
                      <w:rFonts w:hint="default" w:ascii="Times New Roman" w:hAnsi="Times New Roman" w:eastAsia="宋体" w:cs="Times New Roman"/>
                      <w:color w:val="0000FF"/>
                      <w:szCs w:val="21"/>
                      <w:highlight w:val="none"/>
                      <w:vertAlign w:val="superscript"/>
                    </w:rPr>
                    <w:t>3</w:t>
                  </w:r>
                  <w:r>
                    <w:rPr>
                      <w:rFonts w:hint="default" w:ascii="Times New Roman" w:hAnsi="Times New Roman" w:eastAsia="宋体" w:cs="Times New Roman"/>
                      <w:color w:val="0000FF"/>
                      <w:szCs w:val="21"/>
                      <w:highlight w:val="none"/>
                      <w:lang w:eastAsia="zh-CN"/>
                    </w:rPr>
                    <w:t>）</w:t>
                  </w:r>
                </w:p>
              </w:tc>
            </w:tr>
            <w:tr w14:paraId="5D10B6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tcMar>
                    <w:left w:w="28" w:type="dxa"/>
                    <w:right w:w="28" w:type="dxa"/>
                  </w:tcMar>
                  <w:vAlign w:val="center"/>
                </w:tcPr>
                <w:p w14:paraId="576A43C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lang w:val="en-US" w:eastAsia="zh-CN"/>
                    </w:rPr>
                    <w:t>非甲烷总烃</w:t>
                  </w:r>
                </w:p>
              </w:tc>
              <w:tc>
                <w:tcPr>
                  <w:tcW w:w="3506" w:type="dxa"/>
                  <w:tcMar>
                    <w:left w:w="28" w:type="dxa"/>
                    <w:right w:w="28" w:type="dxa"/>
                  </w:tcMar>
                  <w:vAlign w:val="center"/>
                </w:tcPr>
                <w:p w14:paraId="1306412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周围外浓度最高点</w:t>
                  </w:r>
                </w:p>
              </w:tc>
              <w:tc>
                <w:tcPr>
                  <w:tcW w:w="2317" w:type="dxa"/>
                  <w:tcMar>
                    <w:left w:w="28" w:type="dxa"/>
                    <w:right w:w="28" w:type="dxa"/>
                  </w:tcMar>
                  <w:vAlign w:val="center"/>
                </w:tcPr>
                <w:p w14:paraId="6BBF9DC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lang w:val="en-US" w:eastAsia="zh-CN"/>
                    </w:rPr>
                    <w:t>4</w:t>
                  </w:r>
                  <w:r>
                    <w:rPr>
                      <w:rFonts w:hint="default" w:ascii="Times New Roman" w:hAnsi="Times New Roman" w:eastAsia="宋体" w:cs="Times New Roman"/>
                      <w:color w:val="0000FF"/>
                      <w:szCs w:val="21"/>
                      <w:highlight w:val="none"/>
                    </w:rPr>
                    <w:t>.0</w:t>
                  </w:r>
                </w:p>
              </w:tc>
            </w:tr>
          </w:tbl>
          <w:p w14:paraId="1E14995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80" w:firstLineChars="200"/>
              <w:jc w:val="both"/>
              <w:textAlignment w:val="auto"/>
              <w:rPr>
                <w:rFonts w:hint="default" w:ascii="Times New Roman" w:hAnsi="Times New Roman" w:eastAsia="宋体" w:cs="Times New Roman"/>
                <w:color w:val="0000FF"/>
                <w:sz w:val="24"/>
                <w:szCs w:val="24"/>
                <w:highlight w:val="none"/>
              </w:rPr>
            </w:pPr>
            <w:r>
              <w:rPr>
                <w:rFonts w:hint="default" w:ascii="Times New Roman" w:hAnsi="Times New Roman" w:eastAsia="宋体" w:cs="Times New Roman"/>
                <w:b w:val="0"/>
                <w:bCs w:val="0"/>
                <w:color w:val="0000FF"/>
                <w:sz w:val="24"/>
                <w:szCs w:val="24"/>
                <w:highlight w:val="none"/>
                <w:lang w:eastAsia="zh-CN"/>
              </w:rPr>
              <w:t>厂区内无组织</w:t>
            </w:r>
            <w:r>
              <w:rPr>
                <w:rFonts w:hint="default" w:ascii="Times New Roman" w:hAnsi="Times New Roman" w:eastAsia="宋体" w:cs="Times New Roman"/>
                <w:color w:val="0000FF"/>
                <w:sz w:val="24"/>
                <w:szCs w:val="24"/>
                <w:highlight w:val="none"/>
              </w:rPr>
              <w:t>非甲烷总烃排放限值执行《挥发性有机物无组织排放控制标准》（GB37822-2019）附录A厂区内VOCs无组织排放监控要求，标准值见表3-</w:t>
            </w:r>
            <w:r>
              <w:rPr>
                <w:rFonts w:hint="default" w:ascii="Times New Roman" w:hAnsi="Times New Roman" w:eastAsia="宋体" w:cs="Times New Roman"/>
                <w:color w:val="0000FF"/>
                <w:sz w:val="24"/>
                <w:szCs w:val="24"/>
                <w:highlight w:val="none"/>
                <w:lang w:val="en-US" w:eastAsia="zh-CN"/>
              </w:rPr>
              <w:t>6</w:t>
            </w:r>
            <w:r>
              <w:rPr>
                <w:rFonts w:hint="default" w:ascii="Times New Roman" w:hAnsi="Times New Roman" w:eastAsia="宋体" w:cs="Times New Roman"/>
                <w:color w:val="0000FF"/>
                <w:sz w:val="24"/>
                <w:szCs w:val="24"/>
                <w:highlight w:val="none"/>
              </w:rPr>
              <w:t>。</w:t>
            </w:r>
          </w:p>
          <w:p w14:paraId="515E3FE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0"/>
              <w:jc w:val="center"/>
              <w:textAlignment w:val="auto"/>
              <w:rPr>
                <w:rFonts w:hint="default" w:ascii="Times New Roman" w:hAnsi="Times New Roman" w:eastAsia="宋体" w:cs="Times New Roman"/>
                <w:b/>
                <w:bCs/>
                <w:color w:val="0000FF"/>
                <w:sz w:val="24"/>
                <w:szCs w:val="24"/>
                <w:highlight w:val="none"/>
              </w:rPr>
            </w:pPr>
          </w:p>
          <w:p w14:paraId="162D38C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0"/>
              <w:jc w:val="center"/>
              <w:textAlignment w:val="auto"/>
              <w:rPr>
                <w:rFonts w:hint="default" w:ascii="Times New Roman" w:hAnsi="Times New Roman" w:eastAsia="宋体" w:cs="Times New Roman"/>
                <w:b/>
                <w:bCs/>
                <w:color w:val="0000FF"/>
                <w:sz w:val="24"/>
                <w:szCs w:val="24"/>
                <w:highlight w:val="none"/>
                <w:lang w:val="en-US" w:eastAsia="zh-CN"/>
              </w:rPr>
            </w:pPr>
            <w:r>
              <w:rPr>
                <w:rFonts w:hint="default" w:ascii="Times New Roman" w:hAnsi="Times New Roman" w:eastAsia="宋体" w:cs="Times New Roman"/>
                <w:b/>
                <w:bCs/>
                <w:color w:val="0000FF"/>
                <w:sz w:val="24"/>
                <w:szCs w:val="24"/>
                <w:highlight w:val="none"/>
              </w:rPr>
              <w:t>表3-</w:t>
            </w:r>
            <w:r>
              <w:rPr>
                <w:rFonts w:hint="default" w:ascii="Times New Roman" w:hAnsi="Times New Roman" w:eastAsia="宋体" w:cs="Times New Roman"/>
                <w:b/>
                <w:bCs/>
                <w:color w:val="0000FF"/>
                <w:sz w:val="24"/>
                <w:szCs w:val="24"/>
                <w:highlight w:val="none"/>
                <w:lang w:val="en-US" w:eastAsia="zh-CN"/>
              </w:rPr>
              <w:t>6</w:t>
            </w:r>
            <w:r>
              <w:rPr>
                <w:rFonts w:hint="default" w:ascii="Times New Roman" w:hAnsi="Times New Roman" w:eastAsia="宋体" w:cs="Times New Roman"/>
                <w:b/>
                <w:bCs/>
                <w:color w:val="0000FF"/>
                <w:sz w:val="24"/>
                <w:szCs w:val="24"/>
                <w:highlight w:val="none"/>
              </w:rPr>
              <w:t xml:space="preserve">   《挥发性有机物无组织排放控制标准》（GB37822-2019）</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9"/>
              <w:gridCol w:w="1256"/>
              <w:gridCol w:w="2882"/>
              <w:gridCol w:w="2070"/>
            </w:tblGrid>
            <w:tr w14:paraId="2D6E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4" w:type="dxa"/>
                  <w:noWrap w:val="0"/>
                  <w:vAlign w:val="center"/>
                </w:tcPr>
                <w:p w14:paraId="11FBEDB7">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污染物项目</w:t>
                  </w:r>
                </w:p>
              </w:tc>
              <w:tc>
                <w:tcPr>
                  <w:tcW w:w="1204" w:type="dxa"/>
                  <w:noWrap w:val="0"/>
                  <w:vAlign w:val="center"/>
                </w:tcPr>
                <w:p w14:paraId="61116858">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排放限值</w:t>
                  </w:r>
                </w:p>
              </w:tc>
              <w:tc>
                <w:tcPr>
                  <w:tcW w:w="2764" w:type="dxa"/>
                  <w:noWrap w:val="0"/>
                  <w:vAlign w:val="center"/>
                </w:tcPr>
                <w:p w14:paraId="63DEB479">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限值含义</w:t>
                  </w:r>
                </w:p>
              </w:tc>
              <w:tc>
                <w:tcPr>
                  <w:tcW w:w="1985" w:type="dxa"/>
                  <w:noWrap w:val="0"/>
                  <w:vAlign w:val="center"/>
                </w:tcPr>
                <w:p w14:paraId="7D8C9895">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无组织排放监控位置</w:t>
                  </w:r>
                </w:p>
              </w:tc>
            </w:tr>
            <w:tr w14:paraId="288FB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4" w:type="dxa"/>
                  <w:vMerge w:val="restart"/>
                  <w:noWrap w:val="0"/>
                  <w:vAlign w:val="center"/>
                </w:tcPr>
                <w:p w14:paraId="022BC318">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NMHC</w:t>
                  </w:r>
                </w:p>
              </w:tc>
              <w:tc>
                <w:tcPr>
                  <w:tcW w:w="1204" w:type="dxa"/>
                  <w:noWrap w:val="0"/>
                  <w:vAlign w:val="center"/>
                </w:tcPr>
                <w:p w14:paraId="20BD387F">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2764" w:type="dxa"/>
                  <w:noWrap w:val="0"/>
                  <w:vAlign w:val="center"/>
                </w:tcPr>
                <w:p w14:paraId="629D8C2E">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监控点处1h平均浓度值</w:t>
                  </w:r>
                </w:p>
              </w:tc>
              <w:tc>
                <w:tcPr>
                  <w:tcW w:w="1985" w:type="dxa"/>
                  <w:vMerge w:val="restart"/>
                  <w:noWrap w:val="0"/>
                  <w:vAlign w:val="center"/>
                </w:tcPr>
                <w:p w14:paraId="4BA787D3">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在厂房外设置监控点</w:t>
                  </w:r>
                </w:p>
              </w:tc>
            </w:tr>
            <w:tr w14:paraId="76FEE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4" w:type="dxa"/>
                  <w:vMerge w:val="continue"/>
                  <w:noWrap w:val="0"/>
                  <w:vAlign w:val="center"/>
                </w:tcPr>
                <w:p w14:paraId="6A0C5391">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p>
              </w:tc>
              <w:tc>
                <w:tcPr>
                  <w:tcW w:w="1204" w:type="dxa"/>
                  <w:noWrap w:val="0"/>
                  <w:vAlign w:val="center"/>
                </w:tcPr>
                <w:p w14:paraId="65F2F596">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30</w:t>
                  </w:r>
                </w:p>
              </w:tc>
              <w:tc>
                <w:tcPr>
                  <w:tcW w:w="2764" w:type="dxa"/>
                  <w:noWrap w:val="0"/>
                  <w:vAlign w:val="center"/>
                </w:tcPr>
                <w:p w14:paraId="4F2A7D95">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监控点处任意一次浓度值</w:t>
                  </w:r>
                </w:p>
              </w:tc>
              <w:tc>
                <w:tcPr>
                  <w:tcW w:w="1985" w:type="dxa"/>
                  <w:vMerge w:val="continue"/>
                  <w:noWrap w:val="0"/>
                  <w:vAlign w:val="center"/>
                </w:tcPr>
                <w:p w14:paraId="36C76B8F">
                  <w:pPr>
                    <w:keepNext w:val="0"/>
                    <w:pageBreakBefore w:val="0"/>
                    <w:wordWrap/>
                    <w:bidi w:val="0"/>
                    <w:spacing w:beforeAutospacing="0" w:afterAutospacing="0"/>
                    <w:jc w:val="center"/>
                    <w:rPr>
                      <w:rFonts w:hint="default" w:ascii="Times New Roman" w:hAnsi="Times New Roman" w:eastAsia="宋体" w:cs="Times New Roman"/>
                      <w:color w:val="0000FF"/>
                      <w:sz w:val="21"/>
                      <w:szCs w:val="21"/>
                      <w:lang w:val="en-US" w:eastAsia="zh-CN"/>
                    </w:rPr>
                  </w:pPr>
                </w:p>
              </w:tc>
            </w:tr>
          </w:tbl>
          <w:p w14:paraId="4DDA752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2、噪声排放标准</w:t>
            </w:r>
          </w:p>
          <w:p w14:paraId="13856074">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本项目营运期噪声排放执行《工业企业厂界环境噪声排放标准》（GB12348-2008）</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类标准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szCs w:val="22"/>
              </w:rPr>
              <w:t>见表</w:t>
            </w:r>
            <w:r>
              <w:rPr>
                <w:rFonts w:hint="default" w:ascii="Times New Roman" w:hAnsi="Times New Roman" w:eastAsia="宋体" w:cs="Times New Roman"/>
                <w:color w:val="auto"/>
                <w:sz w:val="24"/>
                <w:szCs w:val="22"/>
                <w:lang w:val="en-US" w:eastAsia="zh-CN"/>
              </w:rPr>
              <w:t>3-7</w:t>
            </w:r>
            <w:r>
              <w:rPr>
                <w:rFonts w:hint="default" w:ascii="Times New Roman" w:hAnsi="Times New Roman" w:eastAsia="宋体" w:cs="Times New Roman"/>
                <w:color w:val="auto"/>
                <w:sz w:val="24"/>
              </w:rPr>
              <w:t>。</w:t>
            </w:r>
          </w:p>
          <w:p w14:paraId="3D5D53ED">
            <w:pPr>
              <w:keepNext w:val="0"/>
              <w:pageBreakBefore w:val="0"/>
              <w:wordWrap/>
              <w:bidi w:val="0"/>
              <w:spacing w:beforeAutospacing="0" w:afterAutospacing="0" w:line="360" w:lineRule="auto"/>
              <w:ind w:left="0" w:leftChars="0" w:right="0" w:rightChars="0" w:firstLine="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表3-</w:t>
            </w:r>
            <w:r>
              <w:rPr>
                <w:rFonts w:hint="default" w:ascii="Times New Roman" w:hAnsi="Times New Roman" w:eastAsia="宋体" w:cs="Times New Roman"/>
                <w:b/>
                <w:bCs/>
                <w:color w:val="auto"/>
                <w:sz w:val="24"/>
                <w:szCs w:val="24"/>
                <w:lang w:val="en-US" w:eastAsia="zh-CN"/>
              </w:rPr>
              <w:t xml:space="preserve">7 </w:t>
            </w:r>
            <w:r>
              <w:rPr>
                <w:rFonts w:hint="default" w:ascii="Times New Roman" w:hAnsi="Times New Roman" w:eastAsia="宋体" w:cs="Times New Roman"/>
                <w:b/>
                <w:bCs/>
                <w:color w:val="auto"/>
                <w:sz w:val="24"/>
                <w:szCs w:val="24"/>
              </w:rPr>
              <w:t>《工业企业厂界环境噪声排放标准》</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0"/>
              <w:gridCol w:w="2759"/>
              <w:gridCol w:w="2758"/>
            </w:tblGrid>
            <w:tr w14:paraId="4CECD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center"/>
                </w:tcPr>
                <w:p w14:paraId="38A9CF2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类别</w:t>
                  </w:r>
                </w:p>
              </w:tc>
              <w:tc>
                <w:tcPr>
                  <w:tcW w:w="2646" w:type="dxa"/>
                  <w:noWrap w:val="0"/>
                  <w:vAlign w:val="center"/>
                </w:tcPr>
                <w:p w14:paraId="45F280C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昼间dB</w:t>
                  </w:r>
                  <w:r>
                    <w:rPr>
                      <w:rFonts w:hint="default" w:ascii="Times New Roman" w:hAnsi="Times New Roman" w:eastAsia="宋体" w:cs="Times New Roman"/>
                      <w:color w:val="auto"/>
                      <w:szCs w:val="21"/>
                      <w:lang w:eastAsia="zh-CN"/>
                    </w:rPr>
                    <w:t>（A）</w:t>
                  </w:r>
                </w:p>
              </w:tc>
              <w:tc>
                <w:tcPr>
                  <w:tcW w:w="2644" w:type="dxa"/>
                  <w:noWrap w:val="0"/>
                  <w:vAlign w:val="center"/>
                </w:tcPr>
                <w:p w14:paraId="7769EF5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夜间dB</w:t>
                  </w:r>
                  <w:r>
                    <w:rPr>
                      <w:rFonts w:hint="default" w:ascii="Times New Roman" w:hAnsi="Times New Roman" w:eastAsia="宋体" w:cs="Times New Roman"/>
                      <w:color w:val="auto"/>
                      <w:szCs w:val="21"/>
                      <w:lang w:eastAsia="zh-CN"/>
                    </w:rPr>
                    <w:t>（A）</w:t>
                  </w:r>
                </w:p>
              </w:tc>
            </w:tr>
            <w:tr w14:paraId="3BBD2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center"/>
                </w:tcPr>
                <w:p w14:paraId="737E089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类</w:t>
                  </w:r>
                </w:p>
              </w:tc>
              <w:tc>
                <w:tcPr>
                  <w:tcW w:w="2646" w:type="dxa"/>
                  <w:noWrap w:val="0"/>
                  <w:vAlign w:val="center"/>
                </w:tcPr>
                <w:p w14:paraId="0A12C1B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6</w:t>
                  </w:r>
                  <w:r>
                    <w:rPr>
                      <w:rFonts w:hint="default" w:ascii="Times New Roman" w:hAnsi="Times New Roman" w:eastAsia="宋体" w:cs="Times New Roman"/>
                      <w:color w:val="auto"/>
                      <w:szCs w:val="21"/>
                      <w:lang w:val="en-US" w:eastAsia="zh-CN"/>
                    </w:rPr>
                    <w:t>5</w:t>
                  </w:r>
                </w:p>
              </w:tc>
              <w:tc>
                <w:tcPr>
                  <w:tcW w:w="2644" w:type="dxa"/>
                  <w:noWrap w:val="0"/>
                  <w:vAlign w:val="center"/>
                </w:tcPr>
                <w:p w14:paraId="6575308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5</w:t>
                  </w:r>
                  <w:r>
                    <w:rPr>
                      <w:rFonts w:hint="default" w:ascii="Times New Roman" w:hAnsi="Times New Roman" w:eastAsia="宋体" w:cs="Times New Roman"/>
                      <w:color w:val="auto"/>
                      <w:szCs w:val="21"/>
                      <w:lang w:val="en-US" w:eastAsia="zh-CN"/>
                    </w:rPr>
                    <w:t>5</w:t>
                  </w:r>
                </w:p>
              </w:tc>
            </w:tr>
          </w:tbl>
          <w:p w14:paraId="6C0EE13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FF0000"/>
                <w:sz w:val="24"/>
              </w:rPr>
            </w:pPr>
            <w:r>
              <w:rPr>
                <w:rFonts w:hint="default" w:ascii="Times New Roman" w:hAnsi="Times New Roman" w:eastAsia="宋体" w:cs="Times New Roman"/>
                <w:b/>
                <w:bCs/>
                <w:color w:val="FF0000"/>
                <w:sz w:val="24"/>
              </w:rPr>
              <w:t>3、废水排放标准</w:t>
            </w:r>
          </w:p>
          <w:p w14:paraId="6D4701E5">
            <w:pPr>
              <w:keepNext w:val="0"/>
              <w:keepLines w:val="0"/>
              <w:pageBreakBefore w:val="0"/>
              <w:widowControl w:val="0"/>
              <w:suppressLineNumbers w:val="0"/>
              <w:kinsoku/>
              <w:wordWrap/>
              <w:overflowPunct/>
              <w:topLinePunct w:val="0"/>
              <w:autoSpaceDE/>
              <w:autoSpaceDN/>
              <w:bidi w:val="0"/>
              <w:snapToGrid/>
              <w:spacing w:beforeAutospacing="0" w:afterAutospacing="0" w:line="360" w:lineRule="auto"/>
              <w:ind w:left="0" w:leftChars="0" w:right="0" w:rightChars="0" w:firstLine="480" w:firstLineChars="20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highlight w:val="none"/>
                <w:lang w:val="en-US" w:eastAsia="zh-CN"/>
              </w:rPr>
              <w:t>本</w:t>
            </w:r>
            <w:r>
              <w:rPr>
                <w:rFonts w:hint="default" w:ascii="Times New Roman" w:hAnsi="Times New Roman" w:eastAsia="宋体" w:cs="Times New Roman"/>
                <w:color w:val="FF0000"/>
                <w:sz w:val="24"/>
                <w:highlight w:val="none"/>
                <w:lang w:eastAsia="zh-CN"/>
              </w:rPr>
              <w:t>项目</w:t>
            </w:r>
            <w:r>
              <w:rPr>
                <w:rFonts w:hint="default" w:ascii="Times New Roman" w:hAnsi="Times New Roman" w:eastAsia="宋体" w:cs="Times New Roman"/>
                <w:color w:val="FF0000"/>
                <w:sz w:val="24"/>
                <w:highlight w:val="none"/>
              </w:rPr>
              <w:t>营运期</w:t>
            </w:r>
            <w:r>
              <w:rPr>
                <w:rFonts w:hint="default" w:ascii="Times New Roman" w:hAnsi="Times New Roman" w:eastAsia="宋体" w:cs="Times New Roman"/>
                <w:color w:val="FF0000"/>
                <w:sz w:val="24"/>
                <w:szCs w:val="24"/>
                <w:highlight w:val="none"/>
                <w:lang w:eastAsia="zh-CN"/>
              </w:rPr>
              <w:t>生活污水排放</w:t>
            </w:r>
            <w:r>
              <w:rPr>
                <w:rFonts w:hint="default" w:ascii="Times New Roman" w:hAnsi="Times New Roman" w:eastAsia="宋体" w:cs="Times New Roman"/>
                <w:color w:val="FF0000"/>
                <w:sz w:val="24"/>
                <w:szCs w:val="24"/>
                <w:highlight w:val="none"/>
              </w:rPr>
              <w:t>执行《污水综合排放标准》（GB8978-1996）中的三级标准限值要求</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szCs w:val="22"/>
                <w:highlight w:val="none"/>
              </w:rPr>
              <w:t>见表</w:t>
            </w:r>
            <w:r>
              <w:rPr>
                <w:rFonts w:hint="default" w:ascii="Times New Roman" w:hAnsi="Times New Roman" w:eastAsia="宋体" w:cs="Times New Roman"/>
                <w:color w:val="FF0000"/>
                <w:sz w:val="24"/>
                <w:szCs w:val="22"/>
                <w:highlight w:val="none"/>
                <w:lang w:val="en-US" w:eastAsia="zh-CN"/>
              </w:rPr>
              <w:t>3-8</w:t>
            </w:r>
            <w:r>
              <w:rPr>
                <w:rFonts w:hint="default" w:ascii="Times New Roman" w:hAnsi="Times New Roman" w:eastAsia="宋体" w:cs="Times New Roman"/>
                <w:color w:val="FF0000"/>
                <w:sz w:val="24"/>
                <w:szCs w:val="24"/>
                <w:highlight w:val="none"/>
              </w:rPr>
              <w:t>。</w:t>
            </w:r>
          </w:p>
          <w:p w14:paraId="27F4D83C">
            <w:pPr>
              <w:keepNext w:val="0"/>
              <w:keepLines w:val="0"/>
              <w:pageBreakBefore w:val="0"/>
              <w:widowControl w:val="0"/>
              <w:suppressLineNumbers w:val="0"/>
              <w:kinsoku/>
              <w:wordWrap/>
              <w:overflowPunct/>
              <w:topLinePunct w:val="0"/>
              <w:autoSpaceDE/>
              <w:autoSpaceDN/>
              <w:bidi w:val="0"/>
              <w:adjustRightInd w:val="0"/>
              <w:snapToGrid/>
              <w:spacing w:beforeAutospacing="0" w:afterAutospacing="0" w:line="360" w:lineRule="auto"/>
              <w:ind w:left="0" w:leftChars="0" w:right="0" w:rightChars="0" w:firstLine="482" w:firstLineChars="200"/>
              <w:jc w:val="center"/>
              <w:textAlignment w:val="bottom"/>
              <w:outlineLvl w:val="1"/>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表3</w:t>
            </w:r>
            <w:r>
              <w:rPr>
                <w:rFonts w:hint="default" w:ascii="Times New Roman" w:hAnsi="Times New Roman" w:eastAsia="宋体" w:cs="Times New Roman"/>
                <w:b/>
                <w:bCs/>
                <w:color w:val="FF0000"/>
                <w:sz w:val="24"/>
                <w:szCs w:val="24"/>
                <w:highlight w:val="none"/>
                <w:lang w:val="en-US" w:eastAsia="zh-CN"/>
              </w:rPr>
              <w:t>-8  本项目</w:t>
            </w:r>
            <w:r>
              <w:rPr>
                <w:rFonts w:hint="default" w:ascii="Times New Roman" w:hAnsi="Times New Roman" w:eastAsia="宋体" w:cs="Times New Roman"/>
                <w:b/>
                <w:bCs/>
                <w:color w:val="FF0000"/>
                <w:sz w:val="24"/>
                <w:szCs w:val="24"/>
                <w:highlight w:val="none"/>
              </w:rPr>
              <w:t>污水排放标准单位：mg/L</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pH除外</w:t>
            </w:r>
          </w:p>
          <w:tbl>
            <w:tblPr>
              <w:tblStyle w:val="31"/>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245"/>
              <w:gridCol w:w="4477"/>
            </w:tblGrid>
            <w:tr w14:paraId="6B774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top w:val="single" w:color="auto" w:sz="4" w:space="0"/>
                    <w:left w:val="single" w:color="auto" w:sz="0" w:space="0"/>
                  </w:tcBorders>
                  <w:vAlign w:val="center"/>
                </w:tcPr>
                <w:p w14:paraId="3B6CC914">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序号</w:t>
                  </w:r>
                </w:p>
              </w:tc>
              <w:tc>
                <w:tcPr>
                  <w:tcW w:w="1457" w:type="dxa"/>
                  <w:tcBorders>
                    <w:top w:val="single" w:color="auto" w:sz="4" w:space="0"/>
                  </w:tcBorders>
                  <w:vAlign w:val="center"/>
                </w:tcPr>
                <w:p w14:paraId="6F3966E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w:t>
                  </w:r>
                </w:p>
              </w:tc>
              <w:tc>
                <w:tcPr>
                  <w:tcW w:w="2905" w:type="dxa"/>
                  <w:tcBorders>
                    <w:top w:val="single" w:color="auto" w:sz="4" w:space="0"/>
                    <w:right w:val="single" w:color="auto" w:sz="4" w:space="0"/>
                  </w:tcBorders>
                  <w:vAlign w:val="center"/>
                </w:tcPr>
                <w:p w14:paraId="3E0D0755">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《污水综合排放标准》（GB8978-1996）三级标准限值</w:t>
                  </w:r>
                </w:p>
              </w:tc>
            </w:tr>
            <w:tr w14:paraId="0C65B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vAlign w:val="center"/>
                </w:tcPr>
                <w:p w14:paraId="02FD220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w:t>
                  </w:r>
                </w:p>
              </w:tc>
              <w:tc>
                <w:tcPr>
                  <w:tcW w:w="1457" w:type="dxa"/>
                  <w:vAlign w:val="center"/>
                </w:tcPr>
                <w:p w14:paraId="53CC932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pH</w:t>
                  </w:r>
                </w:p>
              </w:tc>
              <w:tc>
                <w:tcPr>
                  <w:tcW w:w="2905" w:type="dxa"/>
                  <w:tcBorders>
                    <w:right w:val="single" w:color="auto" w:sz="4" w:space="0"/>
                  </w:tcBorders>
                  <w:vAlign w:val="center"/>
                </w:tcPr>
                <w:p w14:paraId="0B57B07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6-9</w:t>
                  </w:r>
                </w:p>
              </w:tc>
            </w:tr>
            <w:tr w14:paraId="10A2F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vAlign w:val="center"/>
                </w:tcPr>
                <w:p w14:paraId="40023DE6">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2</w:t>
                  </w:r>
                </w:p>
              </w:tc>
              <w:tc>
                <w:tcPr>
                  <w:tcW w:w="1457" w:type="dxa"/>
                  <w:vAlign w:val="center"/>
                </w:tcPr>
                <w:p w14:paraId="314B445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COD</w:t>
                  </w:r>
                </w:p>
              </w:tc>
              <w:tc>
                <w:tcPr>
                  <w:tcW w:w="2905" w:type="dxa"/>
                  <w:tcBorders>
                    <w:right w:val="single" w:color="auto" w:sz="4" w:space="0"/>
                  </w:tcBorders>
                  <w:vAlign w:val="center"/>
                </w:tcPr>
                <w:p w14:paraId="62F55B5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500</w:t>
                  </w:r>
                </w:p>
              </w:tc>
            </w:tr>
            <w:tr w14:paraId="1FE20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vAlign w:val="center"/>
                </w:tcPr>
                <w:p w14:paraId="6D41820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3</w:t>
                  </w:r>
                </w:p>
              </w:tc>
              <w:tc>
                <w:tcPr>
                  <w:tcW w:w="1457" w:type="dxa"/>
                  <w:vAlign w:val="center"/>
                </w:tcPr>
                <w:p w14:paraId="245856C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vertAlign w:val="subscript"/>
                    </w:rPr>
                  </w:pPr>
                  <w:r>
                    <w:rPr>
                      <w:rFonts w:hint="default" w:ascii="Times New Roman" w:hAnsi="Times New Roman" w:eastAsia="宋体" w:cs="Times New Roman"/>
                      <w:color w:val="FF0000"/>
                      <w:sz w:val="21"/>
                      <w:szCs w:val="21"/>
                      <w:highlight w:val="none"/>
                    </w:rPr>
                    <w:t>BOD</w:t>
                  </w:r>
                  <w:r>
                    <w:rPr>
                      <w:rFonts w:hint="default" w:ascii="Times New Roman" w:hAnsi="Times New Roman" w:eastAsia="宋体" w:cs="Times New Roman"/>
                      <w:color w:val="FF0000"/>
                      <w:sz w:val="21"/>
                      <w:szCs w:val="21"/>
                      <w:highlight w:val="none"/>
                      <w:vertAlign w:val="subscript"/>
                    </w:rPr>
                    <w:t>5</w:t>
                  </w:r>
                </w:p>
              </w:tc>
              <w:tc>
                <w:tcPr>
                  <w:tcW w:w="2905" w:type="dxa"/>
                  <w:tcBorders>
                    <w:right w:val="single" w:color="auto" w:sz="4" w:space="0"/>
                  </w:tcBorders>
                  <w:vAlign w:val="center"/>
                </w:tcPr>
                <w:p w14:paraId="1B038D3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300</w:t>
                  </w:r>
                </w:p>
              </w:tc>
            </w:tr>
            <w:tr w14:paraId="1F961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tcBorders>
                  <w:vAlign w:val="center"/>
                </w:tcPr>
                <w:p w14:paraId="56C094B3">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w:t>
                  </w:r>
                </w:p>
              </w:tc>
              <w:tc>
                <w:tcPr>
                  <w:tcW w:w="1457" w:type="dxa"/>
                  <w:vAlign w:val="center"/>
                </w:tcPr>
                <w:p w14:paraId="5DEE1204">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SS</w:t>
                  </w:r>
                </w:p>
              </w:tc>
              <w:tc>
                <w:tcPr>
                  <w:tcW w:w="2905" w:type="dxa"/>
                  <w:tcBorders>
                    <w:right w:val="single" w:color="auto" w:sz="4" w:space="0"/>
                  </w:tcBorders>
                  <w:vAlign w:val="center"/>
                </w:tcPr>
                <w:p w14:paraId="6F63A485">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400</w:t>
                  </w:r>
                </w:p>
              </w:tc>
            </w:tr>
            <w:tr w14:paraId="764EA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9" w:type="dxa"/>
                  <w:tcBorders>
                    <w:left w:val="single" w:color="auto" w:sz="4" w:space="0"/>
                    <w:bottom w:val="single" w:color="auto" w:sz="4" w:space="0"/>
                  </w:tcBorders>
                  <w:vAlign w:val="center"/>
                </w:tcPr>
                <w:p w14:paraId="2506CBE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w:t>
                  </w:r>
                </w:p>
              </w:tc>
              <w:tc>
                <w:tcPr>
                  <w:tcW w:w="1457" w:type="dxa"/>
                  <w:tcBorders>
                    <w:bottom w:val="single" w:color="auto" w:sz="4" w:space="0"/>
                  </w:tcBorders>
                  <w:vAlign w:val="center"/>
                </w:tcPr>
                <w:p w14:paraId="480D29A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NH</w:t>
                  </w:r>
                  <w:r>
                    <w:rPr>
                      <w:rFonts w:hint="default" w:ascii="Times New Roman" w:hAnsi="Times New Roman" w:eastAsia="宋体" w:cs="Times New Roman"/>
                      <w:color w:val="FF0000"/>
                      <w:sz w:val="21"/>
                      <w:szCs w:val="21"/>
                      <w:highlight w:val="none"/>
                      <w:vertAlign w:val="subscript"/>
                    </w:rPr>
                    <w:t>3</w:t>
                  </w:r>
                  <w:r>
                    <w:rPr>
                      <w:rFonts w:hint="default" w:ascii="Times New Roman" w:hAnsi="Times New Roman" w:eastAsia="宋体" w:cs="Times New Roman"/>
                      <w:color w:val="FF0000"/>
                      <w:sz w:val="21"/>
                      <w:szCs w:val="21"/>
                      <w:highlight w:val="none"/>
                    </w:rPr>
                    <w:t>-N</w:t>
                  </w:r>
                </w:p>
              </w:tc>
              <w:tc>
                <w:tcPr>
                  <w:tcW w:w="2905" w:type="dxa"/>
                  <w:tcBorders>
                    <w:bottom w:val="single" w:color="auto" w:sz="4" w:space="0"/>
                    <w:right w:val="single" w:color="auto" w:sz="4" w:space="0"/>
                  </w:tcBorders>
                  <w:vAlign w:val="center"/>
                </w:tcPr>
                <w:p w14:paraId="698EC95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w:t>
                  </w:r>
                </w:p>
              </w:tc>
            </w:tr>
          </w:tbl>
          <w:p w14:paraId="0C0BB41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4、固体废物排放标准</w:t>
            </w:r>
          </w:p>
          <w:p w14:paraId="1086E89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color w:val="auto"/>
                <w:sz w:val="24"/>
                <w:highlight w:val="none"/>
                <w:lang w:eastAsia="zh-CN"/>
              </w:rPr>
              <w:t>本项目一般工业固体废物执行《一般工业固体废物贮存和填埋污染控制标准》（GB18599-2020）的相关要求。</w:t>
            </w:r>
          </w:p>
        </w:tc>
      </w:tr>
      <w:tr w14:paraId="1334C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97" w:type="dxa"/>
            <w:vAlign w:val="center"/>
          </w:tcPr>
          <w:p w14:paraId="223D328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总量控制指标</w:t>
            </w:r>
          </w:p>
        </w:tc>
        <w:tc>
          <w:tcPr>
            <w:tcW w:w="8374" w:type="dxa"/>
            <w:vAlign w:val="center"/>
          </w:tcPr>
          <w:p w14:paraId="37569E6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eastAsia="zh-CN"/>
              </w:rPr>
            </w:pPr>
          </w:p>
          <w:p w14:paraId="5CC07BB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left"/>
              <w:textAlignment w:val="auto"/>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val="en-US" w:eastAsia="zh-CN"/>
              </w:rPr>
              <w:t>无</w:t>
            </w:r>
          </w:p>
          <w:p w14:paraId="1D34660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vertAlign w:val="baseline"/>
                <w:lang w:val="en-US" w:eastAsia="zh-CN"/>
              </w:rPr>
            </w:pPr>
          </w:p>
        </w:tc>
      </w:tr>
    </w:tbl>
    <w:p w14:paraId="65483A9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pPr>
    </w:p>
    <w:p w14:paraId="5F9CBF0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sectPr>
          <w:pgSz w:w="11906" w:h="16838"/>
          <w:pgMar w:top="1440" w:right="1800" w:bottom="1440" w:left="1800" w:header="851" w:footer="992" w:gutter="0"/>
          <w:pgNumType w:fmt="decimal"/>
          <w:cols w:space="425" w:num="1"/>
          <w:docGrid w:type="lines" w:linePitch="312" w:charSpace="0"/>
        </w:sectPr>
      </w:pPr>
    </w:p>
    <w:p w14:paraId="2C0FAAD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四、主要环境影响和保护措施</w:t>
      </w:r>
    </w:p>
    <w:tbl>
      <w:tblPr>
        <w:tblStyle w:val="3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8406"/>
      </w:tblGrid>
      <w:tr w14:paraId="03A08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5" w:type="dxa"/>
            <w:vAlign w:val="center"/>
          </w:tcPr>
          <w:p w14:paraId="06BB7792">
            <w:pPr>
              <w:keepNext w:val="0"/>
              <w:pageBreakBefore w:val="0"/>
              <w:wordWrap/>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施工期环境保护措施</w:t>
            </w:r>
          </w:p>
        </w:tc>
        <w:tc>
          <w:tcPr>
            <w:tcW w:w="8406" w:type="dxa"/>
            <w:vAlign w:val="center"/>
          </w:tcPr>
          <w:p w14:paraId="3FF297A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1、大气污染防治措施</w:t>
            </w:r>
          </w:p>
          <w:p w14:paraId="1CDADE2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本项目施工期采取的大气污染控制措施主要包括：</w:t>
            </w:r>
          </w:p>
          <w:p w14:paraId="5EECC81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a.施工现场对外围有影响的方向设置围栏或围墙，缩小施工现场扬尘和尾气扩散范围。对施工现场抛洒的砂石、水泥等物料应及时清扫，施工道路应定时洒水抑尘。</w:t>
            </w:r>
          </w:p>
          <w:p w14:paraId="5E3EF8C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b.运输车辆和部分施工机械在怠速、减速和加速时产生的污染最为严重。故施工现场运输车辆和部分施工机械一方面应控制车速，使之小于40km/h，以减少施工过程中产生的道路扬尘；另一方面缩短怠速、减速和加速的时间，增加正常运行时间。</w:t>
            </w:r>
          </w:p>
          <w:p w14:paraId="40408A0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c.燃油机车和施工机械尽可能使用柴油，若使用汽油，必须使用无铅汽油。</w:t>
            </w:r>
          </w:p>
          <w:p w14:paraId="2FA7902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d.选择合理的运输路线和时间，建筑垃圾委托专业渣土运输公司清运，运输车辆用帆布覆盖。</w:t>
            </w:r>
          </w:p>
          <w:p w14:paraId="25473FC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e.建议对排烟大的施工机械安装消烟装置，以减轻对大气环境的污染。</w:t>
            </w:r>
          </w:p>
          <w:p w14:paraId="4910FA8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0000FF"/>
                <w:sz w:val="24"/>
                <w:szCs w:val="24"/>
                <w:vertAlign w:val="baseline"/>
              </w:rPr>
            </w:pPr>
            <w:r>
              <w:rPr>
                <w:rFonts w:hint="default" w:ascii="Times New Roman" w:hAnsi="Times New Roman" w:eastAsia="宋体" w:cs="Times New Roman"/>
                <w:b w:val="0"/>
                <w:bCs w:val="0"/>
                <w:color w:val="0000FF"/>
                <w:sz w:val="24"/>
                <w:szCs w:val="24"/>
                <w:vertAlign w:val="baseline"/>
              </w:rPr>
              <w:t>f.在风速大于四级时停止施工，并采取有效措施，抑制扬尘飞散。</w:t>
            </w:r>
          </w:p>
          <w:p w14:paraId="50BA5F1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g.施工过程中使用的建筑材料，在装卸、堆放、拌和过程中会产生大量粉尘外逸，为减轻对大气环境的污染，应加强施工区域的管理。建筑材料的临时堆场定点定位，并采取防尘抑尘措施，如在大风天气，对散料堆场洒水抑尘，或用篷布遮盖。</w:t>
            </w:r>
          </w:p>
          <w:p w14:paraId="125C97B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h.加强运输管理，货车不得超高超载；坚持文明卸货；运输车辆卸完货后清洗车厢；工作车辆及运输车辆在离开施工区时检车装车质量。</w:t>
            </w:r>
          </w:p>
          <w:p w14:paraId="5449AD0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i.加强对机械、车辆的维修保养，禁止以柴油为燃料的施工机械超负荷工作，减少烟度和颗粒物排放。</w:t>
            </w:r>
          </w:p>
          <w:p w14:paraId="147EC5D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采取以上措施后，本项目施工时废气产生浓度较低，对周围环境影响较小，故不做具体分析。</w:t>
            </w:r>
          </w:p>
          <w:p w14:paraId="0C44968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2、废水污染防治措施</w:t>
            </w:r>
          </w:p>
          <w:p w14:paraId="7AF2916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eastAsia="宋体" w:cs="Times New Roman"/>
                <w:b w:val="0"/>
                <w:bCs w:val="0"/>
                <w:color w:val="auto"/>
                <w:sz w:val="24"/>
                <w:szCs w:val="24"/>
                <w:vertAlign w:val="baseline"/>
              </w:rPr>
              <w:t>施工期水污染物主要来源于施工期间施工废水以及施工人员的生活污水</w:t>
            </w:r>
            <w:r>
              <w:rPr>
                <w:rFonts w:hint="default" w:ascii="Times New Roman" w:hAnsi="Times New Roman" w:eastAsia="宋体" w:cs="Times New Roman"/>
                <w:b w:val="0"/>
                <w:bCs w:val="0"/>
                <w:color w:val="auto"/>
                <w:sz w:val="24"/>
                <w:szCs w:val="24"/>
                <w:vertAlign w:val="baseline"/>
                <w:lang w:eastAsia="zh-CN"/>
              </w:rPr>
              <w:t>。</w:t>
            </w:r>
          </w:p>
          <w:p w14:paraId="7A349C3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为减少施工产生的废水对周边环境产生的影响，施工单位应严格执行《建设工程施工场地文明施工及环境管理暂行规定》，对地面水的排放进行组织设计，严禁乱排、乱流污染环境。具体措施如下：</w:t>
            </w:r>
          </w:p>
          <w:p w14:paraId="7E02A38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（1）施工场地应设置临时隔油-沉淀池、排水沟等设施，以收集冲洗车辆、施工机械产生的废水，隔油沉沙预处理达标后，回用于场地洒水降尘；</w:t>
            </w:r>
          </w:p>
          <w:p w14:paraId="09AAA53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w:t>
            </w:r>
            <w:r>
              <w:rPr>
                <w:rFonts w:hint="default" w:ascii="Times New Roman" w:hAnsi="Times New Roman" w:eastAsia="宋体" w:cs="Times New Roman"/>
                <w:b w:val="0"/>
                <w:bCs w:val="0"/>
                <w:color w:val="auto"/>
                <w:sz w:val="24"/>
                <w:szCs w:val="24"/>
                <w:vertAlign w:val="baseline"/>
                <w:lang w:val="en-US" w:eastAsia="zh-CN"/>
              </w:rPr>
              <w:t>2</w:t>
            </w:r>
            <w:r>
              <w:rPr>
                <w:rFonts w:hint="default" w:ascii="Times New Roman" w:hAnsi="Times New Roman" w:eastAsia="宋体" w:cs="Times New Roman"/>
                <w:b w:val="0"/>
                <w:bCs w:val="0"/>
                <w:color w:val="auto"/>
                <w:sz w:val="24"/>
                <w:szCs w:val="24"/>
                <w:vertAlign w:val="baseline"/>
              </w:rPr>
              <w:t>）本项目施工人员产生的生活污水，经</w:t>
            </w:r>
            <w:r>
              <w:rPr>
                <w:rFonts w:hint="default" w:ascii="Times New Roman" w:hAnsi="Times New Roman" w:eastAsia="宋体" w:cs="Times New Roman"/>
                <w:b w:val="0"/>
                <w:bCs w:val="0"/>
                <w:color w:val="auto"/>
                <w:sz w:val="24"/>
                <w:szCs w:val="24"/>
                <w:vertAlign w:val="baseline"/>
                <w:lang w:val="en-US" w:eastAsia="zh-CN"/>
              </w:rPr>
              <w:t>临时旱厕收集后，由环卫部门清运</w:t>
            </w:r>
            <w:r>
              <w:rPr>
                <w:rFonts w:hint="default" w:ascii="Times New Roman" w:hAnsi="Times New Roman" w:eastAsia="宋体" w:cs="Times New Roman"/>
                <w:b w:val="0"/>
                <w:bCs w:val="0"/>
                <w:color w:val="auto"/>
                <w:sz w:val="24"/>
                <w:szCs w:val="24"/>
                <w:vertAlign w:val="baseline"/>
              </w:rPr>
              <w:t>，因此不会对周围水环境产生明显不良影响。</w:t>
            </w:r>
          </w:p>
          <w:p w14:paraId="6C22345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通过上述措施，施工期的废水可得到妥善处理，不会对周围环境产生明显影响。</w:t>
            </w:r>
          </w:p>
          <w:p w14:paraId="6583E1B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3、噪声污染防治措施</w:t>
            </w:r>
          </w:p>
          <w:p w14:paraId="36A1F0D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施工期噪声对周边环境的影响具有暂时性。项目施工结束，噪声污染即消失。建设单位应做好以下几点：</w:t>
            </w:r>
          </w:p>
          <w:p w14:paraId="0BCC903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（1）施工单位应尽量选用先进的低噪声设备，在高噪声设备周围适当设置屏障以减轻噪声对周围环境的影响，控制施工场界噪声不超过《建筑施工场界环境噪声排放标准</w:t>
            </w:r>
            <w:r>
              <w:rPr>
                <w:rFonts w:hint="default" w:ascii="Times New Roman" w:hAnsi="Times New Roman" w:eastAsia="宋体" w:cs="Times New Roman"/>
                <w:b w:val="0"/>
                <w:bCs w:val="0"/>
                <w:color w:val="auto"/>
                <w:sz w:val="24"/>
                <w:szCs w:val="24"/>
                <w:vertAlign w:val="baseline"/>
                <w:lang w:eastAsia="zh-CN"/>
              </w:rPr>
              <w:t>》</w:t>
            </w:r>
            <w:r>
              <w:rPr>
                <w:rFonts w:hint="default" w:ascii="Times New Roman" w:hAnsi="Times New Roman" w:eastAsia="宋体" w:cs="Times New Roman"/>
                <w:b w:val="0"/>
                <w:bCs w:val="0"/>
                <w:color w:val="auto"/>
                <w:sz w:val="24"/>
                <w:szCs w:val="24"/>
                <w:vertAlign w:val="baseline"/>
              </w:rPr>
              <w:t>（GB12523-2011）的相关要求。</w:t>
            </w:r>
          </w:p>
          <w:p w14:paraId="22C434C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7030A0"/>
                <w:sz w:val="24"/>
                <w:szCs w:val="24"/>
                <w:vertAlign w:val="baseline"/>
              </w:rPr>
            </w:pPr>
            <w:r>
              <w:rPr>
                <w:rFonts w:hint="default" w:ascii="Times New Roman" w:hAnsi="Times New Roman" w:eastAsia="宋体" w:cs="Times New Roman"/>
                <w:b w:val="0"/>
                <w:bCs w:val="0"/>
                <w:color w:val="7030A0"/>
                <w:sz w:val="24"/>
                <w:szCs w:val="24"/>
                <w:vertAlign w:val="baseline"/>
              </w:rPr>
              <w:t>（</w:t>
            </w:r>
            <w:r>
              <w:rPr>
                <w:rFonts w:hint="default" w:ascii="Times New Roman" w:hAnsi="Times New Roman" w:eastAsia="宋体" w:cs="Times New Roman"/>
                <w:b w:val="0"/>
                <w:bCs w:val="0"/>
                <w:color w:val="7030A0"/>
                <w:sz w:val="24"/>
                <w:szCs w:val="24"/>
                <w:vertAlign w:val="baseline"/>
                <w:lang w:val="en-US" w:eastAsia="zh-CN"/>
              </w:rPr>
              <w:t>2</w:t>
            </w:r>
            <w:r>
              <w:rPr>
                <w:rFonts w:hint="default" w:ascii="Times New Roman" w:hAnsi="Times New Roman" w:eastAsia="宋体" w:cs="Times New Roman"/>
                <w:b w:val="0"/>
                <w:bCs w:val="0"/>
                <w:color w:val="7030A0"/>
                <w:sz w:val="24"/>
                <w:szCs w:val="24"/>
                <w:vertAlign w:val="baseline"/>
              </w:rPr>
              <w:t>）施工现场合理布局，以避免局部声级过高，尽可能将施工阶段的噪声减至最低。</w:t>
            </w:r>
          </w:p>
          <w:p w14:paraId="56AE468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7030A0"/>
                <w:sz w:val="24"/>
                <w:szCs w:val="24"/>
                <w:vertAlign w:val="baseline"/>
              </w:rPr>
            </w:pPr>
            <w:r>
              <w:rPr>
                <w:rFonts w:hint="default" w:ascii="Times New Roman" w:hAnsi="Times New Roman" w:eastAsia="宋体" w:cs="Times New Roman"/>
                <w:b w:val="0"/>
                <w:bCs w:val="0"/>
                <w:color w:val="7030A0"/>
                <w:sz w:val="24"/>
                <w:szCs w:val="24"/>
                <w:vertAlign w:val="baseline"/>
              </w:rPr>
              <w:t>（</w:t>
            </w:r>
            <w:r>
              <w:rPr>
                <w:rFonts w:hint="default" w:ascii="Times New Roman" w:hAnsi="Times New Roman" w:eastAsia="宋体" w:cs="Times New Roman"/>
                <w:b w:val="0"/>
                <w:bCs w:val="0"/>
                <w:color w:val="7030A0"/>
                <w:sz w:val="24"/>
                <w:szCs w:val="24"/>
                <w:vertAlign w:val="baseline"/>
                <w:lang w:val="en-US" w:eastAsia="zh-CN"/>
              </w:rPr>
              <w:t>3</w:t>
            </w:r>
            <w:r>
              <w:rPr>
                <w:rFonts w:hint="default" w:ascii="Times New Roman" w:hAnsi="Times New Roman" w:eastAsia="宋体" w:cs="Times New Roman"/>
                <w:b w:val="0"/>
                <w:bCs w:val="0"/>
                <w:color w:val="7030A0"/>
                <w:sz w:val="24"/>
                <w:szCs w:val="24"/>
                <w:vertAlign w:val="baseline"/>
              </w:rPr>
              <w:t>）现场施工人员要严加管理，在施工建设时要防止互相撞击噪声，要文明施工。</w:t>
            </w:r>
          </w:p>
          <w:p w14:paraId="3552587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7030A0"/>
                <w:sz w:val="24"/>
                <w:szCs w:val="24"/>
                <w:vertAlign w:val="baseline"/>
                <w:lang w:val="en-US" w:eastAsia="zh-CN"/>
              </w:rPr>
            </w:pPr>
            <w:r>
              <w:rPr>
                <w:rFonts w:hint="default" w:ascii="Times New Roman" w:hAnsi="Times New Roman" w:eastAsia="宋体" w:cs="Times New Roman"/>
                <w:b w:val="0"/>
                <w:bCs w:val="0"/>
                <w:color w:val="7030A0"/>
                <w:sz w:val="24"/>
                <w:szCs w:val="24"/>
                <w:vertAlign w:val="baseline"/>
              </w:rPr>
              <w:t>（</w:t>
            </w:r>
            <w:r>
              <w:rPr>
                <w:rFonts w:hint="default" w:ascii="Times New Roman" w:hAnsi="Times New Roman" w:eastAsia="宋体" w:cs="Times New Roman"/>
                <w:b w:val="0"/>
                <w:bCs w:val="0"/>
                <w:color w:val="7030A0"/>
                <w:sz w:val="24"/>
                <w:szCs w:val="24"/>
                <w:vertAlign w:val="baseline"/>
                <w:lang w:val="en-US" w:eastAsia="zh-CN"/>
              </w:rPr>
              <w:t>4</w:t>
            </w:r>
            <w:r>
              <w:rPr>
                <w:rFonts w:hint="default" w:ascii="Times New Roman" w:hAnsi="Times New Roman" w:eastAsia="宋体" w:cs="Times New Roman"/>
                <w:b w:val="0"/>
                <w:bCs w:val="0"/>
                <w:color w:val="7030A0"/>
                <w:sz w:val="24"/>
                <w:szCs w:val="24"/>
                <w:vertAlign w:val="baseline"/>
              </w:rPr>
              <w:t>）在施工场地周围设置挡板</w:t>
            </w:r>
            <w:r>
              <w:rPr>
                <w:rFonts w:hint="default" w:ascii="Times New Roman" w:hAnsi="Times New Roman" w:eastAsia="宋体" w:cs="Times New Roman"/>
                <w:b w:val="0"/>
                <w:bCs w:val="0"/>
                <w:color w:val="7030A0"/>
                <w:sz w:val="24"/>
                <w:szCs w:val="24"/>
                <w:vertAlign w:val="baseline"/>
                <w:lang w:val="en-US" w:eastAsia="zh-CN"/>
              </w:rPr>
              <w:t>。</w:t>
            </w:r>
          </w:p>
          <w:p w14:paraId="6E9CE69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w:t>
            </w:r>
            <w:r>
              <w:rPr>
                <w:rFonts w:hint="default" w:ascii="Times New Roman" w:hAnsi="Times New Roman" w:eastAsia="宋体" w:cs="Times New Roman"/>
                <w:b w:val="0"/>
                <w:bCs w:val="0"/>
                <w:color w:val="auto"/>
                <w:sz w:val="24"/>
                <w:szCs w:val="24"/>
                <w:vertAlign w:val="baseline"/>
                <w:lang w:val="en-US" w:eastAsia="zh-CN"/>
              </w:rPr>
              <w:t>5</w:t>
            </w:r>
            <w:r>
              <w:rPr>
                <w:rFonts w:hint="default" w:ascii="Times New Roman" w:hAnsi="Times New Roman" w:eastAsia="宋体" w:cs="Times New Roman"/>
                <w:b w:val="0"/>
                <w:bCs w:val="0"/>
                <w:color w:val="auto"/>
                <w:sz w:val="24"/>
                <w:szCs w:val="24"/>
                <w:vertAlign w:val="baseline"/>
              </w:rPr>
              <w:t>）施工中应加强对施工机械的维护保养，避免由于设备性能差而增大机械噪声的现象发生。</w:t>
            </w:r>
          </w:p>
          <w:p w14:paraId="1080F37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rPr>
              <w:t>4、固体废物污染防治措施</w:t>
            </w:r>
          </w:p>
          <w:p w14:paraId="58633D2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（1）施工人员居住区的生活垃圾要实行袋装化，每天由清洁员清理，集中送至指定堆放点。</w:t>
            </w:r>
          </w:p>
          <w:p w14:paraId="14DA724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auto"/>
                <w:sz w:val="24"/>
                <w:szCs w:val="24"/>
                <w:vertAlign w:val="baseline"/>
              </w:rPr>
              <w:t>（2）尽量减少建筑材料在运输、装卸、施工过程中的跑、冒、滴、漏，建筑垃圾应在指定的堆放点存放，并及时就</w:t>
            </w:r>
            <w:r>
              <w:rPr>
                <w:rFonts w:hint="default" w:ascii="Times New Roman" w:hAnsi="Times New Roman" w:eastAsia="宋体" w:cs="Times New Roman"/>
                <w:b w:val="0"/>
                <w:bCs w:val="0"/>
                <w:color w:val="7030A0"/>
                <w:sz w:val="24"/>
                <w:szCs w:val="24"/>
                <w:vertAlign w:val="baseline"/>
              </w:rPr>
              <w:t>近送至园区垃圾无害化处理填埋场。</w:t>
            </w:r>
          </w:p>
          <w:p w14:paraId="29921EE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7030A0"/>
                <w:sz w:val="24"/>
                <w:szCs w:val="24"/>
                <w:vertAlign w:val="baseline"/>
              </w:rPr>
            </w:pPr>
            <w:r>
              <w:rPr>
                <w:rFonts w:hint="default" w:ascii="Times New Roman" w:hAnsi="Times New Roman" w:eastAsia="宋体" w:cs="Times New Roman"/>
                <w:b w:val="0"/>
                <w:bCs w:val="0"/>
                <w:color w:val="7030A0"/>
                <w:sz w:val="24"/>
                <w:szCs w:val="24"/>
                <w:vertAlign w:val="baseline"/>
              </w:rPr>
              <w:t>（</w:t>
            </w:r>
            <w:r>
              <w:rPr>
                <w:rFonts w:hint="default" w:ascii="Times New Roman" w:hAnsi="Times New Roman" w:eastAsia="宋体" w:cs="Times New Roman"/>
                <w:b w:val="0"/>
                <w:bCs w:val="0"/>
                <w:color w:val="7030A0"/>
                <w:sz w:val="24"/>
                <w:szCs w:val="24"/>
                <w:vertAlign w:val="baseline"/>
                <w:lang w:val="en-US" w:eastAsia="zh-CN"/>
              </w:rPr>
              <w:t>3</w:t>
            </w:r>
            <w:r>
              <w:rPr>
                <w:rFonts w:hint="default" w:ascii="Times New Roman" w:hAnsi="Times New Roman" w:eastAsia="宋体" w:cs="Times New Roman"/>
                <w:b w:val="0"/>
                <w:bCs w:val="0"/>
                <w:color w:val="7030A0"/>
                <w:sz w:val="24"/>
                <w:szCs w:val="24"/>
                <w:vertAlign w:val="baseline"/>
              </w:rPr>
              <w:t>）施工</w:t>
            </w:r>
            <w:r>
              <w:rPr>
                <w:rFonts w:hint="default" w:ascii="Times New Roman" w:hAnsi="Times New Roman" w:eastAsia="宋体" w:cs="Times New Roman"/>
                <w:b w:val="0"/>
                <w:bCs w:val="0"/>
                <w:color w:val="7030A0"/>
                <w:sz w:val="24"/>
                <w:szCs w:val="24"/>
                <w:vertAlign w:val="baseline"/>
                <w:lang w:val="en-US" w:eastAsia="zh-CN"/>
              </w:rPr>
              <w:t>过程中产生的多余土方，用于场地平整，不外排</w:t>
            </w:r>
            <w:r>
              <w:rPr>
                <w:rFonts w:hint="default" w:ascii="Times New Roman" w:hAnsi="Times New Roman" w:eastAsia="宋体" w:cs="Times New Roman"/>
                <w:b w:val="0"/>
                <w:bCs w:val="0"/>
                <w:color w:val="7030A0"/>
                <w:sz w:val="24"/>
                <w:szCs w:val="24"/>
                <w:vertAlign w:val="baseline"/>
              </w:rPr>
              <w:t>；</w:t>
            </w:r>
          </w:p>
          <w:p w14:paraId="7082102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vertAlign w:val="baseline"/>
              </w:rPr>
            </w:pPr>
            <w:r>
              <w:rPr>
                <w:rFonts w:hint="default" w:ascii="Times New Roman" w:hAnsi="Times New Roman" w:eastAsia="宋体" w:cs="Times New Roman"/>
                <w:b w:val="0"/>
                <w:bCs w:val="0"/>
                <w:color w:val="7030A0"/>
                <w:sz w:val="24"/>
                <w:szCs w:val="24"/>
                <w:vertAlign w:val="baseline"/>
              </w:rPr>
              <w:t>（</w:t>
            </w:r>
            <w:r>
              <w:rPr>
                <w:rFonts w:hint="default" w:ascii="Times New Roman" w:hAnsi="Times New Roman" w:eastAsia="宋体" w:cs="Times New Roman"/>
                <w:b w:val="0"/>
                <w:bCs w:val="0"/>
                <w:color w:val="7030A0"/>
                <w:sz w:val="24"/>
                <w:szCs w:val="24"/>
                <w:vertAlign w:val="baseline"/>
                <w:lang w:val="en-US" w:eastAsia="zh-CN"/>
              </w:rPr>
              <w:t>4</w:t>
            </w:r>
            <w:r>
              <w:rPr>
                <w:rFonts w:hint="default" w:ascii="Times New Roman" w:hAnsi="Times New Roman" w:eastAsia="宋体" w:cs="Times New Roman"/>
                <w:b w:val="0"/>
                <w:bCs w:val="0"/>
                <w:color w:val="7030A0"/>
                <w:sz w:val="24"/>
                <w:szCs w:val="24"/>
                <w:vertAlign w:val="baseline"/>
              </w:rPr>
              <w:t>）</w:t>
            </w:r>
            <w:r>
              <w:rPr>
                <w:rFonts w:hint="default" w:ascii="Times New Roman" w:hAnsi="Times New Roman" w:eastAsia="宋体" w:cs="Times New Roman"/>
                <w:b w:val="0"/>
                <w:bCs w:val="0"/>
                <w:color w:val="7030A0"/>
                <w:sz w:val="24"/>
                <w:szCs w:val="24"/>
                <w:vertAlign w:val="baseline"/>
                <w:lang w:val="en-US" w:eastAsia="zh-CN"/>
              </w:rPr>
              <w:t>可回收的</w:t>
            </w:r>
            <w:r>
              <w:rPr>
                <w:rFonts w:hint="default" w:ascii="Times New Roman" w:hAnsi="Times New Roman" w:eastAsia="宋体" w:cs="Times New Roman"/>
                <w:b w:val="0"/>
                <w:bCs w:val="0"/>
                <w:color w:val="7030A0"/>
                <w:sz w:val="24"/>
                <w:szCs w:val="24"/>
                <w:vertAlign w:val="baseline"/>
              </w:rPr>
              <w:t>钢材、金属、砌块、混凝土、未加工木材、瓦楞板纸和沥青等再生材料进行现场分类和收集</w:t>
            </w:r>
            <w:r>
              <w:rPr>
                <w:rFonts w:hint="default" w:ascii="Times New Roman" w:hAnsi="Times New Roman" w:eastAsia="宋体" w:cs="Times New Roman"/>
                <w:b w:val="0"/>
                <w:bCs w:val="0"/>
                <w:color w:val="7030A0"/>
                <w:sz w:val="24"/>
                <w:szCs w:val="24"/>
                <w:vertAlign w:val="baseline"/>
                <w:lang w:eastAsia="zh-CN"/>
              </w:rPr>
              <w:t>，</w:t>
            </w:r>
            <w:r>
              <w:rPr>
                <w:rFonts w:hint="default" w:ascii="Times New Roman" w:hAnsi="Times New Roman" w:eastAsia="宋体" w:cs="Times New Roman"/>
                <w:b w:val="0"/>
                <w:bCs w:val="0"/>
                <w:color w:val="7030A0"/>
                <w:sz w:val="24"/>
                <w:szCs w:val="24"/>
                <w:vertAlign w:val="baseline"/>
              </w:rPr>
              <w:t>外售废品收购站</w:t>
            </w:r>
            <w:r>
              <w:rPr>
                <w:rFonts w:hint="default" w:ascii="Times New Roman" w:hAnsi="Times New Roman" w:eastAsia="宋体" w:cs="Times New Roman"/>
                <w:b w:val="0"/>
                <w:bCs w:val="0"/>
                <w:color w:val="7030A0"/>
                <w:sz w:val="24"/>
                <w:szCs w:val="24"/>
                <w:vertAlign w:val="baseline"/>
                <w:lang w:eastAsia="zh-CN"/>
              </w:rPr>
              <w:t>。</w:t>
            </w:r>
          </w:p>
        </w:tc>
      </w:tr>
      <w:tr w14:paraId="1DCC7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5" w:type="dxa"/>
            <w:vAlign w:val="center"/>
          </w:tcPr>
          <w:p w14:paraId="5D2E8BC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运营期环境影响和保护措施</w:t>
            </w:r>
          </w:p>
        </w:tc>
        <w:tc>
          <w:tcPr>
            <w:tcW w:w="8406" w:type="dxa"/>
            <w:vAlign w:val="center"/>
          </w:tcPr>
          <w:p w14:paraId="1826C01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val="en-US" w:eastAsia="zh-CN"/>
              </w:rPr>
              <w:t>1、废气产排情况及治理措施可行性分析</w:t>
            </w:r>
          </w:p>
          <w:p w14:paraId="0FDCA538">
            <w:pPr>
              <w:keepNext w:val="0"/>
              <w:keepLines w:val="0"/>
              <w:pageBreakBefore w:val="0"/>
              <w:widowControl w:val="0"/>
              <w:kinsoku/>
              <w:wordWrap/>
              <w:overflowPunct/>
              <w:topLinePunct w:val="0"/>
              <w:autoSpaceDE/>
              <w:autoSpaceDN/>
              <w:bidi w:val="0"/>
              <w:adjustRightIn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1.1废气产排情况</w:t>
            </w:r>
          </w:p>
          <w:p w14:paraId="4EA1C0B0">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本项目工业气体及特种气体、标准气体在储槽装卸、气瓶充装过程中由于阀门与充装口之间管道中残余少量气体，会逸散少量废气，主要为氧气、氮气、氩气、二氧化碳、七氟丙烷和丙烷。其中：氧气、氮气、氩气、二氧化碳均为空气组成成分，无毒无害，不属于污染物；七氟丙烷和丙烷属于挥发性有机物（以非甲烷总烃计）。</w:t>
            </w:r>
          </w:p>
          <w:p w14:paraId="328A335E">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b w:val="0"/>
                <w:bCs w:val="0"/>
                <w:color w:val="0000FF"/>
                <w:sz w:val="24"/>
                <w:szCs w:val="24"/>
                <w:lang w:val="en-US" w:eastAsia="zh-CN"/>
              </w:rPr>
              <w:t>①储槽装卸废气</w:t>
            </w:r>
          </w:p>
          <w:p w14:paraId="32472266">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b w:val="0"/>
                <w:bCs w:val="0"/>
                <w:color w:val="0000FF"/>
                <w:sz w:val="24"/>
                <w:szCs w:val="24"/>
                <w:lang w:val="en-US" w:eastAsia="zh-CN"/>
              </w:rPr>
              <w:t>拟建项目丙烷为气相液态原料，在正常卸车过程（相对密闭状态）中不会有废气产生，但由于卸料管道连接处会沾染极少量的原料，卸料完成后断开连接，导致该部分沾染的原料挥发进入大气环境中，形成卸料废气（产生量极小，不易收集），在厂区内无组织排放。</w:t>
            </w:r>
          </w:p>
          <w:p w14:paraId="08A050F9">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b w:val="0"/>
                <w:bCs w:val="0"/>
                <w:color w:val="0000FF"/>
                <w:sz w:val="24"/>
                <w:szCs w:val="24"/>
                <w:lang w:val="en-US" w:eastAsia="zh-CN"/>
              </w:rPr>
              <w:t>槽车卸液完成后，输送管接头拆卸过程中，残留在接头的微量气体无组织排放，根据建设单位提供的资料，丙烷原料的运输车槽车，单车运输能力20t，接头内径为25mm，长50mm，每次装卸丙烷无组织排放量为0.00002m</w:t>
            </w:r>
            <w:r>
              <w:rPr>
                <w:rFonts w:hint="default" w:ascii="Times New Roman" w:hAnsi="Times New Roman" w:eastAsia="宋体" w:cs="Times New Roman"/>
                <w:b w:val="0"/>
                <w:bCs w:val="0"/>
                <w:color w:val="0000FF"/>
                <w:sz w:val="24"/>
                <w:szCs w:val="24"/>
                <w:vertAlign w:val="superscript"/>
                <w:lang w:val="en-US" w:eastAsia="zh-CN"/>
              </w:rPr>
              <w:t>3</w:t>
            </w:r>
            <w:r>
              <w:rPr>
                <w:rFonts w:hint="default" w:ascii="Times New Roman" w:hAnsi="Times New Roman" w:eastAsia="宋体" w:cs="Times New Roman"/>
                <w:b w:val="0"/>
                <w:bCs w:val="0"/>
                <w:color w:val="0000FF"/>
                <w:sz w:val="24"/>
                <w:szCs w:val="24"/>
                <w:lang w:val="en-US" w:eastAsia="zh-CN"/>
              </w:rPr>
              <w:t>，液态丙烷密度为0.54t/m</w:t>
            </w:r>
            <w:r>
              <w:rPr>
                <w:rFonts w:hint="default" w:ascii="Times New Roman" w:hAnsi="Times New Roman" w:eastAsia="宋体" w:cs="Times New Roman"/>
                <w:b w:val="0"/>
                <w:bCs w:val="0"/>
                <w:color w:val="0000FF"/>
                <w:sz w:val="24"/>
                <w:szCs w:val="24"/>
                <w:vertAlign w:val="superscript"/>
                <w:lang w:val="en-US" w:eastAsia="zh-CN"/>
              </w:rPr>
              <w:t>3</w:t>
            </w:r>
            <w:r>
              <w:rPr>
                <w:rFonts w:hint="default" w:ascii="Times New Roman" w:hAnsi="Times New Roman" w:eastAsia="宋体" w:cs="Times New Roman"/>
                <w:b w:val="0"/>
                <w:bCs w:val="0"/>
                <w:color w:val="0000FF"/>
                <w:sz w:val="24"/>
                <w:szCs w:val="24"/>
                <w:lang w:val="en-US" w:eastAsia="zh-CN"/>
              </w:rPr>
              <w:t>，单次丙烷无组织排放量为0.0132kg，本项目丙烷充装量为7565t/a、七氟丙烷充装量为1485t/a，年装卸次数约78次，单次卸车时间约30-50min（取平均值40min），年排放量为0.001t/a（0.019kg/h）。</w:t>
            </w:r>
          </w:p>
          <w:p w14:paraId="0B8E06DF">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b w:val="0"/>
                <w:bCs w:val="0"/>
                <w:color w:val="0000FF"/>
                <w:sz w:val="24"/>
                <w:szCs w:val="24"/>
                <w:lang w:val="en-US" w:eastAsia="zh-CN"/>
              </w:rPr>
              <w:t>②储槽大小呼吸</w:t>
            </w:r>
          </w:p>
          <w:p w14:paraId="58661A14">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b w:val="0"/>
                <w:bCs w:val="0"/>
                <w:color w:val="0000FF"/>
                <w:sz w:val="24"/>
                <w:szCs w:val="24"/>
                <w:lang w:val="en-US" w:eastAsia="zh-CN"/>
              </w:rPr>
              <w:t>根据建设单位提供的资料，丙烷储槽内设有汽化器和气相平衡管，汽化器主要是维持储槽内丙烷介质一定温度，由于温度和饱和蒸气压对应，维持一定温度和一定的罐内蒸气压，泄压阀不与大气联通，因此，不存在储槽的大、小呼吸，无丙烷储槽不存在大小呼吸产生的废气。</w:t>
            </w:r>
          </w:p>
          <w:p w14:paraId="463BD68F">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b w:val="0"/>
                <w:bCs w:val="0"/>
                <w:color w:val="0000FF"/>
                <w:sz w:val="24"/>
                <w:szCs w:val="24"/>
                <w:lang w:val="en-US" w:eastAsia="zh-CN"/>
              </w:rPr>
              <w:t>③</w:t>
            </w:r>
            <w:r>
              <w:rPr>
                <w:rFonts w:hint="default" w:ascii="Times New Roman" w:hAnsi="Times New Roman" w:eastAsia="宋体" w:cs="Times New Roman"/>
                <w:b w:val="0"/>
                <w:bCs w:val="0"/>
                <w:color w:val="0000FF"/>
                <w:sz w:val="24"/>
                <w:lang w:val="en-US" w:eastAsia="zh-CN"/>
              </w:rPr>
              <w:t>气瓶充装废气</w:t>
            </w:r>
          </w:p>
          <w:p w14:paraId="7DBAF678">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2"/>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0000FF"/>
                <w:sz w:val="24"/>
                <w:szCs w:val="24"/>
                <w:lang w:val="en-US" w:eastAsia="zh-CN"/>
              </w:rPr>
              <w:t>拟建项目充装</w:t>
            </w:r>
            <w:r>
              <w:rPr>
                <w:rFonts w:hint="default" w:ascii="Times New Roman" w:hAnsi="Times New Roman" w:eastAsia="宋体" w:cs="Times New Roman"/>
                <w:b w:val="0"/>
                <w:bCs w:val="0"/>
                <w:color w:val="0000FF"/>
                <w:sz w:val="24"/>
                <w:lang w:val="en-US" w:eastAsia="zh-CN"/>
              </w:rPr>
              <w:t>丙烷</w:t>
            </w:r>
            <w:r>
              <w:rPr>
                <w:rFonts w:hint="default" w:ascii="Times New Roman" w:hAnsi="Times New Roman" w:eastAsia="宋体" w:cs="Times New Roman"/>
                <w:b w:val="0"/>
                <w:bCs w:val="0"/>
                <w:color w:val="0000FF"/>
                <w:sz w:val="24"/>
                <w:szCs w:val="24"/>
                <w:lang w:val="en-US" w:eastAsia="zh-CN"/>
              </w:rPr>
              <w:t>、七氟丙烷的工序均是在密闭系统内进行，充装完毕后，其接口处残留有极少量的丙烷，常温常压下，</w:t>
            </w:r>
            <w:r>
              <w:rPr>
                <w:rFonts w:hint="default" w:ascii="Times New Roman" w:hAnsi="Times New Roman" w:eastAsia="宋体" w:cs="Times New Roman"/>
                <w:b w:val="0"/>
                <w:bCs w:val="0"/>
                <w:color w:val="0000FF"/>
                <w:sz w:val="24"/>
                <w:lang w:val="en-US" w:eastAsia="zh-CN"/>
              </w:rPr>
              <w:t>丙烷</w:t>
            </w:r>
            <w:r>
              <w:rPr>
                <w:rFonts w:hint="default" w:ascii="Times New Roman" w:hAnsi="Times New Roman" w:eastAsia="宋体" w:cs="Times New Roman"/>
                <w:b w:val="0"/>
                <w:bCs w:val="0"/>
                <w:color w:val="0000FF"/>
                <w:sz w:val="24"/>
                <w:szCs w:val="24"/>
                <w:lang w:val="en-US" w:eastAsia="zh-CN"/>
              </w:rPr>
              <w:t>、七氟丙烷以气态形式挥发到空气，形成充装废气（产生量极小，不易收集），在厂区内无组织排放。</w:t>
            </w:r>
            <w:r>
              <w:rPr>
                <w:rFonts w:hint="default" w:ascii="Times New Roman" w:hAnsi="Times New Roman" w:eastAsia="宋体" w:cs="Times New Roman"/>
                <w:b w:val="0"/>
                <w:bCs w:val="0"/>
                <w:color w:val="0000FF"/>
                <w:sz w:val="24"/>
                <w:lang w:val="en-US" w:eastAsia="zh-CN"/>
              </w:rPr>
              <w:t>丙烷</w:t>
            </w:r>
            <w:r>
              <w:rPr>
                <w:rFonts w:hint="default" w:ascii="Times New Roman" w:hAnsi="Times New Roman" w:eastAsia="宋体" w:cs="Times New Roman"/>
                <w:b w:val="0"/>
                <w:bCs w:val="0"/>
                <w:color w:val="0000FF"/>
                <w:sz w:val="24"/>
                <w:szCs w:val="24"/>
                <w:lang w:val="en-US" w:eastAsia="zh-CN"/>
              </w:rPr>
              <w:t>、七氟丙烷</w:t>
            </w:r>
            <w:r>
              <w:rPr>
                <w:rFonts w:hint="default" w:ascii="Times New Roman" w:hAnsi="Times New Roman" w:eastAsia="宋体" w:cs="Times New Roman"/>
                <w:b w:val="0"/>
                <w:bCs w:val="0"/>
                <w:color w:val="0000FF"/>
                <w:sz w:val="24"/>
                <w:lang w:val="en-US" w:eastAsia="zh-CN"/>
              </w:rPr>
              <w:t>挥发量按总消耗量的0.001%计，</w:t>
            </w:r>
            <w:r>
              <w:rPr>
                <w:rFonts w:hint="default" w:ascii="Times New Roman" w:hAnsi="Times New Roman" w:eastAsia="宋体" w:cs="Times New Roman"/>
                <w:b w:val="0"/>
                <w:bCs w:val="0"/>
                <w:color w:val="0000FF"/>
                <w:sz w:val="24"/>
                <w:szCs w:val="24"/>
                <w:lang w:val="en-US" w:eastAsia="zh-CN"/>
              </w:rPr>
              <w:t>本项目丙烷充装量为7565t/a、七氟丙烷充装量为1485t/a，</w:t>
            </w:r>
            <w:r>
              <w:rPr>
                <w:rFonts w:hint="default" w:ascii="Times New Roman" w:hAnsi="Times New Roman" w:eastAsia="宋体" w:cs="Times New Roman"/>
                <w:b w:val="0"/>
                <w:bCs w:val="0"/>
                <w:color w:val="0000FF"/>
                <w:sz w:val="24"/>
                <w:lang w:val="en-US" w:eastAsia="zh-CN"/>
              </w:rPr>
              <w:t>则非甲烷总烃挥发量为0.091t/a</w:t>
            </w:r>
            <w:r>
              <w:rPr>
                <w:rFonts w:hint="default" w:ascii="Times New Roman" w:hAnsi="Times New Roman" w:eastAsia="宋体" w:cs="Times New Roman"/>
                <w:b w:val="0"/>
                <w:bCs w:val="0"/>
                <w:color w:val="0000FF"/>
                <w:sz w:val="24"/>
                <w:szCs w:val="24"/>
                <w:lang w:val="en-US" w:eastAsia="zh-CN"/>
              </w:rPr>
              <w:t>（0.051kg/h）</w:t>
            </w:r>
            <w:r>
              <w:rPr>
                <w:rFonts w:hint="default" w:ascii="Times New Roman" w:hAnsi="Times New Roman" w:eastAsia="宋体" w:cs="Times New Roman"/>
                <w:b w:val="0"/>
                <w:bCs w:val="0"/>
                <w:color w:val="0000FF"/>
                <w:sz w:val="24"/>
                <w:lang w:val="en-US" w:eastAsia="zh-CN"/>
              </w:rPr>
              <w:t>。</w:t>
            </w:r>
          </w:p>
          <w:p w14:paraId="65DBA8A1">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4-1  </w:t>
            </w:r>
            <w:r>
              <w:rPr>
                <w:rFonts w:hint="default" w:ascii="Times New Roman" w:hAnsi="Times New Roman" w:eastAsia="宋体" w:cs="Times New Roman"/>
                <w:b/>
                <w:bCs/>
                <w:color w:val="auto"/>
                <w:sz w:val="24"/>
                <w:szCs w:val="24"/>
                <w:highlight w:val="none"/>
              </w:rPr>
              <w:t>大气污染物产排情况汇总表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4"/>
              <w:gridCol w:w="714"/>
              <w:gridCol w:w="714"/>
              <w:gridCol w:w="817"/>
              <w:gridCol w:w="714"/>
              <w:gridCol w:w="714"/>
              <w:gridCol w:w="714"/>
              <w:gridCol w:w="714"/>
              <w:gridCol w:w="714"/>
              <w:gridCol w:w="1748"/>
            </w:tblGrid>
            <w:tr w14:paraId="4D0D3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14" w:type="dxa"/>
                  <w:vMerge w:val="restart"/>
                  <w:noWrap w:val="0"/>
                  <w:tcMar>
                    <w:left w:w="28" w:type="dxa"/>
                    <w:right w:w="28" w:type="dxa"/>
                  </w:tcMar>
                  <w:vAlign w:val="center"/>
                </w:tcPr>
                <w:p w14:paraId="2524FC28">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排放方式</w:t>
                  </w:r>
                </w:p>
              </w:tc>
              <w:tc>
                <w:tcPr>
                  <w:tcW w:w="714" w:type="dxa"/>
                  <w:vMerge w:val="restart"/>
                  <w:noWrap w:val="0"/>
                  <w:tcMar>
                    <w:left w:w="28" w:type="dxa"/>
                    <w:right w:w="28" w:type="dxa"/>
                  </w:tcMar>
                  <w:vAlign w:val="center"/>
                </w:tcPr>
                <w:p w14:paraId="03644AFE">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污染源</w:t>
                  </w:r>
                </w:p>
              </w:tc>
              <w:tc>
                <w:tcPr>
                  <w:tcW w:w="714" w:type="dxa"/>
                  <w:vMerge w:val="restart"/>
                  <w:noWrap w:val="0"/>
                  <w:tcMar>
                    <w:left w:w="28" w:type="dxa"/>
                    <w:right w:w="28" w:type="dxa"/>
                  </w:tcMar>
                  <w:vAlign w:val="center"/>
                </w:tcPr>
                <w:p w14:paraId="40A92843">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污染因子</w:t>
                  </w:r>
                </w:p>
              </w:tc>
              <w:tc>
                <w:tcPr>
                  <w:tcW w:w="1531" w:type="dxa"/>
                  <w:gridSpan w:val="2"/>
                  <w:noWrap w:val="0"/>
                  <w:tcMar>
                    <w:left w:w="28" w:type="dxa"/>
                    <w:right w:w="28" w:type="dxa"/>
                  </w:tcMar>
                  <w:vAlign w:val="center"/>
                </w:tcPr>
                <w:p w14:paraId="374CAE49">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污染物产生情况</w:t>
                  </w:r>
                </w:p>
              </w:tc>
              <w:tc>
                <w:tcPr>
                  <w:tcW w:w="714" w:type="dxa"/>
                  <w:vMerge w:val="restart"/>
                  <w:noWrap w:val="0"/>
                  <w:tcMar>
                    <w:left w:w="28" w:type="dxa"/>
                    <w:right w:w="28" w:type="dxa"/>
                  </w:tcMar>
                  <w:vAlign w:val="center"/>
                </w:tcPr>
                <w:p w14:paraId="520B2ED6">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治理措施</w:t>
                  </w:r>
                </w:p>
              </w:tc>
              <w:tc>
                <w:tcPr>
                  <w:tcW w:w="2142" w:type="dxa"/>
                  <w:gridSpan w:val="3"/>
                  <w:noWrap w:val="0"/>
                  <w:tcMar>
                    <w:left w:w="28" w:type="dxa"/>
                    <w:right w:w="28" w:type="dxa"/>
                  </w:tcMar>
                  <w:vAlign w:val="center"/>
                </w:tcPr>
                <w:p w14:paraId="6C7061A2">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污染物排放情况</w:t>
                  </w:r>
                </w:p>
              </w:tc>
              <w:tc>
                <w:tcPr>
                  <w:tcW w:w="1748" w:type="dxa"/>
                  <w:vMerge w:val="restart"/>
                  <w:noWrap w:val="0"/>
                  <w:tcMar>
                    <w:left w:w="28" w:type="dxa"/>
                    <w:right w:w="28" w:type="dxa"/>
                  </w:tcMar>
                  <w:vAlign w:val="center"/>
                </w:tcPr>
                <w:p w14:paraId="3AD9C625">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达标情况</w:t>
                  </w:r>
                </w:p>
              </w:tc>
            </w:tr>
            <w:tr w14:paraId="05DED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4" w:type="dxa"/>
                  <w:vMerge w:val="continue"/>
                  <w:noWrap w:val="0"/>
                  <w:tcMar>
                    <w:left w:w="28" w:type="dxa"/>
                    <w:right w:w="28" w:type="dxa"/>
                  </w:tcMar>
                  <w:vAlign w:val="center"/>
                </w:tcPr>
                <w:p w14:paraId="09EB26ED">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p>
              </w:tc>
              <w:tc>
                <w:tcPr>
                  <w:tcW w:w="714" w:type="dxa"/>
                  <w:vMerge w:val="continue"/>
                  <w:noWrap w:val="0"/>
                  <w:tcMar>
                    <w:left w:w="28" w:type="dxa"/>
                    <w:right w:w="28" w:type="dxa"/>
                  </w:tcMar>
                  <w:vAlign w:val="center"/>
                </w:tcPr>
                <w:p w14:paraId="76FCFB81">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p>
              </w:tc>
              <w:tc>
                <w:tcPr>
                  <w:tcW w:w="714" w:type="dxa"/>
                  <w:vMerge w:val="continue"/>
                  <w:noWrap w:val="0"/>
                  <w:tcMar>
                    <w:left w:w="28" w:type="dxa"/>
                    <w:right w:w="28" w:type="dxa"/>
                  </w:tcMar>
                  <w:vAlign w:val="center"/>
                </w:tcPr>
                <w:p w14:paraId="026CA1AC">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p>
              </w:tc>
              <w:tc>
                <w:tcPr>
                  <w:tcW w:w="817" w:type="dxa"/>
                  <w:noWrap w:val="0"/>
                  <w:tcMar>
                    <w:left w:w="28" w:type="dxa"/>
                    <w:right w:w="28" w:type="dxa"/>
                  </w:tcMar>
                  <w:vAlign w:val="center"/>
                </w:tcPr>
                <w:p w14:paraId="21CEC0EE">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mg/m</w:t>
                  </w:r>
                  <w:r>
                    <w:rPr>
                      <w:rFonts w:hint="default" w:ascii="Times New Roman" w:hAnsi="Times New Roman" w:eastAsia="宋体" w:cs="Times New Roman"/>
                      <w:b w:val="0"/>
                      <w:bCs w:val="0"/>
                      <w:color w:val="0000FF"/>
                      <w:sz w:val="21"/>
                      <w:szCs w:val="21"/>
                      <w:highlight w:val="none"/>
                      <w:vertAlign w:val="superscript"/>
                    </w:rPr>
                    <w:t>3</w:t>
                  </w:r>
                </w:p>
              </w:tc>
              <w:tc>
                <w:tcPr>
                  <w:tcW w:w="714" w:type="dxa"/>
                  <w:noWrap w:val="0"/>
                  <w:tcMar>
                    <w:left w:w="28" w:type="dxa"/>
                    <w:right w:w="28" w:type="dxa"/>
                  </w:tcMar>
                  <w:vAlign w:val="center"/>
                </w:tcPr>
                <w:p w14:paraId="24E42F41">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t/a</w:t>
                  </w:r>
                </w:p>
              </w:tc>
              <w:tc>
                <w:tcPr>
                  <w:tcW w:w="714" w:type="dxa"/>
                  <w:vMerge w:val="continue"/>
                  <w:noWrap w:val="0"/>
                  <w:tcMar>
                    <w:left w:w="28" w:type="dxa"/>
                    <w:right w:w="28" w:type="dxa"/>
                  </w:tcMar>
                  <w:vAlign w:val="center"/>
                </w:tcPr>
                <w:p w14:paraId="53F1CF2C">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p>
              </w:tc>
              <w:tc>
                <w:tcPr>
                  <w:tcW w:w="714" w:type="dxa"/>
                  <w:noWrap w:val="0"/>
                  <w:tcMar>
                    <w:left w:w="28" w:type="dxa"/>
                    <w:right w:w="28" w:type="dxa"/>
                  </w:tcMar>
                  <w:vAlign w:val="center"/>
                </w:tcPr>
                <w:p w14:paraId="07F442F2">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mg/m</w:t>
                  </w:r>
                  <w:r>
                    <w:rPr>
                      <w:rFonts w:hint="default" w:ascii="Times New Roman" w:hAnsi="Times New Roman" w:eastAsia="宋体" w:cs="Times New Roman"/>
                      <w:b w:val="0"/>
                      <w:bCs w:val="0"/>
                      <w:color w:val="0000FF"/>
                      <w:sz w:val="21"/>
                      <w:szCs w:val="21"/>
                      <w:highlight w:val="none"/>
                      <w:vertAlign w:val="superscript"/>
                    </w:rPr>
                    <w:t>3</w:t>
                  </w:r>
                </w:p>
              </w:tc>
              <w:tc>
                <w:tcPr>
                  <w:tcW w:w="714" w:type="dxa"/>
                  <w:noWrap w:val="0"/>
                  <w:tcMar>
                    <w:left w:w="28" w:type="dxa"/>
                    <w:right w:w="28" w:type="dxa"/>
                  </w:tcMar>
                  <w:vAlign w:val="center"/>
                </w:tcPr>
                <w:p w14:paraId="0FAA991F">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highlight w:val="none"/>
                      <w:lang w:val="en-US" w:eastAsia="zh-CN"/>
                    </w:rPr>
                    <w:t>kg/h</w:t>
                  </w:r>
                </w:p>
              </w:tc>
              <w:tc>
                <w:tcPr>
                  <w:tcW w:w="714" w:type="dxa"/>
                  <w:noWrap w:val="0"/>
                  <w:tcMar>
                    <w:left w:w="28" w:type="dxa"/>
                    <w:right w:w="28" w:type="dxa"/>
                  </w:tcMar>
                  <w:vAlign w:val="center"/>
                </w:tcPr>
                <w:p w14:paraId="4C0D5215">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t/a</w:t>
                  </w:r>
                </w:p>
              </w:tc>
              <w:tc>
                <w:tcPr>
                  <w:tcW w:w="1748" w:type="dxa"/>
                  <w:vMerge w:val="continue"/>
                  <w:noWrap w:val="0"/>
                  <w:tcMar>
                    <w:left w:w="28" w:type="dxa"/>
                    <w:right w:w="28" w:type="dxa"/>
                  </w:tcMar>
                  <w:vAlign w:val="center"/>
                </w:tcPr>
                <w:p w14:paraId="10AACB97">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14:paraId="5F13D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4" w:type="dxa"/>
                  <w:vMerge w:val="restart"/>
                  <w:noWrap w:val="0"/>
                  <w:tcMar>
                    <w:left w:w="28" w:type="dxa"/>
                    <w:right w:w="28" w:type="dxa"/>
                  </w:tcMar>
                  <w:vAlign w:val="center"/>
                </w:tcPr>
                <w:p w14:paraId="6B48B04C">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eastAsia="zh-CN"/>
                    </w:rPr>
                  </w:pPr>
                  <w:r>
                    <w:rPr>
                      <w:rFonts w:hint="default" w:ascii="Times New Roman" w:hAnsi="Times New Roman" w:eastAsia="宋体" w:cs="Times New Roman"/>
                      <w:b w:val="0"/>
                      <w:bCs w:val="0"/>
                      <w:color w:val="0000FF"/>
                      <w:sz w:val="21"/>
                      <w:szCs w:val="21"/>
                      <w:highlight w:val="none"/>
                      <w:lang w:val="en-US" w:eastAsia="zh-CN"/>
                    </w:rPr>
                    <w:t>无</w:t>
                  </w:r>
                  <w:r>
                    <w:rPr>
                      <w:rFonts w:hint="default" w:ascii="Times New Roman" w:hAnsi="Times New Roman" w:eastAsia="宋体" w:cs="Times New Roman"/>
                      <w:b w:val="0"/>
                      <w:bCs w:val="0"/>
                      <w:color w:val="0000FF"/>
                      <w:sz w:val="21"/>
                      <w:szCs w:val="21"/>
                      <w:highlight w:val="none"/>
                      <w:lang w:eastAsia="zh-CN"/>
                    </w:rPr>
                    <w:t>组织</w:t>
                  </w:r>
                </w:p>
              </w:tc>
              <w:tc>
                <w:tcPr>
                  <w:tcW w:w="714" w:type="dxa"/>
                  <w:noWrap w:val="0"/>
                  <w:tcMar>
                    <w:left w:w="28" w:type="dxa"/>
                    <w:right w:w="28" w:type="dxa"/>
                  </w:tcMar>
                  <w:vAlign w:val="center"/>
                </w:tcPr>
                <w:p w14:paraId="4C19352F">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highlight w:val="none"/>
                      <w:lang w:val="en-US" w:eastAsia="zh-CN"/>
                    </w:rPr>
                    <w:t>七氟丙烷和丙烷</w:t>
                  </w:r>
                  <w:r>
                    <w:rPr>
                      <w:rFonts w:hint="default" w:ascii="Times New Roman" w:hAnsi="Times New Roman" w:eastAsia="宋体" w:cs="Times New Roman"/>
                      <w:b w:val="0"/>
                      <w:bCs w:val="0"/>
                      <w:color w:val="0000FF"/>
                      <w:sz w:val="21"/>
                      <w:szCs w:val="21"/>
                      <w:highlight w:val="none"/>
                      <w:lang w:eastAsia="zh-CN"/>
                    </w:rPr>
                    <w:t>储槽装卸废气</w:t>
                  </w:r>
                </w:p>
              </w:tc>
              <w:tc>
                <w:tcPr>
                  <w:tcW w:w="714" w:type="dxa"/>
                  <w:noWrap w:val="0"/>
                  <w:tcMar>
                    <w:left w:w="28" w:type="dxa"/>
                    <w:right w:w="28" w:type="dxa"/>
                  </w:tcMar>
                  <w:vAlign w:val="center"/>
                </w:tcPr>
                <w:p w14:paraId="43018EFB">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eastAsia="zh-CN"/>
                    </w:rPr>
                  </w:pPr>
                  <w:r>
                    <w:rPr>
                      <w:rFonts w:hint="default" w:ascii="Times New Roman" w:hAnsi="Times New Roman" w:eastAsia="宋体" w:cs="Times New Roman"/>
                      <w:color w:val="0000FF"/>
                      <w:sz w:val="21"/>
                      <w:szCs w:val="21"/>
                      <w:highlight w:val="none"/>
                      <w:lang w:val="en-US" w:eastAsia="zh-CN"/>
                    </w:rPr>
                    <w:t>非甲烷总烃</w:t>
                  </w:r>
                </w:p>
              </w:tc>
              <w:tc>
                <w:tcPr>
                  <w:tcW w:w="817" w:type="dxa"/>
                  <w:noWrap w:val="0"/>
                  <w:tcMar>
                    <w:left w:w="28" w:type="dxa"/>
                    <w:right w:w="28" w:type="dxa"/>
                  </w:tcMar>
                  <w:vAlign w:val="center"/>
                </w:tcPr>
                <w:p w14:paraId="435AE941">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lang w:val="en-US" w:eastAsia="zh-CN"/>
                    </w:rPr>
                    <w:t>/</w:t>
                  </w:r>
                </w:p>
              </w:tc>
              <w:tc>
                <w:tcPr>
                  <w:tcW w:w="714" w:type="dxa"/>
                  <w:shd w:val="clear" w:color="auto" w:fill="auto"/>
                  <w:noWrap w:val="0"/>
                  <w:tcMar>
                    <w:left w:w="28" w:type="dxa"/>
                    <w:right w:w="28" w:type="dxa"/>
                  </w:tcMar>
                  <w:vAlign w:val="center"/>
                </w:tcPr>
                <w:p w14:paraId="30AA10FA">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sz w:val="21"/>
                      <w:szCs w:val="21"/>
                      <w:lang w:val="en-US" w:eastAsia="zh-CN"/>
                    </w:rPr>
                    <w:t>0.001</w:t>
                  </w:r>
                </w:p>
              </w:tc>
              <w:tc>
                <w:tcPr>
                  <w:tcW w:w="714" w:type="dxa"/>
                  <w:vMerge w:val="restart"/>
                  <w:noWrap w:val="0"/>
                  <w:tcMar>
                    <w:left w:w="28" w:type="dxa"/>
                    <w:right w:w="28" w:type="dxa"/>
                  </w:tcMar>
                  <w:vAlign w:val="center"/>
                </w:tcPr>
                <w:p w14:paraId="4AD0C0C8">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highlight w:val="none"/>
                      <w:lang w:val="en-US" w:eastAsia="zh-CN"/>
                    </w:rPr>
                    <w:t>密闭储槽+密闭管道</w:t>
                  </w:r>
                </w:p>
              </w:tc>
              <w:tc>
                <w:tcPr>
                  <w:tcW w:w="714" w:type="dxa"/>
                  <w:noWrap w:val="0"/>
                  <w:tcMar>
                    <w:left w:w="28" w:type="dxa"/>
                    <w:right w:w="28" w:type="dxa"/>
                  </w:tcMar>
                  <w:vAlign w:val="center"/>
                </w:tcPr>
                <w:p w14:paraId="0FD9A2ED">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lang w:val="en-US" w:eastAsia="zh-CN"/>
                    </w:rPr>
                    <w:t>/</w:t>
                  </w:r>
                </w:p>
              </w:tc>
              <w:tc>
                <w:tcPr>
                  <w:tcW w:w="714" w:type="dxa"/>
                  <w:noWrap w:val="0"/>
                  <w:tcMar>
                    <w:left w:w="28" w:type="dxa"/>
                    <w:right w:w="28" w:type="dxa"/>
                  </w:tcMar>
                  <w:vAlign w:val="center"/>
                </w:tcPr>
                <w:p w14:paraId="0F936054">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lang w:val="en-US" w:eastAsia="zh-CN"/>
                    </w:rPr>
                    <w:t>0.019</w:t>
                  </w:r>
                </w:p>
              </w:tc>
              <w:tc>
                <w:tcPr>
                  <w:tcW w:w="714" w:type="dxa"/>
                  <w:noWrap w:val="0"/>
                  <w:tcMar>
                    <w:left w:w="28" w:type="dxa"/>
                    <w:right w:w="28" w:type="dxa"/>
                  </w:tcMar>
                  <w:vAlign w:val="center"/>
                </w:tcPr>
                <w:p w14:paraId="71D23F8F">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lang w:val="en-US" w:eastAsia="zh-CN"/>
                    </w:rPr>
                    <w:t>0.001</w:t>
                  </w:r>
                </w:p>
              </w:tc>
              <w:tc>
                <w:tcPr>
                  <w:tcW w:w="1748" w:type="dxa"/>
                  <w:vMerge w:val="restart"/>
                  <w:noWrap w:val="0"/>
                  <w:tcMar>
                    <w:left w:w="28" w:type="dxa"/>
                    <w:right w:w="28" w:type="dxa"/>
                  </w:tcMar>
                  <w:vAlign w:val="center"/>
                </w:tcPr>
                <w:p w14:paraId="47122367">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《大气污染物综合排放标准》（GB16297-1996）表2新污染源大气污染物排放限值中“无组织排放监控浓度限值”</w:t>
                  </w:r>
                </w:p>
              </w:tc>
            </w:tr>
            <w:tr w14:paraId="24811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4" w:type="dxa"/>
                  <w:vMerge w:val="continue"/>
                  <w:noWrap w:val="0"/>
                  <w:tcMar>
                    <w:left w:w="28" w:type="dxa"/>
                    <w:right w:w="28" w:type="dxa"/>
                  </w:tcMar>
                  <w:vAlign w:val="center"/>
                </w:tcPr>
                <w:p w14:paraId="1CD9105E">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p>
              </w:tc>
              <w:tc>
                <w:tcPr>
                  <w:tcW w:w="714" w:type="dxa"/>
                  <w:noWrap w:val="0"/>
                  <w:tcMar>
                    <w:left w:w="28" w:type="dxa"/>
                    <w:right w:w="28" w:type="dxa"/>
                  </w:tcMar>
                  <w:vAlign w:val="center"/>
                </w:tcPr>
                <w:p w14:paraId="60C95C8E">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eastAsia="zh-CN"/>
                    </w:rPr>
                  </w:pPr>
                  <w:r>
                    <w:rPr>
                      <w:rFonts w:hint="default" w:ascii="Times New Roman" w:hAnsi="Times New Roman" w:eastAsia="宋体" w:cs="Times New Roman"/>
                      <w:b w:val="0"/>
                      <w:bCs w:val="0"/>
                      <w:color w:val="0000FF"/>
                      <w:sz w:val="21"/>
                      <w:szCs w:val="21"/>
                      <w:highlight w:val="none"/>
                      <w:lang w:val="en-US" w:eastAsia="zh-CN"/>
                    </w:rPr>
                    <w:t>七氟丙烷和丙烷气瓶</w:t>
                  </w:r>
                  <w:r>
                    <w:rPr>
                      <w:rFonts w:hint="default" w:ascii="Times New Roman" w:hAnsi="Times New Roman" w:eastAsia="宋体" w:cs="Times New Roman"/>
                      <w:b w:val="0"/>
                      <w:bCs w:val="0"/>
                      <w:color w:val="0000FF"/>
                      <w:sz w:val="21"/>
                      <w:szCs w:val="21"/>
                      <w:highlight w:val="none"/>
                      <w:lang w:eastAsia="zh-CN"/>
                    </w:rPr>
                    <w:t>充装废气</w:t>
                  </w:r>
                </w:p>
              </w:tc>
              <w:tc>
                <w:tcPr>
                  <w:tcW w:w="714" w:type="dxa"/>
                  <w:noWrap w:val="0"/>
                  <w:tcMar>
                    <w:left w:w="28" w:type="dxa"/>
                    <w:right w:w="28" w:type="dxa"/>
                  </w:tcMar>
                  <w:vAlign w:val="center"/>
                </w:tcPr>
                <w:p w14:paraId="18161FB0">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eastAsia="zh-CN"/>
                    </w:rPr>
                  </w:pPr>
                  <w:r>
                    <w:rPr>
                      <w:rFonts w:hint="default" w:ascii="Times New Roman" w:hAnsi="Times New Roman" w:eastAsia="宋体" w:cs="Times New Roman"/>
                      <w:color w:val="0000FF"/>
                      <w:sz w:val="21"/>
                      <w:szCs w:val="21"/>
                      <w:highlight w:val="none"/>
                      <w:lang w:val="en-US" w:eastAsia="zh-CN"/>
                    </w:rPr>
                    <w:t>非甲烷总烃</w:t>
                  </w:r>
                </w:p>
              </w:tc>
              <w:tc>
                <w:tcPr>
                  <w:tcW w:w="817" w:type="dxa"/>
                  <w:noWrap w:val="0"/>
                  <w:tcMar>
                    <w:left w:w="28" w:type="dxa"/>
                    <w:right w:w="28" w:type="dxa"/>
                  </w:tcMar>
                  <w:vAlign w:val="center"/>
                </w:tcPr>
                <w:p w14:paraId="5B46DD90">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highlight w:val="none"/>
                      <w:lang w:val="en-US" w:eastAsia="zh-CN"/>
                    </w:rPr>
                    <w:t>/</w:t>
                  </w:r>
                </w:p>
              </w:tc>
              <w:tc>
                <w:tcPr>
                  <w:tcW w:w="714" w:type="dxa"/>
                  <w:shd w:val="clear" w:color="auto" w:fill="auto"/>
                  <w:noWrap w:val="0"/>
                  <w:tcMar>
                    <w:left w:w="28" w:type="dxa"/>
                    <w:right w:w="28" w:type="dxa"/>
                  </w:tcMar>
                  <w:vAlign w:val="center"/>
                </w:tcPr>
                <w:p w14:paraId="1B5D6361">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b w:val="0"/>
                      <w:bCs w:val="0"/>
                      <w:color w:val="0000FF"/>
                      <w:sz w:val="21"/>
                      <w:szCs w:val="21"/>
                      <w:lang w:val="en-US" w:eastAsia="zh-CN"/>
                    </w:rPr>
                    <w:t>0.091</w:t>
                  </w:r>
                </w:p>
              </w:tc>
              <w:tc>
                <w:tcPr>
                  <w:tcW w:w="714" w:type="dxa"/>
                  <w:vMerge w:val="continue"/>
                  <w:noWrap w:val="0"/>
                  <w:tcMar>
                    <w:left w:w="28" w:type="dxa"/>
                    <w:right w:w="28" w:type="dxa"/>
                  </w:tcMar>
                  <w:vAlign w:val="center"/>
                </w:tcPr>
                <w:p w14:paraId="431E0F05">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FF"/>
                      <w:sz w:val="21"/>
                      <w:szCs w:val="21"/>
                      <w:highlight w:val="none"/>
                      <w:lang w:val="en-US" w:eastAsia="zh-CN"/>
                    </w:rPr>
                  </w:pPr>
                </w:p>
              </w:tc>
              <w:tc>
                <w:tcPr>
                  <w:tcW w:w="714" w:type="dxa"/>
                  <w:noWrap w:val="0"/>
                  <w:tcMar>
                    <w:left w:w="28" w:type="dxa"/>
                    <w:right w:w="28" w:type="dxa"/>
                  </w:tcMar>
                  <w:vAlign w:val="center"/>
                </w:tcPr>
                <w:p w14:paraId="4091C956">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highlight w:val="none"/>
                      <w:lang w:val="en-US" w:eastAsia="zh-CN"/>
                    </w:rPr>
                    <w:t>/</w:t>
                  </w:r>
                </w:p>
              </w:tc>
              <w:tc>
                <w:tcPr>
                  <w:tcW w:w="714" w:type="dxa"/>
                  <w:noWrap w:val="0"/>
                  <w:tcMar>
                    <w:left w:w="28" w:type="dxa"/>
                    <w:right w:w="28" w:type="dxa"/>
                  </w:tcMar>
                  <w:vAlign w:val="center"/>
                </w:tcPr>
                <w:p w14:paraId="42ADB4C1">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lang w:val="en-US" w:eastAsia="zh-CN"/>
                    </w:rPr>
                    <w:t>0.051</w:t>
                  </w:r>
                </w:p>
              </w:tc>
              <w:tc>
                <w:tcPr>
                  <w:tcW w:w="714" w:type="dxa"/>
                  <w:noWrap w:val="0"/>
                  <w:tcMar>
                    <w:left w:w="28" w:type="dxa"/>
                    <w:right w:w="28" w:type="dxa"/>
                  </w:tcMar>
                  <w:vAlign w:val="center"/>
                </w:tcPr>
                <w:p w14:paraId="0D0E49AC">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0000FF"/>
                      <w:sz w:val="21"/>
                      <w:szCs w:val="21"/>
                      <w:highlight w:val="none"/>
                      <w:lang w:val="en-US" w:eastAsia="zh-CN"/>
                    </w:rPr>
                  </w:pPr>
                  <w:r>
                    <w:rPr>
                      <w:rFonts w:hint="default" w:ascii="Times New Roman" w:hAnsi="Times New Roman" w:eastAsia="宋体" w:cs="Times New Roman"/>
                      <w:b w:val="0"/>
                      <w:bCs w:val="0"/>
                      <w:color w:val="0000FF"/>
                      <w:sz w:val="21"/>
                      <w:szCs w:val="21"/>
                      <w:lang w:val="en-US" w:eastAsia="zh-CN"/>
                    </w:rPr>
                    <w:t>0.091</w:t>
                  </w:r>
                </w:p>
              </w:tc>
              <w:tc>
                <w:tcPr>
                  <w:tcW w:w="1748" w:type="dxa"/>
                  <w:vMerge w:val="continue"/>
                  <w:noWrap w:val="0"/>
                  <w:tcMar>
                    <w:left w:w="28" w:type="dxa"/>
                    <w:right w:w="28" w:type="dxa"/>
                  </w:tcMar>
                  <w:vAlign w:val="center"/>
                </w:tcPr>
                <w:p w14:paraId="39512AAC">
                  <w:pPr>
                    <w:keepNext w:val="0"/>
                    <w:keepLines w:val="0"/>
                    <w:pageBreakBefore w:val="0"/>
                    <w:widowControl w:val="0"/>
                    <w:suppressLineNumbers w:val="0"/>
                    <w:shd w:val="clear"/>
                    <w:kinsoku/>
                    <w:wordWrap/>
                    <w:overflowPunct/>
                    <w:topLinePunct w:val="0"/>
                    <w:autoSpaceDE/>
                    <w:autoSpaceDN/>
                    <w:bidi w:val="0"/>
                    <w:adjustRightInd/>
                    <w:snapToGrid w:val="0"/>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r>
          </w:tbl>
          <w:p w14:paraId="0D1D3590">
            <w:pPr>
              <w:keepNext w:val="0"/>
              <w:pageBreakBefore w:val="0"/>
              <w:wordWrap/>
              <w:bidi w:val="0"/>
              <w:spacing w:beforeAutospacing="0" w:afterAutospacing="0" w:line="360" w:lineRule="auto"/>
              <w:ind w:left="0" w:leftChars="0" w:right="0" w:rightChars="0" w:firstLine="482" w:firstLineChars="200"/>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1.2废气污染物防治措施</w:t>
            </w:r>
          </w:p>
          <w:p w14:paraId="299EB9E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对厂内压力管道、管线、阀门等每年至少开展一次设备的密封性的检查、检测与修复，保证厂内设备的正常运行，减少废气的产生和排放。</w:t>
            </w:r>
          </w:p>
          <w:p w14:paraId="4520055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auto"/>
                <w:sz w:val="24"/>
                <w:szCs w:val="24"/>
                <w:highlight w:val="none"/>
                <w:lang w:val="en-US" w:eastAsia="zh-CN"/>
              </w:rPr>
              <w:t>根据《排污单位自行监测技术指南 总则》（HJ819-2017）中“5.2.2.1测点位”要求：存在废气无组织排放源的，应设置无组织排放监测点位，具体要求按相关污染物排放标准及HJ/T55、HJ733等执行。液态二氧化碳储存、充装行业现无相应的排放标准，待国家或地方颁布相应的标准后，企业按照相应的要求进行自行监测。非正常排放主要指运营过程中的开停车、设备检修、工艺设备运转异常等非正常工况下的污染物排放，以及污染物排放控制措施达不到应有效率等情况下的排放。企业应实行定期检查设备、仪器，严格管理，避免失效工况发生。</w:t>
            </w:r>
          </w:p>
          <w:p w14:paraId="7B3ECC3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（1）气瓶充装废气防治措施</w:t>
            </w:r>
          </w:p>
          <w:p w14:paraId="245FE5A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在气瓶充装过程中需开启钢瓶上放空阀以调节瓶内压力，放空阀会产生放空废气，通过在放空阀与储槽间采用气相平衡管相连，将放空阀排出的气体输送至储槽中，可减少此部分废气的产生。具体为将气相管与液相管分别与储槽及钢瓶放空阀相连，充装时形成闭路循环，放空阀排出的废气从气相管道回流至储槽中，排入大气中的量很少。</w:t>
            </w:r>
          </w:p>
          <w:p w14:paraId="3A08957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（2）储槽控制措施</w:t>
            </w:r>
          </w:p>
          <w:p w14:paraId="4F03534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①储槽的设计、制造、检验均严格执行相关标准规范，满足低温液体物料的储运要求，避免储槽泄漏。</w:t>
            </w:r>
          </w:p>
          <w:p w14:paraId="157F814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②加强设备维护保养，严格执行操作规程，控制物料的储存量。</w:t>
            </w:r>
          </w:p>
          <w:p w14:paraId="354DD36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③因低温液体储槽依靠内筒与外壁直接的真空度进行储存，经常对储槽内部进行真空度检查，维持在合理的真空度。</w:t>
            </w:r>
          </w:p>
          <w:p w14:paraId="1A66E69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（3）吹扫类排气防治措施</w:t>
            </w:r>
          </w:p>
          <w:p w14:paraId="42F7287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原料卸料过程中产生的管道吹扫废气、钢瓶及气瓶充装后管道余气、充装前钢瓶及钢瓶的放空及抽真空废气通过严密监察仪表，满足工艺要求后立即关闭等措施，减少吹扫废气的排放。</w:t>
            </w:r>
          </w:p>
          <w:p w14:paraId="5EDD406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（4）其他排气防治措施</w:t>
            </w:r>
          </w:p>
          <w:p w14:paraId="61E7C54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①在配套仓库安装良好的通风设施，保持仓库通风流畅。</w:t>
            </w:r>
          </w:p>
          <w:p w14:paraId="0B06E0B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2"/>
                <w:lang w:val="en-US" w:eastAsia="zh-CN"/>
              </w:rPr>
            </w:pPr>
            <w:r>
              <w:rPr>
                <w:rFonts w:hint="default" w:ascii="Times New Roman" w:hAnsi="Times New Roman" w:eastAsia="宋体" w:cs="Times New Roman"/>
                <w:b w:val="0"/>
                <w:bCs w:val="0"/>
                <w:color w:val="auto"/>
                <w:sz w:val="24"/>
                <w:szCs w:val="22"/>
                <w:lang w:val="en-US" w:eastAsia="zh-CN"/>
              </w:rPr>
              <w:t>②对生产设备、管道、阀门经常检查、检修，保持装置气密性良好；主控装置采用自动控制系统。</w:t>
            </w:r>
          </w:p>
          <w:p w14:paraId="0D7E700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③加强管理，所有操作严格按照既定的操作规程进行操作。</w:t>
            </w:r>
          </w:p>
          <w:p w14:paraId="4143ECD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④加强厂区内及厂区周围的绿化，种植一定数量的对本项目特异因子具有抗性的树种，起到既美化环境又保护环境的作用。</w:t>
            </w:r>
          </w:p>
          <w:p w14:paraId="11283150">
            <w:pPr>
              <w:keepNext w:val="0"/>
              <w:keepLines w:val="0"/>
              <w:pageBreakBefore w:val="0"/>
              <w:kinsoku/>
              <w:wordWrap/>
              <w:overflowPunct/>
              <w:topLinePunct w:val="0"/>
              <w:autoSpaceDE/>
              <w:autoSpaceDN/>
              <w:bidi w:val="0"/>
              <w:adjustRightInd/>
              <w:snapToGrid/>
              <w:spacing w:beforeAutospacing="0" w:afterAutospacing="0" w:line="360" w:lineRule="auto"/>
              <w:ind w:left="0" w:leftChars="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1.3废气监测计划</w:t>
            </w:r>
          </w:p>
          <w:p w14:paraId="3DD5743B">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参照</w:t>
            </w:r>
            <w:r>
              <w:rPr>
                <w:rFonts w:hint="default" w:ascii="Times New Roman" w:hAnsi="Times New Roman" w:eastAsia="宋体" w:cs="Times New Roman"/>
                <w:color w:val="auto"/>
                <w:sz w:val="24"/>
                <w:szCs w:val="24"/>
                <w:highlight w:val="none"/>
              </w:rPr>
              <w:t>《排污许可申请与核发技术规范</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总则》（HJ942-2018）、《排污单位自行监测技术指南</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总则》要求，本项目废气监测计划如下：</w:t>
            </w:r>
          </w:p>
          <w:p w14:paraId="589F4D6C">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表4-</w:t>
            </w:r>
            <w:r>
              <w:rPr>
                <w:rFonts w:hint="default" w:ascii="Times New Roman" w:hAnsi="Times New Roman" w:eastAsia="宋体" w:cs="Times New Roman"/>
                <w:b/>
                <w:bCs/>
                <w:color w:val="auto"/>
                <w:sz w:val="24"/>
                <w:szCs w:val="24"/>
                <w:highlight w:val="none"/>
                <w:lang w:val="en-US" w:eastAsia="zh-CN"/>
              </w:rPr>
              <w:t xml:space="preserve">2  </w:t>
            </w:r>
            <w:r>
              <w:rPr>
                <w:rFonts w:hint="default" w:ascii="Times New Roman" w:hAnsi="Times New Roman" w:eastAsia="宋体" w:cs="Times New Roman"/>
                <w:b/>
                <w:bCs/>
                <w:color w:val="auto"/>
                <w:sz w:val="24"/>
                <w:szCs w:val="24"/>
                <w:highlight w:val="none"/>
              </w:rPr>
              <w:t>环境监测工作内容一览表</w:t>
            </w:r>
          </w:p>
          <w:tbl>
            <w:tblPr>
              <w:tblStyle w:val="31"/>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06"/>
              <w:gridCol w:w="1556"/>
              <w:gridCol w:w="1182"/>
              <w:gridCol w:w="1183"/>
              <w:gridCol w:w="3550"/>
            </w:tblGrid>
            <w:tr w14:paraId="0FD19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06" w:type="dxa"/>
                  <w:tcBorders>
                    <w:top w:val="single" w:color="auto" w:sz="4" w:space="0"/>
                    <w:left w:val="single" w:color="auto" w:sz="0" w:space="0"/>
                    <w:tl2br w:val="nil"/>
                    <w:tr2bl w:val="nil"/>
                  </w:tcBorders>
                  <w:tcMar>
                    <w:left w:w="0" w:type="dxa"/>
                    <w:right w:w="0" w:type="dxa"/>
                  </w:tcMar>
                  <w:vAlign w:val="center"/>
                </w:tcPr>
                <w:p w14:paraId="5E0D841E">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要素</w:t>
                  </w:r>
                </w:p>
              </w:tc>
              <w:tc>
                <w:tcPr>
                  <w:tcW w:w="1556" w:type="dxa"/>
                  <w:tcBorders>
                    <w:top w:val="single" w:color="auto" w:sz="4" w:space="0"/>
                    <w:tl2br w:val="nil"/>
                    <w:tr2bl w:val="nil"/>
                  </w:tcBorders>
                  <w:tcMar>
                    <w:left w:w="0" w:type="dxa"/>
                    <w:right w:w="0" w:type="dxa"/>
                  </w:tcMar>
                  <w:vAlign w:val="center"/>
                </w:tcPr>
                <w:p w14:paraId="6E314E94">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监测点位</w:t>
                  </w:r>
                </w:p>
              </w:tc>
              <w:tc>
                <w:tcPr>
                  <w:tcW w:w="1182" w:type="dxa"/>
                  <w:tcBorders>
                    <w:top w:val="single" w:color="auto" w:sz="4" w:space="0"/>
                    <w:tl2br w:val="nil"/>
                    <w:tr2bl w:val="nil"/>
                  </w:tcBorders>
                  <w:tcMar>
                    <w:left w:w="0" w:type="dxa"/>
                    <w:right w:w="0" w:type="dxa"/>
                  </w:tcMar>
                  <w:vAlign w:val="center"/>
                </w:tcPr>
                <w:p w14:paraId="4B9FC5FD">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监测项目</w:t>
                  </w:r>
                </w:p>
              </w:tc>
              <w:tc>
                <w:tcPr>
                  <w:tcW w:w="1183" w:type="dxa"/>
                  <w:tcBorders>
                    <w:top w:val="single" w:color="auto" w:sz="4" w:space="0"/>
                    <w:tl2br w:val="nil"/>
                    <w:tr2bl w:val="nil"/>
                  </w:tcBorders>
                  <w:tcMar>
                    <w:left w:w="0" w:type="dxa"/>
                    <w:right w:w="0" w:type="dxa"/>
                  </w:tcMar>
                  <w:vAlign w:val="center"/>
                </w:tcPr>
                <w:p w14:paraId="3DBB3047">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监测频次</w:t>
                  </w:r>
                </w:p>
              </w:tc>
              <w:tc>
                <w:tcPr>
                  <w:tcW w:w="3550" w:type="dxa"/>
                  <w:tcBorders>
                    <w:top w:val="single" w:color="auto" w:sz="4" w:space="0"/>
                    <w:right w:val="single" w:color="auto" w:sz="4" w:space="0"/>
                    <w:tl2br w:val="nil"/>
                    <w:tr2bl w:val="nil"/>
                  </w:tcBorders>
                  <w:tcMar>
                    <w:left w:w="0" w:type="dxa"/>
                    <w:right w:w="0" w:type="dxa"/>
                  </w:tcMar>
                  <w:vAlign w:val="center"/>
                </w:tcPr>
                <w:p w14:paraId="2763D4BD">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执行标准</w:t>
                  </w:r>
                </w:p>
              </w:tc>
            </w:tr>
            <w:tr w14:paraId="1FDD7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06" w:type="dxa"/>
                  <w:vMerge w:val="restart"/>
                  <w:tcBorders>
                    <w:top w:val="single" w:color="auto" w:sz="4" w:space="0"/>
                    <w:left w:val="single" w:color="auto" w:sz="0" w:space="0"/>
                    <w:tl2br w:val="nil"/>
                    <w:tr2bl w:val="nil"/>
                  </w:tcBorders>
                  <w:tcMar>
                    <w:left w:w="0" w:type="dxa"/>
                    <w:right w:w="0" w:type="dxa"/>
                  </w:tcMar>
                  <w:vAlign w:val="center"/>
                </w:tcPr>
                <w:p w14:paraId="7EC19018">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大气</w:t>
                  </w:r>
                </w:p>
              </w:tc>
              <w:tc>
                <w:tcPr>
                  <w:tcW w:w="1556" w:type="dxa"/>
                  <w:tcBorders>
                    <w:top w:val="single" w:color="auto" w:sz="4" w:space="0"/>
                    <w:tl2br w:val="nil"/>
                    <w:tr2bl w:val="nil"/>
                  </w:tcBorders>
                  <w:tcMar>
                    <w:left w:w="0" w:type="dxa"/>
                    <w:right w:w="0" w:type="dxa"/>
                  </w:tcMar>
                  <w:vAlign w:val="center"/>
                </w:tcPr>
                <w:p w14:paraId="6A46ADA8">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color w:val="0000FF"/>
                      <w:sz w:val="21"/>
                      <w:szCs w:val="21"/>
                      <w:highlight w:val="none"/>
                    </w:rPr>
                    <w:t>厂界</w:t>
                  </w:r>
                </w:p>
              </w:tc>
              <w:tc>
                <w:tcPr>
                  <w:tcW w:w="1182" w:type="dxa"/>
                  <w:tcBorders>
                    <w:top w:val="single" w:color="auto" w:sz="4" w:space="0"/>
                    <w:tl2br w:val="nil"/>
                    <w:tr2bl w:val="nil"/>
                  </w:tcBorders>
                  <w:tcMar>
                    <w:left w:w="0" w:type="dxa"/>
                    <w:right w:w="0" w:type="dxa"/>
                  </w:tcMar>
                  <w:vAlign w:val="center"/>
                </w:tcPr>
                <w:p w14:paraId="3A0640CA">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color w:val="0000FF"/>
                      <w:sz w:val="21"/>
                      <w:szCs w:val="21"/>
                      <w:highlight w:val="none"/>
                      <w:lang w:val="en-US" w:eastAsia="zh-CN"/>
                    </w:rPr>
                    <w:t>非甲烷总烃</w:t>
                  </w:r>
                </w:p>
              </w:tc>
              <w:tc>
                <w:tcPr>
                  <w:tcW w:w="1183" w:type="dxa"/>
                  <w:tcBorders>
                    <w:top w:val="single" w:color="auto" w:sz="4" w:space="0"/>
                    <w:tl2br w:val="nil"/>
                    <w:tr2bl w:val="nil"/>
                  </w:tcBorders>
                  <w:tcMar>
                    <w:left w:w="0" w:type="dxa"/>
                    <w:right w:w="0" w:type="dxa"/>
                  </w:tcMar>
                  <w:vAlign w:val="center"/>
                </w:tcPr>
                <w:p w14:paraId="43D4B02D">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color w:val="0000FF"/>
                      <w:sz w:val="21"/>
                      <w:szCs w:val="21"/>
                      <w:highlight w:val="none"/>
                    </w:rPr>
                    <w:t>每年1次</w:t>
                  </w:r>
                </w:p>
              </w:tc>
              <w:tc>
                <w:tcPr>
                  <w:tcW w:w="3550" w:type="dxa"/>
                  <w:tcBorders>
                    <w:top w:val="single" w:color="auto" w:sz="4" w:space="0"/>
                    <w:right w:val="single" w:color="auto" w:sz="4" w:space="0"/>
                    <w:tl2br w:val="nil"/>
                    <w:tr2bl w:val="nil"/>
                  </w:tcBorders>
                  <w:tcMar>
                    <w:left w:w="0" w:type="dxa"/>
                    <w:right w:w="0" w:type="dxa"/>
                  </w:tcMar>
                  <w:vAlign w:val="center"/>
                </w:tcPr>
                <w:p w14:paraId="35DACE7E">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b w:val="0"/>
                      <w:bCs w:val="0"/>
                      <w:color w:val="0000FF"/>
                      <w:sz w:val="21"/>
                      <w:szCs w:val="21"/>
                      <w:highlight w:val="none"/>
                    </w:rPr>
                  </w:pPr>
                  <w:r>
                    <w:rPr>
                      <w:rFonts w:hint="default" w:ascii="Times New Roman" w:hAnsi="Times New Roman" w:eastAsia="宋体" w:cs="Times New Roman"/>
                      <w:b w:val="0"/>
                      <w:bCs w:val="0"/>
                      <w:color w:val="0000FF"/>
                      <w:sz w:val="21"/>
                      <w:szCs w:val="21"/>
                      <w:highlight w:val="none"/>
                    </w:rPr>
                    <w:t>《大气污染物综合排放标准》（GB16297-1996）表2新污染源大气污染物排放限值中“无组织排放监控浓度限值”</w:t>
                  </w:r>
                </w:p>
              </w:tc>
            </w:tr>
            <w:tr w14:paraId="3D151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06" w:type="dxa"/>
                  <w:vMerge w:val="continue"/>
                  <w:tcBorders>
                    <w:left w:val="single" w:color="auto" w:sz="0" w:space="0"/>
                    <w:bottom w:val="single" w:color="auto" w:sz="4" w:space="0"/>
                    <w:tl2br w:val="nil"/>
                    <w:tr2bl w:val="nil"/>
                  </w:tcBorders>
                  <w:tcMar>
                    <w:left w:w="0" w:type="dxa"/>
                    <w:right w:w="0" w:type="dxa"/>
                  </w:tcMar>
                  <w:vAlign w:val="center"/>
                </w:tcPr>
                <w:p w14:paraId="602830A7">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FF"/>
                      <w:sz w:val="21"/>
                      <w:szCs w:val="21"/>
                      <w:highlight w:val="none"/>
                    </w:rPr>
                  </w:pPr>
                </w:p>
              </w:tc>
              <w:tc>
                <w:tcPr>
                  <w:tcW w:w="1556" w:type="dxa"/>
                  <w:tcBorders>
                    <w:bottom w:val="single" w:color="auto" w:sz="4" w:space="0"/>
                    <w:tl2br w:val="nil"/>
                    <w:tr2bl w:val="nil"/>
                  </w:tcBorders>
                  <w:tcMar>
                    <w:left w:w="0" w:type="dxa"/>
                    <w:right w:w="0" w:type="dxa"/>
                  </w:tcMar>
                  <w:vAlign w:val="center"/>
                </w:tcPr>
                <w:p w14:paraId="0672B259">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厂区内</w:t>
                  </w:r>
                </w:p>
              </w:tc>
              <w:tc>
                <w:tcPr>
                  <w:tcW w:w="1182" w:type="dxa"/>
                  <w:tcBorders>
                    <w:bottom w:val="single" w:color="auto" w:sz="4" w:space="0"/>
                    <w:tl2br w:val="nil"/>
                    <w:tr2bl w:val="nil"/>
                  </w:tcBorders>
                  <w:tcMar>
                    <w:left w:w="0" w:type="dxa"/>
                    <w:right w:w="0" w:type="dxa"/>
                  </w:tcMar>
                  <w:vAlign w:val="center"/>
                </w:tcPr>
                <w:p w14:paraId="6A0B99F6">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lang w:val="en-US" w:eastAsia="zh-CN"/>
                    </w:rPr>
                    <w:t>非甲烷总烃</w:t>
                  </w:r>
                </w:p>
              </w:tc>
              <w:tc>
                <w:tcPr>
                  <w:tcW w:w="1183" w:type="dxa"/>
                  <w:tcBorders>
                    <w:bottom w:val="single" w:color="auto" w:sz="4" w:space="0"/>
                    <w:tl2br w:val="nil"/>
                    <w:tr2bl w:val="nil"/>
                  </w:tcBorders>
                  <w:tcMar>
                    <w:left w:w="0" w:type="dxa"/>
                    <w:right w:w="0" w:type="dxa"/>
                  </w:tcMar>
                  <w:vAlign w:val="center"/>
                </w:tcPr>
                <w:p w14:paraId="7194803D">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每年1次</w:t>
                  </w:r>
                </w:p>
              </w:tc>
              <w:tc>
                <w:tcPr>
                  <w:tcW w:w="3550" w:type="dxa"/>
                  <w:tcBorders>
                    <w:bottom w:val="single" w:color="auto" w:sz="4" w:space="0"/>
                    <w:right w:val="single" w:color="auto" w:sz="4" w:space="0"/>
                    <w:tl2br w:val="nil"/>
                    <w:tr2bl w:val="nil"/>
                  </w:tcBorders>
                  <w:tcMar>
                    <w:left w:w="0" w:type="dxa"/>
                    <w:right w:w="0" w:type="dxa"/>
                  </w:tcMar>
                  <w:vAlign w:val="center"/>
                </w:tcPr>
                <w:p w14:paraId="2C027DFF">
                  <w:pPr>
                    <w:keepNext w:val="0"/>
                    <w:keepLines w:val="0"/>
                    <w:pageBreakBefore w:val="0"/>
                    <w:widowControl/>
                    <w:kinsoku/>
                    <w:wordWrap/>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《挥发性有机物无组织排放控制标准》（GB37822-2019）附录A厂区内VOCs无组织排放监控要求</w:t>
                  </w:r>
                </w:p>
              </w:tc>
            </w:tr>
          </w:tbl>
          <w:p w14:paraId="31E3BC4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2"/>
                <w:lang w:val="en-US" w:eastAsia="zh-CN"/>
              </w:rPr>
            </w:pPr>
            <w:r>
              <w:rPr>
                <w:rFonts w:hint="default" w:ascii="Times New Roman" w:hAnsi="Times New Roman" w:eastAsia="宋体" w:cs="Times New Roman"/>
                <w:b/>
                <w:bCs/>
                <w:color w:val="auto"/>
                <w:sz w:val="24"/>
                <w:szCs w:val="22"/>
                <w:lang w:val="en-US" w:eastAsia="zh-CN"/>
              </w:rPr>
              <w:t>2、废水产排情况及治理措施可行性分析</w:t>
            </w:r>
          </w:p>
          <w:p w14:paraId="7A145CF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0000FF"/>
                <w:sz w:val="24"/>
                <w:szCs w:val="22"/>
                <w:lang w:val="en-US" w:eastAsia="zh-CN"/>
              </w:rPr>
            </w:pPr>
            <w:r>
              <w:rPr>
                <w:rFonts w:hint="default" w:ascii="Times New Roman" w:hAnsi="Times New Roman" w:eastAsia="宋体" w:cs="Times New Roman"/>
                <w:b/>
                <w:bCs/>
                <w:color w:val="0000FF"/>
                <w:sz w:val="24"/>
                <w:szCs w:val="22"/>
                <w:lang w:val="en-US" w:eastAsia="zh-CN"/>
              </w:rPr>
              <w:t>2.1废水产排情况</w:t>
            </w:r>
          </w:p>
          <w:p w14:paraId="28724315">
            <w:pPr>
              <w:keepNext w:val="0"/>
              <w:pageBreakBefore w:val="0"/>
              <w:widowControl w:val="0"/>
              <w:kinsoku/>
              <w:wordWrap/>
              <w:overflowPunct/>
              <w:autoSpaceDN/>
              <w:bidi w:val="0"/>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FF"/>
                <w:sz w:val="24"/>
                <w:lang w:val="en-US" w:eastAsia="zh-CN"/>
              </w:rPr>
            </w:pPr>
            <w:r>
              <w:rPr>
                <w:rFonts w:hint="default" w:ascii="Times New Roman" w:hAnsi="Times New Roman" w:eastAsia="宋体" w:cs="Times New Roman"/>
                <w:color w:val="0000FF"/>
                <w:sz w:val="24"/>
              </w:rPr>
              <w:t>本项目</w:t>
            </w:r>
            <w:r>
              <w:rPr>
                <w:rFonts w:hint="default" w:ascii="Times New Roman" w:hAnsi="Times New Roman" w:eastAsia="宋体" w:cs="Times New Roman"/>
                <w:color w:val="0000FF"/>
                <w:sz w:val="24"/>
                <w:lang w:val="en-US" w:eastAsia="zh-CN"/>
              </w:rPr>
              <w:t>运营期无生产用水，用水主要是生活用水，由</w:t>
            </w:r>
            <w:r>
              <w:rPr>
                <w:rFonts w:hint="default" w:ascii="Times New Roman" w:hAnsi="Times New Roman" w:eastAsia="宋体" w:cs="Times New Roman"/>
                <w:color w:val="0000FF"/>
                <w:sz w:val="24"/>
                <w:lang w:eastAsia="zh-CN"/>
              </w:rPr>
              <w:t>乌拉特中旗甘其毛都口岸加工园区</w:t>
            </w:r>
            <w:r>
              <w:rPr>
                <w:rFonts w:hint="default" w:ascii="Times New Roman" w:hAnsi="Times New Roman" w:eastAsia="宋体" w:cs="Times New Roman"/>
                <w:color w:val="0000FF"/>
                <w:sz w:val="24"/>
                <w:lang w:val="en-US" w:eastAsia="zh-CN"/>
              </w:rPr>
              <w:t>自来水管网供给。</w:t>
            </w:r>
          </w:p>
          <w:p w14:paraId="4896FD60">
            <w:pPr>
              <w:keepNext w:val="0"/>
              <w:pageBreakBefore w:val="0"/>
              <w:widowControl w:val="0"/>
              <w:kinsoku/>
              <w:wordWrap/>
              <w:overflowPunct/>
              <w:autoSpaceDN/>
              <w:bidi w:val="0"/>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rPr>
              <w:t>项目劳动定员为</w:t>
            </w:r>
            <w:r>
              <w:rPr>
                <w:rFonts w:hint="default" w:ascii="Times New Roman" w:hAnsi="Times New Roman" w:eastAsia="宋体" w:cs="Times New Roman"/>
                <w:color w:val="0000FF"/>
                <w:sz w:val="24"/>
                <w:lang w:val="en-US" w:eastAsia="zh-CN"/>
              </w:rPr>
              <w:t>10</w:t>
            </w:r>
            <w:r>
              <w:rPr>
                <w:rFonts w:hint="default" w:ascii="Times New Roman" w:hAnsi="Times New Roman" w:eastAsia="宋体" w:cs="Times New Roman"/>
                <w:color w:val="0000FF"/>
                <w:sz w:val="24"/>
              </w:rPr>
              <w:t>人，人员用水标准按</w:t>
            </w:r>
            <w:r>
              <w:rPr>
                <w:rFonts w:hint="default" w:ascii="Times New Roman" w:hAnsi="Times New Roman" w:eastAsia="宋体" w:cs="Times New Roman"/>
                <w:color w:val="0000FF"/>
                <w:sz w:val="24"/>
                <w:lang w:val="en-US" w:eastAsia="zh-CN"/>
              </w:rPr>
              <w:t>6</w:t>
            </w:r>
            <w:r>
              <w:rPr>
                <w:rFonts w:hint="default" w:ascii="Times New Roman" w:hAnsi="Times New Roman" w:eastAsia="宋体" w:cs="Times New Roman"/>
                <w:color w:val="0000FF"/>
                <w:sz w:val="24"/>
              </w:rPr>
              <w:t>0L/人•d计，每天用水量为</w:t>
            </w:r>
            <w:r>
              <w:rPr>
                <w:rFonts w:hint="default" w:ascii="Times New Roman" w:hAnsi="Times New Roman" w:eastAsia="宋体" w:cs="Times New Roman"/>
                <w:color w:val="0000FF"/>
                <w:sz w:val="24"/>
                <w:lang w:val="en-US" w:eastAsia="zh-CN"/>
              </w:rPr>
              <w:t>0.6m</w:t>
            </w:r>
            <w:r>
              <w:rPr>
                <w:rFonts w:hint="default" w:ascii="Times New Roman" w:hAnsi="Times New Roman" w:eastAsia="宋体" w:cs="Times New Roman"/>
                <w:color w:val="0000FF"/>
                <w:sz w:val="24"/>
                <w:vertAlign w:val="superscript"/>
                <w:lang w:val="en-US" w:eastAsia="zh-CN"/>
              </w:rPr>
              <w:t>3</w:t>
            </w:r>
            <w:r>
              <w:rPr>
                <w:rFonts w:hint="default" w:ascii="Times New Roman" w:hAnsi="Times New Roman" w:eastAsia="宋体" w:cs="Times New Roman"/>
                <w:color w:val="0000FF"/>
                <w:sz w:val="24"/>
              </w:rPr>
              <w:t>/d，全年总用水量为</w:t>
            </w:r>
            <w:r>
              <w:rPr>
                <w:rFonts w:hint="default" w:ascii="Times New Roman" w:hAnsi="Times New Roman" w:eastAsia="宋体" w:cs="Times New Roman"/>
                <w:color w:val="0000FF"/>
                <w:sz w:val="24"/>
                <w:lang w:val="en-US" w:eastAsia="zh-CN"/>
              </w:rPr>
              <w:t>180m</w:t>
            </w:r>
            <w:r>
              <w:rPr>
                <w:rFonts w:hint="default" w:ascii="Times New Roman" w:hAnsi="Times New Roman" w:eastAsia="宋体" w:cs="Times New Roman"/>
                <w:color w:val="0000FF"/>
                <w:sz w:val="24"/>
                <w:vertAlign w:val="superscript"/>
                <w:lang w:val="en-US" w:eastAsia="zh-CN"/>
              </w:rPr>
              <w:t>3</w:t>
            </w:r>
            <w:r>
              <w:rPr>
                <w:rFonts w:hint="default" w:ascii="Times New Roman" w:hAnsi="Times New Roman" w:eastAsia="宋体" w:cs="Times New Roman"/>
                <w:color w:val="0000FF"/>
                <w:sz w:val="24"/>
              </w:rPr>
              <w:t>/a</w:t>
            </w:r>
            <w:r>
              <w:rPr>
                <w:rFonts w:hint="default" w:ascii="Times New Roman" w:hAnsi="Times New Roman" w:eastAsia="宋体" w:cs="Times New Roman"/>
                <w:color w:val="0000FF"/>
                <w:sz w:val="24"/>
                <w:szCs w:val="24"/>
              </w:rPr>
              <w:t>。</w:t>
            </w:r>
            <w:r>
              <w:rPr>
                <w:rFonts w:hint="default" w:ascii="Times New Roman" w:hAnsi="Times New Roman" w:eastAsia="宋体" w:cs="Times New Roman"/>
                <w:color w:val="0000FF"/>
                <w:sz w:val="24"/>
                <w:szCs w:val="24"/>
                <w:lang w:eastAsia="zh-CN"/>
              </w:rPr>
              <w:t>生活污水的排放系数按80%计，则本项目生活污水排放量为</w:t>
            </w:r>
            <w:r>
              <w:rPr>
                <w:rFonts w:hint="default" w:ascii="Times New Roman" w:hAnsi="Times New Roman" w:eastAsia="宋体" w:cs="Times New Roman"/>
                <w:color w:val="0000FF"/>
                <w:sz w:val="24"/>
                <w:szCs w:val="24"/>
                <w:lang w:val="en-US" w:eastAsia="zh-CN"/>
              </w:rPr>
              <w:t>0.48m</w:t>
            </w:r>
            <w:r>
              <w:rPr>
                <w:rFonts w:hint="default" w:ascii="Times New Roman" w:hAnsi="Times New Roman" w:eastAsia="宋体" w:cs="Times New Roman"/>
                <w:color w:val="0000FF"/>
                <w:sz w:val="24"/>
                <w:szCs w:val="24"/>
                <w:vertAlign w:val="superscript"/>
                <w:lang w:val="en-US" w:eastAsia="zh-CN"/>
              </w:rPr>
              <w:t>3</w:t>
            </w:r>
            <w:r>
              <w:rPr>
                <w:rFonts w:hint="default" w:ascii="Times New Roman" w:hAnsi="Times New Roman" w:eastAsia="宋体" w:cs="Times New Roman"/>
                <w:color w:val="0000FF"/>
                <w:sz w:val="24"/>
              </w:rPr>
              <w:t>/</w:t>
            </w:r>
            <w:r>
              <w:rPr>
                <w:rFonts w:hint="default" w:ascii="Times New Roman" w:hAnsi="Times New Roman" w:eastAsia="宋体" w:cs="Times New Roman"/>
                <w:color w:val="0000FF"/>
                <w:sz w:val="24"/>
                <w:szCs w:val="24"/>
                <w:lang w:eastAsia="zh-CN"/>
              </w:rPr>
              <w:t>d（</w:t>
            </w:r>
            <w:r>
              <w:rPr>
                <w:rFonts w:hint="default" w:ascii="Times New Roman" w:hAnsi="Times New Roman" w:eastAsia="宋体" w:cs="Times New Roman"/>
                <w:color w:val="0000FF"/>
                <w:sz w:val="24"/>
                <w:szCs w:val="24"/>
                <w:lang w:val="en-US" w:eastAsia="zh-CN"/>
              </w:rPr>
              <w:t>144m</w:t>
            </w:r>
            <w:r>
              <w:rPr>
                <w:rFonts w:hint="default" w:ascii="Times New Roman" w:hAnsi="Times New Roman" w:eastAsia="宋体" w:cs="Times New Roman"/>
                <w:color w:val="0000FF"/>
                <w:sz w:val="24"/>
                <w:szCs w:val="24"/>
                <w:vertAlign w:val="superscript"/>
                <w:lang w:val="en-US" w:eastAsia="zh-CN"/>
              </w:rPr>
              <w:t>3</w:t>
            </w:r>
            <w:r>
              <w:rPr>
                <w:rFonts w:hint="default" w:ascii="Times New Roman" w:hAnsi="Times New Roman" w:eastAsia="宋体" w:cs="Times New Roman"/>
                <w:color w:val="0000FF"/>
                <w:sz w:val="24"/>
                <w:szCs w:val="24"/>
                <w:lang w:eastAsia="zh-CN"/>
              </w:rPr>
              <w:t>/a），生活污水经化粪池处理后，经园区污水管网进入</w:t>
            </w:r>
            <w:r>
              <w:rPr>
                <w:rFonts w:hint="eastAsia" w:ascii="Times New Roman" w:hAnsi="Times New Roman" w:eastAsia="宋体" w:cs="Times New Roman"/>
                <w:color w:val="0000FF"/>
                <w:sz w:val="24"/>
                <w:szCs w:val="24"/>
                <w:lang w:eastAsia="zh-CN"/>
              </w:rPr>
              <w:t>甘其毛都口岸加工园区工业污水处理厂</w:t>
            </w:r>
            <w:r>
              <w:rPr>
                <w:rFonts w:hint="default" w:ascii="Times New Roman" w:hAnsi="Times New Roman" w:eastAsia="宋体" w:cs="Times New Roman"/>
                <w:color w:val="0000FF"/>
                <w:sz w:val="24"/>
                <w:szCs w:val="24"/>
                <w:lang w:eastAsia="zh-CN"/>
              </w:rPr>
              <w:t>处理。</w:t>
            </w:r>
          </w:p>
          <w:p w14:paraId="281F9E41">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firstLine="482" w:firstLineChars="20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表4-</w:t>
            </w:r>
            <w:r>
              <w:rPr>
                <w:rFonts w:hint="default" w:ascii="Times New Roman" w:hAnsi="Times New Roman" w:eastAsia="宋体" w:cs="Times New Roman"/>
                <w:b/>
                <w:bCs/>
                <w:color w:val="FF0000"/>
                <w:sz w:val="24"/>
                <w:szCs w:val="24"/>
                <w:highlight w:val="none"/>
                <w:lang w:val="en-US" w:eastAsia="zh-CN"/>
              </w:rPr>
              <w:t xml:space="preserve">3  </w:t>
            </w:r>
            <w:r>
              <w:rPr>
                <w:rFonts w:hint="default" w:ascii="Times New Roman" w:hAnsi="Times New Roman" w:eastAsia="宋体" w:cs="Times New Roman"/>
                <w:b/>
                <w:bCs/>
                <w:color w:val="FF0000"/>
                <w:sz w:val="24"/>
                <w:szCs w:val="24"/>
                <w:highlight w:val="none"/>
              </w:rPr>
              <w:t>生活污水污染物产排情况一览表</w:t>
            </w:r>
          </w:p>
          <w:tbl>
            <w:tblPr>
              <w:tblStyle w:val="31"/>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08"/>
              <w:gridCol w:w="1412"/>
              <w:gridCol w:w="1103"/>
              <w:gridCol w:w="1618"/>
              <w:gridCol w:w="1309"/>
              <w:gridCol w:w="1627"/>
            </w:tblGrid>
            <w:tr w14:paraId="71639E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tcBorders>
                    <w:top w:val="single" w:color="auto" w:sz="4" w:space="0"/>
                    <w:left w:val="single" w:color="auto" w:sz="0" w:space="0"/>
                    <w:bottom w:val="single" w:color="auto" w:sz="4" w:space="0"/>
                    <w:right w:val="single" w:color="auto" w:sz="4" w:space="0"/>
                  </w:tcBorders>
                  <w:vAlign w:val="center"/>
                </w:tcPr>
                <w:p w14:paraId="4ACD55B3">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类别</w:t>
                  </w:r>
                </w:p>
              </w:tc>
              <w:tc>
                <w:tcPr>
                  <w:tcW w:w="1180" w:type="dxa"/>
                  <w:tcBorders>
                    <w:top w:val="single" w:color="auto" w:sz="4" w:space="0"/>
                    <w:left w:val="single" w:color="auto" w:sz="4" w:space="0"/>
                    <w:bottom w:val="single" w:color="auto" w:sz="4" w:space="0"/>
                    <w:right w:val="single" w:color="auto" w:sz="4" w:space="0"/>
                  </w:tcBorders>
                  <w:vAlign w:val="center"/>
                </w:tcPr>
                <w:p w14:paraId="76984B40">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污染源</w:t>
                  </w:r>
                </w:p>
              </w:tc>
              <w:tc>
                <w:tcPr>
                  <w:tcW w:w="922" w:type="dxa"/>
                  <w:tcBorders>
                    <w:top w:val="single" w:color="auto" w:sz="4" w:space="0"/>
                    <w:left w:val="single" w:color="auto" w:sz="4" w:space="0"/>
                    <w:bottom w:val="single" w:color="auto" w:sz="4" w:space="0"/>
                    <w:right w:val="single" w:color="auto" w:sz="4" w:space="0"/>
                  </w:tcBorders>
                  <w:vAlign w:val="center"/>
                </w:tcPr>
                <w:p w14:paraId="6E61C861">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废水量</w:t>
                  </w:r>
                </w:p>
              </w:tc>
              <w:tc>
                <w:tcPr>
                  <w:tcW w:w="1352" w:type="dxa"/>
                  <w:tcBorders>
                    <w:top w:val="single" w:color="auto" w:sz="4" w:space="0"/>
                    <w:left w:val="single" w:color="auto" w:sz="4" w:space="0"/>
                    <w:bottom w:val="single" w:color="auto" w:sz="4" w:space="0"/>
                    <w:right w:val="single" w:color="auto" w:sz="4" w:space="0"/>
                  </w:tcBorders>
                  <w:vAlign w:val="center"/>
                </w:tcPr>
                <w:p w14:paraId="2ADB1AEC">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污染物名称</w:t>
                  </w:r>
                </w:p>
              </w:tc>
              <w:tc>
                <w:tcPr>
                  <w:tcW w:w="1094" w:type="dxa"/>
                  <w:tcBorders>
                    <w:top w:val="single" w:color="auto" w:sz="4" w:space="0"/>
                    <w:left w:val="single" w:color="auto" w:sz="4" w:space="0"/>
                    <w:bottom w:val="single" w:color="auto" w:sz="4" w:space="0"/>
                    <w:right w:val="single" w:color="auto" w:sz="4" w:space="0"/>
                  </w:tcBorders>
                  <w:vAlign w:val="center"/>
                </w:tcPr>
                <w:p w14:paraId="62B8EFF8">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排放浓度</w:t>
                  </w:r>
                </w:p>
              </w:tc>
              <w:tc>
                <w:tcPr>
                  <w:tcW w:w="1360" w:type="dxa"/>
                  <w:tcBorders>
                    <w:top w:val="single" w:color="auto" w:sz="4" w:space="0"/>
                    <w:left w:val="single" w:color="auto" w:sz="4" w:space="0"/>
                    <w:bottom w:val="single" w:color="auto" w:sz="4" w:space="0"/>
                    <w:right w:val="single" w:color="auto" w:sz="4" w:space="0"/>
                  </w:tcBorders>
                  <w:vAlign w:val="center"/>
                </w:tcPr>
                <w:p w14:paraId="140FCCAB">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排放限值</w:t>
                  </w:r>
                </w:p>
              </w:tc>
            </w:tr>
            <w:tr w14:paraId="0048C3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restart"/>
                  <w:tcBorders>
                    <w:top w:val="single" w:color="auto" w:sz="4" w:space="0"/>
                    <w:left w:val="single" w:color="auto" w:sz="4" w:space="0"/>
                    <w:bottom w:val="single" w:color="auto" w:sz="4" w:space="0"/>
                    <w:right w:val="single" w:color="auto" w:sz="4" w:space="0"/>
                  </w:tcBorders>
                  <w:vAlign w:val="center"/>
                </w:tcPr>
                <w:p w14:paraId="5BB13897">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废水</w:t>
                  </w:r>
                </w:p>
              </w:tc>
              <w:tc>
                <w:tcPr>
                  <w:tcW w:w="1180" w:type="dxa"/>
                  <w:vMerge w:val="restart"/>
                  <w:tcBorders>
                    <w:top w:val="single" w:color="auto" w:sz="4" w:space="0"/>
                    <w:left w:val="single" w:color="auto" w:sz="4" w:space="0"/>
                    <w:bottom w:val="single" w:color="auto" w:sz="4" w:space="0"/>
                    <w:right w:val="single" w:color="auto" w:sz="4" w:space="0"/>
                  </w:tcBorders>
                  <w:vAlign w:val="center"/>
                </w:tcPr>
                <w:p w14:paraId="0BA3A282">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生活污水</w:t>
                  </w:r>
                </w:p>
              </w:tc>
              <w:tc>
                <w:tcPr>
                  <w:tcW w:w="922" w:type="dxa"/>
                  <w:vMerge w:val="restart"/>
                  <w:tcBorders>
                    <w:top w:val="single" w:color="auto" w:sz="4" w:space="0"/>
                    <w:left w:val="single" w:color="auto" w:sz="4" w:space="0"/>
                    <w:bottom w:val="single" w:color="auto" w:sz="4" w:space="0"/>
                    <w:right w:val="single" w:color="auto" w:sz="4" w:space="0"/>
                  </w:tcBorders>
                  <w:vAlign w:val="center"/>
                </w:tcPr>
                <w:p w14:paraId="6C9F0D89">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7030A0"/>
                      <w:sz w:val="21"/>
                      <w:szCs w:val="21"/>
                      <w:highlight w:val="none"/>
                    </w:rPr>
                    <w:t>144m</w:t>
                  </w:r>
                  <w:r>
                    <w:rPr>
                      <w:rFonts w:hint="default" w:ascii="Times New Roman" w:hAnsi="Times New Roman" w:eastAsia="宋体" w:cs="Times New Roman"/>
                      <w:color w:val="7030A0"/>
                      <w:sz w:val="21"/>
                      <w:szCs w:val="21"/>
                      <w:highlight w:val="none"/>
                      <w:vertAlign w:val="superscript"/>
                    </w:rPr>
                    <w:t>3</w:t>
                  </w:r>
                  <w:r>
                    <w:rPr>
                      <w:rFonts w:hint="default" w:ascii="Times New Roman" w:hAnsi="Times New Roman" w:eastAsia="宋体" w:cs="Times New Roman"/>
                      <w:color w:val="7030A0"/>
                      <w:sz w:val="21"/>
                      <w:szCs w:val="21"/>
                      <w:highlight w:val="none"/>
                    </w:rPr>
                    <w:t>/a</w:t>
                  </w:r>
                </w:p>
              </w:tc>
              <w:tc>
                <w:tcPr>
                  <w:tcW w:w="1352" w:type="dxa"/>
                  <w:tcBorders>
                    <w:top w:val="single" w:color="auto" w:sz="4" w:space="0"/>
                    <w:left w:val="single" w:color="auto" w:sz="4" w:space="0"/>
                    <w:bottom w:val="single" w:color="auto" w:sz="4" w:space="0"/>
                    <w:right w:val="single" w:color="auto" w:sz="4" w:space="0"/>
                  </w:tcBorders>
                  <w:vAlign w:val="center"/>
                </w:tcPr>
                <w:p w14:paraId="71B79D2B">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COD</w:t>
                  </w:r>
                </w:p>
              </w:tc>
              <w:tc>
                <w:tcPr>
                  <w:tcW w:w="1094" w:type="dxa"/>
                  <w:tcBorders>
                    <w:top w:val="single" w:color="auto" w:sz="4" w:space="0"/>
                    <w:left w:val="single" w:color="auto" w:sz="4" w:space="0"/>
                    <w:bottom w:val="single" w:color="auto" w:sz="4" w:space="0"/>
                    <w:right w:val="single" w:color="auto" w:sz="4" w:space="0"/>
                  </w:tcBorders>
                  <w:vAlign w:val="center"/>
                </w:tcPr>
                <w:p w14:paraId="1EB361B3">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350mg/L</w:t>
                  </w:r>
                </w:p>
              </w:tc>
              <w:tc>
                <w:tcPr>
                  <w:tcW w:w="1360" w:type="dxa"/>
                  <w:tcBorders>
                    <w:top w:val="single" w:color="auto" w:sz="4" w:space="0"/>
                    <w:left w:val="single" w:color="auto" w:sz="4" w:space="0"/>
                    <w:bottom w:val="single" w:color="auto" w:sz="4" w:space="0"/>
                    <w:right w:val="single" w:color="auto" w:sz="4" w:space="0"/>
                  </w:tcBorders>
                  <w:vAlign w:val="center"/>
                </w:tcPr>
                <w:p w14:paraId="6DE036C5">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bidi="ar-SA"/>
                    </w:rPr>
                    <w:t>500</w:t>
                  </w:r>
                  <w:r>
                    <w:rPr>
                      <w:rFonts w:hint="default" w:ascii="Times New Roman" w:hAnsi="Times New Roman" w:eastAsia="宋体" w:cs="Times New Roman"/>
                      <w:color w:val="FF0000"/>
                      <w:sz w:val="21"/>
                      <w:szCs w:val="21"/>
                      <w:highlight w:val="none"/>
                    </w:rPr>
                    <w:t>mg/L</w:t>
                  </w:r>
                </w:p>
              </w:tc>
            </w:tr>
            <w:tr w14:paraId="66C17A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3AE99D42">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1180" w:type="dxa"/>
                  <w:vMerge w:val="continue"/>
                  <w:tcBorders>
                    <w:top w:val="single" w:color="auto" w:sz="4" w:space="0"/>
                    <w:left w:val="single" w:color="auto" w:sz="4" w:space="0"/>
                    <w:bottom w:val="single" w:color="auto" w:sz="4" w:space="0"/>
                    <w:right w:val="single" w:color="auto" w:sz="4" w:space="0"/>
                  </w:tcBorders>
                  <w:vAlign w:val="center"/>
                </w:tcPr>
                <w:p w14:paraId="4D8AFFFC">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922" w:type="dxa"/>
                  <w:vMerge w:val="continue"/>
                  <w:tcBorders>
                    <w:top w:val="single" w:color="auto" w:sz="4" w:space="0"/>
                    <w:left w:val="single" w:color="auto" w:sz="4" w:space="0"/>
                    <w:bottom w:val="single" w:color="auto" w:sz="4" w:space="0"/>
                    <w:right w:val="single" w:color="auto" w:sz="4" w:space="0"/>
                  </w:tcBorders>
                  <w:vAlign w:val="center"/>
                </w:tcPr>
                <w:p w14:paraId="2E2BE1DA">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1352" w:type="dxa"/>
                  <w:tcBorders>
                    <w:top w:val="single" w:color="auto" w:sz="4" w:space="0"/>
                    <w:left w:val="single" w:color="auto" w:sz="4" w:space="0"/>
                    <w:bottom w:val="single" w:color="auto" w:sz="4" w:space="0"/>
                    <w:right w:val="single" w:color="auto" w:sz="4" w:space="0"/>
                  </w:tcBorders>
                  <w:vAlign w:val="center"/>
                </w:tcPr>
                <w:p w14:paraId="5F1B13C8">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氨氮</w:t>
                  </w:r>
                </w:p>
              </w:tc>
              <w:tc>
                <w:tcPr>
                  <w:tcW w:w="1094" w:type="dxa"/>
                  <w:tcBorders>
                    <w:top w:val="single" w:color="auto" w:sz="4" w:space="0"/>
                    <w:left w:val="single" w:color="auto" w:sz="4" w:space="0"/>
                    <w:bottom w:val="single" w:color="auto" w:sz="4" w:space="0"/>
                    <w:right w:val="single" w:color="auto" w:sz="4" w:space="0"/>
                  </w:tcBorders>
                  <w:vAlign w:val="center"/>
                </w:tcPr>
                <w:p w14:paraId="7DC3F35D">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35mg/L</w:t>
                  </w:r>
                </w:p>
              </w:tc>
              <w:tc>
                <w:tcPr>
                  <w:tcW w:w="1360" w:type="dxa"/>
                  <w:tcBorders>
                    <w:top w:val="single" w:color="auto" w:sz="4" w:space="0"/>
                    <w:left w:val="single" w:color="auto" w:sz="4" w:space="0"/>
                    <w:bottom w:val="single" w:color="auto" w:sz="4" w:space="0"/>
                    <w:right w:val="single" w:color="auto" w:sz="4" w:space="0"/>
                  </w:tcBorders>
                  <w:vAlign w:val="center"/>
                </w:tcPr>
                <w:p w14:paraId="28F8E2A1">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w:t>
                  </w:r>
                </w:p>
              </w:tc>
            </w:tr>
            <w:tr w14:paraId="76EF91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46EBFEEE">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1180" w:type="dxa"/>
                  <w:vMerge w:val="continue"/>
                  <w:tcBorders>
                    <w:top w:val="single" w:color="auto" w:sz="4" w:space="0"/>
                    <w:left w:val="single" w:color="auto" w:sz="4" w:space="0"/>
                    <w:bottom w:val="single" w:color="auto" w:sz="4" w:space="0"/>
                    <w:right w:val="single" w:color="auto" w:sz="4" w:space="0"/>
                  </w:tcBorders>
                  <w:vAlign w:val="center"/>
                </w:tcPr>
                <w:p w14:paraId="0149D4E5">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922" w:type="dxa"/>
                  <w:vMerge w:val="continue"/>
                  <w:tcBorders>
                    <w:top w:val="single" w:color="auto" w:sz="4" w:space="0"/>
                    <w:left w:val="single" w:color="auto" w:sz="4" w:space="0"/>
                    <w:bottom w:val="single" w:color="auto" w:sz="4" w:space="0"/>
                    <w:right w:val="single" w:color="auto" w:sz="4" w:space="0"/>
                  </w:tcBorders>
                  <w:vAlign w:val="center"/>
                </w:tcPr>
                <w:p w14:paraId="2598532C">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1352" w:type="dxa"/>
                  <w:tcBorders>
                    <w:top w:val="single" w:color="auto" w:sz="4" w:space="0"/>
                    <w:left w:val="single" w:color="auto" w:sz="4" w:space="0"/>
                    <w:bottom w:val="single" w:color="auto" w:sz="4" w:space="0"/>
                    <w:right w:val="single" w:color="auto" w:sz="4" w:space="0"/>
                  </w:tcBorders>
                  <w:vAlign w:val="center"/>
                </w:tcPr>
                <w:p w14:paraId="32DD2DD5">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SS</w:t>
                  </w:r>
                </w:p>
              </w:tc>
              <w:tc>
                <w:tcPr>
                  <w:tcW w:w="1094" w:type="dxa"/>
                  <w:tcBorders>
                    <w:top w:val="single" w:color="auto" w:sz="4" w:space="0"/>
                    <w:left w:val="single" w:color="auto" w:sz="4" w:space="0"/>
                    <w:bottom w:val="single" w:color="auto" w:sz="4" w:space="0"/>
                    <w:right w:val="single" w:color="auto" w:sz="4" w:space="0"/>
                  </w:tcBorders>
                  <w:vAlign w:val="center"/>
                </w:tcPr>
                <w:p w14:paraId="2AAE388E">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100mg/L</w:t>
                  </w:r>
                </w:p>
              </w:tc>
              <w:tc>
                <w:tcPr>
                  <w:tcW w:w="1360" w:type="dxa"/>
                  <w:tcBorders>
                    <w:top w:val="single" w:color="auto" w:sz="4" w:space="0"/>
                    <w:left w:val="single" w:color="auto" w:sz="4" w:space="0"/>
                    <w:bottom w:val="single" w:color="auto" w:sz="4" w:space="0"/>
                    <w:right w:val="single" w:color="auto" w:sz="4" w:space="0"/>
                  </w:tcBorders>
                  <w:vAlign w:val="center"/>
                </w:tcPr>
                <w:p w14:paraId="434F9348">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400</w:t>
                  </w:r>
                  <w:r>
                    <w:rPr>
                      <w:rFonts w:hint="default" w:ascii="Times New Roman" w:hAnsi="Times New Roman" w:eastAsia="宋体" w:cs="Times New Roman"/>
                      <w:color w:val="FF0000"/>
                      <w:sz w:val="21"/>
                      <w:szCs w:val="21"/>
                      <w:highlight w:val="none"/>
                    </w:rPr>
                    <w:t>mg/L</w:t>
                  </w:r>
                </w:p>
              </w:tc>
            </w:tr>
            <w:tr w14:paraId="5657D4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6FD1FD1A">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1180" w:type="dxa"/>
                  <w:vMerge w:val="continue"/>
                  <w:tcBorders>
                    <w:top w:val="single" w:color="auto" w:sz="4" w:space="0"/>
                    <w:left w:val="single" w:color="auto" w:sz="4" w:space="0"/>
                    <w:bottom w:val="single" w:color="auto" w:sz="4" w:space="0"/>
                    <w:right w:val="single" w:color="auto" w:sz="4" w:space="0"/>
                  </w:tcBorders>
                  <w:vAlign w:val="center"/>
                </w:tcPr>
                <w:p w14:paraId="466C2961">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922" w:type="dxa"/>
                  <w:vMerge w:val="continue"/>
                  <w:tcBorders>
                    <w:top w:val="single" w:color="auto" w:sz="4" w:space="0"/>
                    <w:left w:val="single" w:color="auto" w:sz="4" w:space="0"/>
                    <w:bottom w:val="single" w:color="auto" w:sz="4" w:space="0"/>
                    <w:right w:val="single" w:color="auto" w:sz="4" w:space="0"/>
                  </w:tcBorders>
                  <w:vAlign w:val="center"/>
                </w:tcPr>
                <w:p w14:paraId="554245CA">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p>
              </w:tc>
              <w:tc>
                <w:tcPr>
                  <w:tcW w:w="1352" w:type="dxa"/>
                  <w:tcBorders>
                    <w:top w:val="single" w:color="auto" w:sz="4" w:space="0"/>
                    <w:left w:val="single" w:color="auto" w:sz="4" w:space="0"/>
                    <w:bottom w:val="single" w:color="auto" w:sz="4" w:space="0"/>
                    <w:right w:val="single" w:color="auto" w:sz="4" w:space="0"/>
                  </w:tcBorders>
                  <w:vAlign w:val="center"/>
                </w:tcPr>
                <w:p w14:paraId="3E58C223">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BOD</w:t>
                  </w:r>
                  <w:r>
                    <w:rPr>
                      <w:rFonts w:hint="default" w:ascii="Times New Roman" w:hAnsi="Times New Roman" w:eastAsia="宋体" w:cs="Times New Roman"/>
                      <w:color w:val="FF0000"/>
                      <w:sz w:val="21"/>
                      <w:szCs w:val="21"/>
                      <w:highlight w:val="none"/>
                      <w:vertAlign w:val="subscript"/>
                    </w:rPr>
                    <w:t>5</w:t>
                  </w:r>
                </w:p>
              </w:tc>
              <w:tc>
                <w:tcPr>
                  <w:tcW w:w="1094" w:type="dxa"/>
                  <w:tcBorders>
                    <w:top w:val="single" w:color="auto" w:sz="4" w:space="0"/>
                    <w:left w:val="single" w:color="auto" w:sz="4" w:space="0"/>
                    <w:bottom w:val="single" w:color="auto" w:sz="4" w:space="0"/>
                    <w:right w:val="single" w:color="auto" w:sz="4" w:space="0"/>
                  </w:tcBorders>
                  <w:vAlign w:val="center"/>
                </w:tcPr>
                <w:p w14:paraId="167B68A5">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240mg/L</w:t>
                  </w:r>
                </w:p>
              </w:tc>
              <w:tc>
                <w:tcPr>
                  <w:tcW w:w="1360" w:type="dxa"/>
                  <w:tcBorders>
                    <w:top w:val="single" w:color="auto" w:sz="4" w:space="0"/>
                    <w:left w:val="single" w:color="auto" w:sz="4" w:space="0"/>
                    <w:bottom w:val="single" w:color="auto" w:sz="4" w:space="0"/>
                    <w:right w:val="single" w:color="auto" w:sz="4" w:space="0"/>
                  </w:tcBorders>
                  <w:vAlign w:val="center"/>
                </w:tcPr>
                <w:p w14:paraId="36E99270">
                  <w:pPr>
                    <w:keepNext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300</w:t>
                  </w:r>
                  <w:r>
                    <w:rPr>
                      <w:rFonts w:hint="default" w:ascii="Times New Roman" w:hAnsi="Times New Roman" w:eastAsia="宋体" w:cs="Times New Roman"/>
                      <w:color w:val="FF0000"/>
                      <w:sz w:val="21"/>
                      <w:szCs w:val="21"/>
                      <w:highlight w:val="none"/>
                    </w:rPr>
                    <w:t>mg/L</w:t>
                  </w:r>
                </w:p>
              </w:tc>
            </w:tr>
          </w:tbl>
          <w:p w14:paraId="35AC2C0E">
            <w:pPr>
              <w:pStyle w:val="2"/>
              <w:keepNext w:val="0"/>
              <w:keepLines w:val="0"/>
              <w:pageBreakBefore w:val="0"/>
              <w:widowControl/>
              <w:kinsoku/>
              <w:wordWrap/>
              <w:overflowPunct/>
              <w:topLinePunct w:val="0"/>
              <w:autoSpaceDE/>
              <w:autoSpaceDN/>
              <w:bidi w:val="0"/>
              <w:adjustRightInd/>
              <w:snapToGrid/>
              <w:spacing w:beforeAutospacing="0" w:after="0" w:afterLines="0" w:afterAutospacing="0" w:line="360" w:lineRule="auto"/>
              <w:ind w:left="0" w:leftChars="0" w:right="0" w:rightChars="0" w:firstLine="480" w:firstLineChars="200"/>
              <w:textAlignment w:val="auto"/>
              <w:rPr>
                <w:rFonts w:hint="default" w:ascii="Times New Roman" w:hAnsi="Times New Roman" w:eastAsia="宋体" w:cs="Times New Roman"/>
                <w:b w:val="0"/>
                <w:bCs/>
                <w:color w:val="FF0000"/>
                <w:sz w:val="24"/>
                <w:szCs w:val="24"/>
                <w:highlight w:val="none"/>
                <w:lang w:val="en-US" w:eastAsia="zh-CN"/>
              </w:rPr>
            </w:pPr>
            <w:r>
              <w:rPr>
                <w:rFonts w:hint="default" w:ascii="Times New Roman" w:hAnsi="Times New Roman" w:eastAsia="宋体" w:cs="Times New Roman"/>
                <w:b w:val="0"/>
                <w:bCs/>
                <w:color w:val="FF0000"/>
                <w:sz w:val="24"/>
                <w:szCs w:val="24"/>
                <w:highlight w:val="none"/>
                <w:lang w:val="en-US" w:eastAsia="zh-CN"/>
              </w:rPr>
              <w:t>有上表可知，本项目生活污水污染物排放浓度均满足《污水综合排放标准》（GB8978-1996）中的三级标准限值要求。</w:t>
            </w:r>
          </w:p>
          <w:p w14:paraId="35D0F2A9">
            <w:pPr>
              <w:pStyle w:val="2"/>
              <w:keepNext w:val="0"/>
              <w:keepLines w:val="0"/>
              <w:pageBreakBefore w:val="0"/>
              <w:widowControl/>
              <w:kinsoku/>
              <w:wordWrap/>
              <w:overflowPunct/>
              <w:topLinePunct w:val="0"/>
              <w:autoSpaceDE/>
              <w:autoSpaceDN/>
              <w:bidi w:val="0"/>
              <w:adjustRightInd/>
              <w:snapToGrid/>
              <w:spacing w:beforeAutospacing="0" w:after="0" w:afterLines="0" w:afterAutospacing="0" w:line="360" w:lineRule="auto"/>
              <w:ind w:left="0" w:leftChars="0" w:right="0" w:rightChars="0" w:firstLine="482" w:firstLineChars="200"/>
              <w:textAlignment w:val="auto"/>
              <w:rPr>
                <w:rFonts w:hint="default" w:ascii="Times New Roman" w:hAnsi="Times New Roman" w:eastAsia="宋体" w:cs="Times New Roman"/>
                <w:b/>
                <w:color w:val="0000FF"/>
                <w:sz w:val="24"/>
                <w:szCs w:val="24"/>
                <w:highlight w:val="none"/>
                <w:lang w:eastAsia="zh-CN"/>
              </w:rPr>
            </w:pPr>
            <w:r>
              <w:rPr>
                <w:rFonts w:hint="default" w:ascii="Times New Roman" w:hAnsi="Times New Roman" w:eastAsia="宋体" w:cs="Times New Roman"/>
                <w:b/>
                <w:color w:val="0000FF"/>
                <w:sz w:val="24"/>
                <w:szCs w:val="24"/>
                <w:highlight w:val="none"/>
                <w:lang w:val="en-US" w:eastAsia="zh-CN"/>
              </w:rPr>
              <w:t>2.2</w:t>
            </w:r>
            <w:r>
              <w:rPr>
                <w:rFonts w:hint="default" w:ascii="Times New Roman" w:hAnsi="Times New Roman" w:eastAsia="宋体" w:cs="Times New Roman"/>
                <w:b/>
                <w:color w:val="0000FF"/>
                <w:sz w:val="24"/>
                <w:szCs w:val="24"/>
                <w:highlight w:val="none"/>
              </w:rPr>
              <w:t>依托污水处理设施的可行性</w:t>
            </w:r>
            <w:r>
              <w:rPr>
                <w:rFonts w:hint="default" w:ascii="Times New Roman" w:hAnsi="Times New Roman" w:eastAsia="宋体" w:cs="Times New Roman"/>
                <w:b/>
                <w:color w:val="0000FF"/>
                <w:sz w:val="24"/>
                <w:szCs w:val="24"/>
                <w:highlight w:val="none"/>
                <w:lang w:eastAsia="zh-CN"/>
              </w:rPr>
              <w:t>分析</w:t>
            </w:r>
          </w:p>
          <w:p w14:paraId="6680D0E8">
            <w:pPr>
              <w:keepNext w:val="0"/>
              <w:keepLines w:val="0"/>
              <w:pageBreakBefore w:val="0"/>
              <w:widowControl/>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bCs/>
                <w:color w:val="7030A0"/>
                <w:sz w:val="24"/>
                <w:szCs w:val="24"/>
                <w:highlight w:val="none"/>
                <w:lang w:val="en-US" w:eastAsia="zh-CN"/>
              </w:rPr>
            </w:pPr>
            <w:r>
              <w:rPr>
                <w:rFonts w:hint="default" w:ascii="Times New Roman" w:hAnsi="Times New Roman" w:eastAsia="宋体" w:cs="Times New Roman"/>
                <w:bCs/>
                <w:color w:val="7030A0"/>
                <w:sz w:val="24"/>
                <w:szCs w:val="24"/>
                <w:highlight w:val="none"/>
                <w:lang w:val="en-US" w:eastAsia="zh-CN"/>
              </w:rPr>
              <w:t>蒙古巴彦淖尔市甘其毛都口岸加工园区（德岭山镇）污水处理及回用工程由河套水务公司承建，规模为污水处理3万m</w:t>
            </w:r>
            <w:r>
              <w:rPr>
                <w:rFonts w:hint="default" w:ascii="Times New Roman" w:hAnsi="Times New Roman" w:eastAsia="宋体" w:cs="Times New Roman"/>
                <w:bCs/>
                <w:color w:val="7030A0"/>
                <w:sz w:val="24"/>
                <w:szCs w:val="24"/>
                <w:highlight w:val="none"/>
                <w:vertAlign w:val="superscript"/>
                <w:lang w:val="en-US" w:eastAsia="zh-CN"/>
              </w:rPr>
              <w:t>3</w:t>
            </w:r>
            <w:r>
              <w:rPr>
                <w:rFonts w:hint="default" w:ascii="Times New Roman" w:hAnsi="Times New Roman" w:eastAsia="宋体" w:cs="Times New Roman"/>
                <w:bCs/>
                <w:color w:val="7030A0"/>
                <w:sz w:val="24"/>
                <w:szCs w:val="24"/>
                <w:highlight w:val="none"/>
                <w:lang w:val="en-US" w:eastAsia="zh-CN"/>
              </w:rPr>
              <w:t>/d，回用2万m</w:t>
            </w:r>
            <w:r>
              <w:rPr>
                <w:rFonts w:hint="default" w:ascii="Times New Roman" w:hAnsi="Times New Roman" w:eastAsia="宋体" w:cs="Times New Roman"/>
                <w:bCs/>
                <w:color w:val="7030A0"/>
                <w:sz w:val="24"/>
                <w:szCs w:val="24"/>
                <w:highlight w:val="none"/>
                <w:vertAlign w:val="superscript"/>
                <w:lang w:val="en-US" w:eastAsia="zh-CN"/>
              </w:rPr>
              <w:t>3</w:t>
            </w:r>
            <w:r>
              <w:rPr>
                <w:rFonts w:hint="default" w:ascii="Times New Roman" w:hAnsi="Times New Roman" w:eastAsia="宋体" w:cs="Times New Roman"/>
                <w:bCs/>
                <w:color w:val="7030A0"/>
                <w:sz w:val="24"/>
                <w:szCs w:val="24"/>
                <w:highlight w:val="none"/>
                <w:lang w:val="en-US" w:eastAsia="zh-CN"/>
              </w:rPr>
              <w:t>/d，污水处理工艺采用“A</w:t>
            </w:r>
            <w:r>
              <w:rPr>
                <w:rFonts w:hint="default" w:ascii="Times New Roman" w:hAnsi="Times New Roman" w:eastAsia="宋体" w:cs="Times New Roman"/>
                <w:bCs/>
                <w:color w:val="7030A0"/>
                <w:sz w:val="24"/>
                <w:szCs w:val="24"/>
                <w:highlight w:val="none"/>
                <w:vertAlign w:val="superscript"/>
                <w:lang w:val="en-US" w:eastAsia="zh-CN"/>
              </w:rPr>
              <w:t>2</w:t>
            </w:r>
            <w:r>
              <w:rPr>
                <w:rFonts w:hint="default" w:ascii="Times New Roman" w:hAnsi="Times New Roman" w:eastAsia="宋体" w:cs="Times New Roman"/>
                <w:bCs/>
                <w:color w:val="7030A0"/>
                <w:sz w:val="24"/>
                <w:szCs w:val="24"/>
                <w:highlight w:val="none"/>
                <w:lang w:val="en-US" w:eastAsia="zh-CN"/>
              </w:rPr>
              <w:t>O+混凝+沉淀+过滤+消毒”工艺，处理后的出水达到《城镇污水处理厂污染物排放标准》(GB18918-2002)一级A标准，并同时符合《城市污水再生利用工业用水水质》(GB/T19923-2005)标准；项目于2013年10月建成，受市场因素影响，园区涉水的生产运行企业较少，污水处理厂收水量小，导致污水处理厂实际未能投入使用。为处理园区少量的生活污水，巴彦淖尔市蒙源水务有限公司于2017年5月改造一套污水处理一体机，处理工艺也是采用“A</w:t>
            </w:r>
            <w:r>
              <w:rPr>
                <w:rFonts w:hint="default" w:ascii="Times New Roman" w:hAnsi="Times New Roman" w:eastAsia="宋体" w:cs="Times New Roman"/>
                <w:bCs/>
                <w:color w:val="7030A0"/>
                <w:sz w:val="24"/>
                <w:szCs w:val="24"/>
                <w:highlight w:val="none"/>
                <w:vertAlign w:val="superscript"/>
                <w:lang w:val="en-US" w:eastAsia="zh-CN"/>
              </w:rPr>
              <w:t>2</w:t>
            </w:r>
            <w:r>
              <w:rPr>
                <w:rFonts w:hint="default" w:ascii="Times New Roman" w:hAnsi="Times New Roman" w:eastAsia="宋体" w:cs="Times New Roman"/>
                <w:bCs/>
                <w:color w:val="7030A0"/>
                <w:sz w:val="24"/>
                <w:szCs w:val="24"/>
                <w:highlight w:val="none"/>
                <w:lang w:val="en-US" w:eastAsia="zh-CN"/>
              </w:rPr>
              <w:t>O+混凝沉淀+过滤+消毒”工艺，投资总额为264万元，设计处理规模200m</w:t>
            </w:r>
            <w:r>
              <w:rPr>
                <w:rFonts w:hint="default" w:ascii="Times New Roman" w:hAnsi="Times New Roman" w:eastAsia="宋体" w:cs="Times New Roman"/>
                <w:bCs/>
                <w:color w:val="7030A0"/>
                <w:sz w:val="24"/>
                <w:szCs w:val="24"/>
                <w:highlight w:val="none"/>
                <w:vertAlign w:val="superscript"/>
                <w:lang w:val="en-US" w:eastAsia="zh-CN"/>
              </w:rPr>
              <w:t>3</w:t>
            </w:r>
            <w:r>
              <w:rPr>
                <w:rFonts w:hint="default" w:ascii="Times New Roman" w:hAnsi="Times New Roman" w:eastAsia="宋体" w:cs="Times New Roman"/>
                <w:bCs/>
                <w:color w:val="7030A0"/>
                <w:sz w:val="24"/>
                <w:szCs w:val="24"/>
                <w:highlight w:val="none"/>
                <w:lang w:val="en-US" w:eastAsia="zh-CN"/>
              </w:rPr>
              <w:t>/d，2018年8月验收完成正式运行，处理后达到《城镇污水处理厂污染物排放标准》(GB18918-2002)一级A排放标准，全部回用企业生产用水，无外排。</w:t>
            </w:r>
          </w:p>
          <w:p w14:paraId="5AF67105">
            <w:pPr>
              <w:keepNext w:val="0"/>
              <w:keepLines w:val="0"/>
              <w:pageBreakBefore w:val="0"/>
              <w:widowControl/>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bCs/>
                <w:color w:val="7030A0"/>
                <w:sz w:val="24"/>
                <w:szCs w:val="24"/>
                <w:highlight w:val="none"/>
                <w:lang w:val="en-US" w:eastAsia="zh-CN"/>
              </w:rPr>
            </w:pPr>
            <w:r>
              <w:rPr>
                <w:rFonts w:hint="default" w:ascii="Times New Roman" w:hAnsi="Times New Roman" w:eastAsia="宋体" w:cs="Times New Roman"/>
                <w:bCs/>
                <w:color w:val="7030A0"/>
                <w:sz w:val="24"/>
                <w:szCs w:val="24"/>
                <w:highlight w:val="none"/>
                <w:lang w:val="en-US" w:eastAsia="zh-CN"/>
              </w:rPr>
              <w:t>2023年，甘其毛都口岸加工园区管理委员会投资756.14万元在甘其毛都口岸加工园区内新建1座工业污水</w:t>
            </w:r>
            <w:r>
              <w:rPr>
                <w:rFonts w:hint="eastAsia" w:ascii="Times New Roman" w:hAnsi="Times New Roman" w:eastAsia="宋体" w:cs="Times New Roman"/>
                <w:bCs/>
                <w:color w:val="7030A0"/>
                <w:sz w:val="24"/>
                <w:szCs w:val="24"/>
                <w:highlight w:val="none"/>
                <w:lang w:val="en-US" w:eastAsia="zh-CN"/>
              </w:rPr>
              <w:t>处理厂</w:t>
            </w:r>
            <w:r>
              <w:rPr>
                <w:rFonts w:hint="default" w:ascii="Times New Roman" w:hAnsi="Times New Roman" w:eastAsia="宋体" w:cs="Times New Roman"/>
                <w:bCs/>
                <w:color w:val="7030A0"/>
                <w:sz w:val="24"/>
                <w:szCs w:val="24"/>
                <w:highlight w:val="none"/>
                <w:lang w:val="en-US" w:eastAsia="zh-CN"/>
              </w:rPr>
              <w:t>，用于处理甘其毛都口岸园入园企业外排的工业污水，建成后原200m</w:t>
            </w:r>
            <w:r>
              <w:rPr>
                <w:rFonts w:hint="default" w:ascii="Times New Roman" w:hAnsi="Times New Roman" w:eastAsia="宋体" w:cs="Times New Roman"/>
                <w:bCs/>
                <w:color w:val="7030A0"/>
                <w:sz w:val="24"/>
                <w:szCs w:val="24"/>
                <w:highlight w:val="none"/>
                <w:vertAlign w:val="superscript"/>
                <w:lang w:val="en-US" w:eastAsia="zh-CN"/>
              </w:rPr>
              <w:t>3</w:t>
            </w:r>
            <w:r>
              <w:rPr>
                <w:rFonts w:hint="default" w:ascii="Times New Roman" w:hAnsi="Times New Roman" w:eastAsia="宋体" w:cs="Times New Roman"/>
                <w:bCs/>
                <w:color w:val="7030A0"/>
                <w:sz w:val="24"/>
                <w:szCs w:val="24"/>
                <w:highlight w:val="none"/>
                <w:lang w:val="en-US" w:eastAsia="zh-CN"/>
              </w:rPr>
              <w:t>/d污水处理一体机改为备用。</w:t>
            </w:r>
          </w:p>
          <w:p w14:paraId="5196EEB6">
            <w:pPr>
              <w:keepNext w:val="0"/>
              <w:keepLines w:val="0"/>
              <w:pageBreakBefore w:val="0"/>
              <w:widowControl/>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bCs/>
                <w:color w:val="0000FF"/>
                <w:sz w:val="24"/>
                <w:szCs w:val="24"/>
                <w:highlight w:val="none"/>
                <w:lang w:val="en-US" w:eastAsia="zh-CN"/>
              </w:rPr>
            </w:pPr>
            <w:r>
              <w:rPr>
                <w:rFonts w:hint="eastAsia" w:ascii="Times New Roman" w:hAnsi="Times New Roman" w:eastAsia="宋体" w:cs="Times New Roman"/>
                <w:bCs/>
                <w:color w:val="7030A0"/>
                <w:sz w:val="24"/>
                <w:szCs w:val="24"/>
                <w:highlight w:val="none"/>
                <w:lang w:val="en-US" w:eastAsia="zh-CN"/>
              </w:rPr>
              <w:t>甘其毛都口岸加工园区工业污水处理厂</w:t>
            </w:r>
            <w:r>
              <w:rPr>
                <w:rFonts w:hint="default" w:ascii="Times New Roman" w:hAnsi="Times New Roman" w:eastAsia="宋体" w:cs="Times New Roman"/>
                <w:bCs/>
                <w:color w:val="7030A0"/>
                <w:sz w:val="24"/>
                <w:szCs w:val="24"/>
                <w:highlight w:val="none"/>
                <w:lang w:val="en-US" w:eastAsia="zh-CN"/>
              </w:rPr>
              <w:t>设计处理工业废水规模为1000m</w:t>
            </w:r>
            <w:r>
              <w:rPr>
                <w:rFonts w:hint="default" w:ascii="Times New Roman" w:hAnsi="Times New Roman" w:eastAsia="宋体" w:cs="Times New Roman"/>
                <w:bCs/>
                <w:color w:val="7030A0"/>
                <w:sz w:val="24"/>
                <w:szCs w:val="24"/>
                <w:highlight w:val="none"/>
                <w:vertAlign w:val="superscript"/>
                <w:lang w:val="en-US" w:eastAsia="zh-CN"/>
              </w:rPr>
              <w:t>3</w:t>
            </w:r>
            <w:r>
              <w:rPr>
                <w:rFonts w:hint="default" w:ascii="Times New Roman" w:hAnsi="Times New Roman" w:eastAsia="宋体" w:cs="Times New Roman"/>
                <w:bCs/>
                <w:color w:val="7030A0"/>
                <w:sz w:val="24"/>
                <w:szCs w:val="24"/>
                <w:highlight w:val="none"/>
                <w:lang w:val="en-US" w:eastAsia="zh-CN"/>
              </w:rPr>
              <w:t>/d，处理工艺为“A</w:t>
            </w:r>
            <w:r>
              <w:rPr>
                <w:rFonts w:hint="default" w:ascii="Times New Roman" w:hAnsi="Times New Roman" w:eastAsia="宋体" w:cs="Times New Roman"/>
                <w:bCs/>
                <w:color w:val="7030A0"/>
                <w:sz w:val="24"/>
                <w:szCs w:val="24"/>
                <w:highlight w:val="none"/>
                <w:vertAlign w:val="superscript"/>
                <w:lang w:val="en-US" w:eastAsia="zh-CN"/>
              </w:rPr>
              <w:t>2</w:t>
            </w:r>
            <w:r>
              <w:rPr>
                <w:rFonts w:hint="default" w:ascii="Times New Roman" w:hAnsi="Times New Roman" w:eastAsia="宋体" w:cs="Times New Roman"/>
                <w:bCs/>
                <w:color w:val="7030A0"/>
                <w:sz w:val="24"/>
                <w:szCs w:val="24"/>
                <w:highlight w:val="none"/>
                <w:lang w:val="en-US" w:eastAsia="zh-CN"/>
              </w:rPr>
              <w:t>O+BSFR内置二沉池+深度处理”工艺；处理后的出水达到《城镇污水处理厂污染物排放标准》（GB18918-2002）一级A标准，并同时符合《城市污水再生利用工业用水水质》（GB/T19923-2005）标准，出水全部回用于园区工业企业作为循环冷却水、脱硫用水等。</w:t>
            </w:r>
            <w:r>
              <w:rPr>
                <w:rFonts w:hint="default" w:ascii="Times New Roman" w:hAnsi="Times New Roman" w:eastAsia="宋体" w:cs="Times New Roman"/>
                <w:bCs/>
                <w:color w:val="0000FF"/>
                <w:sz w:val="24"/>
                <w:szCs w:val="24"/>
                <w:highlight w:val="none"/>
                <w:lang w:val="en-US" w:eastAsia="zh-CN"/>
              </w:rPr>
              <w:t>根据园区污水处理厂提供资料，现阶段日均处理水量914m</w:t>
            </w:r>
            <w:r>
              <w:rPr>
                <w:rFonts w:hint="default" w:ascii="Times New Roman" w:hAnsi="Times New Roman" w:eastAsia="宋体" w:cs="Times New Roman"/>
                <w:bCs/>
                <w:color w:val="0000FF"/>
                <w:sz w:val="24"/>
                <w:szCs w:val="24"/>
                <w:highlight w:val="none"/>
                <w:vertAlign w:val="superscript"/>
                <w:lang w:val="en-US" w:eastAsia="zh-CN"/>
              </w:rPr>
              <w:t>3</w:t>
            </w:r>
            <w:r>
              <w:rPr>
                <w:rFonts w:hint="default" w:ascii="Times New Roman" w:hAnsi="Times New Roman" w:eastAsia="宋体" w:cs="Times New Roman"/>
                <w:bCs/>
                <w:color w:val="0000FF"/>
                <w:sz w:val="24"/>
                <w:szCs w:val="24"/>
                <w:highlight w:val="none"/>
                <w:lang w:val="en-US" w:eastAsia="zh-CN"/>
              </w:rPr>
              <w:t>，剩余日均处理水量能力为86m</w:t>
            </w:r>
            <w:r>
              <w:rPr>
                <w:rFonts w:hint="default" w:ascii="Times New Roman" w:hAnsi="Times New Roman" w:eastAsia="宋体" w:cs="Times New Roman"/>
                <w:bCs/>
                <w:color w:val="0000FF"/>
                <w:sz w:val="24"/>
                <w:szCs w:val="24"/>
                <w:highlight w:val="none"/>
                <w:vertAlign w:val="superscript"/>
                <w:lang w:val="en-US" w:eastAsia="zh-CN"/>
              </w:rPr>
              <w:t>3</w:t>
            </w:r>
            <w:r>
              <w:rPr>
                <w:rFonts w:hint="default" w:ascii="Times New Roman" w:hAnsi="Times New Roman" w:eastAsia="宋体" w:cs="Times New Roman"/>
                <w:bCs/>
                <w:color w:val="0000FF"/>
                <w:sz w:val="24"/>
                <w:szCs w:val="24"/>
                <w:highlight w:val="none"/>
                <w:lang w:val="en-US" w:eastAsia="zh-CN"/>
              </w:rPr>
              <w:t>。</w:t>
            </w:r>
          </w:p>
          <w:p w14:paraId="76A7E160">
            <w:pPr>
              <w:keepNext w:val="0"/>
              <w:keepLines w:val="0"/>
              <w:pageBreakBefore w:val="0"/>
              <w:widowControl/>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bCs/>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本项目生活污水产生量较少，仅为0.48m</w:t>
            </w:r>
            <w:r>
              <w:rPr>
                <w:rFonts w:hint="default" w:ascii="Times New Roman" w:hAnsi="Times New Roman" w:eastAsia="宋体" w:cs="Times New Roman"/>
                <w:color w:val="0000FF"/>
                <w:sz w:val="24"/>
                <w:szCs w:val="24"/>
                <w:highlight w:val="none"/>
                <w:vertAlign w:val="superscript"/>
                <w:lang w:val="en-US" w:eastAsia="zh-CN"/>
              </w:rPr>
              <w:t>3</w:t>
            </w:r>
            <w:r>
              <w:rPr>
                <w:rFonts w:hint="default" w:ascii="Times New Roman" w:hAnsi="Times New Roman" w:eastAsia="宋体" w:cs="Times New Roman"/>
                <w:color w:val="0000FF"/>
                <w:sz w:val="24"/>
                <w:highlight w:val="none"/>
              </w:rPr>
              <w:t>/</w:t>
            </w:r>
            <w:r>
              <w:rPr>
                <w:rFonts w:hint="default" w:ascii="Times New Roman" w:hAnsi="Times New Roman" w:eastAsia="宋体" w:cs="Times New Roman"/>
                <w:color w:val="0000FF"/>
                <w:sz w:val="24"/>
                <w:szCs w:val="24"/>
                <w:highlight w:val="none"/>
                <w:lang w:eastAsia="zh-CN"/>
              </w:rPr>
              <w:t>d</w:t>
            </w:r>
            <w:r>
              <w:rPr>
                <w:rFonts w:hint="default" w:ascii="Times New Roman" w:hAnsi="Times New Roman" w:eastAsia="宋体" w:cs="Times New Roman"/>
                <w:color w:val="0000FF"/>
                <w:sz w:val="24"/>
                <w:szCs w:val="24"/>
                <w:highlight w:val="none"/>
                <w:lang w:val="en-US" w:eastAsia="zh-CN"/>
              </w:rPr>
              <w:t>，远小于</w:t>
            </w:r>
            <w:r>
              <w:rPr>
                <w:rFonts w:hint="default" w:ascii="Times New Roman" w:hAnsi="Times New Roman" w:eastAsia="宋体" w:cs="Times New Roman"/>
                <w:bCs/>
                <w:color w:val="0000FF"/>
                <w:sz w:val="24"/>
                <w:szCs w:val="24"/>
                <w:highlight w:val="none"/>
                <w:lang w:val="en-US" w:eastAsia="zh-CN"/>
              </w:rPr>
              <w:t>园区污水处理厂剩余日均处理水量能力（86m</w:t>
            </w:r>
            <w:r>
              <w:rPr>
                <w:rFonts w:hint="default" w:ascii="Times New Roman" w:hAnsi="Times New Roman" w:eastAsia="宋体" w:cs="Times New Roman"/>
                <w:bCs/>
                <w:color w:val="0000FF"/>
                <w:sz w:val="24"/>
                <w:szCs w:val="24"/>
                <w:highlight w:val="none"/>
                <w:vertAlign w:val="superscript"/>
                <w:lang w:val="en-US" w:eastAsia="zh-CN"/>
              </w:rPr>
              <w:t>3</w:t>
            </w:r>
            <w:r>
              <w:rPr>
                <w:rFonts w:hint="default" w:ascii="Times New Roman" w:hAnsi="Times New Roman" w:eastAsia="宋体" w:cs="Times New Roman"/>
                <w:bCs/>
                <w:color w:val="0000FF"/>
                <w:sz w:val="24"/>
                <w:szCs w:val="24"/>
                <w:highlight w:val="none"/>
                <w:lang w:val="en-US" w:eastAsia="zh-CN"/>
              </w:rPr>
              <w:t>），剩余处理能力可以接纳本项目排水。</w:t>
            </w:r>
          </w:p>
          <w:p w14:paraId="55DB4DFA">
            <w:pPr>
              <w:keepNext w:val="0"/>
              <w:pageBreakBefore w:val="0"/>
              <w:widowControl w:val="0"/>
              <w:kinsoku/>
              <w:wordWrap/>
              <w:overflowPunct/>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0000FF"/>
                <w:sz w:val="24"/>
                <w:szCs w:val="24"/>
                <w:lang w:eastAsia="zh-CN"/>
              </w:rPr>
            </w:pPr>
            <w:r>
              <w:rPr>
                <w:rFonts w:hint="default" w:ascii="Times New Roman" w:hAnsi="Times New Roman" w:eastAsia="宋体" w:cs="Times New Roman"/>
                <w:bCs/>
                <w:color w:val="0000FF"/>
                <w:sz w:val="24"/>
                <w:szCs w:val="24"/>
                <w:highlight w:val="none"/>
                <w:lang w:val="en-US" w:eastAsia="zh-CN"/>
              </w:rPr>
              <w:t>综上所述，本项目外排废水水质能够达到</w:t>
            </w:r>
            <w:r>
              <w:rPr>
                <w:rFonts w:hint="eastAsia" w:ascii="Times New Roman" w:hAnsi="Times New Roman" w:eastAsia="宋体" w:cs="Times New Roman"/>
                <w:color w:val="0000FF"/>
                <w:kern w:val="0"/>
                <w:sz w:val="24"/>
                <w:highlight w:val="none"/>
                <w:lang w:val="en-US" w:eastAsia="zh-CN"/>
              </w:rPr>
              <w:t>甘其毛都口岸加工园区工业污水处理厂</w:t>
            </w:r>
            <w:r>
              <w:rPr>
                <w:rFonts w:hint="default" w:ascii="Times New Roman" w:hAnsi="Times New Roman" w:eastAsia="宋体" w:cs="Times New Roman"/>
                <w:color w:val="0000FF"/>
                <w:sz w:val="24"/>
                <w:szCs w:val="24"/>
                <w:highlight w:val="none"/>
                <w:lang w:val="en-US" w:eastAsia="zh-CN"/>
              </w:rPr>
              <w:t>进水水质标准</w:t>
            </w:r>
            <w:r>
              <w:rPr>
                <w:rFonts w:hint="default" w:ascii="Times New Roman" w:hAnsi="Times New Roman" w:eastAsia="宋体" w:cs="Times New Roman"/>
                <w:color w:val="0000FF"/>
                <w:kern w:val="0"/>
                <w:sz w:val="24"/>
                <w:highlight w:val="none"/>
                <w:lang w:eastAsia="zh-CN"/>
              </w:rPr>
              <w:t>，</w:t>
            </w:r>
            <w:r>
              <w:rPr>
                <w:rFonts w:hint="default" w:ascii="Times New Roman" w:hAnsi="Times New Roman" w:eastAsia="宋体" w:cs="Times New Roman"/>
                <w:color w:val="0000FF"/>
                <w:kern w:val="0"/>
                <w:sz w:val="24"/>
                <w:highlight w:val="none"/>
                <w:lang w:val="en-US" w:eastAsia="zh-CN"/>
              </w:rPr>
              <w:t>外排水量较小，不会超出园区污水处理厂的处理能力负荷，</w:t>
            </w:r>
            <w:r>
              <w:rPr>
                <w:rFonts w:hint="default" w:ascii="Times New Roman" w:hAnsi="Times New Roman" w:eastAsia="宋体" w:cs="Times New Roman"/>
                <w:bCs/>
                <w:color w:val="0000FF"/>
                <w:sz w:val="24"/>
                <w:szCs w:val="24"/>
                <w:highlight w:val="none"/>
                <w:lang w:val="en-US" w:eastAsia="zh-CN"/>
              </w:rPr>
              <w:t>符合园区污水处理厂的纳管要求，不会对园区污水处理厂造成冲击，依托处理可行</w:t>
            </w:r>
            <w:r>
              <w:rPr>
                <w:rFonts w:hint="default" w:ascii="Times New Roman" w:hAnsi="Times New Roman" w:eastAsia="宋体" w:cs="Times New Roman"/>
                <w:color w:val="0000FF"/>
                <w:highlight w:val="none"/>
                <w:lang w:val="en-US"/>
              </w:rPr>
              <w:t>。</w:t>
            </w:r>
          </w:p>
          <w:p w14:paraId="578955F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噪声环境影响分析及防治措施</w:t>
            </w:r>
          </w:p>
          <w:p w14:paraId="3E57B48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snapToGrid w:val="0"/>
                <w:color w:val="auto"/>
                <w:kern w:val="0"/>
                <w:sz w:val="24"/>
                <w:szCs w:val="24"/>
                <w:lang w:val="en-US" w:eastAsia="zh-CN"/>
              </w:rPr>
            </w:pPr>
            <w:r>
              <w:rPr>
                <w:rFonts w:hint="default" w:ascii="Times New Roman" w:hAnsi="Times New Roman" w:eastAsia="宋体" w:cs="Times New Roman"/>
                <w:b/>
                <w:bCs/>
                <w:snapToGrid w:val="0"/>
                <w:color w:val="auto"/>
                <w:kern w:val="0"/>
                <w:sz w:val="24"/>
                <w:szCs w:val="24"/>
                <w:lang w:val="en-US" w:eastAsia="zh-CN"/>
              </w:rPr>
              <w:t>3.1噪声源强分析</w:t>
            </w:r>
          </w:p>
          <w:p w14:paraId="1B805728">
            <w:pPr>
              <w:keepNext w:val="0"/>
              <w:pageBreakBefore w:val="0"/>
              <w:wordWrap/>
              <w:bidi w:val="0"/>
              <w:spacing w:beforeAutospacing="0" w:afterAutospacing="0" w:line="360" w:lineRule="auto"/>
              <w:jc w:val="center"/>
              <w:rPr>
                <w:rFonts w:hint="default" w:ascii="Times New Roman" w:hAnsi="Times New Roman" w:eastAsia="宋体" w:cs="Times New Roman"/>
                <w:b/>
                <w:bCs/>
                <w:color w:val="auto"/>
                <w:sz w:val="24"/>
                <w:szCs w:val="32"/>
              </w:rPr>
            </w:pPr>
            <w:bookmarkStart w:id="1" w:name="_Toc146798707"/>
            <w:r>
              <w:rPr>
                <w:rFonts w:hint="default" w:ascii="Times New Roman" w:hAnsi="Times New Roman" w:eastAsia="宋体" w:cs="Times New Roman"/>
                <w:b/>
                <w:bCs/>
                <w:color w:val="auto"/>
                <w:sz w:val="24"/>
                <w:szCs w:val="32"/>
              </w:rPr>
              <w:t>表4-</w:t>
            </w:r>
            <w:r>
              <w:rPr>
                <w:rFonts w:hint="default" w:ascii="Times New Roman" w:hAnsi="Times New Roman" w:eastAsia="宋体" w:cs="Times New Roman"/>
                <w:b/>
                <w:bCs/>
                <w:color w:val="auto"/>
                <w:sz w:val="24"/>
                <w:szCs w:val="32"/>
                <w:lang w:val="en-US" w:eastAsia="zh-CN"/>
              </w:rPr>
              <w:t xml:space="preserve">4  </w:t>
            </w:r>
            <w:r>
              <w:rPr>
                <w:rFonts w:hint="default" w:ascii="Times New Roman" w:hAnsi="Times New Roman" w:eastAsia="宋体" w:cs="Times New Roman"/>
                <w:b/>
                <w:bCs/>
                <w:color w:val="auto"/>
                <w:sz w:val="24"/>
                <w:szCs w:val="32"/>
              </w:rPr>
              <w:t>项目噪声源强一览表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750"/>
              <w:gridCol w:w="1198"/>
              <w:gridCol w:w="898"/>
              <w:gridCol w:w="901"/>
              <w:gridCol w:w="1349"/>
              <w:gridCol w:w="748"/>
              <w:gridCol w:w="748"/>
              <w:gridCol w:w="712"/>
            </w:tblGrid>
            <w:tr w14:paraId="104C6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vMerge w:val="restart"/>
                  <w:noWrap w:val="0"/>
                  <w:vAlign w:val="center"/>
                </w:tcPr>
                <w:p w14:paraId="55FBF9E3">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噪</w:t>
                  </w:r>
                  <w:r>
                    <w:rPr>
                      <w:rFonts w:hint="default" w:ascii="Times New Roman" w:hAnsi="Times New Roman" w:eastAsia="宋体" w:cs="Times New Roman"/>
                      <w:b/>
                      <w:color w:val="auto"/>
                      <w:spacing w:val="2"/>
                      <w:sz w:val="21"/>
                      <w:szCs w:val="21"/>
                    </w:rPr>
                    <w:t>声</w:t>
                  </w:r>
                  <w:r>
                    <w:rPr>
                      <w:rFonts w:hint="default" w:ascii="Times New Roman" w:hAnsi="Times New Roman" w:eastAsia="宋体" w:cs="Times New Roman"/>
                      <w:b/>
                      <w:color w:val="auto"/>
                      <w:sz w:val="21"/>
                      <w:szCs w:val="21"/>
                    </w:rPr>
                    <w:t>源</w:t>
                  </w:r>
                </w:p>
              </w:tc>
              <w:tc>
                <w:tcPr>
                  <w:tcW w:w="750" w:type="dxa"/>
                  <w:vMerge w:val="restart"/>
                  <w:noWrap w:val="0"/>
                  <w:vAlign w:val="center"/>
                </w:tcPr>
                <w:p w14:paraId="1F6F8038">
                  <w:pPr>
                    <w:pStyle w:val="62"/>
                    <w:keepNext w:val="0"/>
                    <w:pageBreakBefore w:val="0"/>
                    <w:wordWrap/>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数量（套/台）</w:t>
                  </w:r>
                </w:p>
              </w:tc>
              <w:tc>
                <w:tcPr>
                  <w:tcW w:w="1198" w:type="dxa"/>
                  <w:vMerge w:val="restart"/>
                  <w:noWrap w:val="0"/>
                  <w:vAlign w:val="center"/>
                </w:tcPr>
                <w:p w14:paraId="316746FA">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声</w:t>
                  </w:r>
                  <w:r>
                    <w:rPr>
                      <w:rFonts w:hint="default" w:ascii="Times New Roman" w:hAnsi="Times New Roman" w:eastAsia="宋体" w:cs="Times New Roman"/>
                      <w:b/>
                      <w:color w:val="auto"/>
                      <w:spacing w:val="2"/>
                      <w:sz w:val="21"/>
                      <w:szCs w:val="21"/>
                    </w:rPr>
                    <w:t>源</w:t>
                  </w:r>
                  <w:r>
                    <w:rPr>
                      <w:rFonts w:hint="default" w:ascii="Times New Roman" w:hAnsi="Times New Roman" w:eastAsia="宋体" w:cs="Times New Roman"/>
                      <w:b/>
                      <w:color w:val="auto"/>
                      <w:sz w:val="21"/>
                      <w:szCs w:val="21"/>
                    </w:rPr>
                    <w:t>类型</w:t>
                  </w:r>
                </w:p>
                <w:p w14:paraId="7875C5DC">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w:t>
                  </w:r>
                  <w:r>
                    <w:rPr>
                      <w:rFonts w:hint="default" w:ascii="Times New Roman" w:hAnsi="Times New Roman" w:eastAsia="宋体" w:cs="Times New Roman"/>
                      <w:b/>
                      <w:color w:val="auto"/>
                      <w:spacing w:val="2"/>
                      <w:sz w:val="21"/>
                      <w:szCs w:val="21"/>
                    </w:rPr>
                    <w:t>频</w:t>
                  </w:r>
                  <w:r>
                    <w:rPr>
                      <w:rFonts w:hint="default" w:ascii="Times New Roman" w:hAnsi="Times New Roman" w:eastAsia="宋体" w:cs="Times New Roman"/>
                      <w:b/>
                      <w:color w:val="auto"/>
                      <w:sz w:val="21"/>
                      <w:szCs w:val="21"/>
                    </w:rPr>
                    <w:t>发、偶</w:t>
                  </w:r>
                  <w:r>
                    <w:rPr>
                      <w:rFonts w:hint="default" w:ascii="Times New Roman" w:hAnsi="Times New Roman" w:eastAsia="宋体" w:cs="Times New Roman"/>
                      <w:b/>
                      <w:color w:val="auto"/>
                      <w:spacing w:val="2"/>
                      <w:sz w:val="21"/>
                      <w:szCs w:val="21"/>
                    </w:rPr>
                    <w:t>发</w:t>
                  </w:r>
                  <w:r>
                    <w:rPr>
                      <w:rFonts w:hint="default" w:ascii="Times New Roman" w:hAnsi="Times New Roman" w:eastAsia="宋体" w:cs="Times New Roman"/>
                      <w:b/>
                      <w:color w:val="auto"/>
                      <w:sz w:val="21"/>
                      <w:szCs w:val="21"/>
                    </w:rPr>
                    <w:t>等）</w:t>
                  </w:r>
                </w:p>
              </w:tc>
              <w:tc>
                <w:tcPr>
                  <w:tcW w:w="1799" w:type="dxa"/>
                  <w:gridSpan w:val="2"/>
                  <w:noWrap w:val="0"/>
                  <w:vAlign w:val="center"/>
                </w:tcPr>
                <w:p w14:paraId="41461041">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噪声源强</w:t>
                  </w:r>
                </w:p>
              </w:tc>
              <w:tc>
                <w:tcPr>
                  <w:tcW w:w="2097" w:type="dxa"/>
                  <w:gridSpan w:val="2"/>
                  <w:noWrap w:val="0"/>
                  <w:vAlign w:val="center"/>
                </w:tcPr>
                <w:p w14:paraId="604B5D41">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降噪</w:t>
                  </w:r>
                </w:p>
              </w:tc>
              <w:tc>
                <w:tcPr>
                  <w:tcW w:w="748" w:type="dxa"/>
                  <w:vMerge w:val="restart"/>
                  <w:noWrap w:val="0"/>
                  <w:vAlign w:val="center"/>
                </w:tcPr>
                <w:p w14:paraId="1AEE10A6">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噪声排放值</w:t>
                  </w:r>
                </w:p>
              </w:tc>
              <w:tc>
                <w:tcPr>
                  <w:tcW w:w="712" w:type="dxa"/>
                  <w:vMerge w:val="restart"/>
                  <w:noWrap w:val="0"/>
                  <w:vAlign w:val="center"/>
                </w:tcPr>
                <w:p w14:paraId="49BB6697">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持续时间</w:t>
                  </w:r>
                </w:p>
              </w:tc>
            </w:tr>
            <w:tr w14:paraId="5933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vMerge w:val="continue"/>
                  <w:noWrap w:val="0"/>
                  <w:vAlign w:val="center"/>
                </w:tcPr>
                <w:p w14:paraId="380BCE1B">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Cs/>
                      <w:color w:val="auto"/>
                      <w:sz w:val="21"/>
                      <w:szCs w:val="21"/>
                    </w:rPr>
                  </w:pPr>
                </w:p>
              </w:tc>
              <w:tc>
                <w:tcPr>
                  <w:tcW w:w="750" w:type="dxa"/>
                  <w:vMerge w:val="continue"/>
                  <w:noWrap w:val="0"/>
                  <w:vAlign w:val="center"/>
                </w:tcPr>
                <w:p w14:paraId="7E1B9304">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Cs/>
                      <w:color w:val="auto"/>
                      <w:sz w:val="21"/>
                      <w:szCs w:val="21"/>
                    </w:rPr>
                  </w:pPr>
                </w:p>
              </w:tc>
              <w:tc>
                <w:tcPr>
                  <w:tcW w:w="1198" w:type="dxa"/>
                  <w:vMerge w:val="continue"/>
                  <w:noWrap w:val="0"/>
                  <w:vAlign w:val="center"/>
                </w:tcPr>
                <w:p w14:paraId="373BB48A">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Cs/>
                      <w:color w:val="auto"/>
                      <w:sz w:val="21"/>
                      <w:szCs w:val="21"/>
                    </w:rPr>
                  </w:pPr>
                </w:p>
              </w:tc>
              <w:tc>
                <w:tcPr>
                  <w:tcW w:w="898" w:type="dxa"/>
                  <w:noWrap w:val="0"/>
                  <w:vAlign w:val="center"/>
                </w:tcPr>
                <w:p w14:paraId="44BE200A">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核算方法</w:t>
                  </w:r>
                </w:p>
              </w:tc>
              <w:tc>
                <w:tcPr>
                  <w:tcW w:w="901" w:type="dxa"/>
                  <w:noWrap w:val="0"/>
                  <w:vAlign w:val="center"/>
                </w:tcPr>
                <w:p w14:paraId="48AA1C40">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噪声值</w:t>
                  </w:r>
                </w:p>
              </w:tc>
              <w:tc>
                <w:tcPr>
                  <w:tcW w:w="1349" w:type="dxa"/>
                  <w:noWrap w:val="0"/>
                  <w:vAlign w:val="center"/>
                </w:tcPr>
                <w:p w14:paraId="2007BD39">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措施</w:t>
                  </w:r>
                </w:p>
              </w:tc>
              <w:tc>
                <w:tcPr>
                  <w:tcW w:w="748" w:type="dxa"/>
                  <w:noWrap w:val="0"/>
                  <w:vAlign w:val="center"/>
                </w:tcPr>
                <w:p w14:paraId="16DD0065">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效果</w:t>
                  </w:r>
                </w:p>
              </w:tc>
              <w:tc>
                <w:tcPr>
                  <w:tcW w:w="748" w:type="dxa"/>
                  <w:vMerge w:val="continue"/>
                  <w:noWrap w:val="0"/>
                  <w:vAlign w:val="center"/>
                </w:tcPr>
                <w:p w14:paraId="15E9A950">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Cs/>
                      <w:color w:val="auto"/>
                      <w:sz w:val="21"/>
                      <w:szCs w:val="21"/>
                    </w:rPr>
                  </w:pPr>
                </w:p>
              </w:tc>
              <w:tc>
                <w:tcPr>
                  <w:tcW w:w="712" w:type="dxa"/>
                  <w:vMerge w:val="continue"/>
                  <w:noWrap w:val="0"/>
                  <w:vAlign w:val="center"/>
                </w:tcPr>
                <w:p w14:paraId="248F72B6">
                  <w:pPr>
                    <w:pStyle w:val="45"/>
                    <w:keepNext w:val="0"/>
                    <w:pageBreakBefore w:val="0"/>
                    <w:kinsoku w:val="0"/>
                    <w:wordWrap/>
                    <w:overflowPunct w:val="0"/>
                    <w:bidi w:val="0"/>
                    <w:snapToGrid w:val="0"/>
                    <w:spacing w:beforeAutospacing="0" w:afterAutospacing="0"/>
                    <w:ind w:left="0" w:leftChars="0" w:right="0" w:rightChars="0"/>
                    <w:rPr>
                      <w:rFonts w:hint="default" w:ascii="Times New Roman" w:hAnsi="Times New Roman" w:eastAsia="宋体" w:cs="Times New Roman"/>
                      <w:bCs/>
                      <w:color w:val="auto"/>
                      <w:sz w:val="21"/>
                      <w:szCs w:val="21"/>
                    </w:rPr>
                  </w:pPr>
                </w:p>
              </w:tc>
            </w:tr>
            <w:tr w14:paraId="4C733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6C96ECF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氧气</w:t>
                  </w: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750" w:type="dxa"/>
                  <w:noWrap w:val="0"/>
                  <w:vAlign w:val="center"/>
                </w:tcPr>
                <w:p w14:paraId="3D6DDA4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69CC633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6BE3108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13EF5FC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159346E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2BAB762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5182046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712" w:type="dxa"/>
                  <w:noWrap w:val="0"/>
                  <w:vAlign w:val="center"/>
                </w:tcPr>
                <w:p w14:paraId="0F53FC2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68CCE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7A6DCCB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氧气</w:t>
                  </w:r>
                  <w:r>
                    <w:rPr>
                      <w:rFonts w:hint="default" w:ascii="Times New Roman" w:hAnsi="Times New Roman" w:eastAsia="宋体" w:cs="Times New Roman"/>
                      <w:b w:val="0"/>
                      <w:bCs/>
                      <w:color w:val="auto"/>
                      <w:szCs w:val="21"/>
                    </w:rPr>
                    <w:t>高压汽化器</w:t>
                  </w:r>
                </w:p>
              </w:tc>
              <w:tc>
                <w:tcPr>
                  <w:tcW w:w="750" w:type="dxa"/>
                  <w:noWrap w:val="0"/>
                  <w:vAlign w:val="center"/>
                </w:tcPr>
                <w:p w14:paraId="4D9FC93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08751CE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27FA0E6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504FCF4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3B7C6EE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257B626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254FAA4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712" w:type="dxa"/>
                  <w:noWrap w:val="0"/>
                  <w:vAlign w:val="center"/>
                </w:tcPr>
                <w:p w14:paraId="2573B34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4045A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707800D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氮气</w:t>
                  </w: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750" w:type="dxa"/>
                  <w:noWrap w:val="0"/>
                  <w:vAlign w:val="center"/>
                </w:tcPr>
                <w:p w14:paraId="11090F4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7AA4254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0769BA0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39140BC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7AE9927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6BFD12F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237B319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712" w:type="dxa"/>
                  <w:noWrap w:val="0"/>
                  <w:vAlign w:val="center"/>
                </w:tcPr>
                <w:p w14:paraId="48A3D95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0A0A4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32E20EC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氮气</w:t>
                  </w:r>
                  <w:r>
                    <w:rPr>
                      <w:rFonts w:hint="default" w:ascii="Times New Roman" w:hAnsi="Times New Roman" w:eastAsia="宋体" w:cs="Times New Roman"/>
                      <w:b w:val="0"/>
                      <w:bCs/>
                      <w:color w:val="auto"/>
                      <w:szCs w:val="21"/>
                    </w:rPr>
                    <w:t>高压汽化器</w:t>
                  </w:r>
                </w:p>
              </w:tc>
              <w:tc>
                <w:tcPr>
                  <w:tcW w:w="750" w:type="dxa"/>
                  <w:noWrap w:val="0"/>
                  <w:vAlign w:val="center"/>
                </w:tcPr>
                <w:p w14:paraId="0C38081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2E64CDA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1EA47A5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513F918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308B675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164E11D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6D908DF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712" w:type="dxa"/>
                  <w:noWrap w:val="0"/>
                  <w:vAlign w:val="center"/>
                </w:tcPr>
                <w:p w14:paraId="76B43F9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65409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030CDAB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氩气</w:t>
                  </w: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750" w:type="dxa"/>
                  <w:noWrap w:val="0"/>
                  <w:vAlign w:val="center"/>
                </w:tcPr>
                <w:p w14:paraId="3951015B">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598E476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37CA2EB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3294960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2B467A0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5A45B5D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7355F86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rPr>
                    <w:t>65</w:t>
                  </w:r>
                </w:p>
              </w:tc>
              <w:tc>
                <w:tcPr>
                  <w:tcW w:w="712" w:type="dxa"/>
                  <w:noWrap w:val="0"/>
                  <w:vAlign w:val="center"/>
                </w:tcPr>
                <w:p w14:paraId="320F28A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4CAEE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14896F6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氩气</w:t>
                  </w:r>
                  <w:r>
                    <w:rPr>
                      <w:rFonts w:hint="default" w:ascii="Times New Roman" w:hAnsi="Times New Roman" w:eastAsia="宋体" w:cs="Times New Roman"/>
                      <w:b w:val="0"/>
                      <w:bCs/>
                      <w:color w:val="auto"/>
                      <w:szCs w:val="21"/>
                    </w:rPr>
                    <w:t>高压汽化器</w:t>
                  </w:r>
                </w:p>
              </w:tc>
              <w:tc>
                <w:tcPr>
                  <w:tcW w:w="750" w:type="dxa"/>
                  <w:noWrap w:val="0"/>
                  <w:vAlign w:val="center"/>
                </w:tcPr>
                <w:p w14:paraId="65E6B84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4FFFE82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182AD23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785F1B7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15442EE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0338456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34F81CD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rPr>
                    <w:t>65</w:t>
                  </w:r>
                </w:p>
              </w:tc>
              <w:tc>
                <w:tcPr>
                  <w:tcW w:w="712" w:type="dxa"/>
                  <w:noWrap w:val="0"/>
                  <w:vAlign w:val="center"/>
                </w:tcPr>
                <w:p w14:paraId="21C2D54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6546F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4C001CD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二氧化碳</w:t>
                  </w:r>
                  <w:r>
                    <w:rPr>
                      <w:rFonts w:hint="default" w:ascii="Times New Roman" w:hAnsi="Times New Roman" w:eastAsia="宋体" w:cs="Times New Roman"/>
                      <w:b w:val="0"/>
                      <w:bCs/>
                      <w:color w:val="auto"/>
                      <w:szCs w:val="21"/>
                    </w:rPr>
                    <w:t>低温</w:t>
                  </w:r>
                  <w:r>
                    <w:rPr>
                      <w:rFonts w:hint="default" w:ascii="Times New Roman" w:hAnsi="Times New Roman" w:eastAsia="宋体" w:cs="Times New Roman"/>
                      <w:b w:val="0"/>
                      <w:bCs/>
                      <w:color w:val="auto"/>
                      <w:szCs w:val="21"/>
                      <w:lang w:eastAsia="zh-CN"/>
                    </w:rPr>
                    <w:t>液体泵</w:t>
                  </w:r>
                </w:p>
              </w:tc>
              <w:tc>
                <w:tcPr>
                  <w:tcW w:w="750" w:type="dxa"/>
                  <w:noWrap w:val="0"/>
                  <w:vAlign w:val="center"/>
                </w:tcPr>
                <w:p w14:paraId="4A23946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78CBCE3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42CF4D0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18AF4E9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4BB974D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057BCD5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2ECBDBC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rPr>
                    <w:t>65</w:t>
                  </w:r>
                </w:p>
              </w:tc>
              <w:tc>
                <w:tcPr>
                  <w:tcW w:w="712" w:type="dxa"/>
                  <w:noWrap w:val="0"/>
                  <w:vAlign w:val="center"/>
                </w:tcPr>
                <w:p w14:paraId="6F302DD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1CAC3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shd w:val="clear" w:color="auto" w:fill="auto"/>
                  <w:noWrap w:val="0"/>
                  <w:vAlign w:val="center"/>
                </w:tcPr>
                <w:p w14:paraId="69E5144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二氧化碳</w:t>
                  </w:r>
                  <w:r>
                    <w:rPr>
                      <w:rFonts w:hint="default" w:ascii="Times New Roman" w:hAnsi="Times New Roman" w:eastAsia="宋体" w:cs="Times New Roman"/>
                      <w:b w:val="0"/>
                      <w:bCs/>
                      <w:color w:val="auto"/>
                      <w:szCs w:val="21"/>
                    </w:rPr>
                    <w:t>高压汽化器</w:t>
                  </w:r>
                </w:p>
              </w:tc>
              <w:tc>
                <w:tcPr>
                  <w:tcW w:w="750" w:type="dxa"/>
                  <w:noWrap w:val="0"/>
                  <w:vAlign w:val="center"/>
                </w:tcPr>
                <w:p w14:paraId="07D153F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98" w:type="dxa"/>
                  <w:noWrap w:val="0"/>
                  <w:vAlign w:val="center"/>
                </w:tcPr>
                <w:p w14:paraId="2F81C92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13647EC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7E79960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0659415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77EAD88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1DFCF0C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rPr>
                    <w:t>65</w:t>
                  </w:r>
                </w:p>
              </w:tc>
              <w:tc>
                <w:tcPr>
                  <w:tcW w:w="712" w:type="dxa"/>
                  <w:noWrap w:val="0"/>
                  <w:vAlign w:val="center"/>
                </w:tcPr>
                <w:p w14:paraId="57E29BA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795C0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noWrap w:val="0"/>
                  <w:vAlign w:val="center"/>
                </w:tcPr>
                <w:p w14:paraId="2D6FC482">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Cs w:val="21"/>
                      <w:lang w:val="en-US" w:eastAsia="zh-CN"/>
                    </w:rPr>
                    <w:t>丙烷</w:t>
                  </w:r>
                  <w:r>
                    <w:rPr>
                      <w:rFonts w:hint="default" w:ascii="Times New Roman" w:hAnsi="Times New Roman" w:eastAsia="宋体" w:cs="Times New Roman"/>
                      <w:bCs/>
                      <w:color w:val="auto"/>
                      <w:sz w:val="21"/>
                      <w:szCs w:val="21"/>
                      <w:lang w:val="en-US" w:eastAsia="zh-CN"/>
                    </w:rPr>
                    <w:t>低温充装泵</w:t>
                  </w:r>
                </w:p>
              </w:tc>
              <w:tc>
                <w:tcPr>
                  <w:tcW w:w="750" w:type="dxa"/>
                  <w:noWrap w:val="0"/>
                  <w:vAlign w:val="center"/>
                </w:tcPr>
                <w:p w14:paraId="0B72FB11">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198" w:type="dxa"/>
                  <w:noWrap w:val="0"/>
                  <w:vAlign w:val="center"/>
                </w:tcPr>
                <w:p w14:paraId="45C9F715">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3CE16CC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6DA3863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518AD22E">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7C7EE18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4E6954F4">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rPr>
                    <w:t>65</w:t>
                  </w:r>
                </w:p>
              </w:tc>
              <w:tc>
                <w:tcPr>
                  <w:tcW w:w="712" w:type="dxa"/>
                  <w:noWrap w:val="0"/>
                  <w:vAlign w:val="center"/>
                </w:tcPr>
                <w:p w14:paraId="1F213D7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r w14:paraId="639F1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73" w:type="dxa"/>
                  <w:noWrap w:val="0"/>
                  <w:vAlign w:val="center"/>
                </w:tcPr>
                <w:p w14:paraId="2CCD2D89">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Cs w:val="21"/>
                    </w:rPr>
                    <w:t>七氟丙烷抽真空压缩机</w:t>
                  </w:r>
                </w:p>
              </w:tc>
              <w:tc>
                <w:tcPr>
                  <w:tcW w:w="750" w:type="dxa"/>
                  <w:noWrap w:val="0"/>
                  <w:vAlign w:val="center"/>
                </w:tcPr>
                <w:p w14:paraId="7898578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198" w:type="dxa"/>
                  <w:noWrap w:val="0"/>
                  <w:vAlign w:val="center"/>
                </w:tcPr>
                <w:p w14:paraId="63F6DC6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pacing w:val="2"/>
                      <w:sz w:val="21"/>
                      <w:szCs w:val="21"/>
                    </w:rPr>
                  </w:pPr>
                  <w:r>
                    <w:rPr>
                      <w:rFonts w:hint="default" w:ascii="Times New Roman" w:hAnsi="Times New Roman" w:eastAsia="宋体" w:cs="Times New Roman"/>
                      <w:bCs/>
                      <w:color w:val="auto"/>
                      <w:spacing w:val="2"/>
                      <w:sz w:val="21"/>
                      <w:szCs w:val="21"/>
                    </w:rPr>
                    <w:t>频发</w:t>
                  </w:r>
                </w:p>
              </w:tc>
              <w:tc>
                <w:tcPr>
                  <w:tcW w:w="898" w:type="dxa"/>
                  <w:noWrap w:val="0"/>
                  <w:vAlign w:val="center"/>
                </w:tcPr>
                <w:p w14:paraId="61EF3967">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类比法</w:t>
                  </w:r>
                </w:p>
              </w:tc>
              <w:tc>
                <w:tcPr>
                  <w:tcW w:w="901" w:type="dxa"/>
                  <w:noWrap w:val="0"/>
                  <w:vAlign w:val="center"/>
                </w:tcPr>
                <w:p w14:paraId="57FC60B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75</w:t>
                  </w:r>
                </w:p>
              </w:tc>
              <w:tc>
                <w:tcPr>
                  <w:tcW w:w="1349" w:type="dxa"/>
                  <w:noWrap w:val="0"/>
                  <w:vAlign w:val="center"/>
                </w:tcPr>
                <w:p w14:paraId="6D2ACD8A">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固定减振</w:t>
                  </w:r>
                </w:p>
              </w:tc>
              <w:tc>
                <w:tcPr>
                  <w:tcW w:w="748" w:type="dxa"/>
                  <w:noWrap w:val="0"/>
                  <w:vAlign w:val="center"/>
                </w:tcPr>
                <w:p w14:paraId="635D22B8">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10</w:t>
                  </w:r>
                </w:p>
              </w:tc>
              <w:tc>
                <w:tcPr>
                  <w:tcW w:w="748" w:type="dxa"/>
                  <w:noWrap w:val="0"/>
                  <w:vAlign w:val="center"/>
                </w:tcPr>
                <w:p w14:paraId="70DDBB1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rPr>
                    <w:t>65</w:t>
                  </w:r>
                </w:p>
              </w:tc>
              <w:tc>
                <w:tcPr>
                  <w:tcW w:w="712" w:type="dxa"/>
                  <w:noWrap w:val="0"/>
                  <w:vAlign w:val="center"/>
                </w:tcPr>
                <w:p w14:paraId="39B17A2C">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r>
          </w:tbl>
          <w:p w14:paraId="5ACB4B8F">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3.2噪声预测模型</w:t>
            </w:r>
          </w:p>
          <w:p w14:paraId="773885C6">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本次评价采用《环境影响评价技术导则</w:t>
            </w:r>
            <w:r>
              <w:rPr>
                <w:rFonts w:hint="default" w:ascii="Times New Roman" w:hAnsi="Times New Roman" w:eastAsia="宋体" w:cs="Times New Roman"/>
                <w:color w:val="auto"/>
                <w:kern w:val="0"/>
                <w:sz w:val="24"/>
                <w:szCs w:val="24"/>
                <w:lang w:val="en-US" w:eastAsia="zh-CN"/>
              </w:rPr>
              <w:t xml:space="preserve"> </w:t>
            </w:r>
            <w:r>
              <w:rPr>
                <w:rFonts w:hint="default" w:ascii="Times New Roman" w:hAnsi="Times New Roman" w:eastAsia="宋体" w:cs="Times New Roman"/>
                <w:color w:val="auto"/>
                <w:kern w:val="0"/>
                <w:sz w:val="24"/>
                <w:szCs w:val="24"/>
              </w:rPr>
              <w:t>声环境（HJ2.4-2021）》工业噪声预测计算模型，对本项目各厂界声环境影响进行预测。</w:t>
            </w:r>
          </w:p>
          <w:p w14:paraId="3D2CBCF4">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（1）室内声源等效室外声源声功率级计算方法</w:t>
            </w:r>
          </w:p>
          <w:p w14:paraId="518C7012">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声源位于室内，室内声源可采用等效室外声源声功率级法进行计算。设靠近开口处（或窗户）室内、室外某倍频带的声压级或A声级分别为L</w:t>
            </w:r>
            <w:r>
              <w:rPr>
                <w:rFonts w:hint="default" w:ascii="Times New Roman" w:hAnsi="Times New Roman" w:eastAsia="宋体" w:cs="Times New Roman"/>
                <w:color w:val="auto"/>
                <w:kern w:val="0"/>
                <w:sz w:val="24"/>
                <w:szCs w:val="24"/>
                <w:vertAlign w:val="subscript"/>
              </w:rPr>
              <w:t>p1</w:t>
            </w:r>
            <w:r>
              <w:rPr>
                <w:rFonts w:hint="default" w:ascii="Times New Roman" w:hAnsi="Times New Roman" w:eastAsia="宋体" w:cs="Times New Roman"/>
                <w:color w:val="auto"/>
                <w:kern w:val="0"/>
                <w:sz w:val="24"/>
                <w:szCs w:val="24"/>
              </w:rPr>
              <w:t>和L</w:t>
            </w:r>
            <w:r>
              <w:rPr>
                <w:rFonts w:hint="default" w:ascii="Times New Roman" w:hAnsi="Times New Roman" w:eastAsia="宋体" w:cs="Times New Roman"/>
                <w:color w:val="auto"/>
                <w:kern w:val="0"/>
                <w:sz w:val="24"/>
                <w:szCs w:val="24"/>
                <w:vertAlign w:val="subscript"/>
              </w:rPr>
              <w:t>p2</w:t>
            </w:r>
            <w:r>
              <w:rPr>
                <w:rFonts w:hint="default" w:ascii="Times New Roman" w:hAnsi="Times New Roman" w:eastAsia="宋体" w:cs="Times New Roman"/>
                <w:color w:val="auto"/>
                <w:kern w:val="0"/>
                <w:sz w:val="24"/>
                <w:szCs w:val="24"/>
              </w:rPr>
              <w:t>。若声源所在室内声场为近似扩散声场，则室外的倍频带声压级按式（1）近似求出：</w:t>
            </w:r>
          </w:p>
          <w:p w14:paraId="442BDBE2">
            <w:pPr>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1924050" cy="475615"/>
                  <wp:effectExtent l="0" t="0" r="0" b="635"/>
                  <wp:docPr id="11" name="图片 13"/>
                  <wp:cNvGraphicFramePr/>
                  <a:graphic xmlns:a="http://schemas.openxmlformats.org/drawingml/2006/main">
                    <a:graphicData uri="http://schemas.openxmlformats.org/drawingml/2006/picture">
                      <pic:pic xmlns:pic="http://schemas.openxmlformats.org/drawingml/2006/picture">
                        <pic:nvPicPr>
                          <pic:cNvPr id="11" name="图片 13"/>
                          <pic:cNvPicPr/>
                        </pic:nvPicPr>
                        <pic:blipFill>
                          <a:blip r:embed="rId28"/>
                          <a:stretch>
                            <a:fillRect/>
                          </a:stretch>
                        </pic:blipFill>
                        <pic:spPr>
                          <a:xfrm>
                            <a:off x="0" y="0"/>
                            <a:ext cx="1924050" cy="475615"/>
                          </a:xfrm>
                          <a:prstGeom prst="rect">
                            <a:avLst/>
                          </a:prstGeom>
                          <a:noFill/>
                          <a:ln>
                            <a:noFill/>
                          </a:ln>
                        </pic:spPr>
                      </pic:pic>
                    </a:graphicData>
                  </a:graphic>
                </wp:inline>
              </w:drawing>
            </w:r>
            <w:r>
              <w:rPr>
                <w:rFonts w:hint="default" w:ascii="Times New Roman" w:hAnsi="Times New Roman" w:eastAsia="宋体" w:cs="Times New Roman"/>
                <w:color w:val="auto"/>
                <w:sz w:val="24"/>
                <w:szCs w:val="24"/>
              </w:rPr>
              <w:t>式（1）</w:t>
            </w:r>
          </w:p>
          <w:p w14:paraId="758093A1">
            <w:pPr>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p>
          <w:p w14:paraId="0ADDA084">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w:t>
            </w:r>
            <w:r>
              <w:rPr>
                <w:rFonts w:hint="default" w:ascii="Times New Roman" w:hAnsi="Times New Roman" w:eastAsia="宋体" w:cs="Times New Roman"/>
                <w:color w:val="auto"/>
                <w:kern w:val="0"/>
                <w:sz w:val="24"/>
                <w:szCs w:val="24"/>
                <w:vertAlign w:val="subscript"/>
              </w:rPr>
              <w:t>p1</w:t>
            </w:r>
            <w:r>
              <w:rPr>
                <w:rFonts w:hint="default" w:ascii="Times New Roman" w:hAnsi="Times New Roman" w:eastAsia="宋体" w:cs="Times New Roman"/>
                <w:color w:val="auto"/>
                <w:kern w:val="0"/>
                <w:sz w:val="24"/>
                <w:szCs w:val="24"/>
              </w:rPr>
              <w:t>——靠近开口处（或窗户）室内某倍频带的声压级或A声级，dB；</w:t>
            </w:r>
          </w:p>
          <w:p w14:paraId="62A9761D">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w:t>
            </w:r>
            <w:r>
              <w:rPr>
                <w:rFonts w:hint="default" w:ascii="Times New Roman" w:hAnsi="Times New Roman" w:eastAsia="宋体" w:cs="Times New Roman"/>
                <w:color w:val="auto"/>
                <w:kern w:val="0"/>
                <w:sz w:val="24"/>
                <w:szCs w:val="24"/>
                <w:vertAlign w:val="subscript"/>
              </w:rPr>
              <w:t>p2</w:t>
            </w:r>
            <w:r>
              <w:rPr>
                <w:rFonts w:hint="default" w:ascii="Times New Roman" w:hAnsi="Times New Roman" w:eastAsia="宋体" w:cs="Times New Roman"/>
                <w:color w:val="auto"/>
                <w:kern w:val="0"/>
                <w:sz w:val="24"/>
                <w:szCs w:val="24"/>
              </w:rPr>
              <w:t>——靠近开口处（或窗户）室外某倍频带的声压级或A声级，dB；</w:t>
            </w:r>
          </w:p>
          <w:p w14:paraId="61CC0605">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TL——隔墙（或窗户）倍频带或A声级的隔声量，取18dB。</w:t>
            </w:r>
          </w:p>
          <w:p w14:paraId="193ACAFB">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本项目室外只考虑几何发散引起的衰减（Adiv），则计算户外r处的A声级按式（2）求出：</w:t>
            </w:r>
          </w:p>
          <w:p w14:paraId="062F64EC">
            <w:pPr>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2495550" cy="409575"/>
                  <wp:effectExtent l="0" t="0" r="0" b="9525"/>
                  <wp:docPr id="9" name="图片 14"/>
                  <wp:cNvGraphicFramePr/>
                  <a:graphic xmlns:a="http://schemas.openxmlformats.org/drawingml/2006/main">
                    <a:graphicData uri="http://schemas.openxmlformats.org/drawingml/2006/picture">
                      <pic:pic xmlns:pic="http://schemas.openxmlformats.org/drawingml/2006/picture">
                        <pic:nvPicPr>
                          <pic:cNvPr id="9" name="图片 14"/>
                          <pic:cNvPicPr/>
                        </pic:nvPicPr>
                        <pic:blipFill>
                          <a:blip r:embed="rId29"/>
                          <a:stretch>
                            <a:fillRect/>
                          </a:stretch>
                        </pic:blipFill>
                        <pic:spPr>
                          <a:xfrm>
                            <a:off x="0" y="0"/>
                            <a:ext cx="2495550" cy="409575"/>
                          </a:xfrm>
                          <a:prstGeom prst="rect">
                            <a:avLst/>
                          </a:prstGeom>
                          <a:noFill/>
                          <a:ln>
                            <a:noFill/>
                          </a:ln>
                        </pic:spPr>
                      </pic:pic>
                    </a:graphicData>
                  </a:graphic>
                </wp:inline>
              </w:drawing>
            </w:r>
            <w:r>
              <w:rPr>
                <w:rFonts w:hint="default" w:ascii="Times New Roman" w:hAnsi="Times New Roman" w:eastAsia="宋体" w:cs="Times New Roman"/>
                <w:color w:val="auto"/>
                <w:sz w:val="24"/>
                <w:szCs w:val="24"/>
              </w:rPr>
              <w:t>式（2）</w:t>
            </w:r>
          </w:p>
          <w:p w14:paraId="58B9CF27">
            <w:pPr>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p>
          <w:p w14:paraId="37F795F7">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LA</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r</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——距声源r处的A声级，dB</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A</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w:t>
            </w:r>
          </w:p>
          <w:p w14:paraId="191E03B3">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w:t>
            </w:r>
            <w:r>
              <w:rPr>
                <w:rFonts w:hint="default" w:ascii="Times New Roman" w:hAnsi="Times New Roman" w:eastAsia="宋体" w:cs="Times New Roman"/>
                <w:color w:val="auto"/>
                <w:kern w:val="0"/>
                <w:sz w:val="24"/>
                <w:szCs w:val="24"/>
                <w:vertAlign w:val="subscript"/>
              </w:rPr>
              <w:t>p2</w:t>
            </w:r>
            <w:r>
              <w:rPr>
                <w:rFonts w:hint="default" w:ascii="Times New Roman" w:hAnsi="Times New Roman" w:eastAsia="宋体" w:cs="Times New Roman"/>
                <w:color w:val="auto"/>
                <w:kern w:val="0"/>
                <w:sz w:val="24"/>
                <w:szCs w:val="24"/>
              </w:rPr>
              <w:t>——靠近开口处（或窗户）室外某倍频带的声压级或A声级，dB</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A</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w:t>
            </w:r>
          </w:p>
          <w:p w14:paraId="255FE2AC">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r</w:t>
            </w:r>
            <w:r>
              <w:rPr>
                <w:rFonts w:hint="default" w:ascii="Times New Roman" w:hAnsi="Times New Roman" w:eastAsia="宋体" w:cs="Times New Roman"/>
                <w:color w:val="auto"/>
                <w:kern w:val="0"/>
                <w:sz w:val="24"/>
                <w:szCs w:val="24"/>
                <w:vertAlign w:val="subscript"/>
              </w:rPr>
              <w:t>0</w:t>
            </w:r>
            <w:r>
              <w:rPr>
                <w:rFonts w:hint="default" w:ascii="Times New Roman" w:hAnsi="Times New Roman" w:eastAsia="宋体" w:cs="Times New Roman"/>
                <w:color w:val="auto"/>
                <w:kern w:val="0"/>
                <w:sz w:val="24"/>
                <w:szCs w:val="24"/>
              </w:rPr>
              <w:t>——声源距室内边缘的距离；</w:t>
            </w:r>
          </w:p>
          <w:p w14:paraId="2C9430E8">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r——预测点与参照点的距离，m（计算厂界时在“距室内边缘距离”增加1m）。</w:t>
            </w:r>
          </w:p>
          <w:p w14:paraId="2692B622">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多个声源对r处的叠加贡献值按式（3）求出：</w:t>
            </w:r>
          </w:p>
          <w:p w14:paraId="1D1D69A0">
            <w:pPr>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2018030" cy="702310"/>
                  <wp:effectExtent l="0" t="0" r="1270" b="2540"/>
                  <wp:docPr id="12" name="图片 15"/>
                  <wp:cNvGraphicFramePr/>
                  <a:graphic xmlns:a="http://schemas.openxmlformats.org/drawingml/2006/main">
                    <a:graphicData uri="http://schemas.openxmlformats.org/drawingml/2006/picture">
                      <pic:pic xmlns:pic="http://schemas.openxmlformats.org/drawingml/2006/picture">
                        <pic:nvPicPr>
                          <pic:cNvPr id="12" name="图片 15"/>
                          <pic:cNvPicPr/>
                        </pic:nvPicPr>
                        <pic:blipFill>
                          <a:blip r:embed="rId30"/>
                          <a:stretch>
                            <a:fillRect/>
                          </a:stretch>
                        </pic:blipFill>
                        <pic:spPr>
                          <a:xfrm>
                            <a:off x="0" y="0"/>
                            <a:ext cx="2018030" cy="702310"/>
                          </a:xfrm>
                          <a:prstGeom prst="rect">
                            <a:avLst/>
                          </a:prstGeom>
                          <a:noFill/>
                          <a:ln>
                            <a:noFill/>
                          </a:ln>
                        </pic:spPr>
                      </pic:pic>
                    </a:graphicData>
                  </a:graphic>
                </wp:inline>
              </w:drawing>
            </w:r>
            <w:r>
              <w:rPr>
                <w:rFonts w:hint="default" w:ascii="Times New Roman" w:hAnsi="Times New Roman" w:eastAsia="宋体" w:cs="Times New Roman"/>
                <w:color w:val="auto"/>
                <w:sz w:val="24"/>
                <w:szCs w:val="24"/>
              </w:rPr>
              <w:t>式（3）</w:t>
            </w:r>
          </w:p>
          <w:p w14:paraId="3341BF9A">
            <w:pPr>
              <w:keepNext w:val="0"/>
              <w:keepLines w:val="0"/>
              <w:pageBreakBefore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p>
          <w:p w14:paraId="18979AA8">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Leq——预测点的噪声预测值，dB；</w:t>
            </w:r>
          </w:p>
          <w:p w14:paraId="794D4207">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Leqg——建设项目声源在预测点产生的噪声贡献值，dB；</w:t>
            </w:r>
          </w:p>
          <w:p w14:paraId="5EA57B55">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Leqb——预测点的背景噪声值，dB。</w:t>
            </w:r>
          </w:p>
          <w:p w14:paraId="6457B11E">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rPr>
              <w:t>3.3预测结果及分析</w:t>
            </w:r>
          </w:p>
          <w:p w14:paraId="4ABBA5CA">
            <w:pPr>
              <w:keepNext w:val="0"/>
              <w:keepLines w:val="0"/>
              <w:pageBreakBefore w:val="0"/>
              <w:widowControl/>
              <w:kinsoku/>
              <w:wordWrap/>
              <w:overflowPunct/>
              <w:topLinePunct w:val="0"/>
              <w:autoSpaceDE/>
              <w:autoSpaceDN/>
              <w:bidi w:val="0"/>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通过距离衰减，本项目设备隔声、减振等处理措施后，项目声源对各预测点的影响值见下表（与声源距离根据厂界位置进行测算）。</w:t>
            </w:r>
          </w:p>
          <w:p w14:paraId="42977852">
            <w:pPr>
              <w:keepNext w:val="0"/>
              <w:keepLines w:val="0"/>
              <w:pageBreakBefore w:val="0"/>
              <w:kinsoku/>
              <w:wordWrap/>
              <w:overflowPunct/>
              <w:topLinePunct w:val="0"/>
              <w:autoSpaceDE/>
              <w:autoSpaceDN/>
              <w:bidi w:val="0"/>
              <w:adjustRightInd w:val="0"/>
              <w:snapToGrid w:val="0"/>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表4-</w:t>
            </w:r>
            <w:r>
              <w:rPr>
                <w:rFonts w:hint="default" w:ascii="Times New Roman" w:hAnsi="Times New Roman" w:eastAsia="宋体" w:cs="Times New Roman"/>
                <w:b/>
                <w:color w:val="auto"/>
                <w:sz w:val="24"/>
                <w:szCs w:val="24"/>
                <w:lang w:val="en-US" w:eastAsia="zh-CN"/>
              </w:rPr>
              <w:t xml:space="preserve">5  </w:t>
            </w:r>
            <w:r>
              <w:rPr>
                <w:rFonts w:hint="default" w:ascii="Times New Roman" w:hAnsi="Times New Roman" w:eastAsia="宋体" w:cs="Times New Roman"/>
                <w:b/>
                <w:color w:val="auto"/>
                <w:sz w:val="24"/>
                <w:szCs w:val="24"/>
              </w:rPr>
              <w:t>项目厂界噪声预测结果单位：dB（A）</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1379"/>
              <w:gridCol w:w="1380"/>
              <w:gridCol w:w="1380"/>
              <w:gridCol w:w="1380"/>
              <w:gridCol w:w="1380"/>
            </w:tblGrid>
            <w:tr w14:paraId="7DE0F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dxa"/>
                  <w:vMerge w:val="restart"/>
                  <w:noWrap w:val="0"/>
                  <w:vAlign w:val="center"/>
                </w:tcPr>
                <w:p w14:paraId="5BA71FB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位置</w:t>
                  </w:r>
                </w:p>
              </w:tc>
              <w:tc>
                <w:tcPr>
                  <w:tcW w:w="1379" w:type="dxa"/>
                  <w:vMerge w:val="restart"/>
                  <w:noWrap w:val="0"/>
                  <w:vAlign w:val="center"/>
                </w:tcPr>
                <w:p w14:paraId="27C4A98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主要噪声源与各厂界的距离（m）</w:t>
                  </w:r>
                </w:p>
              </w:tc>
              <w:tc>
                <w:tcPr>
                  <w:tcW w:w="1380" w:type="dxa"/>
                  <w:vMerge w:val="restart"/>
                  <w:noWrap w:val="0"/>
                  <w:vAlign w:val="center"/>
                </w:tcPr>
                <w:p w14:paraId="7221F17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预测值</w:t>
                  </w:r>
                </w:p>
              </w:tc>
              <w:tc>
                <w:tcPr>
                  <w:tcW w:w="2760" w:type="dxa"/>
                  <w:gridSpan w:val="2"/>
                  <w:noWrap w:val="0"/>
                  <w:vAlign w:val="center"/>
                </w:tcPr>
                <w:p w14:paraId="2C9302D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标准限值</w:t>
                  </w:r>
                </w:p>
              </w:tc>
              <w:tc>
                <w:tcPr>
                  <w:tcW w:w="1380" w:type="dxa"/>
                  <w:vMerge w:val="restart"/>
                  <w:noWrap w:val="0"/>
                  <w:vAlign w:val="center"/>
                </w:tcPr>
                <w:p w14:paraId="12997CC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达标情况</w:t>
                  </w:r>
                </w:p>
              </w:tc>
            </w:tr>
            <w:tr w14:paraId="13DBF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dxa"/>
                  <w:vMerge w:val="continue"/>
                  <w:noWrap w:val="0"/>
                  <w:vAlign w:val="center"/>
                </w:tcPr>
                <w:p w14:paraId="3D65C36E">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b/>
                      <w:bCs/>
                      <w:color w:val="0000FF"/>
                    </w:rPr>
                  </w:pPr>
                </w:p>
              </w:tc>
              <w:tc>
                <w:tcPr>
                  <w:tcW w:w="1379" w:type="dxa"/>
                  <w:vMerge w:val="continue"/>
                  <w:noWrap w:val="0"/>
                  <w:vAlign w:val="center"/>
                </w:tcPr>
                <w:p w14:paraId="0D5B0674">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b/>
                      <w:bCs/>
                      <w:color w:val="0000FF"/>
                    </w:rPr>
                  </w:pPr>
                </w:p>
              </w:tc>
              <w:tc>
                <w:tcPr>
                  <w:tcW w:w="1380" w:type="dxa"/>
                  <w:vMerge w:val="continue"/>
                  <w:noWrap w:val="0"/>
                  <w:vAlign w:val="center"/>
                </w:tcPr>
                <w:p w14:paraId="2B0CF061">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b/>
                      <w:bCs/>
                      <w:color w:val="0000FF"/>
                    </w:rPr>
                  </w:pPr>
                </w:p>
              </w:tc>
              <w:tc>
                <w:tcPr>
                  <w:tcW w:w="1380" w:type="dxa"/>
                  <w:noWrap w:val="0"/>
                  <w:vAlign w:val="center"/>
                </w:tcPr>
                <w:p w14:paraId="73A952C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昼间</w:t>
                  </w:r>
                </w:p>
              </w:tc>
              <w:tc>
                <w:tcPr>
                  <w:tcW w:w="1380" w:type="dxa"/>
                  <w:noWrap w:val="0"/>
                  <w:vAlign w:val="center"/>
                </w:tcPr>
                <w:p w14:paraId="54A56F9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夜间</w:t>
                  </w:r>
                </w:p>
              </w:tc>
              <w:tc>
                <w:tcPr>
                  <w:tcW w:w="1380" w:type="dxa"/>
                  <w:vMerge w:val="continue"/>
                  <w:noWrap w:val="0"/>
                  <w:vAlign w:val="center"/>
                </w:tcPr>
                <w:p w14:paraId="7C2E995C">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b/>
                      <w:bCs/>
                      <w:color w:val="0000FF"/>
                    </w:rPr>
                  </w:pPr>
                </w:p>
              </w:tc>
            </w:tr>
            <w:tr w14:paraId="526EA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dxa"/>
                  <w:noWrap w:val="0"/>
                  <w:vAlign w:val="center"/>
                </w:tcPr>
                <w:p w14:paraId="3663BB2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厂界东面</w:t>
                  </w:r>
                </w:p>
              </w:tc>
              <w:tc>
                <w:tcPr>
                  <w:tcW w:w="1379" w:type="dxa"/>
                  <w:noWrap w:val="0"/>
                  <w:vAlign w:val="center"/>
                </w:tcPr>
                <w:p w14:paraId="574524F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70</w:t>
                  </w:r>
                </w:p>
              </w:tc>
              <w:tc>
                <w:tcPr>
                  <w:tcW w:w="1380" w:type="dxa"/>
                  <w:shd w:val="clear" w:color="auto" w:fill="auto"/>
                  <w:noWrap w:val="0"/>
                  <w:vAlign w:val="center"/>
                </w:tcPr>
                <w:p w14:paraId="667DF13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33</w:t>
                  </w:r>
                  <w:r>
                    <w:rPr>
                      <w:rFonts w:hint="default" w:ascii="Times New Roman" w:hAnsi="Times New Roman" w:eastAsia="宋体" w:cs="Times New Roman"/>
                      <w:color w:val="0000FF"/>
                    </w:rPr>
                    <w:t>.85</w:t>
                  </w:r>
                </w:p>
              </w:tc>
              <w:tc>
                <w:tcPr>
                  <w:tcW w:w="1380" w:type="dxa"/>
                  <w:shd w:val="clear" w:color="auto" w:fill="auto"/>
                  <w:noWrap w:val="0"/>
                  <w:vAlign w:val="center"/>
                </w:tcPr>
                <w:p w14:paraId="671AA6F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65</w:t>
                  </w:r>
                </w:p>
              </w:tc>
              <w:tc>
                <w:tcPr>
                  <w:tcW w:w="1380" w:type="dxa"/>
                  <w:shd w:val="clear" w:color="auto" w:fill="auto"/>
                  <w:noWrap w:val="0"/>
                  <w:vAlign w:val="center"/>
                </w:tcPr>
                <w:p w14:paraId="77B5CBA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55</w:t>
                  </w:r>
                </w:p>
              </w:tc>
              <w:tc>
                <w:tcPr>
                  <w:tcW w:w="1380" w:type="dxa"/>
                  <w:noWrap w:val="0"/>
                  <w:vAlign w:val="center"/>
                </w:tcPr>
                <w:p w14:paraId="5368287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达标</w:t>
                  </w:r>
                </w:p>
              </w:tc>
            </w:tr>
            <w:tr w14:paraId="70F3F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dxa"/>
                  <w:noWrap w:val="0"/>
                  <w:vAlign w:val="center"/>
                </w:tcPr>
                <w:p w14:paraId="57F8460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厂界南面</w:t>
                  </w:r>
                </w:p>
              </w:tc>
              <w:tc>
                <w:tcPr>
                  <w:tcW w:w="1379" w:type="dxa"/>
                  <w:noWrap w:val="0"/>
                  <w:vAlign w:val="center"/>
                </w:tcPr>
                <w:p w14:paraId="4A33ACD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81</w:t>
                  </w:r>
                </w:p>
              </w:tc>
              <w:tc>
                <w:tcPr>
                  <w:tcW w:w="1380" w:type="dxa"/>
                  <w:shd w:val="clear" w:color="auto" w:fill="auto"/>
                  <w:noWrap w:val="0"/>
                  <w:vAlign w:val="center"/>
                </w:tcPr>
                <w:p w14:paraId="50FAE59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3</w:t>
                  </w:r>
                  <w:r>
                    <w:rPr>
                      <w:rFonts w:hint="default" w:ascii="Times New Roman" w:hAnsi="Times New Roman" w:eastAsia="宋体" w:cs="Times New Roman"/>
                      <w:color w:val="0000FF"/>
                    </w:rPr>
                    <w:t>1.41</w:t>
                  </w:r>
                </w:p>
              </w:tc>
              <w:tc>
                <w:tcPr>
                  <w:tcW w:w="1380" w:type="dxa"/>
                  <w:shd w:val="clear" w:color="auto" w:fill="auto"/>
                  <w:noWrap w:val="0"/>
                  <w:vAlign w:val="center"/>
                </w:tcPr>
                <w:p w14:paraId="2AFE0DE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65</w:t>
                  </w:r>
                </w:p>
              </w:tc>
              <w:tc>
                <w:tcPr>
                  <w:tcW w:w="1380" w:type="dxa"/>
                  <w:shd w:val="clear" w:color="auto" w:fill="auto"/>
                  <w:noWrap w:val="0"/>
                  <w:vAlign w:val="center"/>
                </w:tcPr>
                <w:p w14:paraId="30FD450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55</w:t>
                  </w:r>
                </w:p>
              </w:tc>
              <w:tc>
                <w:tcPr>
                  <w:tcW w:w="1380" w:type="dxa"/>
                  <w:noWrap w:val="0"/>
                  <w:vAlign w:val="center"/>
                </w:tcPr>
                <w:p w14:paraId="1A1255D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达标</w:t>
                  </w:r>
                </w:p>
              </w:tc>
            </w:tr>
            <w:tr w14:paraId="67DDC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dxa"/>
                  <w:noWrap w:val="0"/>
                  <w:vAlign w:val="center"/>
                </w:tcPr>
                <w:p w14:paraId="6AD9DD0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厂界西面</w:t>
                  </w:r>
                </w:p>
              </w:tc>
              <w:tc>
                <w:tcPr>
                  <w:tcW w:w="1379" w:type="dxa"/>
                  <w:noWrap w:val="0"/>
                  <w:vAlign w:val="center"/>
                </w:tcPr>
                <w:p w14:paraId="732087D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19</w:t>
                  </w:r>
                </w:p>
              </w:tc>
              <w:tc>
                <w:tcPr>
                  <w:tcW w:w="1380" w:type="dxa"/>
                  <w:shd w:val="clear" w:color="auto" w:fill="auto"/>
                  <w:noWrap w:val="0"/>
                  <w:vAlign w:val="center"/>
                </w:tcPr>
                <w:p w14:paraId="7D9547F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38</w:t>
                  </w:r>
                  <w:r>
                    <w:rPr>
                      <w:rFonts w:hint="default" w:ascii="Times New Roman" w:hAnsi="Times New Roman" w:eastAsia="宋体" w:cs="Times New Roman"/>
                      <w:color w:val="0000FF"/>
                    </w:rPr>
                    <w:t>.38</w:t>
                  </w:r>
                </w:p>
              </w:tc>
              <w:tc>
                <w:tcPr>
                  <w:tcW w:w="1380" w:type="dxa"/>
                  <w:shd w:val="clear" w:color="auto" w:fill="auto"/>
                  <w:noWrap w:val="0"/>
                  <w:vAlign w:val="center"/>
                </w:tcPr>
                <w:p w14:paraId="1B05E77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65</w:t>
                  </w:r>
                </w:p>
              </w:tc>
              <w:tc>
                <w:tcPr>
                  <w:tcW w:w="1380" w:type="dxa"/>
                  <w:shd w:val="clear" w:color="auto" w:fill="auto"/>
                  <w:noWrap w:val="0"/>
                  <w:vAlign w:val="center"/>
                </w:tcPr>
                <w:p w14:paraId="3AF5B49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lang w:val="en-US" w:eastAsia="zh-CN"/>
                    </w:rPr>
                    <w:t>55</w:t>
                  </w:r>
                </w:p>
              </w:tc>
              <w:tc>
                <w:tcPr>
                  <w:tcW w:w="1380" w:type="dxa"/>
                  <w:noWrap w:val="0"/>
                  <w:vAlign w:val="center"/>
                </w:tcPr>
                <w:p w14:paraId="2460B80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达标</w:t>
                  </w:r>
                </w:p>
              </w:tc>
            </w:tr>
            <w:tr w14:paraId="5C7DB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8" w:type="dxa"/>
                  <w:noWrap w:val="0"/>
                  <w:vAlign w:val="center"/>
                </w:tcPr>
                <w:p w14:paraId="51B0E29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厂界北面</w:t>
                  </w:r>
                </w:p>
              </w:tc>
              <w:tc>
                <w:tcPr>
                  <w:tcW w:w="1379" w:type="dxa"/>
                  <w:noWrap w:val="0"/>
                  <w:vAlign w:val="center"/>
                </w:tcPr>
                <w:p w14:paraId="388A822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0000FF"/>
                    </w:rPr>
                  </w:pPr>
                  <w:r>
                    <w:rPr>
                      <w:rFonts w:hint="default" w:ascii="Times New Roman" w:hAnsi="Times New Roman" w:eastAsia="宋体" w:cs="Times New Roman"/>
                      <w:color w:val="0000FF"/>
                    </w:rPr>
                    <w:t>89</w:t>
                  </w:r>
                </w:p>
              </w:tc>
              <w:tc>
                <w:tcPr>
                  <w:tcW w:w="1380" w:type="dxa"/>
                  <w:noWrap w:val="0"/>
                  <w:vAlign w:val="center"/>
                </w:tcPr>
                <w:p w14:paraId="6B258DD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lang w:val="en-US" w:eastAsia="zh-CN"/>
                    </w:rPr>
                    <w:t>30</w:t>
                  </w:r>
                  <w:r>
                    <w:rPr>
                      <w:rFonts w:hint="default" w:ascii="Times New Roman" w:hAnsi="Times New Roman" w:eastAsia="宋体" w:cs="Times New Roman"/>
                      <w:color w:val="0000FF"/>
                    </w:rPr>
                    <w:t>.48</w:t>
                  </w:r>
                </w:p>
              </w:tc>
              <w:tc>
                <w:tcPr>
                  <w:tcW w:w="1380" w:type="dxa"/>
                  <w:noWrap w:val="0"/>
                  <w:vAlign w:val="center"/>
                </w:tcPr>
                <w:p w14:paraId="1762DA4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lang w:val="en-US" w:eastAsia="zh-CN"/>
                    </w:rPr>
                    <w:t>65</w:t>
                  </w:r>
                </w:p>
              </w:tc>
              <w:tc>
                <w:tcPr>
                  <w:tcW w:w="1380" w:type="dxa"/>
                  <w:noWrap w:val="0"/>
                  <w:vAlign w:val="center"/>
                </w:tcPr>
                <w:p w14:paraId="3BEEAC2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lang w:val="en-US" w:eastAsia="zh-CN"/>
                    </w:rPr>
                    <w:t>55</w:t>
                  </w:r>
                </w:p>
              </w:tc>
              <w:tc>
                <w:tcPr>
                  <w:tcW w:w="1380" w:type="dxa"/>
                  <w:noWrap w:val="0"/>
                  <w:vAlign w:val="center"/>
                </w:tcPr>
                <w:p w14:paraId="166C85F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达标</w:t>
                  </w:r>
                </w:p>
              </w:tc>
            </w:tr>
          </w:tbl>
          <w:p w14:paraId="2962768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3.</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噪声环境防护措施：</w:t>
            </w:r>
          </w:p>
          <w:p w14:paraId="621EEB1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（1）从噪声源头进行控制，降低源强，即在设备选型时尽量采用低噪声设备；</w:t>
            </w:r>
          </w:p>
          <w:p w14:paraId="5C8B0C1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（2）所有设备均布置在室内，并采取基础减振措施。</w:t>
            </w:r>
          </w:p>
          <w:p w14:paraId="6A28FF7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kern w:val="0"/>
                <w:sz w:val="24"/>
                <w:szCs w:val="24"/>
                <w:highlight w:val="none"/>
                <w:lang w:val="en-US" w:eastAsia="zh-CN" w:bidi="ar"/>
              </w:rPr>
              <w:t>加强设备的维护，确保设备处于良好的运转状态，杜绝因设备不正常运转时产生的高噪声现象</w:t>
            </w:r>
            <w:r>
              <w:rPr>
                <w:rFonts w:hint="default" w:ascii="Times New Roman" w:hAnsi="Times New Roman" w:eastAsia="宋体" w:cs="Times New Roman"/>
                <w:color w:val="auto"/>
                <w:sz w:val="24"/>
                <w:szCs w:val="24"/>
              </w:rPr>
              <w:t>。</w:t>
            </w:r>
          </w:p>
          <w:p w14:paraId="6AB9C187">
            <w:pPr>
              <w:pStyle w:val="23"/>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sz w:val="24"/>
                <w:szCs w:val="24"/>
                <w:lang w:val="en-US"/>
              </w:rPr>
              <w:t>本项目运营期的设备通过</w:t>
            </w:r>
            <w:r>
              <w:rPr>
                <w:rFonts w:hint="default" w:ascii="Times New Roman" w:hAnsi="Times New Roman" w:eastAsia="宋体" w:cs="Times New Roman"/>
                <w:color w:val="auto"/>
                <w:sz w:val="24"/>
                <w:szCs w:val="24"/>
              </w:rPr>
              <w:t>基础减震、消声和墙体的隔声等降噪措施</w:t>
            </w:r>
            <w:r>
              <w:rPr>
                <w:rFonts w:hint="default" w:ascii="Times New Roman" w:hAnsi="Times New Roman" w:eastAsia="宋体" w:cs="Times New Roman"/>
                <w:color w:val="auto"/>
                <w:sz w:val="24"/>
                <w:szCs w:val="24"/>
                <w:lang w:val="en-US"/>
              </w:rPr>
              <w:t>，</w:t>
            </w:r>
            <w:r>
              <w:rPr>
                <w:rFonts w:hint="default" w:ascii="Times New Roman" w:hAnsi="Times New Roman" w:eastAsia="宋体" w:cs="Times New Roman"/>
                <w:color w:val="auto"/>
                <w:sz w:val="24"/>
                <w:szCs w:val="24"/>
              </w:rPr>
              <w:t>厂界噪声能满足《</w:t>
            </w:r>
            <w:r>
              <w:rPr>
                <w:rFonts w:hint="default" w:ascii="Times New Roman" w:hAnsi="Times New Roman" w:eastAsia="宋体" w:cs="Times New Roman"/>
                <w:color w:val="auto"/>
                <w:sz w:val="24"/>
                <w:szCs w:val="24"/>
                <w:lang w:eastAsia="zh-CN"/>
              </w:rPr>
              <w:t>工业企业厂界环境噪声排放标准</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GB12348-2008</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3类</w:t>
            </w:r>
            <w:r>
              <w:rPr>
                <w:rFonts w:hint="default" w:ascii="Times New Roman" w:hAnsi="Times New Roman" w:eastAsia="宋体" w:cs="Times New Roman"/>
                <w:color w:val="auto"/>
                <w:sz w:val="24"/>
                <w:szCs w:val="24"/>
              </w:rPr>
              <w:t>标准要求，因此，本项目运营期噪声对周围</w:t>
            </w:r>
            <w:r>
              <w:rPr>
                <w:rFonts w:hint="default" w:ascii="Times New Roman" w:hAnsi="Times New Roman" w:eastAsia="宋体" w:cs="Times New Roman"/>
                <w:color w:val="auto"/>
                <w:sz w:val="24"/>
                <w:szCs w:val="24"/>
                <w:lang w:eastAsia="zh-CN"/>
              </w:rPr>
              <w:t>声</w:t>
            </w:r>
            <w:r>
              <w:rPr>
                <w:rFonts w:hint="default" w:ascii="Times New Roman" w:hAnsi="Times New Roman" w:eastAsia="宋体" w:cs="Times New Roman"/>
                <w:color w:val="auto"/>
                <w:sz w:val="24"/>
                <w:szCs w:val="24"/>
              </w:rPr>
              <w:t>环境影响较小</w:t>
            </w:r>
            <w:r>
              <w:rPr>
                <w:rFonts w:hint="default" w:ascii="Times New Roman" w:hAnsi="Times New Roman" w:eastAsia="宋体" w:cs="Times New Roman"/>
                <w:bCs/>
                <w:color w:val="auto"/>
                <w:sz w:val="24"/>
                <w:szCs w:val="24"/>
              </w:rPr>
              <w:t>。</w:t>
            </w:r>
          </w:p>
          <w:bookmarkEnd w:id="1"/>
          <w:p w14:paraId="3DC8FFC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3.3环境监测计划</w:t>
            </w:r>
          </w:p>
          <w:p w14:paraId="52C3F78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本项目噪声监测计划见表4-6。</w:t>
            </w:r>
          </w:p>
          <w:p w14:paraId="5A53B16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4-6  噪声监测计划一览表</w:t>
            </w:r>
          </w:p>
          <w:tbl>
            <w:tblPr>
              <w:tblStyle w:val="32"/>
              <w:tblW w:w="827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49"/>
              <w:gridCol w:w="1228"/>
              <w:gridCol w:w="1075"/>
              <w:gridCol w:w="3425"/>
            </w:tblGrid>
            <w:tr w14:paraId="24BDF3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2512" w:type="dxa"/>
                  <w:tcBorders>
                    <w:tl2br w:val="nil"/>
                    <w:tr2bl w:val="nil"/>
                  </w:tcBorders>
                  <w:noWrap w:val="0"/>
                  <w:vAlign w:val="center"/>
                </w:tcPr>
                <w:p w14:paraId="74AC9F9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监测点位置</w:t>
                  </w:r>
                </w:p>
              </w:tc>
              <w:tc>
                <w:tcPr>
                  <w:tcW w:w="1210" w:type="dxa"/>
                  <w:tcBorders>
                    <w:tl2br w:val="nil"/>
                    <w:tr2bl w:val="nil"/>
                  </w:tcBorders>
                  <w:noWrap w:val="0"/>
                  <w:vAlign w:val="center"/>
                </w:tcPr>
                <w:p w14:paraId="5A3EAE2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监测项目</w:t>
                  </w:r>
                </w:p>
              </w:tc>
              <w:tc>
                <w:tcPr>
                  <w:tcW w:w="1059" w:type="dxa"/>
                  <w:tcBorders>
                    <w:tl2br w:val="nil"/>
                    <w:tr2bl w:val="nil"/>
                  </w:tcBorders>
                  <w:noWrap w:val="0"/>
                  <w:vAlign w:val="center"/>
                </w:tcPr>
                <w:p w14:paraId="1F96B09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监测频次</w:t>
                  </w:r>
                </w:p>
              </w:tc>
              <w:tc>
                <w:tcPr>
                  <w:tcW w:w="3375" w:type="dxa"/>
                  <w:tcBorders>
                    <w:tl2br w:val="nil"/>
                    <w:tr2bl w:val="nil"/>
                  </w:tcBorders>
                  <w:noWrap w:val="0"/>
                  <w:vAlign w:val="center"/>
                </w:tcPr>
                <w:p w14:paraId="0454C31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执行标准</w:t>
                  </w:r>
                </w:p>
              </w:tc>
            </w:tr>
            <w:tr w14:paraId="1D5F69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2512" w:type="dxa"/>
                  <w:tcBorders>
                    <w:tl2br w:val="nil"/>
                    <w:tr2bl w:val="nil"/>
                  </w:tcBorders>
                  <w:noWrap w:val="0"/>
                  <w:vAlign w:val="center"/>
                </w:tcPr>
                <w:p w14:paraId="63A238B9">
                  <w:pPr>
                    <w:keepNext w:val="0"/>
                    <w:pageBreakBefore w:val="0"/>
                    <w:wordWrap/>
                    <w:bidi w:val="0"/>
                    <w:spacing w:beforeAutospacing="0" w:afterAutospacing="0"/>
                    <w:ind w:left="0" w:leftChars="0" w:right="0" w:rightChars="0" w:firstLine="0" w:firstLineChars="0"/>
                    <w:jc w:val="center"/>
                    <w:rPr>
                      <w:rFonts w:hint="default" w:ascii="Times New Roman" w:hAnsi="Times New Roman" w:eastAsia="宋体" w:cs="Times New Roman"/>
                      <w:color w:val="auto"/>
                      <w:spacing w:val="11"/>
                      <w:kern w:val="2"/>
                      <w:sz w:val="21"/>
                      <w:szCs w:val="24"/>
                      <w:lang w:val="en-US" w:eastAsia="zh-CN" w:bidi="ar-SA"/>
                    </w:rPr>
                  </w:pPr>
                  <w:r>
                    <w:rPr>
                      <w:rFonts w:hint="default" w:ascii="Times New Roman" w:hAnsi="Times New Roman" w:eastAsia="宋体" w:cs="Times New Roman"/>
                      <w:color w:val="auto"/>
                      <w:lang w:val="en-US" w:eastAsia="zh-CN"/>
                    </w:rPr>
                    <w:t>厂界四周各设置一个监测点</w:t>
                  </w:r>
                </w:p>
              </w:tc>
              <w:tc>
                <w:tcPr>
                  <w:tcW w:w="1210" w:type="dxa"/>
                  <w:tcBorders>
                    <w:tl2br w:val="nil"/>
                    <w:tr2bl w:val="nil"/>
                  </w:tcBorders>
                  <w:noWrap w:val="0"/>
                  <w:vAlign w:val="center"/>
                </w:tcPr>
                <w:p w14:paraId="3A3DF90D">
                  <w:pPr>
                    <w:keepNext w:val="0"/>
                    <w:pageBreakBefore w:val="0"/>
                    <w:wordWrap/>
                    <w:bidi w:val="0"/>
                    <w:spacing w:beforeAutospacing="0" w:afterAutospacing="0"/>
                    <w:ind w:left="0" w:leftChars="0" w:right="0" w:rightChars="0" w:firstLine="0" w:firstLineChars="0"/>
                    <w:jc w:val="center"/>
                    <w:rPr>
                      <w:rFonts w:hint="default" w:ascii="Times New Roman" w:hAnsi="Times New Roman" w:eastAsia="宋体" w:cs="Times New Roman"/>
                      <w:color w:val="auto"/>
                      <w:spacing w:val="11"/>
                      <w:kern w:val="2"/>
                      <w:sz w:val="21"/>
                      <w:szCs w:val="24"/>
                      <w:lang w:val="en-US" w:eastAsia="zh-CN" w:bidi="ar-SA"/>
                    </w:rPr>
                  </w:pPr>
                  <w:r>
                    <w:rPr>
                      <w:rFonts w:hint="default" w:ascii="Times New Roman" w:hAnsi="Times New Roman" w:eastAsia="宋体" w:cs="Times New Roman"/>
                      <w:color w:val="auto"/>
                      <w:lang w:val="en-US" w:eastAsia="zh-CN"/>
                    </w:rPr>
                    <w:t>等效连续A声级</w:t>
                  </w:r>
                </w:p>
              </w:tc>
              <w:tc>
                <w:tcPr>
                  <w:tcW w:w="1059" w:type="dxa"/>
                  <w:tcBorders>
                    <w:tl2br w:val="nil"/>
                    <w:tr2bl w:val="nil"/>
                  </w:tcBorders>
                  <w:noWrap w:val="0"/>
                  <w:vAlign w:val="center"/>
                </w:tcPr>
                <w:p w14:paraId="1D9D3EB6">
                  <w:pPr>
                    <w:keepNext w:val="0"/>
                    <w:pageBreakBefore w:val="0"/>
                    <w:wordWrap/>
                    <w:bidi w:val="0"/>
                    <w:spacing w:beforeAutospacing="0" w:afterAutospacing="0"/>
                    <w:ind w:left="0" w:leftChars="0" w:right="0" w:rightChars="0" w:firstLine="0" w:firstLineChars="0"/>
                    <w:jc w:val="center"/>
                    <w:rPr>
                      <w:rFonts w:hint="default" w:ascii="Times New Roman" w:hAnsi="Times New Roman" w:eastAsia="宋体" w:cs="Times New Roman"/>
                      <w:color w:val="auto"/>
                      <w:spacing w:val="11"/>
                      <w:kern w:val="2"/>
                      <w:sz w:val="21"/>
                      <w:szCs w:val="24"/>
                      <w:lang w:val="en-US" w:eastAsia="zh-CN" w:bidi="ar-SA"/>
                    </w:rPr>
                  </w:pPr>
                  <w:r>
                    <w:rPr>
                      <w:rFonts w:hint="default" w:ascii="Times New Roman" w:hAnsi="Times New Roman" w:eastAsia="宋体" w:cs="Times New Roman"/>
                      <w:color w:val="auto"/>
                      <w:lang w:val="en-US" w:eastAsia="zh-CN"/>
                    </w:rPr>
                    <w:t>1次/季度</w:t>
                  </w:r>
                </w:p>
              </w:tc>
              <w:tc>
                <w:tcPr>
                  <w:tcW w:w="3375" w:type="dxa"/>
                  <w:tcBorders>
                    <w:tl2br w:val="nil"/>
                    <w:tr2bl w:val="nil"/>
                  </w:tcBorders>
                  <w:noWrap w:val="0"/>
                  <w:vAlign w:val="center"/>
                </w:tcPr>
                <w:p w14:paraId="15C1F3D2">
                  <w:pPr>
                    <w:keepNext w:val="0"/>
                    <w:pageBreakBefore w:val="0"/>
                    <w:wordWrap/>
                    <w:bidi w:val="0"/>
                    <w:spacing w:beforeAutospacing="0" w:afterAutospacing="0"/>
                    <w:ind w:left="0" w:leftChars="0" w:right="0" w:rightChars="0" w:firstLine="0" w:firstLineChars="0"/>
                    <w:jc w:val="center"/>
                    <w:rPr>
                      <w:rFonts w:hint="default" w:ascii="Times New Roman" w:hAnsi="Times New Roman" w:eastAsia="宋体" w:cs="Times New Roman"/>
                      <w:color w:val="auto"/>
                      <w:spacing w:val="11"/>
                      <w:kern w:val="2"/>
                      <w:sz w:val="21"/>
                      <w:szCs w:val="24"/>
                      <w:lang w:val="en-US" w:eastAsia="zh-CN" w:bidi="ar-SA"/>
                    </w:rPr>
                  </w:pPr>
                  <w:r>
                    <w:rPr>
                      <w:rFonts w:hint="default" w:ascii="Times New Roman" w:hAnsi="Times New Roman" w:eastAsia="宋体" w:cs="Times New Roman"/>
                      <w:color w:val="auto"/>
                      <w:lang w:val="en-US" w:eastAsia="zh-CN"/>
                    </w:rPr>
                    <w:t>《工业企业厂界环境噪声排放标准》（GB12348-2008）3类区标准</w:t>
                  </w:r>
                </w:p>
              </w:tc>
            </w:tr>
          </w:tbl>
          <w:p w14:paraId="58875A7B">
            <w:pPr>
              <w:keepNext w:val="0"/>
              <w:keepLines w:val="0"/>
              <w:pageBreakBefore w:val="0"/>
              <w:widowControl w:val="0"/>
              <w:tabs>
                <w:tab w:val="center" w:pos="4153"/>
                <w:tab w:val="right" w:pos="8306"/>
              </w:tabs>
              <w:kinsoku/>
              <w:wordWrap/>
              <w:overflowPunct/>
              <w:topLinePunct w:val="0"/>
              <w:autoSpaceDE/>
              <w:autoSpaceDN/>
              <w:bidi w:val="0"/>
              <w:adjustRightInd/>
              <w:snapToGrid/>
              <w:spacing w:beforeAutospacing="0" w:afterAutospacing="0" w:line="360" w:lineRule="auto"/>
              <w:ind w:left="0" w:leftChars="0" w:right="0" w:rightChars="0" w:firstLine="482" w:firstLineChars="200"/>
              <w:jc w:val="both"/>
              <w:textAlignment w:val="auto"/>
              <w:outlineLvl w:val="2"/>
              <w:rPr>
                <w:rFonts w:hint="default" w:ascii="Times New Roman" w:hAnsi="Times New Roman" w:eastAsia="宋体" w:cs="Times New Roman"/>
                <w:b/>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color w:val="auto"/>
                <w:sz w:val="24"/>
                <w:szCs w:val="24"/>
                <w:lang w:val="en-US" w:eastAsia="zh-CN"/>
              </w:rPr>
              <w:t>、</w:t>
            </w:r>
            <w:r>
              <w:rPr>
                <w:rFonts w:hint="default" w:ascii="Times New Roman" w:hAnsi="Times New Roman" w:eastAsia="宋体" w:cs="Times New Roman"/>
                <w:b/>
                <w:color w:val="auto"/>
                <w:sz w:val="24"/>
                <w:szCs w:val="24"/>
              </w:rPr>
              <w:t>固体废物产生及处置情况</w:t>
            </w:r>
          </w:p>
          <w:p w14:paraId="4D797BD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本项目运营期固废主要为员工生活垃圾、废气瓶和废配件。</w:t>
            </w:r>
          </w:p>
          <w:p w14:paraId="4EC280C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（1）员工生活垃圾</w:t>
            </w:r>
          </w:p>
          <w:p w14:paraId="7B7684F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生活垃圾的产生量按照每人每天0.</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kg计算，项目员工人数为</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0人，员工生活垃圾产生量约为</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kg/d（1.</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t/a）。生活垃圾定期收集运至附近垃圾中转站处理。</w:t>
            </w:r>
          </w:p>
          <w:p w14:paraId="6C14A48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（2）废气瓶和废配件</w:t>
            </w:r>
          </w:p>
          <w:p w14:paraId="0261A73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项目所用的气瓶、杜瓦罐均由专业公司提供，检测合格后运进厂内直接使用，但是在充装过程中会产生待检测</w:t>
            </w:r>
            <w:r>
              <w:rPr>
                <w:rFonts w:hint="default" w:ascii="Times New Roman" w:hAnsi="Times New Roman" w:eastAsia="宋体" w:cs="Times New Roman"/>
                <w:color w:val="FF0000"/>
                <w:sz w:val="24"/>
                <w:szCs w:val="24"/>
                <w:lang w:eastAsia="zh-CN"/>
              </w:rPr>
              <w:t>气瓶和配件，</w:t>
            </w:r>
            <w:r>
              <w:rPr>
                <w:rFonts w:hint="default" w:ascii="Times New Roman" w:hAnsi="Times New Roman" w:eastAsia="宋体" w:cs="Times New Roman"/>
                <w:color w:val="FF0000"/>
                <w:sz w:val="24"/>
                <w:szCs w:val="24"/>
                <w:lang w:val="en-US" w:eastAsia="zh-CN"/>
              </w:rPr>
              <w:t>本项目不对</w:t>
            </w:r>
            <w:r>
              <w:rPr>
                <w:rFonts w:hint="default" w:ascii="Times New Roman" w:hAnsi="Times New Roman" w:eastAsia="宋体" w:cs="Times New Roman"/>
                <w:color w:val="FF0000"/>
                <w:sz w:val="24"/>
                <w:szCs w:val="24"/>
                <w:lang w:eastAsia="zh-CN"/>
              </w:rPr>
              <w:t>废气瓶和废配件</w:t>
            </w:r>
            <w:r>
              <w:rPr>
                <w:rFonts w:hint="default" w:ascii="Times New Roman" w:hAnsi="Times New Roman" w:eastAsia="宋体" w:cs="Times New Roman"/>
                <w:color w:val="FF0000"/>
                <w:sz w:val="24"/>
                <w:szCs w:val="24"/>
                <w:lang w:val="en-US" w:eastAsia="zh-CN"/>
              </w:rPr>
              <w:t>进行处置。</w:t>
            </w:r>
          </w:p>
          <w:p w14:paraId="4A7057C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类比同类型项目，废气瓶约为75只/a，统一按15kg/只气瓶计，共重约1.125t，</w:t>
            </w:r>
            <w:r>
              <w:rPr>
                <w:rFonts w:hint="default" w:ascii="Times New Roman" w:hAnsi="Times New Roman" w:eastAsia="宋体" w:cs="Times New Roman"/>
                <w:color w:val="0000FF"/>
                <w:sz w:val="24"/>
                <w:szCs w:val="24"/>
                <w:lang w:val="en-US" w:eastAsia="zh-CN"/>
              </w:rPr>
              <w:t>属于一般工业固体废物</w:t>
            </w:r>
            <w:r>
              <w:rPr>
                <w:rFonts w:hint="default" w:ascii="Times New Roman" w:hAnsi="Times New Roman" w:eastAsia="宋体" w:cs="Times New Roman"/>
                <w:color w:val="0000FF"/>
                <w:sz w:val="24"/>
                <w:szCs w:val="24"/>
                <w:lang w:eastAsia="zh-CN"/>
              </w:rPr>
              <w:t>，</w:t>
            </w:r>
            <w:r>
              <w:rPr>
                <w:rFonts w:hint="default" w:ascii="Times New Roman" w:hAnsi="Times New Roman" w:eastAsia="宋体" w:cs="Times New Roman"/>
                <w:color w:val="auto"/>
                <w:sz w:val="24"/>
                <w:szCs w:val="24"/>
                <w:lang w:eastAsia="zh-CN"/>
              </w:rPr>
              <w:t>定期送至第三方检测公司处置。</w:t>
            </w:r>
          </w:p>
          <w:p w14:paraId="7640DF2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气瓶配件的更换比例约为百分之一，则废配件约为750个/a，平均每个配件约重0.4kg，即废配件约重0.3t/a。</w:t>
            </w:r>
            <w:r>
              <w:rPr>
                <w:rFonts w:hint="default" w:ascii="Times New Roman" w:hAnsi="Times New Roman" w:eastAsia="宋体" w:cs="Times New Roman"/>
                <w:color w:val="0000FF"/>
                <w:sz w:val="24"/>
                <w:szCs w:val="24"/>
                <w:lang w:val="en-US" w:eastAsia="zh-CN"/>
              </w:rPr>
              <w:t>属于一般工业固体废物</w:t>
            </w:r>
            <w:r>
              <w:rPr>
                <w:rFonts w:hint="default" w:ascii="Times New Roman" w:hAnsi="Times New Roman" w:eastAsia="宋体" w:cs="Times New Roman"/>
                <w:color w:val="0000FF"/>
                <w:sz w:val="24"/>
                <w:szCs w:val="24"/>
                <w:lang w:eastAsia="zh-CN"/>
              </w:rPr>
              <w:t>，</w:t>
            </w:r>
            <w:r>
              <w:rPr>
                <w:rFonts w:hint="default" w:ascii="Times New Roman" w:hAnsi="Times New Roman" w:eastAsia="宋体" w:cs="Times New Roman"/>
                <w:color w:val="auto"/>
                <w:sz w:val="24"/>
                <w:szCs w:val="24"/>
                <w:lang w:eastAsia="zh-CN"/>
              </w:rPr>
              <w:t>定期送至第三方检测公司处置。</w:t>
            </w:r>
          </w:p>
          <w:p w14:paraId="5073754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评价要求：项目设置一般固体废物暂存间，面积约10m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可堆存一般固体废物3t，足以容纳建设项目所产生固废贮存使用，要求以上固废分开贮存，定期送至第三方检测公司处置。同时，要求建设单位对固废暂存间做好防渗、防雨、防风措施，严格按照《一般工业固体废物贮存和填埋污染控制标准》（GB18599-2020）要求进行施工。</w:t>
            </w:r>
          </w:p>
          <w:p w14:paraId="09DA70C8">
            <w:pPr>
              <w:keepNext w:val="0"/>
              <w:keepLines w:val="0"/>
              <w:pageBreakBefore w:val="0"/>
              <w:widowControl w:val="0"/>
              <w:tabs>
                <w:tab w:val="center" w:pos="4153"/>
                <w:tab w:val="right" w:pos="8306"/>
              </w:tabs>
              <w:kinsoku/>
              <w:wordWrap/>
              <w:overflowPunct/>
              <w:topLinePunct w:val="0"/>
              <w:autoSpaceDE/>
              <w:autoSpaceDN/>
              <w:bidi w:val="0"/>
              <w:adjustRightInd/>
              <w:spacing w:beforeAutospacing="0" w:afterAutospacing="0" w:line="360" w:lineRule="auto"/>
              <w:ind w:left="0" w:leftChars="0" w:right="0" w:rightChars="0" w:firstLine="480" w:firstLineChars="200"/>
              <w:jc w:val="left"/>
              <w:textAlignment w:val="auto"/>
              <w:outlineLvl w:val="2"/>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生产固废产生及处理措施见表</w:t>
            </w:r>
            <w:r>
              <w:rPr>
                <w:rFonts w:hint="default" w:ascii="Times New Roman" w:hAnsi="Times New Roman" w:eastAsia="宋体" w:cs="Times New Roman"/>
                <w:color w:val="auto"/>
                <w:sz w:val="24"/>
                <w:szCs w:val="24"/>
                <w:lang w:val="en-US" w:eastAsia="zh-CN"/>
              </w:rPr>
              <w:t>4-7。</w:t>
            </w:r>
          </w:p>
          <w:p w14:paraId="77F1FE3B">
            <w:pPr>
              <w:keepNext w:val="0"/>
              <w:keepLines w:val="0"/>
              <w:pageBreakBefore w:val="0"/>
              <w:widowControl w:val="0"/>
              <w:tabs>
                <w:tab w:val="center" w:pos="4153"/>
                <w:tab w:val="right" w:pos="8306"/>
              </w:tabs>
              <w:kinsoku/>
              <w:wordWrap/>
              <w:overflowPunct/>
              <w:topLinePunct w:val="0"/>
              <w:autoSpaceDE/>
              <w:autoSpaceDN/>
              <w:bidi w:val="0"/>
              <w:adjustRightInd/>
              <w:spacing w:beforeAutospacing="0" w:afterAutospacing="0" w:line="360" w:lineRule="auto"/>
              <w:ind w:left="0" w:leftChars="0" w:right="0" w:rightChars="0" w:firstLine="0" w:firstLineChars="0"/>
              <w:jc w:val="center"/>
              <w:textAlignment w:val="auto"/>
              <w:outlineLvl w:val="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4-7  </w:t>
            </w:r>
            <w:r>
              <w:rPr>
                <w:rFonts w:hint="default" w:ascii="Times New Roman" w:hAnsi="Times New Roman" w:eastAsia="宋体" w:cs="Times New Roman"/>
                <w:b/>
                <w:bCs/>
                <w:color w:val="auto"/>
                <w:sz w:val="24"/>
                <w:szCs w:val="24"/>
              </w:rPr>
              <w:t>固废产生及处理措施一览表</w:t>
            </w:r>
          </w:p>
          <w:tbl>
            <w:tblPr>
              <w:tblStyle w:val="3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3"/>
              <w:gridCol w:w="1671"/>
              <w:gridCol w:w="1192"/>
              <w:gridCol w:w="987"/>
              <w:gridCol w:w="1102"/>
              <w:gridCol w:w="2542"/>
            </w:tblGrid>
            <w:tr w14:paraId="0B1C6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noWrap w:val="0"/>
                  <w:vAlign w:val="center"/>
                </w:tcPr>
                <w:p w14:paraId="2BB9F962">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671" w:type="dxa"/>
                  <w:noWrap w:val="0"/>
                  <w:vAlign w:val="center"/>
                </w:tcPr>
                <w:p w14:paraId="1F3701F7">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固废名称</w:t>
                  </w:r>
                </w:p>
              </w:tc>
              <w:tc>
                <w:tcPr>
                  <w:tcW w:w="1192" w:type="dxa"/>
                  <w:noWrap w:val="0"/>
                  <w:vAlign w:val="center"/>
                </w:tcPr>
                <w:p w14:paraId="3DF41997">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属性</w:t>
                  </w:r>
                </w:p>
              </w:tc>
              <w:tc>
                <w:tcPr>
                  <w:tcW w:w="987" w:type="dxa"/>
                  <w:noWrap w:val="0"/>
                  <w:vAlign w:val="center"/>
                </w:tcPr>
                <w:p w14:paraId="07540DD9">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1102" w:type="dxa"/>
                  <w:noWrap w:val="0"/>
                  <w:vAlign w:val="center"/>
                </w:tcPr>
                <w:p w14:paraId="1475FF86">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p>
              </w:tc>
              <w:tc>
                <w:tcPr>
                  <w:tcW w:w="2542" w:type="dxa"/>
                  <w:noWrap w:val="0"/>
                  <w:vAlign w:val="center"/>
                </w:tcPr>
                <w:p w14:paraId="1B89CC6B">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处理措施</w:t>
                  </w:r>
                </w:p>
              </w:tc>
            </w:tr>
            <w:tr w14:paraId="0CD05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noWrap w:val="0"/>
                  <w:vAlign w:val="center"/>
                </w:tcPr>
                <w:p w14:paraId="2FF6C03F">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1671" w:type="dxa"/>
                  <w:noWrap w:val="0"/>
                  <w:vAlign w:val="center"/>
                </w:tcPr>
                <w:p w14:paraId="5CE4C484">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sz w:val="21"/>
                      <w:szCs w:val="21"/>
                    </w:rPr>
                  </w:pPr>
                  <w:r>
                    <w:rPr>
                      <w:rFonts w:hint="default" w:ascii="Times New Roman" w:hAnsi="Times New Roman" w:eastAsia="宋体" w:cs="Times New Roman"/>
                      <w:b w:val="0"/>
                      <w:bCs w:val="0"/>
                      <w:color w:val="0000FF"/>
                      <w:sz w:val="21"/>
                      <w:szCs w:val="21"/>
                    </w:rPr>
                    <w:t>废气瓶</w:t>
                  </w:r>
                </w:p>
              </w:tc>
              <w:tc>
                <w:tcPr>
                  <w:tcW w:w="1192" w:type="dxa"/>
                  <w:noWrap w:val="0"/>
                  <w:vAlign w:val="center"/>
                </w:tcPr>
                <w:p w14:paraId="793DB83F">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eastAsia="zh-CN"/>
                    </w:rPr>
                    <w:t>一般工业固体废物</w:t>
                  </w:r>
                </w:p>
              </w:tc>
              <w:tc>
                <w:tcPr>
                  <w:tcW w:w="987" w:type="dxa"/>
                  <w:noWrap w:val="0"/>
                  <w:vAlign w:val="center"/>
                </w:tcPr>
                <w:p w14:paraId="6FE2FDA0">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rPr>
                    <w:t>固体</w:t>
                  </w:r>
                </w:p>
              </w:tc>
              <w:tc>
                <w:tcPr>
                  <w:tcW w:w="1102" w:type="dxa"/>
                  <w:noWrap w:val="0"/>
                  <w:vAlign w:val="center"/>
                </w:tcPr>
                <w:p w14:paraId="12E543A6">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sz w:val="21"/>
                      <w:szCs w:val="21"/>
                    </w:rPr>
                  </w:pPr>
                  <w:r>
                    <w:rPr>
                      <w:rFonts w:hint="default" w:ascii="Times New Roman" w:hAnsi="Times New Roman" w:eastAsia="宋体" w:cs="Times New Roman"/>
                      <w:color w:val="0000FF"/>
                      <w:sz w:val="21"/>
                      <w:szCs w:val="21"/>
                      <w:lang w:eastAsia="zh-CN"/>
                    </w:rPr>
                    <w:t>1.125</w:t>
                  </w:r>
                  <w:r>
                    <w:rPr>
                      <w:rFonts w:hint="default" w:ascii="Times New Roman" w:hAnsi="Times New Roman" w:eastAsia="宋体" w:cs="Times New Roman"/>
                      <w:b w:val="0"/>
                      <w:bCs w:val="0"/>
                      <w:color w:val="0000FF"/>
                      <w:sz w:val="21"/>
                      <w:szCs w:val="21"/>
                    </w:rPr>
                    <w:t>t/a</w:t>
                  </w:r>
                </w:p>
              </w:tc>
              <w:tc>
                <w:tcPr>
                  <w:tcW w:w="2542" w:type="dxa"/>
                  <w:noWrap w:val="0"/>
                  <w:vAlign w:val="center"/>
                </w:tcPr>
                <w:p w14:paraId="53281681">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sz w:val="21"/>
                      <w:szCs w:val="21"/>
                    </w:rPr>
                  </w:pPr>
                  <w:r>
                    <w:rPr>
                      <w:rFonts w:hint="default" w:ascii="Times New Roman" w:hAnsi="Times New Roman" w:eastAsia="宋体" w:cs="Times New Roman"/>
                      <w:b w:val="0"/>
                      <w:bCs w:val="0"/>
                      <w:color w:val="0000FF"/>
                      <w:sz w:val="21"/>
                      <w:szCs w:val="21"/>
                      <w:lang w:eastAsia="zh-CN"/>
                    </w:rPr>
                    <w:t>暂存于甲类库房，定期送至第三方检测公司处置</w:t>
                  </w:r>
                </w:p>
              </w:tc>
            </w:tr>
            <w:tr w14:paraId="1D3C5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noWrap w:val="0"/>
                  <w:vAlign w:val="center"/>
                </w:tcPr>
                <w:p w14:paraId="60338B3F">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2</w:t>
                  </w:r>
                </w:p>
              </w:tc>
              <w:tc>
                <w:tcPr>
                  <w:tcW w:w="1671" w:type="dxa"/>
                  <w:noWrap w:val="0"/>
                  <w:vAlign w:val="center"/>
                </w:tcPr>
                <w:p w14:paraId="6DC057B5">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sz w:val="21"/>
                      <w:szCs w:val="21"/>
                    </w:rPr>
                  </w:pPr>
                  <w:r>
                    <w:rPr>
                      <w:rFonts w:hint="default" w:ascii="Times New Roman" w:hAnsi="Times New Roman" w:eastAsia="宋体" w:cs="Times New Roman"/>
                      <w:b w:val="0"/>
                      <w:bCs w:val="0"/>
                      <w:color w:val="0000FF"/>
                      <w:sz w:val="21"/>
                      <w:szCs w:val="21"/>
                    </w:rPr>
                    <w:t>废配件</w:t>
                  </w:r>
                </w:p>
              </w:tc>
              <w:tc>
                <w:tcPr>
                  <w:tcW w:w="1192" w:type="dxa"/>
                  <w:noWrap w:val="0"/>
                  <w:vAlign w:val="center"/>
                </w:tcPr>
                <w:p w14:paraId="03AA0DC2">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eastAsia="zh-CN"/>
                    </w:rPr>
                    <w:t>一般工业固体废物</w:t>
                  </w:r>
                </w:p>
              </w:tc>
              <w:tc>
                <w:tcPr>
                  <w:tcW w:w="987" w:type="dxa"/>
                  <w:noWrap w:val="0"/>
                  <w:vAlign w:val="center"/>
                </w:tcPr>
                <w:p w14:paraId="361F13F6">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rPr>
                    <w:t>固体</w:t>
                  </w:r>
                </w:p>
              </w:tc>
              <w:tc>
                <w:tcPr>
                  <w:tcW w:w="1102" w:type="dxa"/>
                  <w:noWrap w:val="0"/>
                  <w:vAlign w:val="center"/>
                </w:tcPr>
                <w:p w14:paraId="2CB3101C">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color w:val="0000FF"/>
                      <w:sz w:val="21"/>
                      <w:szCs w:val="21"/>
                      <w:lang w:eastAsia="zh-CN"/>
                    </w:rPr>
                    <w:t>0.3</w:t>
                  </w:r>
                  <w:r>
                    <w:rPr>
                      <w:rFonts w:hint="default" w:ascii="Times New Roman" w:hAnsi="Times New Roman" w:eastAsia="宋体" w:cs="Times New Roman"/>
                      <w:b w:val="0"/>
                      <w:bCs w:val="0"/>
                      <w:color w:val="0000FF"/>
                      <w:sz w:val="21"/>
                      <w:szCs w:val="21"/>
                    </w:rPr>
                    <w:t>t/a</w:t>
                  </w:r>
                </w:p>
              </w:tc>
              <w:tc>
                <w:tcPr>
                  <w:tcW w:w="2542" w:type="dxa"/>
                  <w:noWrap w:val="0"/>
                  <w:vAlign w:val="center"/>
                </w:tcPr>
                <w:p w14:paraId="3BDEF19E">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0000FF"/>
                      <w:kern w:val="2"/>
                      <w:sz w:val="21"/>
                      <w:szCs w:val="21"/>
                      <w:lang w:val="en-US" w:eastAsia="zh-CN" w:bidi="ar-SA"/>
                    </w:rPr>
                  </w:pPr>
                  <w:r>
                    <w:rPr>
                      <w:rFonts w:hint="default" w:ascii="Times New Roman" w:hAnsi="Times New Roman" w:eastAsia="宋体" w:cs="Times New Roman"/>
                      <w:b w:val="0"/>
                      <w:bCs w:val="0"/>
                      <w:color w:val="0000FF"/>
                      <w:sz w:val="21"/>
                      <w:szCs w:val="21"/>
                      <w:lang w:eastAsia="zh-CN"/>
                    </w:rPr>
                    <w:t>暂存于甲类库房，定期送至第三方检测公司处置</w:t>
                  </w:r>
                </w:p>
              </w:tc>
            </w:tr>
            <w:tr w14:paraId="4D90F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3" w:type="dxa"/>
                  <w:noWrap w:val="0"/>
                  <w:vAlign w:val="center"/>
                </w:tcPr>
                <w:p w14:paraId="7FFAC7A5">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3</w:t>
                  </w:r>
                </w:p>
              </w:tc>
              <w:tc>
                <w:tcPr>
                  <w:tcW w:w="1671" w:type="dxa"/>
                  <w:noWrap w:val="0"/>
                  <w:vAlign w:val="center"/>
                </w:tcPr>
                <w:p w14:paraId="5F25FCA8">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生活垃圾</w:t>
                  </w:r>
                </w:p>
              </w:tc>
              <w:tc>
                <w:tcPr>
                  <w:tcW w:w="1192" w:type="dxa"/>
                  <w:noWrap w:val="0"/>
                  <w:vAlign w:val="center"/>
                </w:tcPr>
                <w:p w14:paraId="1E316A3E">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w:t>
                  </w:r>
                </w:p>
              </w:tc>
              <w:tc>
                <w:tcPr>
                  <w:tcW w:w="987" w:type="dxa"/>
                  <w:noWrap w:val="0"/>
                  <w:vAlign w:val="center"/>
                </w:tcPr>
                <w:p w14:paraId="7C20CF96">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固体</w:t>
                  </w:r>
                </w:p>
              </w:tc>
              <w:tc>
                <w:tcPr>
                  <w:tcW w:w="1102" w:type="dxa"/>
                  <w:noWrap w:val="0"/>
                  <w:vAlign w:val="center"/>
                </w:tcPr>
                <w:p w14:paraId="0A30ECAC">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1.5t</w:t>
                  </w:r>
                  <w:r>
                    <w:rPr>
                      <w:rFonts w:hint="default" w:ascii="Times New Roman" w:hAnsi="Times New Roman" w:eastAsia="宋体" w:cs="Times New Roman"/>
                      <w:b w:val="0"/>
                      <w:bCs w:val="0"/>
                      <w:color w:val="auto"/>
                      <w:sz w:val="21"/>
                      <w:szCs w:val="21"/>
                    </w:rPr>
                    <w:t>/a</w:t>
                  </w:r>
                </w:p>
              </w:tc>
              <w:tc>
                <w:tcPr>
                  <w:tcW w:w="2542" w:type="dxa"/>
                  <w:noWrap w:val="0"/>
                  <w:vAlign w:val="center"/>
                </w:tcPr>
                <w:p w14:paraId="393BCFFF">
                  <w:pPr>
                    <w:keepNext w:val="0"/>
                    <w:keepLines w:val="0"/>
                    <w:pageBreakBefore w:val="0"/>
                    <w:widowControl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经过垃圾箱收集后，</w:t>
                  </w:r>
                  <w:r>
                    <w:rPr>
                      <w:rFonts w:hint="default" w:ascii="Times New Roman" w:hAnsi="Times New Roman" w:eastAsia="宋体" w:cs="Times New Roman"/>
                      <w:color w:val="auto"/>
                      <w:sz w:val="21"/>
                      <w:szCs w:val="21"/>
                      <w:lang w:val="en-US" w:eastAsia="zh-CN"/>
                    </w:rPr>
                    <w:t>定期清运至环卫部门指定地点</w:t>
                  </w:r>
                </w:p>
              </w:tc>
            </w:tr>
          </w:tbl>
          <w:p w14:paraId="6A672C5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bookmarkStart w:id="2" w:name="_Toc309848672"/>
            <w:bookmarkStart w:id="3" w:name="_Toc324927482"/>
            <w:bookmarkStart w:id="4" w:name="_Toc334631474"/>
            <w:bookmarkStart w:id="5" w:name="_Toc294126805"/>
            <w:r>
              <w:rPr>
                <w:rFonts w:hint="default" w:ascii="Times New Roman" w:hAnsi="Times New Roman" w:eastAsia="宋体" w:cs="Times New Roman"/>
                <w:b/>
                <w:bCs/>
                <w:color w:val="auto"/>
                <w:sz w:val="24"/>
                <w:szCs w:val="24"/>
                <w:highlight w:val="none"/>
                <w:lang w:val="en-US" w:eastAsia="zh-CN"/>
              </w:rPr>
              <w:t>5、地下水和土壤环境影响分析</w:t>
            </w:r>
          </w:p>
          <w:p w14:paraId="3AE5DFF4">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正常生产情况下，项目厂区实行雨污分流制，雨水通过雨水管网收集后排入园区雨水管网。项目生活污水经化粪池预处理后排入园区污水管网，进入污水处理厂</w:t>
            </w:r>
            <w:r>
              <w:rPr>
                <w:rFonts w:hint="default" w:ascii="Times New Roman" w:hAnsi="Times New Roman" w:eastAsia="宋体" w:cs="Times New Roman"/>
                <w:bCs/>
                <w:color w:val="auto"/>
                <w:sz w:val="24"/>
                <w:lang w:eastAsia="zh-CN"/>
              </w:rPr>
              <w:t>做处理</w:t>
            </w:r>
            <w:r>
              <w:rPr>
                <w:rFonts w:hint="default" w:ascii="Times New Roman" w:hAnsi="Times New Roman" w:eastAsia="宋体" w:cs="Times New Roman"/>
                <w:bCs/>
                <w:color w:val="auto"/>
                <w:sz w:val="24"/>
              </w:rPr>
              <w:t>。</w:t>
            </w:r>
          </w:p>
          <w:p w14:paraId="3A7AA2A1">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Cs/>
                <w:color w:val="auto"/>
                <w:sz w:val="24"/>
              </w:rPr>
              <w:t>项目储存的氧、氮、氩、二氧化碳、</w:t>
            </w:r>
            <w:r>
              <w:rPr>
                <w:rFonts w:hint="default" w:ascii="Times New Roman" w:hAnsi="Times New Roman" w:eastAsia="宋体" w:cs="Times New Roman"/>
                <w:bCs/>
                <w:color w:val="0000FF"/>
                <w:sz w:val="24"/>
                <w:lang w:val="en-US" w:eastAsia="zh-CN"/>
              </w:rPr>
              <w:t>七氟</w:t>
            </w:r>
            <w:r>
              <w:rPr>
                <w:rFonts w:hint="default" w:ascii="Times New Roman" w:hAnsi="Times New Roman" w:eastAsia="宋体" w:cs="Times New Roman"/>
                <w:bCs/>
                <w:color w:val="0000FF"/>
                <w:sz w:val="24"/>
              </w:rPr>
              <w:t>丙烷</w:t>
            </w:r>
            <w:r>
              <w:rPr>
                <w:rFonts w:hint="default" w:ascii="Times New Roman" w:hAnsi="Times New Roman" w:eastAsia="宋体" w:cs="Times New Roman"/>
                <w:bCs/>
                <w:color w:val="0000FF"/>
                <w:sz w:val="24"/>
                <w:lang w:eastAsia="zh-CN"/>
              </w:rPr>
              <w:t>、</w:t>
            </w:r>
            <w:r>
              <w:rPr>
                <w:rFonts w:hint="default" w:ascii="Times New Roman" w:hAnsi="Times New Roman" w:eastAsia="宋体" w:cs="Times New Roman"/>
                <w:bCs/>
                <w:color w:val="auto"/>
                <w:sz w:val="24"/>
              </w:rPr>
              <w:t>丙烷化学品在常温下为气体，若突发</w:t>
            </w:r>
            <w:r>
              <w:rPr>
                <w:rFonts w:hint="default" w:ascii="Times New Roman" w:hAnsi="Times New Roman" w:eastAsia="宋体" w:cs="Times New Roman"/>
                <w:bCs/>
                <w:color w:val="auto"/>
                <w:sz w:val="24"/>
                <w:lang w:eastAsia="zh-CN"/>
              </w:rPr>
              <w:t>泄漏</w:t>
            </w:r>
            <w:r>
              <w:rPr>
                <w:rFonts w:hint="default" w:ascii="Times New Roman" w:hAnsi="Times New Roman" w:eastAsia="宋体" w:cs="Times New Roman"/>
                <w:bCs/>
                <w:color w:val="auto"/>
                <w:sz w:val="24"/>
              </w:rPr>
              <w:t>事故，会在短时间变成气体扩散到大气环境中，基本不会对土壤、地下水环境产生影响。</w:t>
            </w:r>
          </w:p>
          <w:bookmarkEnd w:id="2"/>
          <w:bookmarkEnd w:id="3"/>
          <w:bookmarkEnd w:id="4"/>
          <w:bookmarkEnd w:id="5"/>
          <w:p w14:paraId="711E63C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szCs w:val="22"/>
                <w:lang w:val="en-US" w:eastAsia="zh-CN"/>
              </w:rPr>
              <w:t>6</w:t>
            </w:r>
            <w:r>
              <w:rPr>
                <w:rFonts w:hint="default" w:ascii="Times New Roman" w:hAnsi="Times New Roman" w:eastAsia="宋体" w:cs="Times New Roman"/>
                <w:b/>
                <w:bCs/>
                <w:color w:val="auto"/>
                <w:sz w:val="24"/>
                <w:szCs w:val="22"/>
              </w:rPr>
              <w:t>、环保措施投资</w:t>
            </w:r>
          </w:p>
          <w:p w14:paraId="15D3DD5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color w:val="auto"/>
                <w:sz w:val="24"/>
              </w:rPr>
              <w:t>本项目总投资</w:t>
            </w:r>
            <w:r>
              <w:rPr>
                <w:rFonts w:hint="default"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lang w:eastAsia="zh-CN"/>
              </w:rPr>
              <w:t>00</w:t>
            </w:r>
            <w:r>
              <w:rPr>
                <w:rFonts w:hint="default" w:ascii="Times New Roman" w:hAnsi="Times New Roman" w:eastAsia="宋体" w:cs="Times New Roman"/>
                <w:color w:val="auto"/>
                <w:sz w:val="24"/>
              </w:rPr>
              <w:t>万元，其中环保投资为87.11万元，占总投资的4.36%。环保投资一览表见表4-</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w:t>
            </w:r>
          </w:p>
          <w:p w14:paraId="514623C4">
            <w:pPr>
              <w:keepNext w:val="0"/>
              <w:pageBreakBefore w:val="0"/>
              <w:widowControl/>
              <w:wordWrap/>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default" w:ascii="Times New Roman" w:hAnsi="Times New Roman" w:eastAsia="宋体" w:cs="Times New Roman"/>
                <w:b/>
                <w:bCs/>
                <w:color w:val="auto"/>
                <w:sz w:val="24"/>
                <w:lang w:val="en-US" w:eastAsia="zh-CN"/>
              </w:rPr>
              <w:t xml:space="preserve">8  </w:t>
            </w:r>
            <w:r>
              <w:rPr>
                <w:rFonts w:hint="default" w:ascii="Times New Roman" w:hAnsi="Times New Roman" w:eastAsia="宋体" w:cs="Times New Roman"/>
                <w:b/>
                <w:bCs/>
                <w:color w:val="auto"/>
                <w:sz w:val="24"/>
              </w:rPr>
              <w:t>环保投资表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5528"/>
              <w:gridCol w:w="1264"/>
            </w:tblGrid>
            <w:tr w14:paraId="25ABE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5" w:type="dxa"/>
                  <w:noWrap w:val="0"/>
                  <w:vAlign w:val="center"/>
                </w:tcPr>
                <w:p w14:paraId="3D4E3B9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名称</w:t>
                  </w:r>
                </w:p>
              </w:tc>
              <w:tc>
                <w:tcPr>
                  <w:tcW w:w="5528" w:type="dxa"/>
                  <w:noWrap w:val="0"/>
                  <w:vAlign w:val="center"/>
                </w:tcPr>
                <w:p w14:paraId="2365789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环保设施名称</w:t>
                  </w:r>
                </w:p>
              </w:tc>
              <w:tc>
                <w:tcPr>
                  <w:tcW w:w="1264" w:type="dxa"/>
                  <w:noWrap w:val="0"/>
                  <w:vAlign w:val="center"/>
                </w:tcPr>
                <w:p w14:paraId="0C23D96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环保投资</w:t>
                  </w:r>
                </w:p>
              </w:tc>
            </w:tr>
            <w:tr w14:paraId="00808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5" w:type="dxa"/>
                  <w:noWrap w:val="0"/>
                  <w:vAlign w:val="center"/>
                </w:tcPr>
                <w:p w14:paraId="21A1333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废气</w:t>
                  </w:r>
                </w:p>
              </w:tc>
              <w:tc>
                <w:tcPr>
                  <w:tcW w:w="5528" w:type="dxa"/>
                  <w:noWrap w:val="0"/>
                  <w:vAlign w:val="center"/>
                </w:tcPr>
                <w:p w14:paraId="1B904C6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少量废气无组织排放</w:t>
                  </w:r>
                </w:p>
              </w:tc>
              <w:tc>
                <w:tcPr>
                  <w:tcW w:w="1264" w:type="dxa"/>
                  <w:noWrap w:val="0"/>
                  <w:vAlign w:val="center"/>
                </w:tcPr>
                <w:p w14:paraId="632DBE9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w:t>
                  </w:r>
                </w:p>
              </w:tc>
            </w:tr>
            <w:tr w14:paraId="2F90C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5" w:type="dxa"/>
                  <w:noWrap w:val="0"/>
                  <w:vAlign w:val="center"/>
                </w:tcPr>
                <w:p w14:paraId="77D8530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废水</w:t>
                  </w:r>
                </w:p>
              </w:tc>
              <w:tc>
                <w:tcPr>
                  <w:tcW w:w="5528" w:type="dxa"/>
                  <w:noWrap w:val="0"/>
                  <w:vAlign w:val="center"/>
                </w:tcPr>
                <w:p w14:paraId="0980B9A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化粪池</w:t>
                  </w:r>
                </w:p>
              </w:tc>
              <w:tc>
                <w:tcPr>
                  <w:tcW w:w="1264" w:type="dxa"/>
                  <w:noWrap w:val="0"/>
                  <w:vAlign w:val="center"/>
                </w:tcPr>
                <w:p w14:paraId="02B85A7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2.5</w:t>
                  </w:r>
                </w:p>
              </w:tc>
            </w:tr>
            <w:tr w14:paraId="3EA4F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5" w:type="dxa"/>
                  <w:noWrap w:val="0"/>
                  <w:vAlign w:val="center"/>
                </w:tcPr>
                <w:p w14:paraId="56255AD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噪声</w:t>
                  </w:r>
                </w:p>
              </w:tc>
              <w:tc>
                <w:tcPr>
                  <w:tcW w:w="5528" w:type="dxa"/>
                  <w:noWrap w:val="0"/>
                  <w:vAlign w:val="center"/>
                </w:tcPr>
                <w:p w14:paraId="106BA7C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对噪声源进行基础减振、厂房隔音</w:t>
                  </w:r>
                </w:p>
              </w:tc>
              <w:tc>
                <w:tcPr>
                  <w:tcW w:w="1264" w:type="dxa"/>
                  <w:noWrap w:val="0"/>
                  <w:vAlign w:val="center"/>
                </w:tcPr>
                <w:p w14:paraId="5EE7177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.6</w:t>
                  </w:r>
                </w:p>
              </w:tc>
            </w:tr>
            <w:tr w14:paraId="0CD96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485" w:type="dxa"/>
                  <w:noWrap w:val="0"/>
                  <w:vAlign w:val="center"/>
                </w:tcPr>
                <w:p w14:paraId="2C456BF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环境风险防范</w:t>
                  </w:r>
                </w:p>
              </w:tc>
              <w:tc>
                <w:tcPr>
                  <w:tcW w:w="5528" w:type="dxa"/>
                  <w:noWrap w:val="0"/>
                  <w:vAlign w:val="center"/>
                </w:tcPr>
                <w:p w14:paraId="1A786E0A">
                  <w:pPr>
                    <w:keepNext w:val="0"/>
                    <w:pageBreakBefore w:val="0"/>
                    <w:widowControl/>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20</w:t>
                  </w:r>
                  <w:r>
                    <w:rPr>
                      <w:rFonts w:hint="default" w:ascii="Times New Roman" w:hAnsi="Times New Roman" w:eastAsia="宋体" w:cs="Times New Roman"/>
                      <w:color w:val="auto"/>
                      <w:kern w:val="0"/>
                      <w:sz w:val="21"/>
                      <w:szCs w:val="21"/>
                    </w:rPr>
                    <w:t>0m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消防水池和配套管网</w:t>
                  </w:r>
                </w:p>
              </w:tc>
              <w:tc>
                <w:tcPr>
                  <w:tcW w:w="1264" w:type="dxa"/>
                  <w:noWrap w:val="0"/>
                  <w:vAlign w:val="center"/>
                </w:tcPr>
                <w:p w14:paraId="008ADDC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82</w:t>
                  </w:r>
                </w:p>
              </w:tc>
            </w:tr>
            <w:tr w14:paraId="4F6C4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5" w:type="dxa"/>
                  <w:noWrap w:val="0"/>
                  <w:vAlign w:val="center"/>
                </w:tcPr>
                <w:p w14:paraId="1BC3F05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color w:val="auto"/>
                      <w:sz w:val="21"/>
                      <w:szCs w:val="21"/>
                    </w:rPr>
                    <w:t>固废</w:t>
                  </w:r>
                </w:p>
              </w:tc>
              <w:tc>
                <w:tcPr>
                  <w:tcW w:w="5528" w:type="dxa"/>
                  <w:noWrap w:val="0"/>
                  <w:vAlign w:val="center"/>
                </w:tcPr>
                <w:p w14:paraId="5E0F3DD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生活垃圾环卫统一清运处置。</w:t>
                  </w:r>
                </w:p>
              </w:tc>
              <w:tc>
                <w:tcPr>
                  <w:tcW w:w="1264" w:type="dxa"/>
                  <w:noWrap w:val="0"/>
                  <w:vAlign w:val="center"/>
                </w:tcPr>
                <w:p w14:paraId="392AB53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0.01</w:t>
                  </w:r>
                </w:p>
              </w:tc>
            </w:tr>
            <w:tr w14:paraId="1FD92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3" w:type="dxa"/>
                  <w:gridSpan w:val="2"/>
                  <w:noWrap w:val="0"/>
                  <w:vAlign w:val="center"/>
                </w:tcPr>
                <w:p w14:paraId="3EFA5089">
                  <w:pPr>
                    <w:keepNext w:val="0"/>
                    <w:pageBreakBefore w:val="0"/>
                    <w:widowControl/>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合计</w:t>
                  </w:r>
                </w:p>
              </w:tc>
              <w:tc>
                <w:tcPr>
                  <w:tcW w:w="1264" w:type="dxa"/>
                  <w:noWrap w:val="0"/>
                  <w:vAlign w:val="center"/>
                </w:tcPr>
                <w:p w14:paraId="3EFB824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87.11</w:t>
                  </w:r>
                </w:p>
              </w:tc>
            </w:tr>
          </w:tbl>
          <w:p w14:paraId="7C5EA7BC">
            <w:pPr>
              <w:keepNext w:val="0"/>
              <w:keepLines w:val="0"/>
              <w:pageBreakBefore w:val="0"/>
              <w:widowControl w:val="0"/>
              <w:suppressLineNumbers w:val="0"/>
              <w:shd w:val="clear"/>
              <w:kinsoku/>
              <w:wordWrap/>
              <w:overflowPunct/>
              <w:topLinePunct w:val="0"/>
              <w:autoSpaceDE/>
              <w:autoSpaceDN/>
              <w:bidi w:val="0"/>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color w:val="auto"/>
                <w:spacing w:val="-4"/>
                <w:sz w:val="24"/>
                <w:szCs w:val="24"/>
                <w:highlight w:val="none"/>
              </w:rPr>
            </w:pP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color w:val="auto"/>
                <w:sz w:val="24"/>
                <w:szCs w:val="24"/>
                <w:highlight w:val="none"/>
              </w:rPr>
              <w:t>“三同时”验收清单</w:t>
            </w:r>
          </w:p>
          <w:p w14:paraId="7F39B51C">
            <w:pPr>
              <w:keepNext w:val="0"/>
              <w:keepLines w:val="0"/>
              <w:pageBreakBefore w:val="0"/>
              <w:widowControl w:val="0"/>
              <w:suppressLineNumbers w:val="0"/>
              <w:shd w:val="clear"/>
              <w:kinsoku/>
              <w:wordWrap/>
              <w:overflowPunct/>
              <w:topLinePunct w:val="0"/>
              <w:autoSpaceDE/>
              <w:autoSpaceDN/>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本项目运营期环境保护“三同时”验收一览表见下表。</w:t>
            </w:r>
          </w:p>
          <w:p w14:paraId="241FB2A8">
            <w:pPr>
              <w:keepNext w:val="0"/>
              <w:keepLines w:val="0"/>
              <w:pageBreakBefore w:val="0"/>
              <w:widowControl w:val="0"/>
              <w:suppressLineNumbers w:val="0"/>
              <w:shd w:val="clear"/>
              <w:kinsoku/>
              <w:wordWrap/>
              <w:overflowPunct/>
              <w:topLinePunct w:val="0"/>
              <w:autoSpaceDE/>
              <w:autoSpaceDN/>
              <w:bidi w:val="0"/>
              <w:adjustRightInd w:val="0"/>
              <w:snapToGrid w:val="0"/>
              <w:spacing w:beforeAutospacing="0" w:afterAutospacing="0"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highlight w:val="none"/>
                <w:lang w:eastAsia="zh-CN"/>
              </w:rPr>
              <w:t>4</w:t>
            </w:r>
            <w:r>
              <w:rPr>
                <w:rFonts w:hint="default" w:ascii="Times New Roman" w:hAnsi="Times New Roman" w:eastAsia="宋体" w:cs="Times New Roman"/>
                <w:b/>
                <w:bCs/>
                <w:color w:val="auto"/>
                <w:sz w:val="24"/>
                <w:highlight w:val="none"/>
                <w:lang w:val="en-US" w:eastAsia="zh-CN"/>
              </w:rPr>
              <w:t xml:space="preserve">-9  </w:t>
            </w:r>
            <w:r>
              <w:rPr>
                <w:rFonts w:hint="default" w:ascii="Times New Roman" w:hAnsi="Times New Roman" w:eastAsia="宋体" w:cs="Times New Roman"/>
                <w:b/>
                <w:bCs/>
                <w:color w:val="auto"/>
                <w:sz w:val="24"/>
                <w:szCs w:val="24"/>
                <w:highlight w:val="none"/>
              </w:rPr>
              <w:t>工程“三同时”环保验收一览表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238"/>
              <w:gridCol w:w="2261"/>
              <w:gridCol w:w="3001"/>
              <w:gridCol w:w="1127"/>
            </w:tblGrid>
            <w:tr w14:paraId="36C6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8" w:type="dxa"/>
                  <w:gridSpan w:val="2"/>
                  <w:noWrap w:val="0"/>
                  <w:vAlign w:val="center"/>
                </w:tcPr>
                <w:p w14:paraId="63789F0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污染源</w:t>
                  </w:r>
                </w:p>
              </w:tc>
              <w:tc>
                <w:tcPr>
                  <w:tcW w:w="2261" w:type="dxa"/>
                  <w:noWrap w:val="0"/>
                  <w:vAlign w:val="center"/>
                </w:tcPr>
                <w:p w14:paraId="271D70D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环保措施名称</w:t>
                  </w:r>
                </w:p>
              </w:tc>
              <w:tc>
                <w:tcPr>
                  <w:tcW w:w="3001" w:type="dxa"/>
                  <w:noWrap w:val="0"/>
                  <w:vAlign w:val="center"/>
                </w:tcPr>
                <w:p w14:paraId="16AD0A5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治理效果</w:t>
                  </w:r>
                </w:p>
              </w:tc>
              <w:tc>
                <w:tcPr>
                  <w:tcW w:w="1127" w:type="dxa"/>
                  <w:noWrap w:val="0"/>
                  <w:vAlign w:val="center"/>
                </w:tcPr>
                <w:p w14:paraId="004C64C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进度</w:t>
                  </w:r>
                </w:p>
              </w:tc>
            </w:tr>
            <w:tr w14:paraId="1148A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restart"/>
                  <w:noWrap w:val="0"/>
                  <w:vAlign w:val="center"/>
                </w:tcPr>
                <w:p w14:paraId="48F2A2D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废气治理</w:t>
                  </w:r>
                </w:p>
              </w:tc>
              <w:tc>
                <w:tcPr>
                  <w:tcW w:w="1238" w:type="dxa"/>
                  <w:vMerge w:val="restart"/>
                  <w:noWrap w:val="0"/>
                  <w:vAlign w:val="center"/>
                </w:tcPr>
                <w:p w14:paraId="33D7596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lang w:eastAsia="zh-CN"/>
                    </w:rPr>
                    <w:t>七氟丙烷和丙烷储槽</w:t>
                  </w:r>
                  <w:r>
                    <w:rPr>
                      <w:rFonts w:hint="default" w:ascii="Times New Roman" w:hAnsi="Times New Roman" w:eastAsia="宋体" w:cs="Times New Roman"/>
                      <w:color w:val="0000FF"/>
                    </w:rPr>
                    <w:t>装卸</w:t>
                  </w:r>
                  <w:r>
                    <w:rPr>
                      <w:rFonts w:hint="default" w:ascii="Times New Roman" w:hAnsi="Times New Roman" w:eastAsia="宋体" w:cs="Times New Roman"/>
                      <w:color w:val="0000FF"/>
                      <w:lang w:val="en-US" w:eastAsia="zh-CN"/>
                    </w:rPr>
                    <w:t>和气瓶</w:t>
                  </w:r>
                  <w:r>
                    <w:rPr>
                      <w:rFonts w:hint="default" w:ascii="Times New Roman" w:hAnsi="Times New Roman" w:eastAsia="宋体" w:cs="Times New Roman"/>
                      <w:color w:val="0000FF"/>
                    </w:rPr>
                    <w:t>充装废气</w:t>
                  </w:r>
                </w:p>
              </w:tc>
              <w:tc>
                <w:tcPr>
                  <w:tcW w:w="2261" w:type="dxa"/>
                  <w:vMerge w:val="restart"/>
                  <w:noWrap w:val="0"/>
                  <w:vAlign w:val="center"/>
                </w:tcPr>
                <w:p w14:paraId="5834987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rPr>
                    <w:t>密闭储槽+密闭管道</w:t>
                  </w:r>
                </w:p>
              </w:tc>
              <w:tc>
                <w:tcPr>
                  <w:tcW w:w="3001" w:type="dxa"/>
                  <w:noWrap w:val="0"/>
                  <w:vAlign w:val="center"/>
                </w:tcPr>
                <w:p w14:paraId="5CE2D20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lang w:val="en-US" w:eastAsia="zh-CN"/>
                    </w:rPr>
                  </w:pPr>
                  <w:r>
                    <w:rPr>
                      <w:rFonts w:hint="default" w:ascii="Times New Roman" w:hAnsi="Times New Roman" w:eastAsia="宋体" w:cs="Times New Roman"/>
                      <w:color w:val="0000FF"/>
                      <w:lang w:val="en-US" w:eastAsia="zh-CN"/>
                    </w:rPr>
                    <w:t>厂界无组织</w:t>
                  </w:r>
                  <w:r>
                    <w:rPr>
                      <w:rFonts w:hint="default" w:ascii="Times New Roman" w:hAnsi="Times New Roman" w:eastAsia="宋体" w:cs="Times New Roman"/>
                      <w:color w:val="0000FF"/>
                    </w:rPr>
                    <w:t>非甲烷总烃达到《大气污染物综合排放标准》（GB16297-1996）表2新污染源大气污染物排放限值中“无组织排放监控浓度限值”</w:t>
                  </w:r>
                </w:p>
              </w:tc>
              <w:tc>
                <w:tcPr>
                  <w:tcW w:w="1127" w:type="dxa"/>
                  <w:vMerge w:val="restart"/>
                  <w:noWrap w:val="0"/>
                  <w:vAlign w:val="center"/>
                </w:tcPr>
                <w:p w14:paraId="7A4844F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与本工程同时设计，同时施工，同时投产</w:t>
                  </w:r>
                </w:p>
              </w:tc>
            </w:tr>
            <w:tr w14:paraId="5C5C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15D0F76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p>
              </w:tc>
              <w:tc>
                <w:tcPr>
                  <w:tcW w:w="1238" w:type="dxa"/>
                  <w:vMerge w:val="continue"/>
                  <w:noWrap w:val="0"/>
                  <w:vAlign w:val="center"/>
                </w:tcPr>
                <w:p w14:paraId="06F39FE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p>
              </w:tc>
              <w:tc>
                <w:tcPr>
                  <w:tcW w:w="2261" w:type="dxa"/>
                  <w:vMerge w:val="continue"/>
                  <w:noWrap w:val="0"/>
                  <w:vAlign w:val="center"/>
                </w:tcPr>
                <w:p w14:paraId="2E0EB42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p>
              </w:tc>
              <w:tc>
                <w:tcPr>
                  <w:tcW w:w="3001" w:type="dxa"/>
                  <w:noWrap w:val="0"/>
                  <w:vAlign w:val="center"/>
                </w:tcPr>
                <w:p w14:paraId="5E7E2B8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rPr>
                  </w:pPr>
                  <w:r>
                    <w:rPr>
                      <w:rFonts w:hint="default" w:ascii="Times New Roman" w:hAnsi="Times New Roman" w:eastAsia="宋体" w:cs="Times New Roman"/>
                      <w:color w:val="0000FF"/>
                      <w:lang w:val="en-US" w:eastAsia="zh-CN"/>
                    </w:rPr>
                    <w:t>厂区内</w:t>
                  </w:r>
                  <w:r>
                    <w:rPr>
                      <w:rFonts w:hint="default" w:ascii="Times New Roman" w:hAnsi="Times New Roman" w:eastAsia="宋体" w:cs="Times New Roman"/>
                      <w:color w:val="0000FF"/>
                    </w:rPr>
                    <w:t>非甲烷总烃达到《挥发性有机物无组织排放控制标准》</w:t>
                  </w:r>
                  <w:r>
                    <w:rPr>
                      <w:rFonts w:hint="default" w:ascii="Times New Roman" w:hAnsi="Times New Roman" w:eastAsia="宋体" w:cs="Times New Roman"/>
                      <w:color w:val="0000FF"/>
                      <w:lang w:eastAsia="zh-CN"/>
                    </w:rPr>
                    <w:t>（</w:t>
                  </w:r>
                  <w:r>
                    <w:rPr>
                      <w:rFonts w:hint="default" w:ascii="Times New Roman" w:hAnsi="Times New Roman" w:eastAsia="宋体" w:cs="Times New Roman"/>
                      <w:color w:val="0000FF"/>
                    </w:rPr>
                    <w:t>GB37822</w:t>
                  </w:r>
                  <w:r>
                    <w:rPr>
                      <w:rFonts w:hint="default" w:ascii="Times New Roman" w:hAnsi="Times New Roman" w:eastAsia="宋体" w:cs="Times New Roman"/>
                      <w:color w:val="0000FF"/>
                      <w:lang w:val="en-US" w:eastAsia="zh-CN"/>
                    </w:rPr>
                    <w:t>-</w:t>
                  </w:r>
                  <w:r>
                    <w:rPr>
                      <w:rFonts w:hint="default" w:ascii="Times New Roman" w:hAnsi="Times New Roman" w:eastAsia="宋体" w:cs="Times New Roman"/>
                      <w:color w:val="0000FF"/>
                    </w:rPr>
                    <w:t>2019</w:t>
                  </w:r>
                  <w:r>
                    <w:rPr>
                      <w:rFonts w:hint="default" w:ascii="Times New Roman" w:hAnsi="Times New Roman" w:eastAsia="宋体" w:cs="Times New Roman"/>
                      <w:color w:val="0000FF"/>
                      <w:lang w:eastAsia="zh-CN"/>
                    </w:rPr>
                    <w:t>）</w:t>
                  </w:r>
                  <w:r>
                    <w:rPr>
                      <w:rFonts w:hint="default" w:ascii="Times New Roman" w:hAnsi="Times New Roman" w:eastAsia="宋体" w:cs="Times New Roman"/>
                      <w:color w:val="0000FF"/>
                    </w:rPr>
                    <w:t>要求</w:t>
                  </w:r>
                </w:p>
              </w:tc>
              <w:tc>
                <w:tcPr>
                  <w:tcW w:w="1127" w:type="dxa"/>
                  <w:vMerge w:val="continue"/>
                  <w:noWrap w:val="0"/>
                  <w:vAlign w:val="center"/>
                </w:tcPr>
                <w:p w14:paraId="6BE5A9E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tc>
            </w:tr>
            <w:tr w14:paraId="016AB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noWrap w:val="0"/>
                  <w:vAlign w:val="center"/>
                </w:tcPr>
                <w:p w14:paraId="78AD0D2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废水治理</w:t>
                  </w:r>
                </w:p>
              </w:tc>
              <w:tc>
                <w:tcPr>
                  <w:tcW w:w="1238" w:type="dxa"/>
                  <w:noWrap w:val="0"/>
                  <w:vAlign w:val="center"/>
                </w:tcPr>
                <w:p w14:paraId="7AFC1A8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生活污水</w:t>
                  </w:r>
                </w:p>
              </w:tc>
              <w:tc>
                <w:tcPr>
                  <w:tcW w:w="2261" w:type="dxa"/>
                  <w:noWrap w:val="0"/>
                  <w:vAlign w:val="center"/>
                </w:tcPr>
                <w:p w14:paraId="5037C1D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生活污水经化粪池处</w:t>
                  </w:r>
                </w:p>
                <w:p w14:paraId="5ECD9E3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理后排入园区污水管</w:t>
                  </w:r>
                </w:p>
                <w:p w14:paraId="2A3EFD4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网，排入园区污水处理厂</w:t>
                  </w:r>
                </w:p>
              </w:tc>
              <w:tc>
                <w:tcPr>
                  <w:tcW w:w="3001" w:type="dxa"/>
                  <w:noWrap w:val="0"/>
                  <w:vAlign w:val="center"/>
                </w:tcPr>
                <w:p w14:paraId="2952793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FF0000"/>
                      <w:kern w:val="0"/>
                      <w:szCs w:val="21"/>
                      <w:lang w:eastAsia="zh-CN"/>
                    </w:rPr>
                    <w:t>《污水综合排放标准》（GB8978-1996）中的三级标准限值要求</w:t>
                  </w:r>
                </w:p>
              </w:tc>
              <w:tc>
                <w:tcPr>
                  <w:tcW w:w="1127" w:type="dxa"/>
                  <w:vMerge w:val="continue"/>
                  <w:noWrap w:val="0"/>
                  <w:vAlign w:val="center"/>
                </w:tcPr>
                <w:p w14:paraId="736F312C">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color w:val="auto"/>
                      <w:kern w:val="0"/>
                      <w:szCs w:val="21"/>
                    </w:rPr>
                  </w:pPr>
                </w:p>
              </w:tc>
            </w:tr>
            <w:tr w14:paraId="7E6D5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noWrap w:val="0"/>
                  <w:vAlign w:val="center"/>
                </w:tcPr>
                <w:p w14:paraId="1F22A8C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噪声治理</w:t>
                  </w:r>
                </w:p>
              </w:tc>
              <w:tc>
                <w:tcPr>
                  <w:tcW w:w="1238" w:type="dxa"/>
                  <w:noWrap w:val="0"/>
                  <w:vAlign w:val="center"/>
                </w:tcPr>
                <w:p w14:paraId="1C61F12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生产设备噪声</w:t>
                  </w:r>
                </w:p>
              </w:tc>
              <w:tc>
                <w:tcPr>
                  <w:tcW w:w="2261" w:type="dxa"/>
                  <w:noWrap w:val="0"/>
                  <w:vAlign w:val="center"/>
                </w:tcPr>
                <w:p w14:paraId="1495DA59">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选用低噪音设备，对生产设备进行加设减振垫、隔声装置</w:t>
                  </w:r>
                </w:p>
              </w:tc>
              <w:tc>
                <w:tcPr>
                  <w:tcW w:w="3001" w:type="dxa"/>
                  <w:noWrap w:val="0"/>
                  <w:vAlign w:val="center"/>
                </w:tcPr>
                <w:p w14:paraId="74B0964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0000FF"/>
                    </w:rPr>
                    <w:t>厂界四周噪声达到</w:t>
                  </w:r>
                  <w:r>
                    <w:rPr>
                      <w:rFonts w:hint="default" w:ascii="Times New Roman" w:hAnsi="Times New Roman" w:eastAsia="宋体" w:cs="Times New Roman"/>
                      <w:color w:val="0000FF"/>
                      <w:lang w:eastAsia="zh-CN"/>
                    </w:rPr>
                    <w:t>《</w:t>
                  </w:r>
                  <w:r>
                    <w:rPr>
                      <w:rFonts w:hint="default" w:ascii="Times New Roman" w:hAnsi="Times New Roman" w:eastAsia="宋体" w:cs="Times New Roman"/>
                      <w:color w:val="0000FF"/>
                    </w:rPr>
                    <w:t>工业企业厂界环境噪声排放标准》（GB12348-2008）3类标准</w:t>
                  </w:r>
                </w:p>
              </w:tc>
              <w:tc>
                <w:tcPr>
                  <w:tcW w:w="1127" w:type="dxa"/>
                  <w:vMerge w:val="continue"/>
                  <w:noWrap w:val="0"/>
                  <w:vAlign w:val="center"/>
                </w:tcPr>
                <w:p w14:paraId="46015FAE">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color w:val="auto"/>
                      <w:kern w:val="0"/>
                      <w:szCs w:val="21"/>
                    </w:rPr>
                  </w:pPr>
                </w:p>
              </w:tc>
            </w:tr>
            <w:tr w14:paraId="479FA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restart"/>
                  <w:noWrap w:val="0"/>
                  <w:vAlign w:val="center"/>
                </w:tcPr>
                <w:p w14:paraId="77E04B7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固废治理</w:t>
                  </w:r>
                </w:p>
              </w:tc>
              <w:tc>
                <w:tcPr>
                  <w:tcW w:w="1238" w:type="dxa"/>
                  <w:noWrap w:val="0"/>
                  <w:vAlign w:val="center"/>
                </w:tcPr>
                <w:p w14:paraId="1F0B380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生活垃圾</w:t>
                  </w:r>
                </w:p>
              </w:tc>
              <w:tc>
                <w:tcPr>
                  <w:tcW w:w="2261" w:type="dxa"/>
                  <w:noWrap w:val="0"/>
                  <w:vAlign w:val="center"/>
                </w:tcPr>
                <w:p w14:paraId="5CA3F19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垃圾桶若干</w:t>
                  </w:r>
                </w:p>
              </w:tc>
              <w:tc>
                <w:tcPr>
                  <w:tcW w:w="3001" w:type="dxa"/>
                  <w:vMerge w:val="restart"/>
                  <w:noWrap w:val="0"/>
                  <w:vAlign w:val="center"/>
                </w:tcPr>
                <w:p w14:paraId="78DF8B5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rPr>
                    <w:t>《一般工业固体废物贮存和填埋污染控制标准》</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GB18599-2020</w:t>
                  </w:r>
                  <w:r>
                    <w:rPr>
                      <w:rFonts w:hint="default" w:ascii="Times New Roman" w:hAnsi="Times New Roman" w:eastAsia="宋体" w:cs="Times New Roman"/>
                      <w:color w:val="auto"/>
                      <w:lang w:eastAsia="zh-CN"/>
                    </w:rPr>
                    <w:t>）</w:t>
                  </w:r>
                </w:p>
              </w:tc>
              <w:tc>
                <w:tcPr>
                  <w:tcW w:w="1127" w:type="dxa"/>
                  <w:vMerge w:val="continue"/>
                  <w:noWrap w:val="0"/>
                  <w:vAlign w:val="center"/>
                </w:tcPr>
                <w:p w14:paraId="4352178F">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color w:val="auto"/>
                      <w:kern w:val="0"/>
                      <w:szCs w:val="21"/>
                    </w:rPr>
                  </w:pPr>
                </w:p>
              </w:tc>
            </w:tr>
            <w:tr w14:paraId="4D2D7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0" w:type="dxa"/>
                  <w:vMerge w:val="continue"/>
                  <w:noWrap w:val="0"/>
                  <w:vAlign w:val="center"/>
                </w:tcPr>
                <w:p w14:paraId="65DFAEBF">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color w:val="auto"/>
                      <w:kern w:val="0"/>
                      <w:szCs w:val="21"/>
                    </w:rPr>
                  </w:pPr>
                </w:p>
              </w:tc>
              <w:tc>
                <w:tcPr>
                  <w:tcW w:w="1238" w:type="dxa"/>
                  <w:noWrap w:val="0"/>
                  <w:vAlign w:val="center"/>
                </w:tcPr>
                <w:p w14:paraId="767B0F19">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rPr>
                    <w:t>废气瓶和</w:t>
                  </w:r>
                  <w:r>
                    <w:rPr>
                      <w:rFonts w:hint="default" w:ascii="Times New Roman" w:hAnsi="Times New Roman" w:eastAsia="宋体" w:cs="Times New Roman"/>
                      <w:color w:val="auto"/>
                      <w:lang w:eastAsia="zh-CN"/>
                    </w:rPr>
                    <w:t>废配件</w:t>
                  </w:r>
                </w:p>
              </w:tc>
              <w:tc>
                <w:tcPr>
                  <w:tcW w:w="2261" w:type="dxa"/>
                  <w:noWrap w:val="0"/>
                  <w:vAlign w:val="center"/>
                </w:tcPr>
                <w:p w14:paraId="79929129">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lang w:eastAsia="zh-CN"/>
                    </w:rPr>
                    <w:t>废配件</w:t>
                  </w:r>
                  <w:r>
                    <w:rPr>
                      <w:rFonts w:hint="default" w:ascii="Times New Roman" w:hAnsi="Times New Roman" w:eastAsia="宋体" w:cs="Times New Roman"/>
                      <w:color w:val="auto"/>
                    </w:rPr>
                    <w:t>同废气瓶一起</w:t>
                  </w:r>
                  <w:r>
                    <w:rPr>
                      <w:rFonts w:hint="default" w:ascii="Times New Roman" w:hAnsi="Times New Roman" w:eastAsia="宋体" w:cs="Times New Roman"/>
                      <w:color w:val="auto"/>
                      <w:lang w:eastAsia="zh-CN"/>
                    </w:rPr>
                    <w:t>定期送至第三方检测公司处置</w:t>
                  </w:r>
                </w:p>
              </w:tc>
              <w:tc>
                <w:tcPr>
                  <w:tcW w:w="3001" w:type="dxa"/>
                  <w:vMerge w:val="continue"/>
                  <w:noWrap w:val="0"/>
                  <w:vAlign w:val="center"/>
                </w:tcPr>
                <w:p w14:paraId="26EA966D">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color w:val="auto"/>
                      <w:kern w:val="0"/>
                      <w:szCs w:val="21"/>
                    </w:rPr>
                  </w:pPr>
                </w:p>
              </w:tc>
              <w:tc>
                <w:tcPr>
                  <w:tcW w:w="1127" w:type="dxa"/>
                  <w:vMerge w:val="continue"/>
                  <w:noWrap w:val="0"/>
                  <w:vAlign w:val="center"/>
                </w:tcPr>
                <w:p w14:paraId="65178AF3">
                  <w:pPr>
                    <w:pStyle w:val="25"/>
                    <w:keepNext w:val="0"/>
                    <w:pageBreakBefore w:val="0"/>
                    <w:wordWrap/>
                    <w:bidi w:val="0"/>
                    <w:spacing w:beforeAutospacing="0" w:after="0" w:afterLines="0" w:afterAutospacing="0" w:line="240" w:lineRule="auto"/>
                    <w:ind w:left="0" w:leftChars="0" w:right="0" w:rightChars="0"/>
                    <w:jc w:val="center"/>
                    <w:rPr>
                      <w:rFonts w:hint="default" w:ascii="Times New Roman" w:hAnsi="Times New Roman" w:eastAsia="宋体" w:cs="Times New Roman"/>
                      <w:color w:val="auto"/>
                      <w:kern w:val="0"/>
                      <w:szCs w:val="21"/>
                    </w:rPr>
                  </w:pPr>
                </w:p>
              </w:tc>
            </w:tr>
          </w:tbl>
          <w:p w14:paraId="4928A47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tc>
      </w:tr>
    </w:tbl>
    <w:p w14:paraId="7D027DF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pPr>
    </w:p>
    <w:p w14:paraId="592411B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sectPr>
          <w:pgSz w:w="11906" w:h="16838"/>
          <w:pgMar w:top="1440" w:right="1800" w:bottom="1440" w:left="1800" w:header="851" w:footer="992" w:gutter="0"/>
          <w:pgNumType w:fmt="decimal"/>
          <w:cols w:space="425" w:num="1"/>
          <w:docGrid w:type="lines" w:linePitch="312" w:charSpace="0"/>
        </w:sectPr>
      </w:pPr>
    </w:p>
    <w:p w14:paraId="1C4425B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 w:val="28"/>
          <w:szCs w:val="28"/>
        </w:rPr>
      </w:pPr>
      <w:r>
        <w:rPr>
          <w:rFonts w:hint="default" w:ascii="Times New Roman" w:hAnsi="Times New Roman" w:eastAsia="宋体" w:cs="Times New Roman"/>
          <w:b/>
          <w:bCs/>
          <w:color w:val="auto"/>
          <w:sz w:val="28"/>
          <w:szCs w:val="28"/>
          <w:lang w:eastAsia="zh-CN"/>
        </w:rPr>
        <w:t>五、环境保护措施监督检查清单</w:t>
      </w:r>
    </w:p>
    <w:tbl>
      <w:tblPr>
        <w:tblStyle w:val="31"/>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350"/>
        <w:gridCol w:w="1650"/>
        <w:gridCol w:w="2328"/>
        <w:gridCol w:w="2343"/>
      </w:tblGrid>
      <w:tr w14:paraId="3E417D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9" w:type="dxa"/>
            <w:tcBorders>
              <w:tl2br w:val="single" w:color="auto" w:sz="4" w:space="0"/>
            </w:tcBorders>
            <w:noWrap w:val="0"/>
            <w:vAlign w:val="top"/>
          </w:tcPr>
          <w:p w14:paraId="079E93D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righ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内容</w:t>
            </w:r>
          </w:p>
          <w:p w14:paraId="5700B0A4">
            <w:pPr>
              <w:pStyle w:val="15"/>
              <w:keepNext w:val="0"/>
              <w:keepLines w:val="0"/>
              <w:pageBreakBefore w:val="0"/>
              <w:widowControl w:val="0"/>
              <w:kinsoku/>
              <w:wordWrap/>
              <w:overflowPunct/>
              <w:topLinePunct w:val="0"/>
              <w:autoSpaceDE/>
              <w:autoSpaceDN/>
              <w:bidi w:val="0"/>
              <w:snapToGrid/>
              <w:spacing w:beforeAutospacing="0" w:afterAutospacing="0" w:line="240" w:lineRule="auto"/>
              <w:ind w:left="0" w:leftChars="0" w:right="0" w:rightChars="0" w:firstLine="0" w:firstLineChars="0"/>
              <w:rPr>
                <w:rFonts w:hint="default" w:ascii="Times New Roman" w:hAnsi="Times New Roman" w:eastAsia="宋体" w:cs="Times New Roman"/>
                <w:color w:val="auto"/>
                <w:sz w:val="24"/>
                <w:szCs w:val="24"/>
              </w:rPr>
            </w:pPr>
          </w:p>
          <w:p w14:paraId="6B64DA0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要素</w:t>
            </w:r>
          </w:p>
        </w:tc>
        <w:tc>
          <w:tcPr>
            <w:tcW w:w="1350" w:type="dxa"/>
            <w:noWrap w:val="0"/>
            <w:vAlign w:val="center"/>
          </w:tcPr>
          <w:p w14:paraId="043D61C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排放口（编号、名称）/污染源</w:t>
            </w:r>
          </w:p>
        </w:tc>
        <w:tc>
          <w:tcPr>
            <w:tcW w:w="1650" w:type="dxa"/>
            <w:noWrap w:val="0"/>
            <w:vAlign w:val="center"/>
          </w:tcPr>
          <w:p w14:paraId="69E86AC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污染物项目</w:t>
            </w:r>
          </w:p>
        </w:tc>
        <w:tc>
          <w:tcPr>
            <w:tcW w:w="2328" w:type="dxa"/>
            <w:noWrap w:val="0"/>
            <w:vAlign w:val="center"/>
          </w:tcPr>
          <w:p w14:paraId="018720A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环境保护措施</w:t>
            </w:r>
          </w:p>
        </w:tc>
        <w:tc>
          <w:tcPr>
            <w:tcW w:w="2343" w:type="dxa"/>
            <w:noWrap w:val="0"/>
            <w:vAlign w:val="center"/>
          </w:tcPr>
          <w:p w14:paraId="104BE16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执行标准</w:t>
            </w:r>
          </w:p>
        </w:tc>
      </w:tr>
      <w:tr w14:paraId="649512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8" w:hRule="atLeast"/>
          <w:jc w:val="center"/>
        </w:trPr>
        <w:tc>
          <w:tcPr>
            <w:tcW w:w="1129" w:type="dxa"/>
            <w:vMerge w:val="restart"/>
            <w:noWrap w:val="0"/>
            <w:vAlign w:val="center"/>
          </w:tcPr>
          <w:p w14:paraId="0310779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大气环境</w:t>
            </w:r>
          </w:p>
        </w:tc>
        <w:tc>
          <w:tcPr>
            <w:tcW w:w="1350" w:type="dxa"/>
            <w:noWrap w:val="0"/>
            <w:vAlign w:val="center"/>
          </w:tcPr>
          <w:p w14:paraId="59F49A6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rPr>
            </w:pPr>
            <w:r>
              <w:rPr>
                <w:rFonts w:hint="default" w:ascii="Times New Roman" w:hAnsi="Times New Roman" w:eastAsia="宋体" w:cs="Times New Roman"/>
                <w:color w:val="0000FF"/>
                <w:sz w:val="24"/>
                <w:szCs w:val="32"/>
                <w:lang w:eastAsia="zh-CN"/>
              </w:rPr>
              <w:t>储槽</w:t>
            </w:r>
            <w:r>
              <w:rPr>
                <w:rFonts w:hint="default" w:ascii="Times New Roman" w:hAnsi="Times New Roman" w:eastAsia="宋体" w:cs="Times New Roman"/>
                <w:color w:val="0000FF"/>
                <w:sz w:val="24"/>
                <w:szCs w:val="32"/>
              </w:rPr>
              <w:t>装卸废气</w:t>
            </w:r>
          </w:p>
        </w:tc>
        <w:tc>
          <w:tcPr>
            <w:tcW w:w="1650" w:type="dxa"/>
            <w:noWrap w:val="0"/>
            <w:vAlign w:val="center"/>
          </w:tcPr>
          <w:p w14:paraId="79EC09D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rPr>
            </w:pPr>
            <w:r>
              <w:rPr>
                <w:rFonts w:hint="default" w:ascii="Times New Roman" w:hAnsi="Times New Roman" w:eastAsia="宋体" w:cs="Times New Roman"/>
                <w:color w:val="0000FF"/>
                <w:sz w:val="24"/>
                <w:szCs w:val="32"/>
              </w:rPr>
              <w:t>非甲烷总烃</w:t>
            </w:r>
          </w:p>
        </w:tc>
        <w:tc>
          <w:tcPr>
            <w:tcW w:w="2328" w:type="dxa"/>
            <w:vMerge w:val="restart"/>
            <w:noWrap w:val="0"/>
            <w:vAlign w:val="center"/>
          </w:tcPr>
          <w:p w14:paraId="1FCFD19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rPr>
            </w:pPr>
            <w:r>
              <w:rPr>
                <w:rFonts w:hint="default" w:ascii="Times New Roman" w:hAnsi="Times New Roman" w:eastAsia="宋体" w:cs="Times New Roman"/>
                <w:color w:val="0000FF"/>
                <w:sz w:val="24"/>
                <w:szCs w:val="32"/>
              </w:rPr>
              <w:t>密闭储槽+密闭管道</w:t>
            </w:r>
          </w:p>
        </w:tc>
        <w:tc>
          <w:tcPr>
            <w:tcW w:w="2343" w:type="dxa"/>
            <w:shd w:val="clear" w:color="auto" w:fill="auto"/>
            <w:noWrap w:val="0"/>
            <w:vAlign w:val="center"/>
          </w:tcPr>
          <w:p w14:paraId="0636E8D1">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lang w:val="en-US" w:eastAsia="zh-CN"/>
              </w:rPr>
            </w:pPr>
            <w:r>
              <w:rPr>
                <w:rFonts w:hint="default" w:ascii="Times New Roman" w:hAnsi="Times New Roman" w:eastAsia="宋体" w:cs="Times New Roman"/>
                <w:color w:val="0000FF"/>
                <w:sz w:val="24"/>
                <w:szCs w:val="32"/>
                <w:lang w:val="en-US" w:eastAsia="zh-CN"/>
              </w:rPr>
              <w:t>厂界无组织</w:t>
            </w:r>
            <w:r>
              <w:rPr>
                <w:rFonts w:hint="default" w:ascii="Times New Roman" w:hAnsi="Times New Roman" w:eastAsia="宋体" w:cs="Times New Roman"/>
                <w:color w:val="0000FF"/>
                <w:sz w:val="24"/>
                <w:szCs w:val="32"/>
              </w:rPr>
              <w:t>非甲烷总烃达到《大气污染物综合排放标准》（GB16297-1996）表2新污染源大气污染物排放限值中“无组织排放监控浓度限值”</w:t>
            </w:r>
          </w:p>
        </w:tc>
      </w:tr>
      <w:tr w14:paraId="73E77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129" w:type="dxa"/>
            <w:vMerge w:val="continue"/>
            <w:noWrap w:val="0"/>
            <w:vAlign w:val="center"/>
          </w:tcPr>
          <w:p w14:paraId="2BB4B40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p>
        </w:tc>
        <w:tc>
          <w:tcPr>
            <w:tcW w:w="1350" w:type="dxa"/>
            <w:noWrap w:val="0"/>
            <w:vAlign w:val="center"/>
          </w:tcPr>
          <w:p w14:paraId="74C84A7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rPr>
            </w:pPr>
            <w:r>
              <w:rPr>
                <w:rFonts w:hint="default" w:ascii="Times New Roman" w:hAnsi="Times New Roman" w:eastAsia="宋体" w:cs="Times New Roman"/>
                <w:color w:val="0000FF"/>
                <w:sz w:val="24"/>
                <w:szCs w:val="32"/>
                <w:lang w:val="en-US" w:eastAsia="zh-CN"/>
              </w:rPr>
              <w:t>气瓶</w:t>
            </w:r>
            <w:r>
              <w:rPr>
                <w:rFonts w:hint="default" w:ascii="Times New Roman" w:hAnsi="Times New Roman" w:eastAsia="宋体" w:cs="Times New Roman"/>
                <w:color w:val="0000FF"/>
                <w:sz w:val="24"/>
                <w:szCs w:val="32"/>
              </w:rPr>
              <w:t>充装废气</w:t>
            </w:r>
          </w:p>
        </w:tc>
        <w:tc>
          <w:tcPr>
            <w:tcW w:w="1650" w:type="dxa"/>
            <w:noWrap w:val="0"/>
            <w:vAlign w:val="center"/>
          </w:tcPr>
          <w:p w14:paraId="7569468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rPr>
            </w:pPr>
            <w:r>
              <w:rPr>
                <w:rFonts w:hint="default" w:ascii="Times New Roman" w:hAnsi="Times New Roman" w:eastAsia="宋体" w:cs="Times New Roman"/>
                <w:color w:val="0000FF"/>
                <w:sz w:val="24"/>
                <w:szCs w:val="32"/>
              </w:rPr>
              <w:t>非甲烷总烃</w:t>
            </w:r>
          </w:p>
        </w:tc>
        <w:tc>
          <w:tcPr>
            <w:tcW w:w="2328" w:type="dxa"/>
            <w:vMerge w:val="continue"/>
            <w:noWrap w:val="0"/>
            <w:vAlign w:val="center"/>
          </w:tcPr>
          <w:p w14:paraId="5D57773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rPr>
            </w:pPr>
          </w:p>
        </w:tc>
        <w:tc>
          <w:tcPr>
            <w:tcW w:w="2343" w:type="dxa"/>
            <w:shd w:val="clear" w:color="auto" w:fill="auto"/>
            <w:noWrap w:val="0"/>
            <w:vAlign w:val="center"/>
          </w:tcPr>
          <w:p w14:paraId="2117FFC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0000FF"/>
                <w:sz w:val="24"/>
                <w:szCs w:val="32"/>
                <w:lang w:val="en-US" w:eastAsia="zh-CN"/>
              </w:rPr>
            </w:pPr>
            <w:r>
              <w:rPr>
                <w:rFonts w:hint="default" w:ascii="Times New Roman" w:hAnsi="Times New Roman" w:eastAsia="宋体" w:cs="Times New Roman"/>
                <w:color w:val="0000FF"/>
                <w:sz w:val="24"/>
                <w:szCs w:val="32"/>
                <w:lang w:val="en-US" w:eastAsia="zh-CN"/>
              </w:rPr>
              <w:t>厂区内</w:t>
            </w:r>
            <w:r>
              <w:rPr>
                <w:rFonts w:hint="default" w:ascii="Times New Roman" w:hAnsi="Times New Roman" w:eastAsia="宋体" w:cs="Times New Roman"/>
                <w:color w:val="0000FF"/>
                <w:sz w:val="24"/>
                <w:szCs w:val="32"/>
              </w:rPr>
              <w:t>非甲烷总烃达到《挥发性有机物无组织排放控制标准》</w:t>
            </w:r>
            <w:r>
              <w:rPr>
                <w:rFonts w:hint="default" w:ascii="Times New Roman" w:hAnsi="Times New Roman" w:eastAsia="宋体" w:cs="Times New Roman"/>
                <w:color w:val="0000FF"/>
                <w:sz w:val="24"/>
                <w:szCs w:val="32"/>
                <w:lang w:eastAsia="zh-CN"/>
              </w:rPr>
              <w:t>（</w:t>
            </w:r>
            <w:r>
              <w:rPr>
                <w:rFonts w:hint="default" w:ascii="Times New Roman" w:hAnsi="Times New Roman" w:eastAsia="宋体" w:cs="Times New Roman"/>
                <w:color w:val="0000FF"/>
                <w:sz w:val="24"/>
                <w:szCs w:val="32"/>
              </w:rPr>
              <w:t>GB37822</w:t>
            </w:r>
            <w:r>
              <w:rPr>
                <w:rFonts w:hint="default" w:ascii="Times New Roman" w:hAnsi="Times New Roman" w:eastAsia="宋体" w:cs="Times New Roman"/>
                <w:color w:val="0000FF"/>
                <w:sz w:val="24"/>
                <w:szCs w:val="32"/>
                <w:lang w:val="en-US" w:eastAsia="zh-CN"/>
              </w:rPr>
              <w:t>-</w:t>
            </w:r>
            <w:r>
              <w:rPr>
                <w:rFonts w:hint="default" w:ascii="Times New Roman" w:hAnsi="Times New Roman" w:eastAsia="宋体" w:cs="Times New Roman"/>
                <w:color w:val="0000FF"/>
                <w:sz w:val="24"/>
                <w:szCs w:val="32"/>
              </w:rPr>
              <w:t>2019</w:t>
            </w:r>
            <w:r>
              <w:rPr>
                <w:rFonts w:hint="default" w:ascii="Times New Roman" w:hAnsi="Times New Roman" w:eastAsia="宋体" w:cs="Times New Roman"/>
                <w:color w:val="0000FF"/>
                <w:sz w:val="24"/>
                <w:szCs w:val="32"/>
                <w:lang w:eastAsia="zh-CN"/>
              </w:rPr>
              <w:t>）</w:t>
            </w:r>
            <w:r>
              <w:rPr>
                <w:rFonts w:hint="default" w:ascii="Times New Roman" w:hAnsi="Times New Roman" w:eastAsia="宋体" w:cs="Times New Roman"/>
                <w:color w:val="0000FF"/>
                <w:sz w:val="24"/>
                <w:szCs w:val="32"/>
              </w:rPr>
              <w:t>要求</w:t>
            </w:r>
          </w:p>
        </w:tc>
      </w:tr>
      <w:tr w14:paraId="422731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9" w:type="dxa"/>
            <w:noWrap w:val="0"/>
            <w:vAlign w:val="center"/>
          </w:tcPr>
          <w:p w14:paraId="3B8C783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地表水环境</w:t>
            </w:r>
          </w:p>
        </w:tc>
        <w:tc>
          <w:tcPr>
            <w:tcW w:w="1350" w:type="dxa"/>
            <w:noWrap w:val="0"/>
            <w:vAlign w:val="center"/>
          </w:tcPr>
          <w:p w14:paraId="64318FCB">
            <w:pPr>
              <w:keepNext w:val="0"/>
              <w:keepLines w:val="0"/>
              <w:pageBreakBefore w:val="0"/>
              <w:kinsoku/>
              <w:wordWrap/>
              <w:overflowPunct/>
              <w:topLinePunct w:val="0"/>
              <w:autoSpaceDE/>
              <w:autoSpaceDN/>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生活污水</w:t>
            </w:r>
          </w:p>
        </w:tc>
        <w:tc>
          <w:tcPr>
            <w:tcW w:w="1650" w:type="dxa"/>
            <w:noWrap w:val="0"/>
            <w:vAlign w:val="center"/>
          </w:tcPr>
          <w:p w14:paraId="71F708B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COD、BOD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-N、SS、石油类、总磷</w:t>
            </w:r>
          </w:p>
        </w:tc>
        <w:tc>
          <w:tcPr>
            <w:tcW w:w="2328" w:type="dxa"/>
            <w:noWrap w:val="0"/>
            <w:vAlign w:val="center"/>
          </w:tcPr>
          <w:p w14:paraId="5CE4F540">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kern w:val="0"/>
                <w:sz w:val="24"/>
                <w:szCs w:val="24"/>
              </w:rPr>
              <w:t>生活污水经化粪池预处理后排入园区污水管网，进入污水处理厂作</w:t>
            </w:r>
            <w:r>
              <w:rPr>
                <w:rFonts w:hint="default" w:ascii="Times New Roman" w:hAnsi="Times New Roman" w:eastAsia="宋体" w:cs="Times New Roman"/>
                <w:color w:val="auto"/>
                <w:kern w:val="0"/>
                <w:sz w:val="24"/>
                <w:szCs w:val="24"/>
                <w:lang w:eastAsia="zh-CN"/>
              </w:rPr>
              <w:t>处理</w:t>
            </w:r>
          </w:p>
        </w:tc>
        <w:tc>
          <w:tcPr>
            <w:tcW w:w="2343" w:type="dxa"/>
            <w:noWrap w:val="0"/>
            <w:vAlign w:val="center"/>
          </w:tcPr>
          <w:p w14:paraId="53B1DC2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FF0000"/>
                <w:sz w:val="24"/>
                <w:szCs w:val="24"/>
                <w:lang w:eastAsia="zh-CN"/>
              </w:rPr>
              <w:t>《污水综合排放标准》（GB8978-1996）中的三级标准限值要求</w:t>
            </w:r>
          </w:p>
        </w:tc>
      </w:tr>
      <w:tr w14:paraId="57727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9" w:type="dxa"/>
            <w:noWrap w:val="0"/>
            <w:vAlign w:val="center"/>
          </w:tcPr>
          <w:p w14:paraId="5E0A6033">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w:t>
            </w:r>
          </w:p>
        </w:tc>
        <w:tc>
          <w:tcPr>
            <w:tcW w:w="1350" w:type="dxa"/>
            <w:noWrap w:val="0"/>
            <w:vAlign w:val="center"/>
          </w:tcPr>
          <w:p w14:paraId="23666EF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运输、机械设备</w:t>
            </w:r>
          </w:p>
        </w:tc>
        <w:tc>
          <w:tcPr>
            <w:tcW w:w="1650" w:type="dxa"/>
            <w:noWrap w:val="0"/>
            <w:vAlign w:val="center"/>
          </w:tcPr>
          <w:p w14:paraId="5D0AC036">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设备噪声</w:t>
            </w:r>
          </w:p>
        </w:tc>
        <w:tc>
          <w:tcPr>
            <w:tcW w:w="2328" w:type="dxa"/>
            <w:noWrap w:val="0"/>
            <w:vAlign w:val="center"/>
          </w:tcPr>
          <w:p w14:paraId="37548AA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采用低噪声设备、加强管理、加防震垫等措施，合理安排工作时间、禁止鸣笛</w:t>
            </w:r>
          </w:p>
        </w:tc>
        <w:tc>
          <w:tcPr>
            <w:tcW w:w="2343" w:type="dxa"/>
            <w:noWrap w:val="0"/>
            <w:vAlign w:val="center"/>
          </w:tcPr>
          <w:p w14:paraId="47F1BD32">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《工业企业厂界环境噪声排放标准》（GB12348-2008）3类</w:t>
            </w:r>
          </w:p>
        </w:tc>
      </w:tr>
      <w:tr w14:paraId="3E80C6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9" w:hRule="atLeast"/>
          <w:jc w:val="center"/>
        </w:trPr>
        <w:tc>
          <w:tcPr>
            <w:tcW w:w="1129" w:type="dxa"/>
            <w:noWrap w:val="0"/>
            <w:vAlign w:val="center"/>
          </w:tcPr>
          <w:p w14:paraId="195F2DCB">
            <w:pPr>
              <w:keepNext w:val="0"/>
              <w:keepLines w:val="0"/>
              <w:pageBreakBefore w:val="0"/>
              <w:kinsoku/>
              <w:wordWrap/>
              <w:overflowPunct/>
              <w:topLinePunct w:val="0"/>
              <w:autoSpaceDE/>
              <w:autoSpaceDN/>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固体废物</w:t>
            </w:r>
          </w:p>
        </w:tc>
        <w:tc>
          <w:tcPr>
            <w:tcW w:w="7671" w:type="dxa"/>
            <w:gridSpan w:val="4"/>
            <w:noWrap w:val="0"/>
            <w:vAlign w:val="center"/>
          </w:tcPr>
          <w:p w14:paraId="6F1CCFB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项目运营期间产生的生活垃圾集中收集后由环卫部门统一清运、处理；</w:t>
            </w:r>
            <w:r>
              <w:rPr>
                <w:rFonts w:hint="default" w:ascii="Times New Roman" w:hAnsi="Times New Roman" w:eastAsia="宋体" w:cs="Times New Roman"/>
                <w:color w:val="auto"/>
                <w:sz w:val="24"/>
                <w:szCs w:val="24"/>
                <w:lang w:eastAsia="zh-CN"/>
              </w:rPr>
              <w:t>废配件</w:t>
            </w:r>
            <w:r>
              <w:rPr>
                <w:rFonts w:hint="default" w:ascii="Times New Roman" w:hAnsi="Times New Roman" w:eastAsia="宋体" w:cs="Times New Roman"/>
                <w:color w:val="auto"/>
                <w:sz w:val="24"/>
                <w:szCs w:val="24"/>
              </w:rPr>
              <w:t>同废气瓶一起</w:t>
            </w:r>
            <w:r>
              <w:rPr>
                <w:rFonts w:hint="default" w:ascii="Times New Roman" w:hAnsi="Times New Roman" w:eastAsia="宋体" w:cs="Times New Roman"/>
                <w:color w:val="auto"/>
                <w:sz w:val="24"/>
                <w:szCs w:val="24"/>
                <w:lang w:eastAsia="zh-CN"/>
              </w:rPr>
              <w:t>定期送至第三方检测公司处置</w:t>
            </w:r>
            <w:r>
              <w:rPr>
                <w:rFonts w:hint="default" w:ascii="Times New Roman" w:hAnsi="Times New Roman" w:eastAsia="宋体" w:cs="Times New Roman"/>
                <w:color w:val="auto"/>
                <w:sz w:val="24"/>
                <w:szCs w:val="24"/>
              </w:rPr>
              <w:t>。</w:t>
            </w:r>
          </w:p>
        </w:tc>
      </w:tr>
      <w:tr w14:paraId="1C96A8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9" w:type="dxa"/>
            <w:noWrap w:val="0"/>
            <w:vAlign w:val="center"/>
          </w:tcPr>
          <w:p w14:paraId="76AAE1AA">
            <w:pPr>
              <w:keepNext w:val="0"/>
              <w:keepLines w:val="0"/>
              <w:pageBreakBefore w:val="0"/>
              <w:kinsoku/>
              <w:wordWrap/>
              <w:overflowPunct/>
              <w:topLinePunct w:val="0"/>
              <w:autoSpaceDE/>
              <w:autoSpaceDN/>
              <w:bidi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土壤及地下水污染防治措施</w:t>
            </w:r>
          </w:p>
        </w:tc>
        <w:tc>
          <w:tcPr>
            <w:tcW w:w="7671" w:type="dxa"/>
            <w:gridSpan w:val="4"/>
            <w:noWrap w:val="0"/>
            <w:vAlign w:val="center"/>
          </w:tcPr>
          <w:p w14:paraId="7CD1F84B">
            <w:pPr>
              <w:keepNext w:val="0"/>
              <w:keepLines w:val="0"/>
              <w:pageBreakBefore w:val="0"/>
              <w:kinsoku/>
              <w:wordWrap/>
              <w:overflowPunct/>
              <w:topLinePunct w:val="0"/>
              <w:autoSpaceDE/>
              <w:autoSpaceDN/>
              <w:bidi w:val="0"/>
              <w:spacing w:beforeAutospacing="0" w:afterAutospacing="0"/>
              <w:ind w:left="0" w:leftChars="0" w:right="0" w:rightChars="0" w:firstLine="482" w:firstLineChars="200"/>
              <w:jc w:val="left"/>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1、地下水污染防治措施</w:t>
            </w:r>
          </w:p>
          <w:p w14:paraId="0D43783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正常生产情况下，项目厂区实行雨污分流制，雨水通过雨水管网收集后排入园区雨水管网。项目生活污水经化粪池预处理后排入园区污水管网，进入污水处理厂</w:t>
            </w:r>
            <w:r>
              <w:rPr>
                <w:rFonts w:hint="default" w:ascii="Times New Roman" w:hAnsi="Times New Roman" w:eastAsia="宋体" w:cs="Times New Roman"/>
                <w:color w:val="auto"/>
                <w:kern w:val="0"/>
                <w:sz w:val="24"/>
                <w:szCs w:val="24"/>
                <w:lang w:eastAsia="zh-CN"/>
              </w:rPr>
              <w:t>做处理</w:t>
            </w:r>
            <w:r>
              <w:rPr>
                <w:rFonts w:hint="default" w:ascii="Times New Roman" w:hAnsi="Times New Roman" w:eastAsia="宋体" w:cs="Times New Roman"/>
                <w:color w:val="auto"/>
                <w:kern w:val="0"/>
                <w:sz w:val="24"/>
                <w:szCs w:val="24"/>
              </w:rPr>
              <w:t>。</w:t>
            </w:r>
          </w:p>
          <w:p w14:paraId="4C4B3731">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82" w:firstLineChars="200"/>
              <w:jc w:val="left"/>
              <w:textAlignment w:val="baseline"/>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2、土壤污染防治措施</w:t>
            </w:r>
          </w:p>
          <w:p w14:paraId="7388BA2F">
            <w:pPr>
              <w:keepNext w:val="0"/>
              <w:keepLines w:val="0"/>
              <w:pageBreakBefore w:val="0"/>
              <w:widowControl/>
              <w:kinsoku/>
              <w:wordWrap/>
              <w:overflowPunct/>
              <w:topLinePunct w:val="0"/>
              <w:autoSpaceDE/>
              <w:autoSpaceDN/>
              <w:bidi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项目储存的氧、氮、氩、二氧化碳、丙烷化学品在常温下为气体，若突发</w:t>
            </w:r>
            <w:r>
              <w:rPr>
                <w:rFonts w:hint="default" w:ascii="Times New Roman" w:hAnsi="Times New Roman" w:eastAsia="宋体" w:cs="Times New Roman"/>
                <w:color w:val="auto"/>
                <w:kern w:val="0"/>
                <w:sz w:val="24"/>
                <w:szCs w:val="24"/>
                <w:lang w:eastAsia="zh-CN"/>
              </w:rPr>
              <w:t>泄漏</w:t>
            </w:r>
            <w:r>
              <w:rPr>
                <w:rFonts w:hint="default" w:ascii="Times New Roman" w:hAnsi="Times New Roman" w:eastAsia="宋体" w:cs="Times New Roman"/>
                <w:color w:val="auto"/>
                <w:kern w:val="0"/>
                <w:sz w:val="24"/>
                <w:szCs w:val="24"/>
              </w:rPr>
              <w:t>事故，会在短时间变成气体扩散到大气环境中，基本不会对土壤环境产生影响。</w:t>
            </w:r>
          </w:p>
        </w:tc>
      </w:tr>
      <w:tr w14:paraId="5E6878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9" w:type="dxa"/>
            <w:noWrap w:val="0"/>
            <w:vAlign w:val="center"/>
          </w:tcPr>
          <w:p w14:paraId="1787924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环境风险防范措施</w:t>
            </w:r>
          </w:p>
        </w:tc>
        <w:tc>
          <w:tcPr>
            <w:tcW w:w="7671" w:type="dxa"/>
            <w:gridSpan w:val="4"/>
            <w:noWrap w:val="0"/>
            <w:vAlign w:val="center"/>
          </w:tcPr>
          <w:p w14:paraId="566AC99D">
            <w:pPr>
              <w:keepNext w:val="0"/>
              <w:keepLines w:val="0"/>
              <w:pageBreakBefore w:val="0"/>
              <w:widowControl/>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在厂内建设</w:t>
            </w:r>
            <w:r>
              <w:rPr>
                <w:rFonts w:hint="default" w:ascii="Times New Roman" w:hAnsi="Times New Roman" w:eastAsia="宋体" w:cs="Times New Roman"/>
                <w:color w:val="auto"/>
                <w:kern w:val="0"/>
                <w:sz w:val="24"/>
                <w:szCs w:val="24"/>
                <w:lang w:val="en-US" w:eastAsia="zh-CN"/>
              </w:rPr>
              <w:t>消防水</w:t>
            </w:r>
            <w:r>
              <w:rPr>
                <w:rFonts w:hint="default" w:ascii="Times New Roman" w:hAnsi="Times New Roman" w:eastAsia="宋体" w:cs="Times New Roman"/>
                <w:color w:val="auto"/>
                <w:kern w:val="0"/>
                <w:sz w:val="24"/>
                <w:szCs w:val="24"/>
              </w:rPr>
              <w:t>池2</w:t>
            </w:r>
            <w:r>
              <w:rPr>
                <w:rFonts w:hint="default" w:ascii="Times New Roman" w:hAnsi="Times New Roman" w:eastAsia="宋体" w:cs="Times New Roman"/>
                <w:color w:val="auto"/>
                <w:kern w:val="0"/>
                <w:sz w:val="24"/>
                <w:szCs w:val="24"/>
                <w:lang w:val="en-US" w:eastAsia="zh-CN"/>
              </w:rPr>
              <w:t>0</w:t>
            </w:r>
            <w:r>
              <w:rPr>
                <w:rFonts w:hint="default" w:ascii="Times New Roman" w:hAnsi="Times New Roman" w:eastAsia="宋体" w:cs="Times New Roman"/>
                <w:color w:val="auto"/>
                <w:kern w:val="0"/>
                <w:sz w:val="24"/>
                <w:szCs w:val="24"/>
              </w:rPr>
              <w:t>0m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和配套管网，要求厂区雨水排口处设置控制阀，雨水管道建设管沟接至</w:t>
            </w:r>
            <w:r>
              <w:rPr>
                <w:rFonts w:hint="default" w:ascii="Times New Roman" w:hAnsi="Times New Roman" w:eastAsia="宋体" w:cs="Times New Roman"/>
                <w:color w:val="auto"/>
                <w:kern w:val="0"/>
                <w:sz w:val="24"/>
                <w:szCs w:val="24"/>
                <w:lang w:val="en-US" w:eastAsia="zh-CN"/>
              </w:rPr>
              <w:t>消防水</w:t>
            </w:r>
            <w:r>
              <w:rPr>
                <w:rFonts w:hint="default" w:ascii="Times New Roman" w:hAnsi="Times New Roman" w:eastAsia="宋体" w:cs="Times New Roman"/>
                <w:color w:val="auto"/>
                <w:kern w:val="0"/>
                <w:sz w:val="24"/>
                <w:szCs w:val="24"/>
              </w:rPr>
              <w:t>池，</w:t>
            </w:r>
            <w:r>
              <w:rPr>
                <w:rFonts w:hint="default" w:ascii="Times New Roman" w:hAnsi="Times New Roman" w:eastAsia="宋体" w:cs="Times New Roman"/>
                <w:color w:val="00B050"/>
                <w:kern w:val="0"/>
                <w:sz w:val="24"/>
                <w:szCs w:val="24"/>
                <w:lang w:val="en-US" w:eastAsia="zh-CN"/>
              </w:rPr>
              <w:t>厂区地面采取混凝土硬化，发生火灾事故时，消防废水</w:t>
            </w:r>
            <w:r>
              <w:rPr>
                <w:rFonts w:hint="default" w:ascii="Times New Roman" w:hAnsi="Times New Roman" w:eastAsia="宋体" w:cs="Times New Roman"/>
                <w:color w:val="00B050"/>
                <w:kern w:val="0"/>
                <w:sz w:val="24"/>
                <w:szCs w:val="24"/>
              </w:rPr>
              <w:t>自流至</w:t>
            </w:r>
            <w:r>
              <w:rPr>
                <w:rFonts w:hint="default" w:ascii="Times New Roman" w:hAnsi="Times New Roman" w:eastAsia="宋体" w:cs="Times New Roman"/>
                <w:color w:val="00B050"/>
                <w:kern w:val="0"/>
                <w:sz w:val="24"/>
                <w:szCs w:val="24"/>
                <w:lang w:eastAsia="zh-CN"/>
              </w:rPr>
              <w:t>消防水池，</w:t>
            </w:r>
            <w:r>
              <w:rPr>
                <w:rFonts w:hint="default" w:ascii="Times New Roman" w:hAnsi="Times New Roman" w:eastAsia="宋体" w:cs="Times New Roman"/>
                <w:color w:val="7030A0"/>
                <w:kern w:val="0"/>
                <w:sz w:val="24"/>
                <w:szCs w:val="24"/>
                <w:lang w:val="en-US" w:eastAsia="zh-CN"/>
              </w:rPr>
              <w:t>经</w:t>
            </w:r>
            <w:r>
              <w:rPr>
                <w:rFonts w:hint="default" w:ascii="Times New Roman" w:hAnsi="Times New Roman" w:eastAsia="宋体" w:cs="Times New Roman"/>
                <w:color w:val="7030A0"/>
                <w:kern w:val="0"/>
                <w:sz w:val="24"/>
                <w:szCs w:val="24"/>
                <w:lang w:eastAsia="zh-CN"/>
              </w:rPr>
              <w:t>消防水池</w:t>
            </w:r>
            <w:r>
              <w:rPr>
                <w:rFonts w:hint="default" w:ascii="Times New Roman" w:hAnsi="Times New Roman" w:eastAsia="宋体" w:cs="Times New Roman"/>
                <w:color w:val="7030A0"/>
                <w:kern w:val="0"/>
                <w:sz w:val="24"/>
                <w:szCs w:val="24"/>
                <w:lang w:val="en-US" w:eastAsia="zh-CN"/>
              </w:rPr>
              <w:t>沉淀处理后，</w:t>
            </w:r>
            <w:r>
              <w:rPr>
                <w:rFonts w:hint="default" w:ascii="Times New Roman" w:hAnsi="Times New Roman" w:eastAsia="宋体" w:cs="Times New Roman"/>
                <w:color w:val="00B050"/>
                <w:kern w:val="0"/>
                <w:sz w:val="24"/>
                <w:szCs w:val="24"/>
                <w:lang w:val="en-US" w:eastAsia="zh-CN"/>
              </w:rPr>
              <w:t>通过</w:t>
            </w:r>
            <w:r>
              <w:rPr>
                <w:rFonts w:hint="default" w:ascii="Times New Roman" w:hAnsi="Times New Roman" w:eastAsia="宋体" w:cs="Times New Roman"/>
                <w:color w:val="00B050"/>
                <w:kern w:val="0"/>
                <w:sz w:val="24"/>
                <w:szCs w:val="24"/>
              </w:rPr>
              <w:t>园区污水管网，进入</w:t>
            </w:r>
            <w:r>
              <w:rPr>
                <w:rFonts w:hint="default" w:ascii="Times New Roman" w:hAnsi="Times New Roman" w:eastAsia="宋体" w:cs="Times New Roman"/>
                <w:color w:val="00B050"/>
                <w:kern w:val="0"/>
                <w:sz w:val="24"/>
                <w:szCs w:val="24"/>
                <w:lang w:val="en-US" w:eastAsia="zh-CN"/>
              </w:rPr>
              <w:t>园区</w:t>
            </w:r>
            <w:r>
              <w:rPr>
                <w:rFonts w:hint="default" w:ascii="Times New Roman" w:hAnsi="Times New Roman" w:eastAsia="宋体" w:cs="Times New Roman"/>
                <w:color w:val="00B050"/>
                <w:kern w:val="0"/>
                <w:sz w:val="24"/>
                <w:szCs w:val="24"/>
              </w:rPr>
              <w:t>污水处理厂</w:t>
            </w:r>
            <w:r>
              <w:rPr>
                <w:rFonts w:hint="default" w:ascii="Times New Roman" w:hAnsi="Times New Roman" w:eastAsia="宋体" w:cs="Times New Roman"/>
                <w:color w:val="00B050"/>
                <w:kern w:val="0"/>
                <w:sz w:val="24"/>
                <w:szCs w:val="24"/>
                <w:lang w:eastAsia="zh-CN"/>
              </w:rPr>
              <w:t>做处理</w:t>
            </w:r>
            <w:r>
              <w:rPr>
                <w:rFonts w:hint="default" w:ascii="Times New Roman" w:hAnsi="Times New Roman" w:eastAsia="宋体" w:cs="Times New Roman"/>
                <w:color w:val="00B050"/>
                <w:kern w:val="0"/>
                <w:sz w:val="24"/>
                <w:szCs w:val="24"/>
              </w:rPr>
              <w:t>；</w:t>
            </w:r>
            <w:r>
              <w:rPr>
                <w:rFonts w:hint="default" w:ascii="Times New Roman" w:hAnsi="Times New Roman" w:eastAsia="宋体" w:cs="Times New Roman"/>
                <w:color w:val="auto"/>
                <w:kern w:val="0"/>
                <w:sz w:val="24"/>
                <w:szCs w:val="24"/>
              </w:rPr>
              <w:t>要求项目配套完善的气体</w:t>
            </w:r>
            <w:r>
              <w:rPr>
                <w:rFonts w:hint="default" w:ascii="Times New Roman" w:hAnsi="Times New Roman" w:eastAsia="宋体" w:cs="Times New Roman"/>
                <w:color w:val="auto"/>
                <w:kern w:val="0"/>
                <w:sz w:val="24"/>
                <w:szCs w:val="24"/>
                <w:lang w:eastAsia="zh-CN"/>
              </w:rPr>
              <w:t>泄漏报警</w:t>
            </w:r>
            <w:r>
              <w:rPr>
                <w:rFonts w:hint="default" w:ascii="Times New Roman" w:hAnsi="Times New Roman" w:eastAsia="宋体" w:cs="Times New Roman"/>
                <w:color w:val="auto"/>
                <w:kern w:val="0"/>
                <w:sz w:val="24"/>
                <w:szCs w:val="24"/>
              </w:rPr>
              <w:t>、火灾报警、监控、应急措施等设施，要求能实现自动化联控；制定厂区突发环境事件应急预案并</w:t>
            </w:r>
            <w:r>
              <w:rPr>
                <w:rFonts w:hint="default" w:ascii="Times New Roman" w:hAnsi="Times New Roman" w:eastAsia="宋体" w:cs="Times New Roman"/>
                <w:color w:val="7030A0"/>
                <w:kern w:val="0"/>
                <w:sz w:val="24"/>
                <w:szCs w:val="24"/>
                <w:lang w:val="en-US" w:eastAsia="zh-CN"/>
              </w:rPr>
              <w:t>进行备案</w:t>
            </w:r>
            <w:r>
              <w:rPr>
                <w:rFonts w:hint="default" w:ascii="Times New Roman" w:hAnsi="Times New Roman" w:eastAsia="宋体" w:cs="Times New Roman"/>
                <w:color w:val="FF0000"/>
                <w:kern w:val="0"/>
                <w:sz w:val="24"/>
                <w:szCs w:val="24"/>
                <w:lang w:eastAsia="zh-CN"/>
              </w:rPr>
              <w:t>，</w:t>
            </w:r>
            <w:r>
              <w:rPr>
                <w:rFonts w:hint="default" w:ascii="Times New Roman" w:hAnsi="Times New Roman" w:eastAsia="宋体" w:cs="Times New Roman"/>
                <w:color w:val="FF0000"/>
                <w:sz w:val="24"/>
                <w:szCs w:val="24"/>
                <w:lang w:val="en-US" w:eastAsia="zh-CN"/>
              </w:rPr>
              <w:t>同时，还应该加强与园区应急预案的联动响应</w:t>
            </w:r>
            <w:r>
              <w:rPr>
                <w:rFonts w:hint="default" w:ascii="Times New Roman" w:hAnsi="Times New Roman" w:eastAsia="宋体" w:cs="Times New Roman"/>
                <w:color w:val="FF0000"/>
                <w:kern w:val="0"/>
                <w:sz w:val="24"/>
                <w:szCs w:val="24"/>
              </w:rPr>
              <w:t>。</w:t>
            </w:r>
          </w:p>
        </w:tc>
      </w:tr>
      <w:tr w14:paraId="432F9D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9" w:type="dxa"/>
            <w:noWrap w:val="0"/>
            <w:vAlign w:val="center"/>
          </w:tcPr>
          <w:p w14:paraId="4AD7F617">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其他环境管理要求</w:t>
            </w:r>
          </w:p>
        </w:tc>
        <w:tc>
          <w:tcPr>
            <w:tcW w:w="7671" w:type="dxa"/>
            <w:gridSpan w:val="4"/>
            <w:noWrap w:val="0"/>
            <w:vAlign w:val="top"/>
          </w:tcPr>
          <w:p w14:paraId="78BB32CF">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（1）认真树立环保意识，做好“三废”排放处理工作，不得乱排乱放，不得随意倾倒和焚烧垃圾。</w:t>
            </w:r>
          </w:p>
          <w:p w14:paraId="75D4D53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（2）施工单位应有专人负责施工污染控制工作，实行项目环保工作责任制。</w:t>
            </w:r>
          </w:p>
          <w:p w14:paraId="11FAD951">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（3）对厂区产生的固体废物要妥善收集、保管，严禁乱丢乱放。暂存场地采取防雨、防火及防渗漏等措施，严防其二次污染。</w:t>
            </w:r>
          </w:p>
          <w:p w14:paraId="073B3535">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szCs w:val="24"/>
                <w:lang w:val="en-US" w:eastAsia="zh-CN"/>
              </w:rPr>
              <w:t>4</w:t>
            </w:r>
            <w:r>
              <w:rPr>
                <w:rFonts w:hint="default" w:ascii="Times New Roman" w:hAnsi="Times New Roman" w:eastAsia="宋体" w:cs="Times New Roman"/>
                <w:color w:val="auto"/>
                <w:kern w:val="0"/>
                <w:sz w:val="24"/>
                <w:szCs w:val="24"/>
              </w:rPr>
              <w:t>）定期维护厂区内的环保设施，保持其正常、稳定、有效运行。</w:t>
            </w:r>
          </w:p>
          <w:p w14:paraId="67A4F13C">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）积极配合环保部门对环保设施的验收工作，企业必须在环保设施验收合格后，才能投入生产。</w:t>
            </w:r>
          </w:p>
          <w:p w14:paraId="3F68221C">
            <w:pPr>
              <w:keepNext w:val="0"/>
              <w:keepLines w:val="0"/>
              <w:pageBreakBefore w:val="0"/>
              <w:kinsoku/>
              <w:wordWrap/>
              <w:overflowPunct/>
              <w:topLinePunct w:val="0"/>
              <w:autoSpaceDE/>
              <w:autoSpaceDN/>
              <w:bidi w:val="0"/>
              <w:spacing w:beforeAutospacing="0" w:afterAutospacing="0" w:line="240" w:lineRule="auto"/>
              <w:ind w:left="0" w:leftChars="0" w:right="0" w:rightChars="0" w:firstLine="480" w:firstLineChars="200"/>
              <w:jc w:val="left"/>
              <w:rPr>
                <w:rFonts w:hint="default" w:ascii="Times New Roman" w:hAnsi="Times New Roman" w:eastAsia="宋体" w:cs="Times New Roman"/>
                <w:color w:val="auto"/>
                <w:sz w:val="24"/>
                <w:szCs w:val="24"/>
              </w:rPr>
            </w:pPr>
          </w:p>
        </w:tc>
      </w:tr>
    </w:tbl>
    <w:p w14:paraId="340972B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sectPr>
          <w:pgSz w:w="11906" w:h="16838"/>
          <w:pgMar w:top="1440" w:right="1800" w:bottom="1440" w:left="1800" w:header="851" w:footer="992" w:gutter="0"/>
          <w:pgNumType w:fmt="decimal"/>
          <w:cols w:space="425" w:num="1"/>
          <w:docGrid w:type="lines" w:linePitch="312" w:charSpace="0"/>
        </w:sectPr>
      </w:pPr>
    </w:p>
    <w:p w14:paraId="0AFE1EC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8"/>
          <w:szCs w:val="28"/>
          <w:lang w:eastAsia="zh-CN"/>
        </w:rPr>
      </w:pPr>
      <w:r>
        <w:rPr>
          <w:rFonts w:hint="default" w:ascii="Times New Roman" w:hAnsi="Times New Roman" w:eastAsia="宋体" w:cs="Times New Roman"/>
          <w:b/>
          <w:bCs/>
          <w:color w:val="auto"/>
          <w:sz w:val="28"/>
          <w:szCs w:val="28"/>
          <w:lang w:eastAsia="zh-CN"/>
        </w:rPr>
        <w:t>六、结论</w:t>
      </w:r>
    </w:p>
    <w:tbl>
      <w:tblPr>
        <w:tblStyle w:val="3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54447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71" w:type="dxa"/>
            <w:vAlign w:val="center"/>
          </w:tcPr>
          <w:p w14:paraId="0B53285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BFCF59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0B37CEC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41B515A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15E4C4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21A9E6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1BA9D7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5F70D54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2E2A623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7BD137F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58AB982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435EA65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28D6868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vertAlign w:val="baseline"/>
                <w:lang w:eastAsia="zh-CN"/>
              </w:rPr>
            </w:pPr>
            <w:r>
              <w:rPr>
                <w:rFonts w:hint="default" w:ascii="Times New Roman" w:hAnsi="Times New Roman" w:eastAsia="宋体" w:cs="Times New Roman"/>
                <w:b w:val="0"/>
                <w:bCs w:val="0"/>
                <w:color w:val="auto"/>
                <w:sz w:val="24"/>
                <w:szCs w:val="24"/>
                <w:vertAlign w:val="baseline"/>
              </w:rPr>
              <w:t>综上所述，项目建设符合国家和地方的相关政策，厂址选择符合当地大气、噪声功能区划的要求，在各项污染防治措施落实后，污染物均能达标排放。因此，该项目在采取相应的环保措施之后，从环保角度讲本项目建设是可行的</w:t>
            </w:r>
            <w:r>
              <w:rPr>
                <w:rFonts w:hint="default" w:ascii="Times New Roman" w:hAnsi="Times New Roman" w:eastAsia="宋体" w:cs="Times New Roman"/>
                <w:b w:val="0"/>
                <w:bCs w:val="0"/>
                <w:color w:val="auto"/>
                <w:sz w:val="24"/>
                <w:szCs w:val="24"/>
                <w:vertAlign w:val="baseline"/>
                <w:lang w:eastAsia="zh-CN"/>
              </w:rPr>
              <w:t>。</w:t>
            </w:r>
          </w:p>
          <w:p w14:paraId="518C1CB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6682040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5150492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87BBCF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0ED9FCD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5D82E33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77C1AF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C48D45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E7E3BC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C31D63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B12A37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2EEBCD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71F6709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B5D8ED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09828FB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1075FC7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3E04EAF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p w14:paraId="00FB26C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val="0"/>
                <w:bCs w:val="0"/>
                <w:color w:val="auto"/>
                <w:sz w:val="24"/>
                <w:szCs w:val="24"/>
                <w:vertAlign w:val="baseline"/>
              </w:rPr>
            </w:pPr>
          </w:p>
        </w:tc>
      </w:tr>
    </w:tbl>
    <w:p w14:paraId="2E4F1F3E">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pPr>
    </w:p>
    <w:p w14:paraId="20089A0E">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pPr>
    </w:p>
    <w:p w14:paraId="5E3978D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 w:val="28"/>
          <w:szCs w:val="28"/>
        </w:rPr>
        <w:sectPr>
          <w:pgSz w:w="11906" w:h="16838"/>
          <w:pgMar w:top="1440" w:right="1800" w:bottom="1440" w:left="1800" w:header="851" w:footer="992" w:gutter="0"/>
          <w:pgNumType w:fmt="decimal"/>
          <w:cols w:space="425" w:num="1"/>
          <w:docGrid w:type="lines" w:linePitch="312" w:charSpace="0"/>
        </w:sectPr>
      </w:pPr>
    </w:p>
    <w:p w14:paraId="3427AE5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附表</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rPr>
        <w:t>建设项目污染物排放量汇总表</w:t>
      </w:r>
    </w:p>
    <w:tbl>
      <w:tblPr>
        <w:tblStyle w:val="32"/>
        <w:tblW w:w="14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557"/>
        <w:gridCol w:w="1554"/>
        <w:gridCol w:w="1548"/>
        <w:gridCol w:w="1554"/>
        <w:gridCol w:w="1656"/>
        <w:gridCol w:w="1554"/>
        <w:gridCol w:w="1656"/>
        <w:gridCol w:w="1548"/>
      </w:tblGrid>
      <w:tr w14:paraId="2ACAF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14:paraId="7AD83157">
            <w:pPr>
              <w:keepNext w:val="0"/>
              <w:pageBreakBefore w:val="0"/>
              <w:wordWrap/>
              <w:bidi w:val="0"/>
              <w:snapToGrid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rPr>
            </w:pPr>
          </w:p>
          <w:p w14:paraId="2BBD6411">
            <w:pPr>
              <w:keepNext w:val="0"/>
              <w:pageBreakBefore w:val="0"/>
              <w:wordWrap/>
              <w:bidi w:val="0"/>
              <w:snapToGrid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rPr>
            </w:pPr>
          </w:p>
          <w:p w14:paraId="42E1471F">
            <w:pPr>
              <w:keepNext w:val="0"/>
              <w:pageBreakBefore w:val="0"/>
              <w:wordWrap/>
              <w:bidi w:val="0"/>
              <w:snapToGrid w:val="0"/>
              <w:spacing w:beforeAutospacing="0" w:afterAutospacing="0" w:line="240" w:lineRule="auto"/>
              <w:ind w:left="0" w:leftChars="0" w:right="0" w:rightChars="0"/>
              <w:jc w:val="center"/>
              <mc:AlternateContent>
                <mc:Choice Requires="wpsCustomData">
                  <wpsCustomData:diagonalParaType/>
                </mc:Choice>
              </mc:AlternateContent>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分类</w:t>
            </w:r>
          </w:p>
          <w:p w14:paraId="77DAFAA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项目</w:t>
            </w:r>
          </w:p>
        </w:tc>
        <w:tc>
          <w:tcPr>
            <w:tcW w:w="1557" w:type="dxa"/>
            <w:vAlign w:val="center"/>
          </w:tcPr>
          <w:p w14:paraId="41FF6F3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污染物名称</w:t>
            </w:r>
          </w:p>
        </w:tc>
        <w:tc>
          <w:tcPr>
            <w:tcW w:w="1554" w:type="dxa"/>
            <w:vAlign w:val="center"/>
          </w:tcPr>
          <w:p w14:paraId="1AD8411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现有工程排放量（固体废物产生量）①</w:t>
            </w:r>
          </w:p>
        </w:tc>
        <w:tc>
          <w:tcPr>
            <w:tcW w:w="1548" w:type="dxa"/>
            <w:vAlign w:val="center"/>
          </w:tcPr>
          <w:p w14:paraId="0C35573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rPr>
            </w:pPr>
            <w:r>
              <w:rPr>
                <w:rFonts w:hint="default" w:ascii="Times New Roman" w:hAnsi="Times New Roman" w:eastAsia="宋体" w:cs="Times New Roman"/>
                <w:b/>
                <w:bCs/>
                <w:color w:val="auto"/>
                <w:sz w:val="24"/>
                <w:szCs w:val="24"/>
                <w:vertAlign w:val="baseline"/>
                <w:lang w:eastAsia="zh-CN"/>
              </w:rPr>
              <w:t>现有工程许可排放量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2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②</w:t>
            </w:r>
            <w:r>
              <w:rPr>
                <w:rFonts w:hint="default" w:ascii="Times New Roman" w:hAnsi="Times New Roman" w:eastAsia="宋体" w:cs="Times New Roman"/>
                <w:b/>
                <w:bCs/>
                <w:color w:val="auto"/>
                <w:sz w:val="24"/>
                <w:szCs w:val="24"/>
                <w:vertAlign w:val="baseline"/>
                <w:lang w:eastAsia="zh-CN"/>
              </w:rPr>
              <w:fldChar w:fldCharType="end"/>
            </w:r>
          </w:p>
        </w:tc>
        <w:tc>
          <w:tcPr>
            <w:tcW w:w="1554" w:type="dxa"/>
            <w:vAlign w:val="center"/>
          </w:tcPr>
          <w:p w14:paraId="483D213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在建工程排放量（固体废物产生量）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3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③</w:t>
            </w:r>
            <w:r>
              <w:rPr>
                <w:rFonts w:hint="default" w:ascii="Times New Roman" w:hAnsi="Times New Roman" w:eastAsia="宋体" w:cs="Times New Roman"/>
                <w:b/>
                <w:bCs/>
                <w:color w:val="auto"/>
                <w:sz w:val="24"/>
                <w:szCs w:val="24"/>
                <w:vertAlign w:val="baseline"/>
                <w:lang w:eastAsia="zh-CN"/>
              </w:rPr>
              <w:fldChar w:fldCharType="end"/>
            </w:r>
          </w:p>
        </w:tc>
        <w:tc>
          <w:tcPr>
            <w:tcW w:w="1656" w:type="dxa"/>
            <w:vAlign w:val="center"/>
          </w:tcPr>
          <w:p w14:paraId="0920B1E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本项目排放量（固体废物产生量）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4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④</w:t>
            </w:r>
            <w:r>
              <w:rPr>
                <w:rFonts w:hint="default" w:ascii="Times New Roman" w:hAnsi="Times New Roman" w:eastAsia="宋体" w:cs="Times New Roman"/>
                <w:b/>
                <w:bCs/>
                <w:color w:val="auto"/>
                <w:sz w:val="24"/>
                <w:szCs w:val="24"/>
                <w:vertAlign w:val="baseline"/>
                <w:lang w:eastAsia="zh-CN"/>
              </w:rPr>
              <w:fldChar w:fldCharType="end"/>
            </w:r>
          </w:p>
        </w:tc>
        <w:tc>
          <w:tcPr>
            <w:tcW w:w="1554" w:type="dxa"/>
            <w:vAlign w:val="center"/>
          </w:tcPr>
          <w:p w14:paraId="3C4D7F2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eastAsia="zh-CN"/>
              </w:rPr>
              <w:t>以新带老削减量（新建项目不填）</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5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⑤</w:t>
            </w:r>
            <w:r>
              <w:rPr>
                <w:rFonts w:hint="default" w:ascii="Times New Roman" w:hAnsi="Times New Roman" w:eastAsia="宋体" w:cs="Times New Roman"/>
                <w:b/>
                <w:bCs/>
                <w:color w:val="auto"/>
                <w:sz w:val="24"/>
                <w:szCs w:val="24"/>
                <w:vertAlign w:val="baseline"/>
                <w:lang w:eastAsia="zh-CN"/>
              </w:rPr>
              <w:fldChar w:fldCharType="end"/>
            </w:r>
          </w:p>
        </w:tc>
        <w:tc>
          <w:tcPr>
            <w:tcW w:w="1656" w:type="dxa"/>
            <w:vAlign w:val="center"/>
          </w:tcPr>
          <w:p w14:paraId="12C0E6E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本项目建成后全厂排放量（固体废物产生量）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6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⑥</w:t>
            </w:r>
            <w:r>
              <w:rPr>
                <w:rFonts w:hint="default" w:ascii="Times New Roman" w:hAnsi="Times New Roman" w:eastAsia="宋体" w:cs="Times New Roman"/>
                <w:b/>
                <w:bCs/>
                <w:color w:val="auto"/>
                <w:sz w:val="24"/>
                <w:szCs w:val="24"/>
                <w:vertAlign w:val="baseline"/>
                <w:lang w:eastAsia="zh-CN"/>
              </w:rPr>
              <w:fldChar w:fldCharType="end"/>
            </w:r>
          </w:p>
        </w:tc>
        <w:tc>
          <w:tcPr>
            <w:tcW w:w="1548" w:type="dxa"/>
            <w:vAlign w:val="center"/>
          </w:tcPr>
          <w:p w14:paraId="16AEE18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4"/>
                <w:szCs w:val="24"/>
                <w:vertAlign w:val="baseline"/>
                <w:lang w:eastAsia="zh-CN"/>
              </w:rPr>
            </w:pPr>
            <w:r>
              <w:rPr>
                <w:rFonts w:hint="default" w:ascii="Times New Roman" w:hAnsi="Times New Roman" w:eastAsia="宋体" w:cs="Times New Roman"/>
                <w:b/>
                <w:bCs/>
                <w:color w:val="auto"/>
                <w:sz w:val="24"/>
                <w:szCs w:val="24"/>
                <w:vertAlign w:val="baseline"/>
                <w:lang w:eastAsia="zh-CN"/>
              </w:rPr>
              <w:t>变化量</w:t>
            </w:r>
            <w:r>
              <w:rPr>
                <w:rFonts w:hint="default" w:ascii="Times New Roman" w:hAnsi="Times New Roman" w:eastAsia="宋体" w:cs="Times New Roman"/>
                <w:b/>
                <w:bCs/>
                <w:color w:val="auto"/>
                <w:sz w:val="24"/>
                <w:szCs w:val="24"/>
                <w:vertAlign w:val="baseline"/>
                <w:lang w:eastAsia="zh-CN"/>
              </w:rPr>
              <w:fldChar w:fldCharType="begin"/>
            </w:r>
            <w:r>
              <w:rPr>
                <w:rFonts w:hint="default" w:ascii="Times New Roman" w:hAnsi="Times New Roman" w:eastAsia="宋体" w:cs="Times New Roman"/>
                <w:b/>
                <w:bCs/>
                <w:color w:val="auto"/>
                <w:sz w:val="24"/>
                <w:szCs w:val="24"/>
                <w:vertAlign w:val="baseline"/>
                <w:lang w:eastAsia="zh-CN"/>
              </w:rPr>
              <w:instrText xml:space="preserve"> = 7 \* GB3 \* MERGEFORMAT </w:instrText>
            </w:r>
            <w:r>
              <w:rPr>
                <w:rFonts w:hint="default" w:ascii="Times New Roman" w:hAnsi="Times New Roman" w:eastAsia="宋体" w:cs="Times New Roman"/>
                <w:b/>
                <w:bCs/>
                <w:color w:val="auto"/>
                <w:sz w:val="24"/>
                <w:szCs w:val="24"/>
                <w:vertAlign w:val="baseline"/>
                <w:lang w:eastAsia="zh-CN"/>
              </w:rPr>
              <w:fldChar w:fldCharType="separate"/>
            </w:r>
            <w:r>
              <w:rPr>
                <w:rFonts w:hint="default" w:ascii="Times New Roman" w:hAnsi="Times New Roman" w:eastAsia="宋体" w:cs="Times New Roman"/>
                <w:b/>
                <w:bCs/>
                <w:color w:val="auto"/>
                <w:sz w:val="24"/>
                <w:szCs w:val="24"/>
              </w:rPr>
              <w:t>⑦</w:t>
            </w:r>
            <w:r>
              <w:rPr>
                <w:rFonts w:hint="default" w:ascii="Times New Roman" w:hAnsi="Times New Roman" w:eastAsia="宋体" w:cs="Times New Roman"/>
                <w:b/>
                <w:bCs/>
                <w:color w:val="auto"/>
                <w:sz w:val="24"/>
                <w:szCs w:val="24"/>
                <w:vertAlign w:val="baseline"/>
                <w:lang w:eastAsia="zh-CN"/>
              </w:rPr>
              <w:fldChar w:fldCharType="end"/>
            </w:r>
          </w:p>
        </w:tc>
      </w:tr>
      <w:tr w14:paraId="60D4E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Align w:val="center"/>
          </w:tcPr>
          <w:p w14:paraId="1A9104B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废气</w:t>
            </w:r>
          </w:p>
        </w:tc>
        <w:tc>
          <w:tcPr>
            <w:tcW w:w="1557" w:type="dxa"/>
            <w:shd w:val="clear" w:color="auto" w:fill="auto"/>
            <w:vAlign w:val="center"/>
          </w:tcPr>
          <w:p w14:paraId="36BE200B">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color w:val="auto"/>
                <w:sz w:val="24"/>
                <w:szCs w:val="24"/>
                <w:lang w:val="en-US" w:eastAsia="zh-CN"/>
              </w:rPr>
              <w:t>非甲烷总烃</w:t>
            </w:r>
          </w:p>
        </w:tc>
        <w:tc>
          <w:tcPr>
            <w:tcW w:w="1554" w:type="dxa"/>
            <w:shd w:val="clear" w:color="auto" w:fill="auto"/>
            <w:vAlign w:val="center"/>
          </w:tcPr>
          <w:p w14:paraId="2F4E416F">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48" w:type="dxa"/>
            <w:shd w:val="clear" w:color="auto" w:fill="auto"/>
            <w:vAlign w:val="center"/>
          </w:tcPr>
          <w:p w14:paraId="29DFCB52">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54" w:type="dxa"/>
            <w:shd w:val="clear" w:color="auto" w:fill="auto"/>
            <w:vAlign w:val="center"/>
          </w:tcPr>
          <w:p w14:paraId="27553093">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3D241DD2">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val="en-US" w:eastAsia="zh-CN"/>
              </w:rPr>
              <w:t>0.76</w:t>
            </w:r>
            <w:r>
              <w:rPr>
                <w:rFonts w:hint="default" w:ascii="Times New Roman" w:hAnsi="Times New Roman" w:eastAsia="宋体" w:cs="Times New Roman"/>
                <w:snapToGrid w:val="0"/>
                <w:color w:val="auto"/>
                <w:kern w:val="21"/>
                <w:sz w:val="24"/>
                <w:szCs w:val="24"/>
              </w:rPr>
              <w:t>t/a</w:t>
            </w:r>
          </w:p>
        </w:tc>
        <w:tc>
          <w:tcPr>
            <w:tcW w:w="1554" w:type="dxa"/>
            <w:shd w:val="clear" w:color="auto" w:fill="auto"/>
            <w:vAlign w:val="center"/>
          </w:tcPr>
          <w:p w14:paraId="17427197">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04EF27AE">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val="en-US" w:eastAsia="zh-CN"/>
              </w:rPr>
              <w:t>0.76</w:t>
            </w:r>
            <w:r>
              <w:rPr>
                <w:rFonts w:hint="default" w:ascii="Times New Roman" w:hAnsi="Times New Roman" w:eastAsia="宋体" w:cs="Times New Roman"/>
                <w:snapToGrid w:val="0"/>
                <w:color w:val="auto"/>
                <w:kern w:val="21"/>
                <w:sz w:val="24"/>
                <w:szCs w:val="24"/>
              </w:rPr>
              <w:t>t/a</w:t>
            </w:r>
          </w:p>
        </w:tc>
        <w:tc>
          <w:tcPr>
            <w:tcW w:w="1548" w:type="dxa"/>
            <w:shd w:val="clear" w:color="auto" w:fill="auto"/>
            <w:vAlign w:val="center"/>
          </w:tcPr>
          <w:p w14:paraId="522ABA3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color w:val="auto"/>
                <w:sz w:val="24"/>
                <w:szCs w:val="24"/>
                <w:vertAlign w:val="baseline"/>
                <w:lang w:val="en-US" w:eastAsia="zh-CN"/>
              </w:rPr>
              <w:t>/</w:t>
            </w:r>
          </w:p>
        </w:tc>
      </w:tr>
      <w:tr w14:paraId="4DD0D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Merge w:val="restart"/>
            <w:vAlign w:val="center"/>
          </w:tcPr>
          <w:p w14:paraId="5B7A107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废水</w:t>
            </w:r>
          </w:p>
        </w:tc>
        <w:tc>
          <w:tcPr>
            <w:tcW w:w="1557" w:type="dxa"/>
            <w:vAlign w:val="center"/>
          </w:tcPr>
          <w:p w14:paraId="36E0C3C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vertAlign w:val="baseline"/>
                <w:lang w:val="en-US" w:eastAsia="zh-CN"/>
              </w:rPr>
              <w:t>CODcr</w:t>
            </w:r>
          </w:p>
        </w:tc>
        <w:tc>
          <w:tcPr>
            <w:tcW w:w="1554" w:type="dxa"/>
            <w:vAlign w:val="center"/>
          </w:tcPr>
          <w:p w14:paraId="0C96D8A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48" w:type="dxa"/>
            <w:vAlign w:val="center"/>
          </w:tcPr>
          <w:p w14:paraId="5EC464E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679DC92F">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656" w:type="dxa"/>
            <w:vAlign w:val="center"/>
          </w:tcPr>
          <w:p w14:paraId="1ACBBB7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pacing w:val="0"/>
                <w:position w:val="0"/>
                <w:sz w:val="24"/>
                <w:szCs w:val="24"/>
                <w:shd w:val="clear" w:color="auto" w:fill="auto"/>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558B45C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656" w:type="dxa"/>
            <w:vAlign w:val="center"/>
          </w:tcPr>
          <w:p w14:paraId="20949BB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pacing w:val="0"/>
                <w:kern w:val="2"/>
                <w:position w:val="0"/>
                <w:sz w:val="24"/>
                <w:szCs w:val="24"/>
                <w:shd w:val="clear" w:color="auto" w:fill="auto"/>
                <w:lang w:val="en-US" w:eastAsia="zh-CN" w:bidi="ar-SA"/>
              </w:rPr>
            </w:pPr>
            <w:r>
              <w:rPr>
                <w:rFonts w:hint="default" w:ascii="Times New Roman" w:hAnsi="Times New Roman" w:eastAsia="宋体" w:cs="Times New Roman"/>
                <w:color w:val="auto"/>
                <w:sz w:val="24"/>
                <w:szCs w:val="24"/>
                <w:vertAlign w:val="baseline"/>
                <w:lang w:val="en-US" w:eastAsia="zh-CN"/>
              </w:rPr>
              <w:t>/</w:t>
            </w:r>
          </w:p>
        </w:tc>
        <w:tc>
          <w:tcPr>
            <w:tcW w:w="1548" w:type="dxa"/>
            <w:vAlign w:val="center"/>
          </w:tcPr>
          <w:p w14:paraId="60BA257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r>
      <w:tr w14:paraId="058F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Merge w:val="continue"/>
            <w:vAlign w:val="center"/>
          </w:tcPr>
          <w:p w14:paraId="58D1104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p>
        </w:tc>
        <w:tc>
          <w:tcPr>
            <w:tcW w:w="1557" w:type="dxa"/>
            <w:vAlign w:val="center"/>
          </w:tcPr>
          <w:p w14:paraId="1B334A9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sz w:val="24"/>
                <w:szCs w:val="24"/>
                <w:vertAlign w:val="baseline"/>
                <w:lang w:eastAsia="zh-CN"/>
              </w:rPr>
              <w:t>氨氮</w:t>
            </w:r>
          </w:p>
        </w:tc>
        <w:tc>
          <w:tcPr>
            <w:tcW w:w="1554" w:type="dxa"/>
            <w:vAlign w:val="center"/>
          </w:tcPr>
          <w:p w14:paraId="5FDD2FF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48" w:type="dxa"/>
            <w:vAlign w:val="center"/>
          </w:tcPr>
          <w:p w14:paraId="754BE94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0F251DD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656" w:type="dxa"/>
            <w:vAlign w:val="center"/>
          </w:tcPr>
          <w:p w14:paraId="7BA131D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pacing w:val="0"/>
                <w:position w:val="0"/>
                <w:sz w:val="24"/>
                <w:szCs w:val="24"/>
                <w:shd w:val="clear" w:color="auto" w:fill="auto"/>
                <w:lang w:val="en-US" w:eastAsia="zh-CN"/>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4403B5A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656" w:type="dxa"/>
            <w:vAlign w:val="center"/>
          </w:tcPr>
          <w:p w14:paraId="2B5FF26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val="0"/>
                <w:bCs w:val="0"/>
                <w:color w:val="auto"/>
                <w:spacing w:val="0"/>
                <w:kern w:val="2"/>
                <w:position w:val="0"/>
                <w:sz w:val="24"/>
                <w:szCs w:val="24"/>
                <w:shd w:val="clear" w:color="auto" w:fill="auto"/>
                <w:lang w:val="en-US" w:eastAsia="zh-CN" w:bidi="ar-SA"/>
              </w:rPr>
            </w:pPr>
            <w:r>
              <w:rPr>
                <w:rFonts w:hint="default" w:ascii="Times New Roman" w:hAnsi="Times New Roman" w:eastAsia="宋体" w:cs="Times New Roman"/>
                <w:color w:val="auto"/>
                <w:sz w:val="24"/>
                <w:szCs w:val="24"/>
                <w:vertAlign w:val="baseline"/>
                <w:lang w:val="en-US" w:eastAsia="zh-CN"/>
              </w:rPr>
              <w:t>/</w:t>
            </w:r>
          </w:p>
        </w:tc>
        <w:tc>
          <w:tcPr>
            <w:tcW w:w="1548" w:type="dxa"/>
            <w:vAlign w:val="center"/>
          </w:tcPr>
          <w:p w14:paraId="6399A0C1">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r>
      <w:tr w14:paraId="0EB76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Merge w:val="restart"/>
            <w:vAlign w:val="center"/>
          </w:tcPr>
          <w:p w14:paraId="3160BA11">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一般工业固体废物</w:t>
            </w:r>
          </w:p>
        </w:tc>
        <w:tc>
          <w:tcPr>
            <w:tcW w:w="1557" w:type="dxa"/>
            <w:shd w:val="clear" w:color="auto" w:fill="auto"/>
            <w:vAlign w:val="center"/>
          </w:tcPr>
          <w:p w14:paraId="22D82A40">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eastAsia="zh-CN"/>
              </w:rPr>
              <w:t>废气瓶</w:t>
            </w:r>
          </w:p>
        </w:tc>
        <w:tc>
          <w:tcPr>
            <w:tcW w:w="1554" w:type="dxa"/>
            <w:shd w:val="clear" w:color="auto" w:fill="auto"/>
            <w:vAlign w:val="center"/>
          </w:tcPr>
          <w:p w14:paraId="58E0FD2E">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48" w:type="dxa"/>
            <w:shd w:val="clear" w:color="auto" w:fill="auto"/>
            <w:vAlign w:val="center"/>
          </w:tcPr>
          <w:p w14:paraId="4DE5D70A">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54" w:type="dxa"/>
            <w:shd w:val="clear" w:color="auto" w:fill="auto"/>
            <w:vAlign w:val="center"/>
          </w:tcPr>
          <w:p w14:paraId="45813EF8">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60C636C5">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1.125t/a</w:t>
            </w:r>
          </w:p>
        </w:tc>
        <w:tc>
          <w:tcPr>
            <w:tcW w:w="1554" w:type="dxa"/>
            <w:shd w:val="clear" w:color="auto" w:fill="auto"/>
            <w:vAlign w:val="center"/>
          </w:tcPr>
          <w:p w14:paraId="4C052CEE">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6C25EB72">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1.125t/a</w:t>
            </w:r>
          </w:p>
        </w:tc>
        <w:tc>
          <w:tcPr>
            <w:tcW w:w="1548" w:type="dxa"/>
            <w:vAlign w:val="center"/>
          </w:tcPr>
          <w:p w14:paraId="4215CFE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color w:val="auto"/>
                <w:sz w:val="24"/>
                <w:szCs w:val="24"/>
                <w:vertAlign w:val="baseline"/>
                <w:lang w:val="en-US" w:eastAsia="zh-CN"/>
              </w:rPr>
              <w:t>/</w:t>
            </w:r>
          </w:p>
        </w:tc>
      </w:tr>
      <w:tr w14:paraId="7A6C7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Merge w:val="continue"/>
            <w:vAlign w:val="center"/>
          </w:tcPr>
          <w:p w14:paraId="6AA6333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p>
        </w:tc>
        <w:tc>
          <w:tcPr>
            <w:tcW w:w="1557" w:type="dxa"/>
            <w:shd w:val="clear" w:color="auto" w:fill="auto"/>
            <w:vAlign w:val="center"/>
          </w:tcPr>
          <w:p w14:paraId="026B1620">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lang w:eastAsia="zh-CN"/>
              </w:rPr>
              <w:t>废配件</w:t>
            </w:r>
          </w:p>
        </w:tc>
        <w:tc>
          <w:tcPr>
            <w:tcW w:w="1554" w:type="dxa"/>
            <w:shd w:val="clear" w:color="auto" w:fill="auto"/>
            <w:vAlign w:val="center"/>
          </w:tcPr>
          <w:p w14:paraId="2A895655">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48" w:type="dxa"/>
            <w:shd w:val="clear" w:color="auto" w:fill="auto"/>
            <w:vAlign w:val="center"/>
          </w:tcPr>
          <w:p w14:paraId="3439BA08">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54" w:type="dxa"/>
            <w:shd w:val="clear" w:color="auto" w:fill="auto"/>
            <w:vAlign w:val="center"/>
          </w:tcPr>
          <w:p w14:paraId="0B4490CC">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5D3611C5">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0.3t/a</w:t>
            </w:r>
          </w:p>
        </w:tc>
        <w:tc>
          <w:tcPr>
            <w:tcW w:w="1554" w:type="dxa"/>
            <w:shd w:val="clear" w:color="auto" w:fill="auto"/>
            <w:vAlign w:val="center"/>
          </w:tcPr>
          <w:p w14:paraId="6CF77656">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0825DDED">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0.3t/a</w:t>
            </w:r>
          </w:p>
        </w:tc>
        <w:tc>
          <w:tcPr>
            <w:tcW w:w="1548" w:type="dxa"/>
            <w:vAlign w:val="center"/>
          </w:tcPr>
          <w:p w14:paraId="234D036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14:paraId="6ED55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Merge w:val="continue"/>
            <w:vAlign w:val="center"/>
          </w:tcPr>
          <w:p w14:paraId="77C5A8A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p>
        </w:tc>
        <w:tc>
          <w:tcPr>
            <w:tcW w:w="1557" w:type="dxa"/>
            <w:shd w:val="clear" w:color="auto" w:fill="auto"/>
            <w:vAlign w:val="center"/>
          </w:tcPr>
          <w:p w14:paraId="56C29E1B">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生活垃圾</w:t>
            </w:r>
          </w:p>
        </w:tc>
        <w:tc>
          <w:tcPr>
            <w:tcW w:w="1554" w:type="dxa"/>
            <w:shd w:val="clear" w:color="auto" w:fill="auto"/>
            <w:vAlign w:val="center"/>
          </w:tcPr>
          <w:p w14:paraId="5A5DD859">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48" w:type="dxa"/>
            <w:shd w:val="clear" w:color="auto" w:fill="auto"/>
            <w:vAlign w:val="center"/>
          </w:tcPr>
          <w:p w14:paraId="389F0D93">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554" w:type="dxa"/>
            <w:shd w:val="clear" w:color="auto" w:fill="auto"/>
            <w:vAlign w:val="center"/>
          </w:tcPr>
          <w:p w14:paraId="6CFFBED8">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6C491D12">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1.</w:t>
            </w:r>
            <w:r>
              <w:rPr>
                <w:rFonts w:hint="default" w:ascii="Times New Roman" w:hAnsi="Times New Roman" w:eastAsia="宋体" w:cs="Times New Roman"/>
                <w:snapToGrid w:val="0"/>
                <w:color w:val="auto"/>
                <w:kern w:val="21"/>
                <w:sz w:val="24"/>
                <w:szCs w:val="24"/>
                <w:lang w:val="en-US" w:eastAsia="zh-CN"/>
              </w:rPr>
              <w:t>5</w:t>
            </w:r>
            <w:r>
              <w:rPr>
                <w:rFonts w:hint="default" w:ascii="Times New Roman" w:hAnsi="Times New Roman" w:eastAsia="宋体" w:cs="Times New Roman"/>
                <w:snapToGrid w:val="0"/>
                <w:color w:val="auto"/>
                <w:kern w:val="21"/>
                <w:sz w:val="24"/>
                <w:szCs w:val="24"/>
              </w:rPr>
              <w:t>t/a</w:t>
            </w:r>
          </w:p>
        </w:tc>
        <w:tc>
          <w:tcPr>
            <w:tcW w:w="1554" w:type="dxa"/>
            <w:shd w:val="clear" w:color="auto" w:fill="auto"/>
            <w:vAlign w:val="center"/>
          </w:tcPr>
          <w:p w14:paraId="7C009A0C">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w:t>
            </w:r>
          </w:p>
        </w:tc>
        <w:tc>
          <w:tcPr>
            <w:tcW w:w="1656" w:type="dxa"/>
            <w:shd w:val="clear" w:color="auto" w:fill="auto"/>
            <w:vAlign w:val="center"/>
          </w:tcPr>
          <w:p w14:paraId="3F9E9CBF">
            <w:pPr>
              <w:keepNext w:val="0"/>
              <w:pageBreakBefore w:val="0"/>
              <w:wordWrap/>
              <w:bidi w:val="0"/>
              <w:spacing w:beforeAutospacing="0" w:afterAutospacing="0"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lang w:val="en-US" w:eastAsia="zh-CN" w:bidi="ar-SA"/>
              </w:rPr>
            </w:pPr>
            <w:r>
              <w:rPr>
                <w:rFonts w:hint="default" w:ascii="Times New Roman" w:hAnsi="Times New Roman" w:eastAsia="宋体" w:cs="Times New Roman"/>
                <w:snapToGrid w:val="0"/>
                <w:color w:val="auto"/>
                <w:kern w:val="21"/>
                <w:sz w:val="24"/>
                <w:szCs w:val="24"/>
              </w:rPr>
              <w:t>1.</w:t>
            </w:r>
            <w:r>
              <w:rPr>
                <w:rFonts w:hint="default" w:ascii="Times New Roman" w:hAnsi="Times New Roman" w:eastAsia="宋体" w:cs="Times New Roman"/>
                <w:snapToGrid w:val="0"/>
                <w:color w:val="auto"/>
                <w:kern w:val="21"/>
                <w:sz w:val="24"/>
                <w:szCs w:val="24"/>
                <w:lang w:val="en-US" w:eastAsia="zh-CN"/>
              </w:rPr>
              <w:t>5</w:t>
            </w:r>
            <w:r>
              <w:rPr>
                <w:rFonts w:hint="default" w:ascii="Times New Roman" w:hAnsi="Times New Roman" w:eastAsia="宋体" w:cs="Times New Roman"/>
                <w:snapToGrid w:val="0"/>
                <w:color w:val="auto"/>
                <w:kern w:val="21"/>
                <w:sz w:val="24"/>
                <w:szCs w:val="24"/>
              </w:rPr>
              <w:t>t/a</w:t>
            </w:r>
          </w:p>
        </w:tc>
        <w:tc>
          <w:tcPr>
            <w:tcW w:w="1548" w:type="dxa"/>
            <w:vAlign w:val="center"/>
          </w:tcPr>
          <w:p w14:paraId="4772574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w:t>
            </w:r>
          </w:p>
        </w:tc>
      </w:tr>
      <w:tr w14:paraId="09139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46" w:type="dxa"/>
            <w:vAlign w:val="center"/>
          </w:tcPr>
          <w:p w14:paraId="0CDD720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z w:val="24"/>
                <w:szCs w:val="24"/>
                <w:vertAlign w:val="baseline"/>
                <w:lang w:eastAsia="zh-CN"/>
              </w:rPr>
              <w:t>危险废物</w:t>
            </w:r>
          </w:p>
        </w:tc>
        <w:tc>
          <w:tcPr>
            <w:tcW w:w="1557" w:type="dxa"/>
            <w:vAlign w:val="center"/>
          </w:tcPr>
          <w:p w14:paraId="1DED63F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3FD76EC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48" w:type="dxa"/>
            <w:vAlign w:val="center"/>
          </w:tcPr>
          <w:p w14:paraId="0EFF9D5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3176B4C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656" w:type="dxa"/>
            <w:vAlign w:val="center"/>
          </w:tcPr>
          <w:p w14:paraId="7395201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54" w:type="dxa"/>
            <w:vAlign w:val="center"/>
          </w:tcPr>
          <w:p w14:paraId="1296A1F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656" w:type="dxa"/>
            <w:vAlign w:val="center"/>
          </w:tcPr>
          <w:p w14:paraId="005B03F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c>
          <w:tcPr>
            <w:tcW w:w="1548" w:type="dxa"/>
            <w:vAlign w:val="center"/>
          </w:tcPr>
          <w:p w14:paraId="1309A9D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sz w:val="24"/>
                <w:szCs w:val="24"/>
                <w:vertAlign w:val="baseline"/>
                <w:lang w:val="en-US" w:eastAsia="zh-CN"/>
              </w:rPr>
              <w:t>/</w:t>
            </w:r>
          </w:p>
        </w:tc>
      </w:tr>
    </w:tbl>
    <w:p w14:paraId="2C9937C9">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p w14:paraId="01755FC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p w14:paraId="4799EDE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p w14:paraId="6833DAF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p w14:paraId="61F20DD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sectPr>
          <w:pgSz w:w="16838" w:h="11906" w:orient="landscape"/>
          <w:pgMar w:top="1440" w:right="1800" w:bottom="1440" w:left="1800" w:header="851" w:footer="992" w:gutter="0"/>
          <w:pgNumType w:fmt="decimal"/>
          <w:cols w:space="425" w:num="1"/>
          <w:docGrid w:type="lines" w:linePitch="312" w:charSpace="0"/>
        </w:sectPr>
      </w:pPr>
    </w:p>
    <w:p w14:paraId="64E59305">
      <w:pPr>
        <w:keepNext w:val="0"/>
        <w:keepLines w:val="0"/>
        <w:pageBreakBefore w:val="0"/>
        <w:kinsoku/>
        <w:wordWrap/>
        <w:overflowPunct/>
        <w:topLinePunct w:val="0"/>
        <w:bidi w:val="0"/>
        <w:spacing w:beforeAutospacing="0" w:afterAutospacing="0"/>
        <w:ind w:left="0" w:leftChars="0" w:right="0" w:rightChars="0"/>
        <w:jc w:val="center"/>
        <w:rPr>
          <w:rFonts w:hint="default" w:ascii="Times New Roman" w:hAnsi="Times New Roman" w:eastAsia="宋体" w:cs="Times New Roman"/>
          <w:color w:val="auto"/>
          <w:highlight w:val="none"/>
          <w:lang w:eastAsia="zh-CN"/>
        </w:rPr>
      </w:pPr>
    </w:p>
    <w:p w14:paraId="74D62C85">
      <w:pPr>
        <w:keepNext w:val="0"/>
        <w:keepLines w:val="0"/>
        <w:pageBreakBefore w:val="0"/>
        <w:kinsoku/>
        <w:wordWrap/>
        <w:overflowPunct/>
        <w:topLinePunct w:val="0"/>
        <w:bidi w:val="0"/>
        <w:spacing w:beforeAutospacing="0" w:afterAutospacing="0"/>
        <w:ind w:left="0" w:leftChars="0" w:right="0" w:rightChars="0"/>
        <w:jc w:val="center"/>
        <w:rPr>
          <w:rFonts w:hint="default" w:ascii="Times New Roman" w:hAnsi="Times New Roman" w:eastAsia="宋体" w:cs="Times New Roman"/>
          <w:color w:val="auto"/>
          <w:highlight w:val="none"/>
          <w:lang w:eastAsia="zh-CN"/>
        </w:rPr>
      </w:pPr>
    </w:p>
    <w:p w14:paraId="606EB217">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435C5DD1">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40289A86">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4FC46F03">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C175AD6">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40"/>
          <w:szCs w:val="48"/>
          <w:highlight w:val="none"/>
          <w:lang w:eastAsia="zh-CN"/>
        </w:rPr>
      </w:pPr>
      <w:r>
        <w:rPr>
          <w:rFonts w:hint="default" w:ascii="Times New Roman" w:hAnsi="Times New Roman" w:eastAsia="宋体" w:cs="Times New Roman"/>
          <w:b/>
          <w:bCs/>
          <w:color w:val="auto"/>
          <w:sz w:val="40"/>
          <w:szCs w:val="48"/>
          <w:highlight w:val="none"/>
          <w:lang w:eastAsia="zh-CN"/>
        </w:rPr>
        <w:t>乌拉特中旗福顺氧气供应有限公司工业气体及特种气体、标准气体储存充装项目</w:t>
      </w:r>
    </w:p>
    <w:p w14:paraId="1F6CD1EA">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40"/>
          <w:szCs w:val="48"/>
          <w:highlight w:val="none"/>
          <w:lang w:val="en-US" w:eastAsia="zh-CN"/>
        </w:rPr>
      </w:pPr>
      <w:r>
        <w:rPr>
          <w:rFonts w:hint="default" w:ascii="Times New Roman" w:hAnsi="Times New Roman" w:eastAsia="宋体" w:cs="Times New Roman"/>
          <w:b/>
          <w:bCs/>
          <w:color w:val="auto"/>
          <w:sz w:val="40"/>
          <w:szCs w:val="48"/>
          <w:highlight w:val="none"/>
          <w:lang w:val="en-US" w:eastAsia="zh-CN"/>
        </w:rPr>
        <w:t>环境风险影响专项评价</w:t>
      </w:r>
    </w:p>
    <w:p w14:paraId="78009EC9">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1799D25F">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081FA73">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0D355E19">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9F29593">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FA3954B">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86AC28D">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6A11ACB3">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6A1A2E4B">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1A5609D1">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867CC98">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5A7DD9C4">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727C3B46">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48708D87">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1142AEFB">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3BB09B10">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32"/>
          <w:szCs w:val="40"/>
          <w:highlight w:val="none"/>
          <w:lang w:eastAsia="zh-CN"/>
        </w:rPr>
      </w:pPr>
    </w:p>
    <w:p w14:paraId="4E7711FB">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32"/>
          <w:szCs w:val="40"/>
          <w:highlight w:val="none"/>
          <w:lang w:eastAsia="zh-CN"/>
        </w:rPr>
      </w:pPr>
      <w:r>
        <w:rPr>
          <w:rFonts w:hint="default" w:ascii="Times New Roman" w:hAnsi="Times New Roman" w:eastAsia="宋体" w:cs="Times New Roman"/>
          <w:b/>
          <w:bCs/>
          <w:color w:val="auto"/>
          <w:sz w:val="32"/>
          <w:szCs w:val="40"/>
          <w:highlight w:val="none"/>
          <w:lang w:eastAsia="zh-CN"/>
        </w:rPr>
        <w:t>内蒙古百霖环保科技有限公司</w:t>
      </w:r>
    </w:p>
    <w:p w14:paraId="6F6E20E6">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b/>
          <w:bCs/>
          <w:color w:val="auto"/>
          <w:sz w:val="32"/>
          <w:szCs w:val="40"/>
          <w:highlight w:val="none"/>
          <w:lang w:eastAsia="zh-CN"/>
        </w:rPr>
      </w:pPr>
      <w:r>
        <w:rPr>
          <w:rFonts w:hint="default" w:ascii="Times New Roman" w:hAnsi="Times New Roman" w:eastAsia="宋体" w:cs="Times New Roman"/>
          <w:b/>
          <w:bCs/>
          <w:color w:val="auto"/>
          <w:sz w:val="32"/>
          <w:szCs w:val="40"/>
          <w:highlight w:val="none"/>
          <w:lang w:eastAsia="zh-CN"/>
        </w:rPr>
        <w:t>2025年</w:t>
      </w:r>
      <w:r>
        <w:rPr>
          <w:rFonts w:hint="default" w:ascii="Times New Roman" w:hAnsi="Times New Roman" w:eastAsia="宋体" w:cs="Times New Roman"/>
          <w:b/>
          <w:bCs/>
          <w:color w:val="auto"/>
          <w:sz w:val="32"/>
          <w:szCs w:val="40"/>
          <w:highlight w:val="none"/>
          <w:lang w:val="en-US" w:eastAsia="zh-CN"/>
        </w:rPr>
        <w:t>6</w:t>
      </w:r>
      <w:r>
        <w:rPr>
          <w:rFonts w:hint="default" w:ascii="Times New Roman" w:hAnsi="Times New Roman" w:eastAsia="宋体" w:cs="Times New Roman"/>
          <w:b/>
          <w:bCs/>
          <w:color w:val="auto"/>
          <w:sz w:val="32"/>
          <w:szCs w:val="40"/>
          <w:highlight w:val="none"/>
          <w:lang w:eastAsia="zh-CN"/>
        </w:rPr>
        <w:t>月</w:t>
      </w:r>
    </w:p>
    <w:p w14:paraId="56686BDA">
      <w:pPr>
        <w:keepNext w:val="0"/>
        <w:keepLines w:val="0"/>
        <w:pageBreakBefore w:val="0"/>
        <w:kinsoku/>
        <w:wordWrap/>
        <w:overflowPunct/>
        <w:topLinePunct w:val="0"/>
        <w:bidi w:val="0"/>
        <w:spacing w:beforeAutospacing="0" w:afterAutospacing="0" w:line="360" w:lineRule="auto"/>
        <w:ind w:left="0" w:leftChars="0" w:right="0" w:rightChars="0"/>
        <w:jc w:val="center"/>
        <w:rPr>
          <w:rFonts w:hint="default" w:ascii="Times New Roman" w:hAnsi="Times New Roman" w:eastAsia="宋体" w:cs="Times New Roman"/>
          <w:color w:val="auto"/>
          <w:highlight w:val="none"/>
          <w:lang w:eastAsia="zh-CN"/>
        </w:rPr>
      </w:pPr>
    </w:p>
    <w:p w14:paraId="12955951">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kern w:val="0"/>
          <w:sz w:val="24"/>
          <w:lang w:val="en-US" w:eastAsia="zh-CN"/>
        </w:rPr>
      </w:pPr>
      <w:r>
        <w:rPr>
          <w:rFonts w:hint="default" w:ascii="Times New Roman" w:hAnsi="Times New Roman" w:eastAsia="宋体" w:cs="Times New Roman"/>
          <w:b/>
          <w:bCs/>
          <w:color w:val="auto"/>
          <w:kern w:val="0"/>
          <w:sz w:val="24"/>
          <w:lang w:val="en-US" w:eastAsia="zh-CN"/>
        </w:rPr>
        <w:t>1、环境风险评价目的</w:t>
      </w:r>
    </w:p>
    <w:p w14:paraId="60E0F245">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kern w:val="0"/>
          <w:sz w:val="24"/>
          <w:lang w:val="en-US" w:eastAsia="zh-CN"/>
        </w:rPr>
      </w:pPr>
      <w:r>
        <w:rPr>
          <w:rFonts w:hint="default" w:ascii="Times New Roman" w:hAnsi="Times New Roman" w:eastAsia="宋体" w:cs="Times New Roman"/>
          <w:b w:val="0"/>
          <w:bCs w:val="0"/>
          <w:color w:val="auto"/>
          <w:kern w:val="0"/>
          <w:sz w:val="24"/>
          <w:lang w:val="en-US" w:eastAsia="zh-CN"/>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控水平。</w:t>
      </w:r>
    </w:p>
    <w:p w14:paraId="6C7EFF1C">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kern w:val="0"/>
          <w:sz w:val="24"/>
          <w:lang w:val="en-US" w:eastAsia="zh-CN"/>
        </w:rPr>
      </w:pPr>
      <w:r>
        <w:rPr>
          <w:rFonts w:hint="default" w:ascii="Times New Roman" w:hAnsi="Times New Roman" w:eastAsia="宋体" w:cs="Times New Roman"/>
          <w:b w:val="0"/>
          <w:bCs w:val="0"/>
          <w:color w:val="auto"/>
          <w:kern w:val="0"/>
          <w:sz w:val="24"/>
          <w:lang w:val="en-US" w:eastAsia="zh-CN"/>
        </w:rPr>
        <w:t>根据《关于进一步加强环境影响评价管理防范环境风险的通知》（环发[2012]77号）精神，本次风险评价拟按照《建设项目环境风险评价技术导则》（HJ169-2018）的要求，通过对风险源和环境敏感目标的调查，进行环境风险潜势初判，确定项目危险性和环境敏感性，确定风险潜势和评价等级，识别潜在的风险，进行风险事故情形分析和风险预测与评价，提出环境风险管理措施。本风险评价着重评价事故引起厂界外人群的伤害、环境质量的恶化及对生态系统影响的预测和防护。</w:t>
      </w:r>
    </w:p>
    <w:p w14:paraId="0770B6B4">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kern w:val="0"/>
          <w:sz w:val="24"/>
          <w:lang w:val="en-US" w:eastAsia="zh-CN"/>
        </w:rPr>
      </w:pPr>
      <w:r>
        <w:rPr>
          <w:rFonts w:hint="default" w:ascii="Times New Roman" w:hAnsi="Times New Roman" w:eastAsia="宋体" w:cs="Times New Roman"/>
          <w:b/>
          <w:bCs/>
          <w:color w:val="auto"/>
          <w:kern w:val="0"/>
          <w:sz w:val="24"/>
          <w:lang w:val="en-US" w:eastAsia="zh-CN"/>
        </w:rPr>
        <w:t>2、评价工作等级、评价范围</w:t>
      </w:r>
    </w:p>
    <w:p w14:paraId="75DABE4C">
      <w:pPr>
        <w:pStyle w:val="6"/>
        <w:keepNext w:val="0"/>
        <w:keepLines w:val="0"/>
        <w:pageBreakBefore w:val="0"/>
        <w:widowControl/>
        <w:tabs>
          <w:tab w:val="left" w:pos="780"/>
        </w:tabs>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i w:val="0"/>
          <w:iCs w:val="0"/>
          <w:color w:val="auto"/>
          <w:sz w:val="24"/>
          <w:szCs w:val="18"/>
          <w:lang w:eastAsia="zh-CN"/>
        </w:rPr>
      </w:pPr>
      <w:r>
        <w:rPr>
          <w:rFonts w:hint="default" w:ascii="Times New Roman" w:hAnsi="Times New Roman" w:eastAsia="宋体" w:cs="Times New Roman"/>
          <w:b/>
          <w:bCs/>
          <w:i w:val="0"/>
          <w:iCs w:val="0"/>
          <w:color w:val="auto"/>
          <w:sz w:val="24"/>
          <w:szCs w:val="18"/>
          <w:lang w:val="en-US" w:eastAsia="zh-CN"/>
        </w:rPr>
        <w:t>2.1</w:t>
      </w:r>
      <w:r>
        <w:rPr>
          <w:rFonts w:hint="default" w:ascii="Times New Roman" w:hAnsi="Times New Roman" w:eastAsia="宋体" w:cs="Times New Roman"/>
          <w:b/>
          <w:bCs/>
          <w:i w:val="0"/>
          <w:iCs w:val="0"/>
          <w:color w:val="auto"/>
          <w:sz w:val="24"/>
          <w:szCs w:val="18"/>
        </w:rPr>
        <w:t>评价</w:t>
      </w:r>
      <w:r>
        <w:rPr>
          <w:rFonts w:hint="default" w:ascii="Times New Roman" w:hAnsi="Times New Roman" w:eastAsia="宋体" w:cs="Times New Roman"/>
          <w:b/>
          <w:bCs/>
          <w:i w:val="0"/>
          <w:iCs w:val="0"/>
          <w:color w:val="auto"/>
          <w:sz w:val="24"/>
          <w:szCs w:val="18"/>
          <w:lang w:val="en-US" w:eastAsia="zh-CN"/>
        </w:rPr>
        <w:t>工作</w:t>
      </w:r>
      <w:r>
        <w:rPr>
          <w:rFonts w:hint="default" w:ascii="Times New Roman" w:hAnsi="Times New Roman" w:eastAsia="宋体" w:cs="Times New Roman"/>
          <w:b/>
          <w:bCs/>
          <w:i w:val="0"/>
          <w:iCs w:val="0"/>
          <w:color w:val="auto"/>
          <w:sz w:val="24"/>
          <w:szCs w:val="18"/>
        </w:rPr>
        <w:t>等级</w:t>
      </w:r>
      <w:r>
        <w:rPr>
          <w:rFonts w:hint="default" w:ascii="Times New Roman" w:hAnsi="Times New Roman" w:eastAsia="宋体" w:cs="Times New Roman"/>
          <w:b/>
          <w:bCs/>
          <w:i w:val="0"/>
          <w:iCs w:val="0"/>
          <w:color w:val="auto"/>
          <w:sz w:val="24"/>
          <w:szCs w:val="18"/>
          <w:lang w:val="en-US" w:eastAsia="zh-CN"/>
        </w:rPr>
        <w:t>划分</w:t>
      </w:r>
    </w:p>
    <w:p w14:paraId="4184729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i w:val="0"/>
          <w:iCs w:val="0"/>
          <w:color w:val="auto"/>
          <w:sz w:val="24"/>
          <w:szCs w:val="24"/>
        </w:rPr>
      </w:pPr>
      <w:r>
        <w:rPr>
          <w:rFonts w:hint="default" w:ascii="Times New Roman" w:hAnsi="Times New Roman" w:eastAsia="宋体" w:cs="Times New Roman"/>
          <w:i w:val="0"/>
          <w:iCs w:val="0"/>
          <w:color w:val="auto"/>
          <w:sz w:val="24"/>
          <w:szCs w:val="24"/>
        </w:rPr>
        <w:t>根据《建设项目环境风险评价技术导则》</w:t>
      </w:r>
      <w:r>
        <w:rPr>
          <w:rFonts w:hint="default" w:ascii="Times New Roman" w:hAnsi="Times New Roman" w:eastAsia="宋体" w:cs="Times New Roman"/>
          <w:i w:val="0"/>
          <w:iCs w:val="0"/>
          <w:color w:val="auto"/>
          <w:sz w:val="24"/>
          <w:szCs w:val="24"/>
          <w:lang w:eastAsia="zh-CN"/>
        </w:rPr>
        <w:t>（</w:t>
      </w:r>
      <w:r>
        <w:rPr>
          <w:rFonts w:hint="default" w:ascii="Times New Roman" w:hAnsi="Times New Roman" w:eastAsia="宋体" w:cs="Times New Roman"/>
          <w:i w:val="0"/>
          <w:iCs w:val="0"/>
          <w:color w:val="auto"/>
          <w:sz w:val="24"/>
          <w:szCs w:val="24"/>
        </w:rPr>
        <w:t>HJ169-2018</w:t>
      </w:r>
      <w:r>
        <w:rPr>
          <w:rFonts w:hint="default" w:ascii="Times New Roman" w:hAnsi="Times New Roman" w:eastAsia="宋体" w:cs="Times New Roman"/>
          <w:i w:val="0"/>
          <w:iCs w:val="0"/>
          <w:color w:val="auto"/>
          <w:sz w:val="24"/>
          <w:szCs w:val="24"/>
          <w:lang w:eastAsia="zh-CN"/>
        </w:rPr>
        <w:t>）</w:t>
      </w:r>
      <w:r>
        <w:rPr>
          <w:rFonts w:hint="default" w:ascii="Times New Roman" w:hAnsi="Times New Roman" w:eastAsia="宋体" w:cs="Times New Roman"/>
          <w:i w:val="0"/>
          <w:iCs w:val="0"/>
          <w:color w:val="auto"/>
          <w:sz w:val="24"/>
          <w:szCs w:val="24"/>
        </w:rPr>
        <w:t>，环境风险评价工作等级划分为一级、二级、三级。根据建设项目涉及的物质及工艺系统危险性和所在地的环境敏感性确定环境风险潜势，按照表</w:t>
      </w:r>
      <w:r>
        <w:rPr>
          <w:rFonts w:hint="default" w:ascii="Times New Roman" w:hAnsi="Times New Roman" w:eastAsia="宋体" w:cs="Times New Roman"/>
          <w:i w:val="0"/>
          <w:iCs w:val="0"/>
          <w:color w:val="auto"/>
          <w:sz w:val="24"/>
          <w:szCs w:val="24"/>
          <w:lang w:val="en-US" w:eastAsia="zh-CN"/>
        </w:rPr>
        <w:t>1</w:t>
      </w:r>
      <w:r>
        <w:rPr>
          <w:rFonts w:hint="default" w:ascii="Times New Roman" w:hAnsi="Times New Roman" w:eastAsia="宋体" w:cs="Times New Roman"/>
          <w:i w:val="0"/>
          <w:iCs w:val="0"/>
          <w:color w:val="auto"/>
          <w:sz w:val="24"/>
          <w:szCs w:val="24"/>
        </w:rPr>
        <w:t>评价工作等级。风险潜势为Ⅳ及以上，进行一级评价；风险潜势为Ⅲ，进行二级评价；风险潜势为Ⅱ，进行三级评价；风险潜势为Ⅰ，开展简单分析。</w:t>
      </w:r>
    </w:p>
    <w:p w14:paraId="6B22CC8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i w:val="0"/>
          <w:iCs w:val="0"/>
          <w:color w:val="auto"/>
          <w:sz w:val="24"/>
          <w:szCs w:val="24"/>
        </w:rPr>
      </w:pPr>
      <w:r>
        <w:rPr>
          <w:rFonts w:hint="default" w:ascii="Times New Roman" w:hAnsi="Times New Roman" w:eastAsia="宋体" w:cs="Times New Roman"/>
          <w:b/>
          <w:bCs/>
          <w:i w:val="0"/>
          <w:iCs w:val="0"/>
          <w:color w:val="auto"/>
          <w:sz w:val="24"/>
          <w:szCs w:val="24"/>
        </w:rPr>
        <w:t>表</w:t>
      </w:r>
      <w:r>
        <w:rPr>
          <w:rFonts w:hint="default" w:ascii="Times New Roman" w:hAnsi="Times New Roman" w:eastAsia="宋体" w:cs="Times New Roman"/>
          <w:b/>
          <w:bCs/>
          <w:i w:val="0"/>
          <w:iCs w:val="0"/>
          <w:color w:val="auto"/>
          <w:sz w:val="24"/>
          <w:szCs w:val="24"/>
          <w:lang w:val="en-US" w:eastAsia="zh-CN"/>
        </w:rPr>
        <w:t xml:space="preserve">1  </w:t>
      </w:r>
      <w:r>
        <w:rPr>
          <w:rFonts w:hint="default" w:ascii="Times New Roman" w:hAnsi="Times New Roman" w:eastAsia="宋体" w:cs="Times New Roman"/>
          <w:b/>
          <w:bCs/>
          <w:i w:val="0"/>
          <w:iCs w:val="0"/>
          <w:color w:val="auto"/>
          <w:sz w:val="24"/>
          <w:szCs w:val="24"/>
        </w:rPr>
        <w:t>评价工作等级划分</w:t>
      </w:r>
    </w:p>
    <w:tbl>
      <w:tblPr>
        <w:tblStyle w:val="31"/>
        <w:tblW w:w="5000"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autofit"/>
        <w:tblCellMar>
          <w:top w:w="0" w:type="dxa"/>
          <w:left w:w="108" w:type="dxa"/>
          <w:bottom w:w="0" w:type="dxa"/>
          <w:right w:w="108" w:type="dxa"/>
        </w:tblCellMar>
      </w:tblPr>
      <w:tblGrid>
        <w:gridCol w:w="1595"/>
        <w:gridCol w:w="1505"/>
        <w:gridCol w:w="1732"/>
        <w:gridCol w:w="1732"/>
        <w:gridCol w:w="1958"/>
      </w:tblGrid>
      <w:tr w14:paraId="1C5325D8">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936" w:type="pct"/>
            <w:tcBorders>
              <w:bottom w:val="single" w:color="000000" w:sz="6" w:space="0"/>
              <w:right w:val="single" w:color="000000" w:sz="6" w:space="0"/>
            </w:tcBorders>
            <w:vAlign w:val="center"/>
          </w:tcPr>
          <w:p w14:paraId="2A746DA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环境风险潜势</w:t>
            </w:r>
          </w:p>
        </w:tc>
        <w:tc>
          <w:tcPr>
            <w:tcW w:w="883" w:type="pct"/>
            <w:tcBorders>
              <w:left w:val="single" w:color="000000" w:sz="6" w:space="0"/>
              <w:bottom w:val="single" w:color="000000" w:sz="6" w:space="0"/>
              <w:right w:val="single" w:color="000000" w:sz="6" w:space="0"/>
            </w:tcBorders>
            <w:vAlign w:val="center"/>
          </w:tcPr>
          <w:p w14:paraId="06F4405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Ⅳ、Ⅳ+</w:t>
            </w:r>
          </w:p>
        </w:tc>
        <w:tc>
          <w:tcPr>
            <w:tcW w:w="1016" w:type="pct"/>
            <w:tcBorders>
              <w:left w:val="single" w:color="000000" w:sz="6" w:space="0"/>
              <w:bottom w:val="single" w:color="000000" w:sz="6" w:space="0"/>
              <w:right w:val="single" w:color="000000" w:sz="6" w:space="0"/>
            </w:tcBorders>
            <w:vAlign w:val="center"/>
          </w:tcPr>
          <w:p w14:paraId="5821236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Ⅲ</w:t>
            </w:r>
          </w:p>
        </w:tc>
        <w:tc>
          <w:tcPr>
            <w:tcW w:w="1016" w:type="pct"/>
            <w:tcBorders>
              <w:left w:val="single" w:color="000000" w:sz="6" w:space="0"/>
              <w:bottom w:val="single" w:color="000000" w:sz="6" w:space="0"/>
              <w:right w:val="single" w:color="000000" w:sz="6" w:space="0"/>
            </w:tcBorders>
            <w:vAlign w:val="center"/>
          </w:tcPr>
          <w:p w14:paraId="03DD62F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Ⅱ</w:t>
            </w:r>
          </w:p>
        </w:tc>
        <w:tc>
          <w:tcPr>
            <w:tcW w:w="1149" w:type="pct"/>
            <w:tcBorders>
              <w:left w:val="single" w:color="000000" w:sz="6" w:space="0"/>
              <w:bottom w:val="single" w:color="000000" w:sz="6" w:space="0"/>
            </w:tcBorders>
            <w:vAlign w:val="center"/>
          </w:tcPr>
          <w:p w14:paraId="35F9EF9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Ⅰ</w:t>
            </w:r>
          </w:p>
        </w:tc>
      </w:tr>
      <w:tr w14:paraId="4B0A7749">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936" w:type="pct"/>
            <w:tcBorders>
              <w:top w:val="single" w:color="000000" w:sz="6" w:space="0"/>
              <w:bottom w:val="single" w:color="000000" w:sz="6" w:space="0"/>
              <w:right w:val="single" w:color="000000" w:sz="6" w:space="0"/>
            </w:tcBorders>
            <w:vAlign w:val="center"/>
          </w:tcPr>
          <w:p w14:paraId="7AE5BB5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评价工作等级</w:t>
            </w:r>
          </w:p>
        </w:tc>
        <w:tc>
          <w:tcPr>
            <w:tcW w:w="883" w:type="pct"/>
            <w:tcBorders>
              <w:top w:val="single" w:color="000000" w:sz="6" w:space="0"/>
              <w:left w:val="single" w:color="000000" w:sz="6" w:space="0"/>
              <w:bottom w:val="single" w:color="000000" w:sz="6" w:space="0"/>
              <w:right w:val="single" w:color="000000" w:sz="6" w:space="0"/>
            </w:tcBorders>
            <w:vAlign w:val="center"/>
          </w:tcPr>
          <w:p w14:paraId="52632A5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一</w:t>
            </w:r>
          </w:p>
        </w:tc>
        <w:tc>
          <w:tcPr>
            <w:tcW w:w="1016" w:type="pct"/>
            <w:tcBorders>
              <w:top w:val="single" w:color="000000" w:sz="6" w:space="0"/>
              <w:left w:val="single" w:color="000000" w:sz="6" w:space="0"/>
              <w:bottom w:val="single" w:color="000000" w:sz="6" w:space="0"/>
              <w:right w:val="single" w:color="000000" w:sz="6" w:space="0"/>
            </w:tcBorders>
            <w:vAlign w:val="center"/>
          </w:tcPr>
          <w:p w14:paraId="52F8642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二</w:t>
            </w:r>
          </w:p>
        </w:tc>
        <w:tc>
          <w:tcPr>
            <w:tcW w:w="1016" w:type="pct"/>
            <w:tcBorders>
              <w:top w:val="single" w:color="000000" w:sz="6" w:space="0"/>
              <w:left w:val="single" w:color="000000" w:sz="6" w:space="0"/>
              <w:bottom w:val="single" w:color="000000" w:sz="6" w:space="0"/>
              <w:right w:val="single" w:color="000000" w:sz="6" w:space="0"/>
            </w:tcBorders>
            <w:vAlign w:val="center"/>
          </w:tcPr>
          <w:p w14:paraId="72D7A1E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三</w:t>
            </w:r>
          </w:p>
        </w:tc>
        <w:tc>
          <w:tcPr>
            <w:tcW w:w="1149" w:type="pct"/>
            <w:tcBorders>
              <w:top w:val="single" w:color="000000" w:sz="6" w:space="0"/>
              <w:left w:val="single" w:color="000000" w:sz="6" w:space="0"/>
              <w:bottom w:val="single" w:color="000000" w:sz="6" w:space="0"/>
            </w:tcBorders>
            <w:vAlign w:val="center"/>
          </w:tcPr>
          <w:p w14:paraId="2B381A3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简单分析a</w:t>
            </w:r>
          </w:p>
        </w:tc>
      </w:tr>
      <w:tr w14:paraId="03444062">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000" w:type="pct"/>
            <w:gridSpan w:val="5"/>
            <w:tcBorders>
              <w:top w:val="single" w:color="000000" w:sz="6" w:space="0"/>
            </w:tcBorders>
            <w:vAlign w:val="center"/>
          </w:tcPr>
          <w:p w14:paraId="7895DD6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sz w:val="21"/>
                <w:szCs w:val="21"/>
              </w:rPr>
            </w:pPr>
            <w:r>
              <w:rPr>
                <w:rFonts w:hint="default" w:ascii="Times New Roman" w:hAnsi="Times New Roman" w:eastAsia="宋体" w:cs="Times New Roman"/>
                <w:i w:val="0"/>
                <w:iCs w:val="0"/>
                <w:color w:val="auto"/>
                <w:sz w:val="21"/>
                <w:szCs w:val="21"/>
              </w:rPr>
              <w:t>a是相对于详细评价工作内容而言，在描述危险物质、环境影响途径、环境危害后果、风险防范措施等方面给出定性的说明。见附录导则A。</w:t>
            </w:r>
          </w:p>
        </w:tc>
      </w:tr>
    </w:tbl>
    <w:p w14:paraId="2DB3278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2.2危险物质及工艺系统危险性（P）分级</w:t>
      </w:r>
    </w:p>
    <w:p w14:paraId="1794AFA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2.2.1危险物质数量与临界量比值（Q）</w:t>
      </w:r>
    </w:p>
    <w:p w14:paraId="68EE393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根据《建设项目环境风险评价技术导则》（</w:t>
      </w:r>
      <w:r>
        <w:rPr>
          <w:rFonts w:hint="default" w:ascii="Times New Roman" w:hAnsi="Times New Roman" w:eastAsia="宋体" w:cs="Times New Roman"/>
          <w:color w:val="0000FF"/>
          <w:sz w:val="24"/>
          <w:szCs w:val="32"/>
          <w:lang w:eastAsia="zh-CN"/>
        </w:rPr>
        <w:t>HJ169</w:t>
      </w:r>
      <w:r>
        <w:rPr>
          <w:rFonts w:hint="default" w:ascii="Times New Roman" w:hAnsi="Times New Roman" w:eastAsia="宋体" w:cs="Times New Roman"/>
          <w:color w:val="0000FF"/>
          <w:sz w:val="24"/>
          <w:szCs w:val="32"/>
        </w:rPr>
        <w:t>-</w:t>
      </w:r>
      <w:r>
        <w:rPr>
          <w:rFonts w:hint="default" w:ascii="Times New Roman" w:hAnsi="Times New Roman" w:eastAsia="宋体" w:cs="Times New Roman"/>
          <w:color w:val="auto"/>
          <w:sz w:val="24"/>
          <w:szCs w:val="32"/>
        </w:rPr>
        <w:t>2018）附录B，计算所涉及的每种危险物质在厂界内的</w:t>
      </w:r>
      <w:r>
        <w:rPr>
          <w:rFonts w:hint="default" w:ascii="Times New Roman" w:hAnsi="Times New Roman" w:eastAsia="宋体" w:cs="Times New Roman"/>
          <w:color w:val="auto"/>
          <w:sz w:val="24"/>
          <w:szCs w:val="32"/>
          <w:lang w:eastAsia="zh-CN"/>
        </w:rPr>
        <w:t>最大</w:t>
      </w:r>
      <w:r>
        <w:rPr>
          <w:rFonts w:hint="default" w:ascii="Times New Roman" w:hAnsi="Times New Roman" w:eastAsia="宋体" w:cs="Times New Roman"/>
          <w:color w:val="auto"/>
          <w:sz w:val="24"/>
          <w:szCs w:val="32"/>
        </w:rPr>
        <w:t>总量与其在《建设项目环境风险评价技术导则》（HJ169-2018）附录B中对应临界量的比值Q。在不同厂区内的同一种物质，按照其在厂界内的最大存在总量计算。对于长输管线项目，按照两个截断阀室之间管段危险物质最大存在总量计算。</w:t>
      </w:r>
    </w:p>
    <w:p w14:paraId="7A4070A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当只涉及一种危险物质时，其计算物质的总量与其临界量比值，即Q；</w:t>
      </w:r>
    </w:p>
    <w:p w14:paraId="25BC369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当存在多种危险物质时，则按</w:t>
      </w:r>
      <w:r>
        <w:rPr>
          <w:rFonts w:hint="default" w:ascii="Times New Roman" w:hAnsi="Times New Roman" w:eastAsia="宋体" w:cs="Times New Roman"/>
          <w:color w:val="auto"/>
          <w:sz w:val="24"/>
          <w:szCs w:val="32"/>
          <w:lang w:eastAsia="zh-CN"/>
        </w:rPr>
        <w:t>照</w:t>
      </w:r>
      <w:r>
        <w:rPr>
          <w:rFonts w:hint="default" w:ascii="Times New Roman" w:hAnsi="Times New Roman" w:eastAsia="宋体" w:cs="Times New Roman"/>
          <w:color w:val="auto"/>
          <w:sz w:val="24"/>
          <w:szCs w:val="32"/>
        </w:rPr>
        <w:t>下式计算物质数量与其临界量比值（Q）</w:t>
      </w:r>
    </w:p>
    <w:p w14:paraId="040EB14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center"/>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position w:val="-30"/>
          <w:sz w:val="24"/>
          <w:szCs w:val="32"/>
        </w:rPr>
        <w:object>
          <v:shape id="_x0000_i1034" o:spt="75" type="#_x0000_t75" style="height:43.75pt;width:138.95pt;" o:ole="t" filled="f" o:preferrelative="t" stroked="f" coordsize="21600,21600">
            <v:path/>
            <v:fill on="f" focussize="0,0"/>
            <v:stroke on="f"/>
            <v:imagedata r:id="rId32" o:title=""/>
            <o:lock v:ext="edit" aspectratio="t"/>
            <w10:wrap type="none"/>
            <w10:anchorlock/>
          </v:shape>
          <o:OLEObject Type="Embed" ProgID="Equation.KSEE3" ShapeID="_x0000_i1034" DrawAspect="Content" ObjectID="_1468075734" r:id="rId31">
            <o:LockedField>false</o:LockedField>
          </o:OLEObject>
        </w:object>
      </w:r>
    </w:p>
    <w:p w14:paraId="58840BC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式中：q</w:t>
      </w:r>
      <w:r>
        <w:rPr>
          <w:rFonts w:hint="default" w:ascii="Times New Roman" w:hAnsi="Times New Roman" w:eastAsia="宋体" w:cs="Times New Roman"/>
          <w:color w:val="auto"/>
          <w:sz w:val="24"/>
          <w:szCs w:val="32"/>
          <w:vertAlign w:val="subscript"/>
        </w:rPr>
        <w:t>1</w:t>
      </w:r>
      <w:r>
        <w:rPr>
          <w:rFonts w:hint="default" w:ascii="Times New Roman" w:hAnsi="Times New Roman" w:eastAsia="宋体" w:cs="Times New Roman"/>
          <w:color w:val="auto"/>
          <w:sz w:val="24"/>
          <w:szCs w:val="32"/>
        </w:rPr>
        <w:t>，q</w:t>
      </w:r>
      <w:r>
        <w:rPr>
          <w:rFonts w:hint="default" w:ascii="Times New Roman" w:hAnsi="Times New Roman" w:eastAsia="宋体" w:cs="Times New Roman"/>
          <w:color w:val="auto"/>
          <w:sz w:val="24"/>
          <w:szCs w:val="32"/>
          <w:vertAlign w:val="subscript"/>
        </w:rPr>
        <w:t>2</w:t>
      </w:r>
      <w:r>
        <w:rPr>
          <w:rFonts w:hint="default" w:ascii="Times New Roman" w:hAnsi="Times New Roman" w:eastAsia="宋体" w:cs="Times New Roman"/>
          <w:color w:val="auto"/>
          <w:sz w:val="24"/>
          <w:szCs w:val="32"/>
        </w:rPr>
        <w:t>，…q</w:t>
      </w:r>
      <w:r>
        <w:rPr>
          <w:rFonts w:hint="default" w:ascii="Times New Roman" w:hAnsi="Times New Roman" w:eastAsia="宋体" w:cs="Times New Roman"/>
          <w:color w:val="auto"/>
          <w:sz w:val="24"/>
          <w:szCs w:val="32"/>
          <w:vertAlign w:val="subscript"/>
        </w:rPr>
        <w:t>n</w:t>
      </w:r>
      <w:r>
        <w:rPr>
          <w:rFonts w:hint="default" w:ascii="Times New Roman" w:hAnsi="Times New Roman" w:eastAsia="宋体" w:cs="Times New Roman"/>
          <w:color w:val="auto"/>
          <w:sz w:val="24"/>
          <w:szCs w:val="32"/>
        </w:rPr>
        <w:t>——每种危险物质的最大存在总量，t；</w:t>
      </w:r>
    </w:p>
    <w:p w14:paraId="646E3C4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Q</w:t>
      </w:r>
      <w:r>
        <w:rPr>
          <w:rFonts w:hint="default" w:ascii="Times New Roman" w:hAnsi="Times New Roman" w:eastAsia="宋体" w:cs="Times New Roman"/>
          <w:color w:val="auto"/>
          <w:sz w:val="24"/>
          <w:szCs w:val="32"/>
          <w:vertAlign w:val="subscript"/>
        </w:rPr>
        <w:t>1</w:t>
      </w:r>
      <w:r>
        <w:rPr>
          <w:rFonts w:hint="default" w:ascii="Times New Roman" w:hAnsi="Times New Roman" w:eastAsia="宋体" w:cs="Times New Roman"/>
          <w:color w:val="auto"/>
          <w:sz w:val="24"/>
          <w:szCs w:val="32"/>
        </w:rPr>
        <w:t>，Q</w:t>
      </w:r>
      <w:r>
        <w:rPr>
          <w:rFonts w:hint="default" w:ascii="Times New Roman" w:hAnsi="Times New Roman" w:eastAsia="宋体" w:cs="Times New Roman"/>
          <w:color w:val="auto"/>
          <w:sz w:val="24"/>
          <w:szCs w:val="32"/>
          <w:vertAlign w:val="subscript"/>
        </w:rPr>
        <w:t>2</w:t>
      </w:r>
      <w:r>
        <w:rPr>
          <w:rFonts w:hint="default" w:ascii="Times New Roman" w:hAnsi="Times New Roman" w:eastAsia="宋体" w:cs="Times New Roman"/>
          <w:color w:val="auto"/>
          <w:sz w:val="24"/>
          <w:szCs w:val="32"/>
        </w:rPr>
        <w:t>，…Q</w:t>
      </w:r>
      <w:r>
        <w:rPr>
          <w:rFonts w:hint="default" w:ascii="Times New Roman" w:hAnsi="Times New Roman" w:eastAsia="宋体" w:cs="Times New Roman"/>
          <w:color w:val="auto"/>
          <w:sz w:val="24"/>
          <w:szCs w:val="32"/>
          <w:vertAlign w:val="subscript"/>
        </w:rPr>
        <w:t>n</w:t>
      </w:r>
      <w:r>
        <w:rPr>
          <w:rFonts w:hint="default" w:ascii="Times New Roman" w:hAnsi="Times New Roman" w:eastAsia="宋体" w:cs="Times New Roman"/>
          <w:color w:val="auto"/>
          <w:sz w:val="24"/>
          <w:szCs w:val="32"/>
        </w:rPr>
        <w:t>——每种危险物质的临界量，t。</w:t>
      </w:r>
    </w:p>
    <w:p w14:paraId="3F5BE53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当Q＜1时，该项目环境风险潜势为Ⅰ；</w:t>
      </w:r>
    </w:p>
    <w:p w14:paraId="4007EDF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当1≤Q时，将Q值划分为1≤Q&lt;10、10≤Q&lt;100、Q≥100</w:t>
      </w:r>
    </w:p>
    <w:p w14:paraId="1996EF47">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对照《建设项目环境风险评价技术导则》（HJ169-2018）附录B，本项目的风险物质</w:t>
      </w:r>
      <w:r>
        <w:rPr>
          <w:rFonts w:hint="default" w:ascii="Times New Roman" w:hAnsi="Times New Roman" w:eastAsia="宋体" w:cs="Times New Roman"/>
          <w:color w:val="auto"/>
          <w:kern w:val="0"/>
          <w:sz w:val="24"/>
          <w:lang w:val="en-US" w:eastAsia="zh-CN"/>
        </w:rPr>
        <w:t>如下</w:t>
      </w:r>
      <w:r>
        <w:rPr>
          <w:rFonts w:hint="default" w:ascii="Times New Roman" w:hAnsi="Times New Roman" w:eastAsia="宋体" w:cs="Times New Roman"/>
          <w:color w:val="auto"/>
          <w:kern w:val="0"/>
          <w:sz w:val="24"/>
        </w:rPr>
        <w:t>。</w:t>
      </w:r>
    </w:p>
    <w:p w14:paraId="742963B3">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val="en-US" w:eastAsia="zh-CN"/>
        </w:rPr>
        <w:t xml:space="preserve">2  </w:t>
      </w:r>
      <w:r>
        <w:rPr>
          <w:rFonts w:hint="default" w:ascii="Times New Roman" w:hAnsi="Times New Roman" w:eastAsia="宋体" w:cs="Times New Roman"/>
          <w:b/>
          <w:bCs/>
          <w:color w:val="auto"/>
          <w:kern w:val="0"/>
          <w:sz w:val="24"/>
        </w:rPr>
        <w:t>项目危险物质最大存在量与临界值对比表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641"/>
        <w:gridCol w:w="1641"/>
        <w:gridCol w:w="1641"/>
        <w:gridCol w:w="1256"/>
        <w:gridCol w:w="902"/>
      </w:tblGrid>
      <w:tr w14:paraId="03735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noWrap w:val="0"/>
            <w:vAlign w:val="center"/>
          </w:tcPr>
          <w:p w14:paraId="5A42C7DF">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名物质名称</w:t>
            </w:r>
          </w:p>
        </w:tc>
        <w:tc>
          <w:tcPr>
            <w:tcW w:w="1641" w:type="dxa"/>
            <w:noWrap w:val="0"/>
            <w:vAlign w:val="center"/>
          </w:tcPr>
          <w:p w14:paraId="335CEF7F">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存在地点</w:t>
            </w:r>
          </w:p>
        </w:tc>
        <w:tc>
          <w:tcPr>
            <w:tcW w:w="1641" w:type="dxa"/>
            <w:noWrap w:val="0"/>
            <w:vAlign w:val="center"/>
          </w:tcPr>
          <w:p w14:paraId="6CAEAC8B">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储存方式</w:t>
            </w:r>
          </w:p>
        </w:tc>
        <w:tc>
          <w:tcPr>
            <w:tcW w:w="1641" w:type="dxa"/>
            <w:noWrap w:val="0"/>
            <w:vAlign w:val="center"/>
          </w:tcPr>
          <w:p w14:paraId="351914A9">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厂区最大暂存量（t）</w:t>
            </w:r>
          </w:p>
        </w:tc>
        <w:tc>
          <w:tcPr>
            <w:tcW w:w="1256" w:type="dxa"/>
            <w:noWrap w:val="0"/>
            <w:vAlign w:val="center"/>
          </w:tcPr>
          <w:p w14:paraId="2E4CB226">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临界值（t）</w:t>
            </w:r>
          </w:p>
        </w:tc>
        <w:tc>
          <w:tcPr>
            <w:tcW w:w="902" w:type="dxa"/>
            <w:noWrap w:val="0"/>
            <w:vAlign w:val="center"/>
          </w:tcPr>
          <w:p w14:paraId="0FD595DE">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rPr>
              <w:t>q/Q</w:t>
            </w:r>
          </w:p>
        </w:tc>
      </w:tr>
      <w:tr w14:paraId="27383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noWrap w:val="0"/>
            <w:vAlign w:val="center"/>
          </w:tcPr>
          <w:p w14:paraId="7B7FB8C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Style w:val="65"/>
                <w:rFonts w:hint="default" w:ascii="Times New Roman" w:hAnsi="Times New Roman" w:eastAsia="宋体" w:cs="Times New Roman"/>
                <w:color w:val="auto"/>
                <w:sz w:val="21"/>
                <w:szCs w:val="21"/>
              </w:rPr>
              <w:t>丙烷</w:t>
            </w:r>
          </w:p>
        </w:tc>
        <w:tc>
          <w:tcPr>
            <w:tcW w:w="1641" w:type="dxa"/>
            <w:noWrap w:val="0"/>
            <w:vAlign w:val="center"/>
          </w:tcPr>
          <w:p w14:paraId="7FA1C88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立式</w:t>
            </w:r>
            <w:r>
              <w:rPr>
                <w:rFonts w:hint="default" w:ascii="Times New Roman" w:hAnsi="Times New Roman" w:eastAsia="宋体" w:cs="Times New Roman"/>
                <w:color w:val="auto"/>
                <w:lang w:eastAsia="zh-CN"/>
              </w:rPr>
              <w:t>储槽</w:t>
            </w:r>
            <w:r>
              <w:rPr>
                <w:rFonts w:hint="default" w:ascii="Times New Roman" w:hAnsi="Times New Roman" w:eastAsia="宋体" w:cs="Times New Roman"/>
                <w:color w:val="auto"/>
              </w:rPr>
              <w:t>区、气瓶</w:t>
            </w:r>
          </w:p>
        </w:tc>
        <w:tc>
          <w:tcPr>
            <w:tcW w:w="1641" w:type="dxa"/>
            <w:noWrap w:val="0"/>
            <w:vAlign w:val="center"/>
          </w:tcPr>
          <w:p w14:paraId="0861711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灌装、气瓶</w:t>
            </w:r>
          </w:p>
        </w:tc>
        <w:tc>
          <w:tcPr>
            <w:tcW w:w="1641" w:type="dxa"/>
            <w:shd w:val="clear" w:color="auto" w:fill="auto"/>
            <w:noWrap w:val="0"/>
            <w:vAlign w:val="center"/>
          </w:tcPr>
          <w:p w14:paraId="75136728">
            <w:pPr>
              <w:keepNext w:val="0"/>
              <w:pageBreakBefore w:val="0"/>
              <w:widowControl/>
              <w:wordWrap/>
              <w:bidi w:val="0"/>
              <w:spacing w:beforeAutospacing="0" w:afterAutospacing="0"/>
              <w:ind w:left="0" w:leftChars="0" w:right="0" w:rightChars="0"/>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lang w:val="en-US" w:eastAsia="zh-CN"/>
              </w:rPr>
              <w:t>89</w:t>
            </w:r>
          </w:p>
        </w:tc>
        <w:tc>
          <w:tcPr>
            <w:tcW w:w="1256" w:type="dxa"/>
            <w:shd w:val="clear" w:color="auto" w:fill="auto"/>
            <w:noWrap w:val="0"/>
            <w:vAlign w:val="center"/>
          </w:tcPr>
          <w:p w14:paraId="3011287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10</w:t>
            </w:r>
          </w:p>
        </w:tc>
        <w:tc>
          <w:tcPr>
            <w:tcW w:w="902" w:type="dxa"/>
            <w:shd w:val="clear" w:color="auto" w:fill="auto"/>
            <w:noWrap w:val="0"/>
            <w:vAlign w:val="center"/>
          </w:tcPr>
          <w:p w14:paraId="150D161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8.90 </w:t>
            </w:r>
          </w:p>
        </w:tc>
      </w:tr>
      <w:tr w14:paraId="7C601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48E0EBA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甲烷</w:t>
            </w:r>
          </w:p>
        </w:tc>
        <w:tc>
          <w:tcPr>
            <w:tcW w:w="1641" w:type="dxa"/>
            <w:noWrap w:val="0"/>
            <w:vAlign w:val="center"/>
          </w:tcPr>
          <w:p w14:paraId="5405C1D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3EDC562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4A2875C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0.93</w:t>
            </w:r>
          </w:p>
        </w:tc>
        <w:tc>
          <w:tcPr>
            <w:tcW w:w="1256" w:type="dxa"/>
            <w:noWrap w:val="0"/>
            <w:vAlign w:val="center"/>
          </w:tcPr>
          <w:p w14:paraId="4E7B211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902" w:type="dxa"/>
            <w:noWrap w:val="0"/>
            <w:vAlign w:val="center"/>
          </w:tcPr>
          <w:p w14:paraId="6C50B7E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0.09 </w:t>
            </w:r>
          </w:p>
        </w:tc>
      </w:tr>
      <w:tr w14:paraId="06DA8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790210A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一氧化碳</w:t>
            </w:r>
          </w:p>
        </w:tc>
        <w:tc>
          <w:tcPr>
            <w:tcW w:w="1641" w:type="dxa"/>
            <w:noWrap w:val="0"/>
            <w:vAlign w:val="center"/>
          </w:tcPr>
          <w:p w14:paraId="08ACEC6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3C4DC4F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3ED81ADD">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0.32</w:t>
            </w:r>
          </w:p>
        </w:tc>
        <w:tc>
          <w:tcPr>
            <w:tcW w:w="1256" w:type="dxa"/>
            <w:noWrap w:val="0"/>
            <w:vAlign w:val="center"/>
          </w:tcPr>
          <w:p w14:paraId="71440E1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7.5</w:t>
            </w:r>
          </w:p>
        </w:tc>
        <w:tc>
          <w:tcPr>
            <w:tcW w:w="902" w:type="dxa"/>
            <w:noWrap w:val="0"/>
            <w:vAlign w:val="center"/>
          </w:tcPr>
          <w:p w14:paraId="23BFB62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0.04 </w:t>
            </w:r>
          </w:p>
        </w:tc>
      </w:tr>
      <w:tr w14:paraId="0B5E4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64D6115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乙烷</w:t>
            </w:r>
          </w:p>
        </w:tc>
        <w:tc>
          <w:tcPr>
            <w:tcW w:w="1641" w:type="dxa"/>
            <w:noWrap w:val="0"/>
            <w:vAlign w:val="center"/>
          </w:tcPr>
          <w:p w14:paraId="175C8C5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20C77A3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2497BEC3">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0.34</w:t>
            </w:r>
          </w:p>
        </w:tc>
        <w:tc>
          <w:tcPr>
            <w:tcW w:w="1256" w:type="dxa"/>
            <w:noWrap w:val="0"/>
            <w:vAlign w:val="center"/>
          </w:tcPr>
          <w:p w14:paraId="06C878E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902" w:type="dxa"/>
            <w:noWrap w:val="0"/>
            <w:vAlign w:val="center"/>
          </w:tcPr>
          <w:p w14:paraId="6971432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0.03 </w:t>
            </w:r>
          </w:p>
        </w:tc>
      </w:tr>
      <w:tr w14:paraId="4A5AD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3459E41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乙烯</w:t>
            </w:r>
          </w:p>
        </w:tc>
        <w:tc>
          <w:tcPr>
            <w:tcW w:w="1641" w:type="dxa"/>
            <w:noWrap w:val="0"/>
            <w:vAlign w:val="center"/>
          </w:tcPr>
          <w:p w14:paraId="1AF504F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4491730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13A7358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0.31</w:t>
            </w:r>
          </w:p>
        </w:tc>
        <w:tc>
          <w:tcPr>
            <w:tcW w:w="1256" w:type="dxa"/>
            <w:noWrap w:val="0"/>
            <w:vAlign w:val="center"/>
          </w:tcPr>
          <w:p w14:paraId="3B9721B8">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902" w:type="dxa"/>
            <w:noWrap w:val="0"/>
            <w:vAlign w:val="center"/>
          </w:tcPr>
          <w:p w14:paraId="01B9FDD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0.03 </w:t>
            </w:r>
          </w:p>
        </w:tc>
      </w:tr>
      <w:tr w14:paraId="4268E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4553641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丙烯</w:t>
            </w:r>
          </w:p>
        </w:tc>
        <w:tc>
          <w:tcPr>
            <w:tcW w:w="1641" w:type="dxa"/>
            <w:noWrap w:val="0"/>
            <w:vAlign w:val="center"/>
          </w:tcPr>
          <w:p w14:paraId="2320A0A8">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63C9273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153999E6">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0.82</w:t>
            </w:r>
          </w:p>
        </w:tc>
        <w:tc>
          <w:tcPr>
            <w:tcW w:w="1256" w:type="dxa"/>
            <w:noWrap w:val="0"/>
            <w:vAlign w:val="center"/>
          </w:tcPr>
          <w:p w14:paraId="56B7234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902" w:type="dxa"/>
            <w:noWrap w:val="0"/>
            <w:vAlign w:val="center"/>
          </w:tcPr>
          <w:p w14:paraId="0E14C99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0.08 </w:t>
            </w:r>
          </w:p>
        </w:tc>
      </w:tr>
      <w:tr w14:paraId="2DBA2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54564F9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异丁烷</w:t>
            </w:r>
          </w:p>
        </w:tc>
        <w:tc>
          <w:tcPr>
            <w:tcW w:w="1641" w:type="dxa"/>
            <w:noWrap w:val="0"/>
            <w:vAlign w:val="center"/>
          </w:tcPr>
          <w:p w14:paraId="5D51BDB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4346ED5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244C9A20">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3.26</w:t>
            </w:r>
          </w:p>
        </w:tc>
        <w:tc>
          <w:tcPr>
            <w:tcW w:w="1256" w:type="dxa"/>
            <w:noWrap w:val="0"/>
            <w:vAlign w:val="center"/>
          </w:tcPr>
          <w:p w14:paraId="38297B4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902" w:type="dxa"/>
            <w:noWrap w:val="0"/>
            <w:vAlign w:val="center"/>
          </w:tcPr>
          <w:p w14:paraId="4E1D612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0.33 </w:t>
            </w:r>
          </w:p>
        </w:tc>
      </w:tr>
      <w:tr w14:paraId="63730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6" w:type="dxa"/>
            <w:shd w:val="clear" w:color="auto" w:fill="auto"/>
            <w:noWrap w:val="0"/>
            <w:vAlign w:val="center"/>
          </w:tcPr>
          <w:p w14:paraId="7754D27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auto"/>
                <w:kern w:val="2"/>
                <w:sz w:val="21"/>
                <w:szCs w:val="21"/>
                <w:vertAlign w:val="baseline"/>
                <w:lang w:val="en-US" w:eastAsia="zh-CN" w:bidi="ar-SA"/>
              </w:rPr>
            </w:pPr>
            <w:r>
              <w:rPr>
                <w:rFonts w:hint="default" w:ascii="Times New Roman" w:hAnsi="Times New Roman" w:eastAsia="宋体" w:cs="Times New Roman"/>
                <w:b w:val="0"/>
                <w:bCs/>
                <w:color w:val="auto"/>
                <w:sz w:val="21"/>
                <w:szCs w:val="21"/>
                <w:vertAlign w:val="baseline"/>
                <w:lang w:val="en-US" w:eastAsia="zh-CN"/>
              </w:rPr>
              <w:t>乙炔气</w:t>
            </w:r>
          </w:p>
        </w:tc>
        <w:tc>
          <w:tcPr>
            <w:tcW w:w="1641" w:type="dxa"/>
            <w:noWrap w:val="0"/>
            <w:vAlign w:val="center"/>
          </w:tcPr>
          <w:p w14:paraId="14C4694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甲类库房</w:t>
            </w:r>
          </w:p>
        </w:tc>
        <w:tc>
          <w:tcPr>
            <w:tcW w:w="1641" w:type="dxa"/>
            <w:shd w:val="clear" w:color="auto" w:fill="auto"/>
            <w:noWrap w:val="0"/>
            <w:vAlign w:val="center"/>
          </w:tcPr>
          <w:p w14:paraId="184AE17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气瓶</w:t>
            </w:r>
          </w:p>
        </w:tc>
        <w:tc>
          <w:tcPr>
            <w:tcW w:w="1641" w:type="dxa"/>
            <w:shd w:val="clear" w:color="auto" w:fill="auto"/>
            <w:noWrap w:val="0"/>
            <w:vAlign w:val="center"/>
          </w:tcPr>
          <w:p w14:paraId="15444BFF">
            <w:pPr>
              <w:keepNext w:val="0"/>
              <w:pageBreakBefore w:val="0"/>
              <w:wordWrap/>
              <w:bidi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0.24</w:t>
            </w:r>
          </w:p>
        </w:tc>
        <w:tc>
          <w:tcPr>
            <w:tcW w:w="1256" w:type="dxa"/>
            <w:noWrap w:val="0"/>
            <w:vAlign w:val="center"/>
          </w:tcPr>
          <w:p w14:paraId="1ADD001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902" w:type="dxa"/>
            <w:noWrap w:val="0"/>
            <w:vAlign w:val="center"/>
          </w:tcPr>
          <w:p w14:paraId="63C972F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 xml:space="preserve">0.02 </w:t>
            </w:r>
          </w:p>
        </w:tc>
      </w:tr>
      <w:tr w14:paraId="5EBDC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75" w:type="dxa"/>
            <w:gridSpan w:val="5"/>
            <w:noWrap w:val="0"/>
            <w:vAlign w:val="center"/>
          </w:tcPr>
          <w:p w14:paraId="6DEFFD7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合计</w:t>
            </w:r>
          </w:p>
        </w:tc>
        <w:tc>
          <w:tcPr>
            <w:tcW w:w="902" w:type="dxa"/>
            <w:noWrap w:val="0"/>
            <w:vAlign w:val="center"/>
          </w:tcPr>
          <w:p w14:paraId="7F2A526E">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lang w:val="en-US" w:eastAsia="zh-CN"/>
              </w:rPr>
              <w:t>9.52</w:t>
            </w:r>
          </w:p>
        </w:tc>
      </w:tr>
      <w:tr w14:paraId="1C253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77" w:type="dxa"/>
            <w:gridSpan w:val="6"/>
            <w:noWrap w:val="0"/>
            <w:vAlign w:val="center"/>
          </w:tcPr>
          <w:p w14:paraId="0E23146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rPr>
              <w:t>注：氮（压缩的或液化的）、氩（压缩的或液化的）、二氧化碳（压缩的或液化的）无毒、不燃、属于惰性气体，尚无临界量要求。</w:t>
            </w:r>
          </w:p>
        </w:tc>
      </w:tr>
    </w:tbl>
    <w:p w14:paraId="2A8072E5">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经计算本项目Q值为</w:t>
      </w:r>
      <w:r>
        <w:rPr>
          <w:rFonts w:hint="default" w:ascii="Times New Roman" w:hAnsi="Times New Roman" w:eastAsia="宋体" w:cs="Times New Roman"/>
          <w:color w:val="auto"/>
          <w:kern w:val="0"/>
          <w:sz w:val="24"/>
          <w:lang w:val="en-US" w:eastAsia="zh-CN"/>
        </w:rPr>
        <w:t>9.52</w:t>
      </w:r>
      <w:r>
        <w:rPr>
          <w:rFonts w:hint="default" w:ascii="Times New Roman" w:hAnsi="Times New Roman" w:eastAsia="宋体" w:cs="Times New Roman"/>
          <w:color w:val="auto"/>
          <w:kern w:val="0"/>
          <w:sz w:val="24"/>
        </w:rPr>
        <w:t>，属于1≤Q≤10。</w:t>
      </w:r>
    </w:p>
    <w:p w14:paraId="36FAAD2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2.2.2行业及生产工艺（M）</w:t>
      </w:r>
    </w:p>
    <w:p w14:paraId="2DE95FF3">
      <w:pPr>
        <w:keepNext w:val="0"/>
        <w:pageBreakBefore w:val="0"/>
        <w:widowControl/>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val="en-US" w:eastAsia="zh-CN"/>
        </w:rPr>
        <w:t xml:space="preserve">3  </w:t>
      </w:r>
      <w:r>
        <w:rPr>
          <w:rFonts w:hint="default" w:ascii="Times New Roman" w:hAnsi="Times New Roman" w:eastAsia="宋体" w:cs="Times New Roman"/>
          <w:b/>
          <w:bCs/>
          <w:color w:val="auto"/>
          <w:kern w:val="0"/>
          <w:sz w:val="24"/>
        </w:rPr>
        <w:t>M值确定表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723"/>
        <w:gridCol w:w="3748"/>
        <w:gridCol w:w="622"/>
        <w:gridCol w:w="721"/>
        <w:gridCol w:w="794"/>
      </w:tblGrid>
      <w:tr w14:paraId="5A714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noWrap w:val="0"/>
            <w:vAlign w:val="center"/>
          </w:tcPr>
          <w:p w14:paraId="6D7EDC31">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892" w:type="dxa"/>
            <w:noWrap w:val="0"/>
            <w:vAlign w:val="center"/>
          </w:tcPr>
          <w:p w14:paraId="62434096">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行业</w:t>
            </w:r>
          </w:p>
        </w:tc>
        <w:tc>
          <w:tcPr>
            <w:tcW w:w="4146" w:type="dxa"/>
            <w:noWrap w:val="0"/>
            <w:vAlign w:val="center"/>
          </w:tcPr>
          <w:p w14:paraId="630AACC2">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评估依据</w:t>
            </w:r>
          </w:p>
        </w:tc>
        <w:tc>
          <w:tcPr>
            <w:tcW w:w="667" w:type="dxa"/>
            <w:noWrap w:val="0"/>
            <w:vAlign w:val="center"/>
          </w:tcPr>
          <w:p w14:paraId="35DDC9E4">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分值</w:t>
            </w:r>
          </w:p>
        </w:tc>
        <w:tc>
          <w:tcPr>
            <w:tcW w:w="777" w:type="dxa"/>
            <w:noWrap w:val="0"/>
            <w:vAlign w:val="center"/>
          </w:tcPr>
          <w:p w14:paraId="60B83E7A">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行业情况</w:t>
            </w:r>
          </w:p>
        </w:tc>
        <w:tc>
          <w:tcPr>
            <w:tcW w:w="859" w:type="dxa"/>
            <w:noWrap w:val="0"/>
            <w:vAlign w:val="center"/>
          </w:tcPr>
          <w:p w14:paraId="6AAC517A">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得分</w:t>
            </w:r>
          </w:p>
        </w:tc>
      </w:tr>
      <w:tr w14:paraId="73EB7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vMerge w:val="restart"/>
            <w:noWrap w:val="0"/>
            <w:vAlign w:val="center"/>
          </w:tcPr>
          <w:p w14:paraId="4BC924B3">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892" w:type="dxa"/>
            <w:vMerge w:val="restart"/>
            <w:noWrap w:val="0"/>
            <w:tcMar>
              <w:top w:w="0" w:type="dxa"/>
              <w:left w:w="28" w:type="dxa"/>
              <w:bottom w:w="0" w:type="dxa"/>
              <w:right w:w="28" w:type="dxa"/>
            </w:tcMar>
            <w:vAlign w:val="center"/>
          </w:tcPr>
          <w:p w14:paraId="6213B1D3">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石化、化工、医药、轻工、化纤、有色冶炼等</w:t>
            </w:r>
          </w:p>
        </w:tc>
        <w:tc>
          <w:tcPr>
            <w:tcW w:w="4146" w:type="dxa"/>
            <w:noWrap w:val="0"/>
            <w:tcMar>
              <w:top w:w="0" w:type="dxa"/>
              <w:left w:w="28" w:type="dxa"/>
              <w:bottom w:w="0" w:type="dxa"/>
              <w:right w:w="28" w:type="dxa"/>
            </w:tcMar>
            <w:vAlign w:val="center"/>
          </w:tcPr>
          <w:p w14:paraId="61BD2E88">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67" w:type="dxa"/>
            <w:noWrap w:val="0"/>
            <w:tcMar>
              <w:top w:w="0" w:type="dxa"/>
              <w:left w:w="28" w:type="dxa"/>
              <w:bottom w:w="0" w:type="dxa"/>
              <w:right w:w="28" w:type="dxa"/>
            </w:tcMar>
            <w:vAlign w:val="center"/>
          </w:tcPr>
          <w:p w14:paraId="6594E6BC">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10/套</w:t>
            </w:r>
          </w:p>
        </w:tc>
        <w:tc>
          <w:tcPr>
            <w:tcW w:w="777" w:type="dxa"/>
            <w:noWrap w:val="0"/>
            <w:tcMar>
              <w:top w:w="0" w:type="dxa"/>
              <w:left w:w="28" w:type="dxa"/>
              <w:bottom w:w="0" w:type="dxa"/>
              <w:right w:w="28" w:type="dxa"/>
            </w:tcMar>
            <w:vAlign w:val="center"/>
          </w:tcPr>
          <w:p w14:paraId="6705AA6A">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59" w:type="dxa"/>
            <w:noWrap w:val="0"/>
            <w:tcMar>
              <w:top w:w="0" w:type="dxa"/>
              <w:left w:w="28" w:type="dxa"/>
              <w:bottom w:w="0" w:type="dxa"/>
              <w:right w:w="28" w:type="dxa"/>
            </w:tcMar>
            <w:vAlign w:val="center"/>
          </w:tcPr>
          <w:p w14:paraId="09AB9BD0">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757B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vMerge w:val="continue"/>
            <w:noWrap w:val="0"/>
            <w:vAlign w:val="center"/>
          </w:tcPr>
          <w:p w14:paraId="73118CDB">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p>
        </w:tc>
        <w:tc>
          <w:tcPr>
            <w:tcW w:w="1892" w:type="dxa"/>
            <w:vMerge w:val="continue"/>
            <w:noWrap w:val="0"/>
            <w:tcMar>
              <w:top w:w="0" w:type="dxa"/>
              <w:left w:w="28" w:type="dxa"/>
              <w:bottom w:w="0" w:type="dxa"/>
              <w:right w:w="28" w:type="dxa"/>
            </w:tcMar>
            <w:vAlign w:val="center"/>
          </w:tcPr>
          <w:p w14:paraId="5D48D600">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p>
        </w:tc>
        <w:tc>
          <w:tcPr>
            <w:tcW w:w="4146" w:type="dxa"/>
            <w:noWrap w:val="0"/>
            <w:tcMar>
              <w:top w:w="0" w:type="dxa"/>
              <w:left w:w="28" w:type="dxa"/>
              <w:bottom w:w="0" w:type="dxa"/>
              <w:right w:w="28" w:type="dxa"/>
            </w:tcMar>
            <w:vAlign w:val="center"/>
          </w:tcPr>
          <w:p w14:paraId="6B3A10E7">
            <w:pPr>
              <w:keepNext w:val="0"/>
              <w:pageBreakBefore w:val="0"/>
              <w:wordWrap/>
              <w:bidi w:val="0"/>
              <w:spacing w:beforeAutospacing="0" w:afterAutospacing="0"/>
              <w:ind w:left="0" w:leftChars="0" w:right="0" w:right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无机酸制酸工艺、焦化工艺</w:t>
            </w:r>
          </w:p>
        </w:tc>
        <w:tc>
          <w:tcPr>
            <w:tcW w:w="667" w:type="dxa"/>
            <w:noWrap w:val="0"/>
            <w:tcMar>
              <w:top w:w="0" w:type="dxa"/>
              <w:left w:w="28" w:type="dxa"/>
              <w:bottom w:w="0" w:type="dxa"/>
              <w:right w:w="28" w:type="dxa"/>
            </w:tcMar>
            <w:vAlign w:val="center"/>
          </w:tcPr>
          <w:p w14:paraId="0E0FF0C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5/套</w:t>
            </w:r>
          </w:p>
        </w:tc>
        <w:tc>
          <w:tcPr>
            <w:tcW w:w="777" w:type="dxa"/>
            <w:noWrap w:val="0"/>
            <w:tcMar>
              <w:top w:w="0" w:type="dxa"/>
              <w:left w:w="28" w:type="dxa"/>
              <w:bottom w:w="0" w:type="dxa"/>
              <w:right w:w="28" w:type="dxa"/>
            </w:tcMar>
            <w:vAlign w:val="center"/>
          </w:tcPr>
          <w:p w14:paraId="2051C850">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59" w:type="dxa"/>
            <w:noWrap w:val="0"/>
            <w:tcMar>
              <w:top w:w="0" w:type="dxa"/>
              <w:left w:w="28" w:type="dxa"/>
              <w:bottom w:w="0" w:type="dxa"/>
              <w:right w:w="28" w:type="dxa"/>
            </w:tcMar>
            <w:vAlign w:val="center"/>
          </w:tcPr>
          <w:p w14:paraId="6866ACBA">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1993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vMerge w:val="continue"/>
            <w:noWrap w:val="0"/>
            <w:vAlign w:val="center"/>
          </w:tcPr>
          <w:p w14:paraId="32C098CC">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p>
        </w:tc>
        <w:tc>
          <w:tcPr>
            <w:tcW w:w="1892" w:type="dxa"/>
            <w:vMerge w:val="continue"/>
            <w:noWrap w:val="0"/>
            <w:tcMar>
              <w:top w:w="0" w:type="dxa"/>
              <w:left w:w="28" w:type="dxa"/>
              <w:bottom w:w="0" w:type="dxa"/>
              <w:right w:w="28" w:type="dxa"/>
            </w:tcMar>
            <w:vAlign w:val="center"/>
          </w:tcPr>
          <w:p w14:paraId="51A5030A">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p>
        </w:tc>
        <w:tc>
          <w:tcPr>
            <w:tcW w:w="4146" w:type="dxa"/>
            <w:noWrap w:val="0"/>
            <w:tcMar>
              <w:top w:w="0" w:type="dxa"/>
              <w:left w:w="28" w:type="dxa"/>
              <w:bottom w:w="0" w:type="dxa"/>
              <w:right w:w="28" w:type="dxa"/>
            </w:tcMar>
            <w:vAlign w:val="center"/>
          </w:tcPr>
          <w:p w14:paraId="43B107F5">
            <w:pPr>
              <w:keepNext w:val="0"/>
              <w:pageBreakBefore w:val="0"/>
              <w:wordWrap/>
              <w:bidi w:val="0"/>
              <w:spacing w:beforeAutospacing="0" w:afterAutospacing="0"/>
              <w:ind w:left="0" w:leftChars="0" w:right="0" w:right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其他高温或高压，且涉及危险物质的工艺流程</w:t>
            </w:r>
            <w:r>
              <w:rPr>
                <w:rFonts w:hint="default" w:ascii="Times New Roman" w:hAnsi="Times New Roman" w:eastAsia="宋体" w:cs="Times New Roman"/>
                <w:bCs/>
                <w:color w:val="auto"/>
                <w:sz w:val="21"/>
                <w:szCs w:val="21"/>
                <w:vertAlign w:val="superscript"/>
              </w:rPr>
              <w:t>a</w:t>
            </w:r>
            <w:r>
              <w:rPr>
                <w:rFonts w:hint="default" w:ascii="Times New Roman" w:hAnsi="Times New Roman" w:eastAsia="宋体" w:cs="Times New Roman"/>
                <w:bCs/>
                <w:color w:val="auto"/>
                <w:sz w:val="21"/>
                <w:szCs w:val="21"/>
              </w:rPr>
              <w:t>、危险物质贮存灌区</w:t>
            </w:r>
          </w:p>
        </w:tc>
        <w:tc>
          <w:tcPr>
            <w:tcW w:w="667" w:type="dxa"/>
            <w:noWrap w:val="0"/>
            <w:tcMar>
              <w:top w:w="0" w:type="dxa"/>
              <w:left w:w="28" w:type="dxa"/>
              <w:bottom w:w="0" w:type="dxa"/>
              <w:right w:w="28" w:type="dxa"/>
            </w:tcMar>
            <w:vAlign w:val="center"/>
          </w:tcPr>
          <w:p w14:paraId="45B9774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5/套</w:t>
            </w:r>
          </w:p>
        </w:tc>
        <w:tc>
          <w:tcPr>
            <w:tcW w:w="777" w:type="dxa"/>
            <w:noWrap w:val="0"/>
            <w:tcMar>
              <w:top w:w="0" w:type="dxa"/>
              <w:left w:w="28" w:type="dxa"/>
              <w:bottom w:w="0" w:type="dxa"/>
              <w:right w:w="28" w:type="dxa"/>
            </w:tcMar>
            <w:vAlign w:val="center"/>
          </w:tcPr>
          <w:p w14:paraId="22CDB9C8">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59" w:type="dxa"/>
            <w:noWrap w:val="0"/>
            <w:tcMar>
              <w:top w:w="0" w:type="dxa"/>
              <w:left w:w="28" w:type="dxa"/>
              <w:bottom w:w="0" w:type="dxa"/>
              <w:right w:w="28" w:type="dxa"/>
            </w:tcMar>
            <w:vAlign w:val="center"/>
          </w:tcPr>
          <w:p w14:paraId="1A414692">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936D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noWrap w:val="0"/>
            <w:vAlign w:val="center"/>
          </w:tcPr>
          <w:p w14:paraId="07879056">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892" w:type="dxa"/>
            <w:noWrap w:val="0"/>
            <w:tcMar>
              <w:top w:w="0" w:type="dxa"/>
              <w:left w:w="28" w:type="dxa"/>
              <w:bottom w:w="0" w:type="dxa"/>
              <w:right w:w="28" w:type="dxa"/>
            </w:tcMar>
            <w:vAlign w:val="center"/>
          </w:tcPr>
          <w:p w14:paraId="484335AD">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管道、港口/码头等</w:t>
            </w:r>
          </w:p>
        </w:tc>
        <w:tc>
          <w:tcPr>
            <w:tcW w:w="4146" w:type="dxa"/>
            <w:noWrap w:val="0"/>
            <w:tcMar>
              <w:top w:w="0" w:type="dxa"/>
              <w:left w:w="28" w:type="dxa"/>
              <w:bottom w:w="0" w:type="dxa"/>
              <w:right w:w="28" w:type="dxa"/>
            </w:tcMar>
            <w:vAlign w:val="center"/>
          </w:tcPr>
          <w:p w14:paraId="121F94CF">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涉及危险物质管道运输项目、港口/码头等</w:t>
            </w:r>
          </w:p>
        </w:tc>
        <w:tc>
          <w:tcPr>
            <w:tcW w:w="667" w:type="dxa"/>
            <w:noWrap w:val="0"/>
            <w:tcMar>
              <w:top w:w="0" w:type="dxa"/>
              <w:left w:w="28" w:type="dxa"/>
              <w:bottom w:w="0" w:type="dxa"/>
              <w:right w:w="28" w:type="dxa"/>
            </w:tcMar>
            <w:vAlign w:val="center"/>
          </w:tcPr>
          <w:p w14:paraId="5EE7B7F4">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777" w:type="dxa"/>
            <w:noWrap w:val="0"/>
            <w:tcMar>
              <w:top w:w="0" w:type="dxa"/>
              <w:left w:w="28" w:type="dxa"/>
              <w:bottom w:w="0" w:type="dxa"/>
              <w:right w:w="28" w:type="dxa"/>
            </w:tcMar>
            <w:vAlign w:val="center"/>
          </w:tcPr>
          <w:p w14:paraId="6C9F99DB">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59" w:type="dxa"/>
            <w:noWrap w:val="0"/>
            <w:tcMar>
              <w:top w:w="0" w:type="dxa"/>
              <w:left w:w="28" w:type="dxa"/>
              <w:bottom w:w="0" w:type="dxa"/>
              <w:right w:w="28" w:type="dxa"/>
            </w:tcMar>
            <w:vAlign w:val="center"/>
          </w:tcPr>
          <w:p w14:paraId="2686F2D5">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D9E0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noWrap w:val="0"/>
            <w:vAlign w:val="center"/>
          </w:tcPr>
          <w:p w14:paraId="122D5DE5">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892" w:type="dxa"/>
            <w:noWrap w:val="0"/>
            <w:tcMar>
              <w:top w:w="0" w:type="dxa"/>
              <w:left w:w="28" w:type="dxa"/>
              <w:bottom w:w="0" w:type="dxa"/>
              <w:right w:w="28" w:type="dxa"/>
            </w:tcMar>
            <w:vAlign w:val="center"/>
          </w:tcPr>
          <w:p w14:paraId="1DAB6C5E">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石油天然气</w:t>
            </w:r>
          </w:p>
        </w:tc>
        <w:tc>
          <w:tcPr>
            <w:tcW w:w="4146" w:type="dxa"/>
            <w:noWrap w:val="0"/>
            <w:tcMar>
              <w:top w:w="0" w:type="dxa"/>
              <w:left w:w="28" w:type="dxa"/>
              <w:bottom w:w="0" w:type="dxa"/>
              <w:right w:w="28" w:type="dxa"/>
            </w:tcMar>
            <w:vAlign w:val="center"/>
          </w:tcPr>
          <w:p w14:paraId="5E043E13">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石油、天然气、页岩气开采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含净化</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，气库</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不含加气站的气库</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，油库</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不含加气站的油库</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、油气管线</w:t>
            </w:r>
            <w:r>
              <w:rPr>
                <w:rFonts w:hint="default" w:ascii="Times New Roman" w:hAnsi="Times New Roman" w:eastAsia="宋体" w:cs="Times New Roman"/>
                <w:color w:val="auto"/>
                <w:sz w:val="21"/>
                <w:szCs w:val="21"/>
                <w:vertAlign w:val="superscript"/>
              </w:rPr>
              <w:t>b</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不含城镇燃气管线</w:t>
            </w:r>
            <w:r>
              <w:rPr>
                <w:rFonts w:hint="default" w:ascii="Times New Roman" w:hAnsi="Times New Roman" w:eastAsia="宋体" w:cs="Times New Roman"/>
                <w:color w:val="auto"/>
                <w:sz w:val="21"/>
                <w:szCs w:val="21"/>
                <w:lang w:eastAsia="zh-CN"/>
              </w:rPr>
              <w:t>）</w:t>
            </w:r>
          </w:p>
        </w:tc>
        <w:tc>
          <w:tcPr>
            <w:tcW w:w="667" w:type="dxa"/>
            <w:noWrap w:val="0"/>
            <w:tcMar>
              <w:top w:w="0" w:type="dxa"/>
              <w:left w:w="28" w:type="dxa"/>
              <w:bottom w:w="0" w:type="dxa"/>
              <w:right w:w="28" w:type="dxa"/>
            </w:tcMar>
            <w:vAlign w:val="center"/>
          </w:tcPr>
          <w:p w14:paraId="7650FDE6">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777" w:type="dxa"/>
            <w:noWrap w:val="0"/>
            <w:tcMar>
              <w:top w:w="0" w:type="dxa"/>
              <w:left w:w="28" w:type="dxa"/>
              <w:bottom w:w="0" w:type="dxa"/>
              <w:right w:w="28" w:type="dxa"/>
            </w:tcMar>
            <w:vAlign w:val="center"/>
          </w:tcPr>
          <w:p w14:paraId="24624246">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59" w:type="dxa"/>
            <w:noWrap w:val="0"/>
            <w:tcMar>
              <w:top w:w="0" w:type="dxa"/>
              <w:left w:w="28" w:type="dxa"/>
              <w:bottom w:w="0" w:type="dxa"/>
              <w:right w:w="28" w:type="dxa"/>
            </w:tcMar>
            <w:vAlign w:val="center"/>
          </w:tcPr>
          <w:p w14:paraId="7EBBF87B">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ADC3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dxa"/>
            <w:noWrap w:val="0"/>
            <w:vAlign w:val="center"/>
          </w:tcPr>
          <w:p w14:paraId="2655041D">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892" w:type="dxa"/>
            <w:noWrap w:val="0"/>
            <w:tcMar>
              <w:top w:w="0" w:type="dxa"/>
              <w:left w:w="28" w:type="dxa"/>
              <w:bottom w:w="0" w:type="dxa"/>
              <w:right w:w="28" w:type="dxa"/>
            </w:tcMar>
            <w:vAlign w:val="center"/>
          </w:tcPr>
          <w:p w14:paraId="3909DABC">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w:t>
            </w:r>
          </w:p>
        </w:tc>
        <w:tc>
          <w:tcPr>
            <w:tcW w:w="4146" w:type="dxa"/>
            <w:noWrap w:val="0"/>
            <w:tcMar>
              <w:top w:w="0" w:type="dxa"/>
              <w:left w:w="28" w:type="dxa"/>
              <w:bottom w:w="0" w:type="dxa"/>
              <w:right w:w="28" w:type="dxa"/>
            </w:tcMar>
            <w:vAlign w:val="center"/>
          </w:tcPr>
          <w:p w14:paraId="7C57AD49">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涉及危险物质使用、贮存的项目</w:t>
            </w:r>
          </w:p>
        </w:tc>
        <w:tc>
          <w:tcPr>
            <w:tcW w:w="667" w:type="dxa"/>
            <w:noWrap w:val="0"/>
            <w:tcMar>
              <w:top w:w="0" w:type="dxa"/>
              <w:left w:w="28" w:type="dxa"/>
              <w:bottom w:w="0" w:type="dxa"/>
              <w:right w:w="28" w:type="dxa"/>
            </w:tcMar>
            <w:vAlign w:val="center"/>
          </w:tcPr>
          <w:p w14:paraId="52388B83">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777" w:type="dxa"/>
            <w:noWrap w:val="0"/>
            <w:tcMar>
              <w:top w:w="0" w:type="dxa"/>
              <w:left w:w="28" w:type="dxa"/>
              <w:bottom w:w="0" w:type="dxa"/>
              <w:right w:w="28" w:type="dxa"/>
            </w:tcMar>
            <w:vAlign w:val="center"/>
          </w:tcPr>
          <w:p w14:paraId="7D3450FD">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859" w:type="dxa"/>
            <w:noWrap w:val="0"/>
            <w:tcMar>
              <w:top w:w="0" w:type="dxa"/>
              <w:left w:w="28" w:type="dxa"/>
              <w:bottom w:w="0" w:type="dxa"/>
              <w:right w:w="28" w:type="dxa"/>
            </w:tcMar>
            <w:vAlign w:val="center"/>
          </w:tcPr>
          <w:p w14:paraId="42418598">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r>
      <w:tr w14:paraId="0CBAA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60" w:type="dxa"/>
            <w:gridSpan w:val="6"/>
            <w:noWrap w:val="0"/>
            <w:vAlign w:val="center"/>
          </w:tcPr>
          <w:p w14:paraId="32284EF4">
            <w:pPr>
              <w:keepNext w:val="0"/>
              <w:pageBreakBefore w:val="0"/>
              <w:wordWrap/>
              <w:bidi w:val="0"/>
              <w:spacing w:beforeAutospacing="0" w:afterAutospacing="0"/>
              <w:ind w:left="0" w:leftChars="0" w:right="0" w:rightChars="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vertAlign w:val="superscript"/>
              </w:rPr>
              <w:t>a</w:t>
            </w:r>
            <w:r>
              <w:rPr>
                <w:rFonts w:hint="default" w:ascii="Times New Roman" w:hAnsi="Times New Roman" w:eastAsia="宋体" w:cs="Times New Roman"/>
                <w:color w:val="auto"/>
                <w:sz w:val="21"/>
                <w:szCs w:val="21"/>
              </w:rPr>
              <w:t>高温指工艺温度≥300C，高压指压力容器的设计压力</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P</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≥10.0MPa；</w:t>
            </w:r>
          </w:p>
          <w:p w14:paraId="1F0FFBAD">
            <w:pPr>
              <w:keepNext w:val="0"/>
              <w:pageBreakBefore w:val="0"/>
              <w:wordWrap/>
              <w:bidi w:val="0"/>
              <w:spacing w:beforeAutospacing="0" w:afterAutospacing="0"/>
              <w:ind w:left="0" w:leftChars="0" w:right="0" w:rightChars="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vertAlign w:val="superscript"/>
              </w:rPr>
              <w:t>b</w:t>
            </w:r>
            <w:r>
              <w:rPr>
                <w:rFonts w:hint="default" w:ascii="Times New Roman" w:hAnsi="Times New Roman" w:eastAsia="宋体" w:cs="Times New Roman"/>
                <w:color w:val="auto"/>
                <w:sz w:val="21"/>
                <w:szCs w:val="21"/>
              </w:rPr>
              <w:t>长输管道运输项目应按站场、管线分段进行评价。</w:t>
            </w:r>
          </w:p>
        </w:tc>
      </w:tr>
      <w:tr w14:paraId="7D2F1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01" w:type="dxa"/>
            <w:gridSpan w:val="5"/>
            <w:noWrap w:val="0"/>
            <w:vAlign w:val="center"/>
          </w:tcPr>
          <w:p w14:paraId="4C555518">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859" w:type="dxa"/>
            <w:noWrap w:val="0"/>
            <w:tcMar>
              <w:top w:w="0" w:type="dxa"/>
              <w:left w:w="28" w:type="dxa"/>
              <w:bottom w:w="0" w:type="dxa"/>
              <w:right w:w="28" w:type="dxa"/>
            </w:tcMar>
            <w:vAlign w:val="center"/>
          </w:tcPr>
          <w:p w14:paraId="5369E850">
            <w:pPr>
              <w:keepNext w:val="0"/>
              <w:pageBreakBefore w:val="0"/>
              <w:wordWrap/>
              <w:bidi w:val="0"/>
              <w:spacing w:beforeAutospacing="0" w:afterAutospacing="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r>
    </w:tbl>
    <w:p w14:paraId="7113CE21">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本项目属于《建设项目环境风险评价技术导则》</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HJ169-2018</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中附录C中“表C.1”中的“其他”行业中的涉及危险物质使用、贮存的项目，M=5，表示为M4。</w:t>
      </w:r>
    </w:p>
    <w:p w14:paraId="5D502B10">
      <w:pPr>
        <w:keepNext w:val="0"/>
        <w:pageBreakBefore w:val="0"/>
        <w:widowControl/>
        <w:wordWrap/>
        <w:bidi w:val="0"/>
        <w:spacing w:beforeAutospacing="0" w:afterAutospacing="0" w:line="360" w:lineRule="auto"/>
        <w:ind w:left="0" w:leftChars="0" w:right="0" w:rightChars="0" w:firstLine="482"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b/>
          <w:bCs/>
          <w:color w:val="auto"/>
          <w:sz w:val="24"/>
          <w:szCs w:val="32"/>
          <w:lang w:val="en-US" w:eastAsia="zh-CN"/>
        </w:rPr>
        <w:t>2.2.3</w:t>
      </w:r>
      <w:r>
        <w:rPr>
          <w:rFonts w:hint="default" w:ascii="Times New Roman" w:hAnsi="Times New Roman" w:eastAsia="宋体" w:cs="Times New Roman"/>
          <w:b/>
          <w:bCs/>
          <w:color w:val="auto"/>
          <w:sz w:val="24"/>
          <w:szCs w:val="32"/>
        </w:rPr>
        <w:t>危险物质及工艺系统危险性（P）分级</w:t>
      </w:r>
    </w:p>
    <w:p w14:paraId="57F9C4F0">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根据危险物质数量与临界量比值</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Q</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和行业及生产工艺</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M</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，按照表5确定危险物质及工艺系统危险性等级</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P</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，分别以P1、P2、P3、P4表示。</w:t>
      </w:r>
    </w:p>
    <w:p w14:paraId="5AFF694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4  </w:t>
      </w:r>
      <w:r>
        <w:rPr>
          <w:rFonts w:hint="default" w:ascii="Times New Roman" w:hAnsi="Times New Roman" w:eastAsia="宋体" w:cs="Times New Roman"/>
          <w:b/>
          <w:bCs/>
          <w:color w:val="auto"/>
          <w:sz w:val="24"/>
          <w:szCs w:val="32"/>
        </w:rPr>
        <w:t>P值确定表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1655"/>
        <w:gridCol w:w="1655"/>
        <w:gridCol w:w="1655"/>
        <w:gridCol w:w="1657"/>
      </w:tblGrid>
      <w:tr w14:paraId="0EEC3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5" w:type="dxa"/>
            <w:vMerge w:val="restart"/>
            <w:noWrap w:val="0"/>
            <w:vAlign w:val="center"/>
          </w:tcPr>
          <w:p w14:paraId="3A863361">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危险物质数量与临界量比值</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Q</w:t>
            </w:r>
            <w:r>
              <w:rPr>
                <w:rFonts w:hint="default" w:ascii="Times New Roman" w:hAnsi="Times New Roman" w:eastAsia="宋体" w:cs="Times New Roman"/>
                <w:b/>
                <w:bCs/>
                <w:color w:val="auto"/>
                <w:lang w:eastAsia="zh-CN"/>
              </w:rPr>
              <w:t>）</w:t>
            </w:r>
          </w:p>
        </w:tc>
        <w:tc>
          <w:tcPr>
            <w:tcW w:w="7342" w:type="dxa"/>
            <w:gridSpan w:val="4"/>
            <w:noWrap w:val="0"/>
            <w:vAlign w:val="center"/>
          </w:tcPr>
          <w:p w14:paraId="6E55695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行业及生产工艺</w:t>
            </w:r>
          </w:p>
        </w:tc>
      </w:tr>
      <w:tr w14:paraId="4FDE3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5" w:type="dxa"/>
            <w:vMerge w:val="continue"/>
            <w:noWrap w:val="0"/>
            <w:vAlign w:val="center"/>
          </w:tcPr>
          <w:p w14:paraId="2F23954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rPr>
            </w:pPr>
          </w:p>
        </w:tc>
        <w:tc>
          <w:tcPr>
            <w:tcW w:w="1835" w:type="dxa"/>
            <w:noWrap w:val="0"/>
            <w:vAlign w:val="center"/>
          </w:tcPr>
          <w:p w14:paraId="5AB20A8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M1</w:t>
            </w:r>
          </w:p>
        </w:tc>
        <w:tc>
          <w:tcPr>
            <w:tcW w:w="1835" w:type="dxa"/>
            <w:noWrap w:val="0"/>
            <w:vAlign w:val="center"/>
          </w:tcPr>
          <w:p w14:paraId="4A77174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M2</w:t>
            </w:r>
          </w:p>
        </w:tc>
        <w:tc>
          <w:tcPr>
            <w:tcW w:w="1835" w:type="dxa"/>
            <w:noWrap w:val="0"/>
            <w:vAlign w:val="center"/>
          </w:tcPr>
          <w:p w14:paraId="21E5D36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M3</w:t>
            </w:r>
          </w:p>
        </w:tc>
        <w:tc>
          <w:tcPr>
            <w:tcW w:w="1837" w:type="dxa"/>
            <w:noWrap w:val="0"/>
            <w:vAlign w:val="center"/>
          </w:tcPr>
          <w:p w14:paraId="76CBA65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M4</w:t>
            </w:r>
          </w:p>
        </w:tc>
      </w:tr>
      <w:tr w14:paraId="5496D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5" w:type="dxa"/>
            <w:noWrap w:val="0"/>
            <w:vAlign w:val="center"/>
          </w:tcPr>
          <w:p w14:paraId="63FA37B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Q≥100</w:t>
            </w:r>
          </w:p>
        </w:tc>
        <w:tc>
          <w:tcPr>
            <w:tcW w:w="1835" w:type="dxa"/>
            <w:noWrap w:val="0"/>
            <w:vAlign w:val="center"/>
          </w:tcPr>
          <w:p w14:paraId="284EAF9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P1</w:t>
            </w:r>
          </w:p>
        </w:tc>
        <w:tc>
          <w:tcPr>
            <w:tcW w:w="1835" w:type="dxa"/>
            <w:noWrap w:val="0"/>
            <w:vAlign w:val="center"/>
          </w:tcPr>
          <w:p w14:paraId="3E426C5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P1</w:t>
            </w:r>
          </w:p>
        </w:tc>
        <w:tc>
          <w:tcPr>
            <w:tcW w:w="1835" w:type="dxa"/>
            <w:noWrap w:val="0"/>
            <w:vAlign w:val="center"/>
          </w:tcPr>
          <w:p w14:paraId="3249CAE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P2</w:t>
            </w:r>
          </w:p>
        </w:tc>
        <w:tc>
          <w:tcPr>
            <w:tcW w:w="1837" w:type="dxa"/>
            <w:noWrap w:val="0"/>
            <w:vAlign w:val="center"/>
          </w:tcPr>
          <w:p w14:paraId="404325C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P3</w:t>
            </w:r>
          </w:p>
        </w:tc>
      </w:tr>
      <w:tr w14:paraId="5E73E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5" w:type="dxa"/>
            <w:noWrap w:val="0"/>
            <w:vAlign w:val="center"/>
          </w:tcPr>
          <w:p w14:paraId="4E1568D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10≤Q&lt;100</w:t>
            </w:r>
          </w:p>
        </w:tc>
        <w:tc>
          <w:tcPr>
            <w:tcW w:w="1835" w:type="dxa"/>
            <w:noWrap w:val="0"/>
            <w:vAlign w:val="center"/>
          </w:tcPr>
          <w:p w14:paraId="125A90E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P1</w:t>
            </w:r>
          </w:p>
        </w:tc>
        <w:tc>
          <w:tcPr>
            <w:tcW w:w="1835" w:type="dxa"/>
            <w:noWrap w:val="0"/>
            <w:vAlign w:val="center"/>
          </w:tcPr>
          <w:p w14:paraId="4CE47A8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P2</w:t>
            </w:r>
          </w:p>
        </w:tc>
        <w:tc>
          <w:tcPr>
            <w:tcW w:w="1835" w:type="dxa"/>
            <w:noWrap w:val="0"/>
            <w:vAlign w:val="center"/>
          </w:tcPr>
          <w:p w14:paraId="364D889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P3</w:t>
            </w:r>
          </w:p>
        </w:tc>
        <w:tc>
          <w:tcPr>
            <w:tcW w:w="1837" w:type="dxa"/>
            <w:noWrap w:val="0"/>
            <w:vAlign w:val="center"/>
          </w:tcPr>
          <w:p w14:paraId="1F39575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P4</w:t>
            </w:r>
          </w:p>
        </w:tc>
      </w:tr>
      <w:tr w14:paraId="523E6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5" w:type="dxa"/>
            <w:shd w:val="clear" w:color="auto" w:fill="auto"/>
            <w:noWrap w:val="0"/>
            <w:vAlign w:val="center"/>
          </w:tcPr>
          <w:p w14:paraId="0172D38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1≤Q&lt;10</w:t>
            </w:r>
          </w:p>
        </w:tc>
        <w:tc>
          <w:tcPr>
            <w:tcW w:w="1835" w:type="dxa"/>
            <w:shd w:val="clear" w:color="auto" w:fill="auto"/>
            <w:noWrap w:val="0"/>
            <w:vAlign w:val="center"/>
          </w:tcPr>
          <w:p w14:paraId="47FF6FC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P2</w:t>
            </w:r>
          </w:p>
        </w:tc>
        <w:tc>
          <w:tcPr>
            <w:tcW w:w="1835" w:type="dxa"/>
            <w:shd w:val="clear" w:color="auto" w:fill="auto"/>
            <w:noWrap w:val="0"/>
            <w:vAlign w:val="center"/>
          </w:tcPr>
          <w:p w14:paraId="0D19BA15">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P3</w:t>
            </w:r>
          </w:p>
        </w:tc>
        <w:tc>
          <w:tcPr>
            <w:tcW w:w="1835" w:type="dxa"/>
            <w:shd w:val="clear" w:color="auto" w:fill="auto"/>
            <w:noWrap w:val="0"/>
            <w:vAlign w:val="center"/>
          </w:tcPr>
          <w:p w14:paraId="2DD5AFA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P4</w:t>
            </w:r>
          </w:p>
        </w:tc>
        <w:tc>
          <w:tcPr>
            <w:tcW w:w="1837" w:type="dxa"/>
            <w:shd w:val="clear" w:color="auto" w:fill="D7D7D7"/>
            <w:noWrap w:val="0"/>
            <w:vAlign w:val="center"/>
          </w:tcPr>
          <w:p w14:paraId="764F9CC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P4</w:t>
            </w:r>
          </w:p>
        </w:tc>
      </w:tr>
    </w:tbl>
    <w:p w14:paraId="0172242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i w:val="0"/>
          <w:iCs w:val="0"/>
          <w:color w:val="auto"/>
          <w:sz w:val="24"/>
          <w:szCs w:val="24"/>
        </w:rPr>
      </w:pPr>
      <w:r>
        <w:rPr>
          <w:rFonts w:hint="default" w:ascii="Times New Roman" w:hAnsi="Times New Roman" w:eastAsia="宋体" w:cs="Times New Roman"/>
          <w:color w:val="auto"/>
          <w:kern w:val="0"/>
          <w:sz w:val="24"/>
        </w:rPr>
        <w:t>根据上表，确定本项目的危险物质及工艺系统危险性（P）分级为P4。</w:t>
      </w:r>
    </w:p>
    <w:p w14:paraId="14DBA927">
      <w:pPr>
        <w:keepNext w:val="0"/>
        <w:pageBreakBefore w:val="0"/>
        <w:widowControl/>
        <w:wordWrap/>
        <w:bidi w:val="0"/>
        <w:spacing w:beforeAutospacing="0" w:afterAutospacing="0" w:line="360" w:lineRule="auto"/>
        <w:ind w:left="0" w:leftChars="0" w:right="0" w:rightChars="0" w:firstLine="482"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b/>
          <w:bCs/>
          <w:color w:val="auto"/>
          <w:sz w:val="24"/>
          <w:szCs w:val="32"/>
          <w:lang w:val="en-US" w:eastAsia="zh-CN"/>
        </w:rPr>
        <w:t>2.3</w:t>
      </w:r>
      <w:r>
        <w:rPr>
          <w:rFonts w:hint="default" w:ascii="Times New Roman" w:hAnsi="Times New Roman" w:eastAsia="宋体" w:cs="Times New Roman"/>
          <w:b/>
          <w:bCs/>
          <w:color w:val="auto"/>
          <w:sz w:val="24"/>
          <w:szCs w:val="32"/>
        </w:rPr>
        <w:t>环境敏感程度（E）</w:t>
      </w:r>
      <w:r>
        <w:rPr>
          <w:rFonts w:hint="default" w:ascii="Times New Roman" w:hAnsi="Times New Roman" w:eastAsia="宋体" w:cs="Times New Roman"/>
          <w:b/>
          <w:bCs/>
          <w:color w:val="auto"/>
          <w:sz w:val="24"/>
          <w:szCs w:val="32"/>
          <w:lang w:val="en-US" w:eastAsia="zh-CN"/>
        </w:rPr>
        <w:t>的</w:t>
      </w:r>
      <w:r>
        <w:rPr>
          <w:rFonts w:hint="default" w:ascii="Times New Roman" w:hAnsi="Times New Roman" w:eastAsia="宋体" w:cs="Times New Roman"/>
          <w:b/>
          <w:bCs/>
          <w:color w:val="auto"/>
          <w:sz w:val="24"/>
          <w:szCs w:val="32"/>
        </w:rPr>
        <w:t>分级</w:t>
      </w:r>
    </w:p>
    <w:p w14:paraId="074AB5CE">
      <w:pPr>
        <w:keepNext w:val="0"/>
        <w:pageBreakBefore w:val="0"/>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32"/>
          <w:highlight w:val="yellow"/>
        </w:rPr>
      </w:pPr>
      <w:r>
        <w:rPr>
          <w:rFonts w:hint="default" w:ascii="Times New Roman" w:hAnsi="Times New Roman" w:eastAsia="宋体" w:cs="Times New Roman"/>
          <w:color w:val="auto"/>
          <w:sz w:val="24"/>
          <w:szCs w:val="32"/>
          <w:highlight w:val="yellow"/>
        </w:rPr>
        <w:t>（1）大气环境</w:t>
      </w:r>
    </w:p>
    <w:p w14:paraId="6E0AA840">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highlight w:val="yellow"/>
          <w:lang w:val="en-US" w:eastAsia="zh-CN"/>
        </w:rPr>
      </w:pPr>
      <w:r>
        <w:rPr>
          <w:rFonts w:hint="eastAsia" w:ascii="Times New Roman" w:hAnsi="Times New Roman" w:eastAsia="宋体" w:cs="Times New Roman"/>
          <w:color w:val="auto"/>
          <w:kern w:val="0"/>
          <w:sz w:val="24"/>
          <w:highlight w:val="yellow"/>
          <w:lang w:val="en-US" w:eastAsia="zh-CN"/>
        </w:rPr>
        <w:t>依据环境敏感目标环境敏感性及人口密度划分环境风险受体的敏感性，共分为三种类型，E1为环境高度敏感区，E2为环境中度敏感区，E3为环境低度敏感区，分级原则见表5。</w:t>
      </w:r>
    </w:p>
    <w:p w14:paraId="71077AFB">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5  </w:t>
      </w:r>
      <w:r>
        <w:rPr>
          <w:rFonts w:hint="default" w:ascii="Times New Roman" w:hAnsi="Times New Roman" w:eastAsia="宋体" w:cs="Times New Roman"/>
          <w:b/>
          <w:bCs/>
          <w:color w:val="auto"/>
          <w:sz w:val="24"/>
          <w:szCs w:val="32"/>
        </w:rPr>
        <w:t>大气环境</w:t>
      </w:r>
      <w:r>
        <w:rPr>
          <w:rFonts w:hint="default" w:ascii="Times New Roman" w:hAnsi="Times New Roman" w:eastAsia="宋体" w:cs="Times New Roman"/>
          <w:b/>
          <w:bCs/>
          <w:color w:val="auto"/>
          <w:sz w:val="24"/>
          <w:szCs w:val="32"/>
          <w:lang w:val="en-US" w:eastAsia="zh-CN"/>
        </w:rPr>
        <w:t>敏感程度分级</w:t>
      </w:r>
    </w:p>
    <w:tbl>
      <w:tblPr>
        <w:tblStyle w:val="3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01"/>
        <w:gridCol w:w="6676"/>
      </w:tblGrid>
      <w:tr w14:paraId="666292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1" w:type="dxa"/>
            <w:tcBorders>
              <w:top w:val="single" w:color="auto" w:sz="6" w:space="0"/>
              <w:left w:val="single" w:color="auto" w:sz="6" w:space="0"/>
              <w:bottom w:val="single" w:color="auto" w:sz="4" w:space="0"/>
              <w:right w:val="single" w:color="auto" w:sz="6" w:space="0"/>
            </w:tcBorders>
            <w:noWrap w:val="0"/>
            <w:vAlign w:val="center"/>
          </w:tcPr>
          <w:p w14:paraId="3BC1B91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敏感程度类型</w:t>
            </w:r>
          </w:p>
        </w:tc>
        <w:tc>
          <w:tcPr>
            <w:tcW w:w="6676" w:type="dxa"/>
            <w:tcBorders>
              <w:top w:val="single" w:color="auto" w:sz="6" w:space="0"/>
              <w:left w:val="single" w:color="auto" w:sz="6" w:space="0"/>
              <w:bottom w:val="single" w:color="auto" w:sz="6" w:space="0"/>
              <w:right w:val="single" w:color="auto" w:sz="6" w:space="0"/>
            </w:tcBorders>
            <w:noWrap w:val="0"/>
            <w:vAlign w:val="center"/>
          </w:tcPr>
          <w:p w14:paraId="6EFE5575">
            <w:pPr>
              <w:keepNext w:val="0"/>
              <w:pageBreakBefore w:val="0"/>
              <w:wordWrap/>
              <w:bidi w:val="0"/>
              <w:spacing w:beforeAutospacing="0" w:afterAutospacing="0" w:line="240" w:lineRule="auto"/>
              <w:ind w:left="0" w:leftChars="0" w:right="0" w:rightChars="0"/>
              <w:jc w:val="center"/>
              <w:rPr>
                <w:rFonts w:hint="eastAsia"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rPr>
              <w:t>大气环境</w:t>
            </w:r>
            <w:r>
              <w:rPr>
                <w:rFonts w:hint="eastAsia" w:ascii="Times New Roman" w:hAnsi="Times New Roman" w:eastAsia="宋体" w:cs="Times New Roman"/>
                <w:b/>
                <w:bCs/>
                <w:color w:val="auto"/>
                <w:szCs w:val="21"/>
                <w:lang w:val="en-US" w:eastAsia="zh-CN"/>
              </w:rPr>
              <w:t>敏感性</w:t>
            </w:r>
          </w:p>
        </w:tc>
      </w:tr>
      <w:tr w14:paraId="74386E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1" w:type="dxa"/>
            <w:tcBorders>
              <w:top w:val="single" w:color="auto" w:sz="4" w:space="0"/>
              <w:left w:val="single" w:color="auto" w:sz="6" w:space="0"/>
              <w:bottom w:val="single" w:color="auto" w:sz="4" w:space="0"/>
              <w:right w:val="single" w:color="auto" w:sz="6" w:space="0"/>
            </w:tcBorders>
            <w:noWrap w:val="0"/>
            <w:vAlign w:val="center"/>
          </w:tcPr>
          <w:p w14:paraId="2B37F48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类型1</w:t>
            </w:r>
          </w:p>
          <w:p w14:paraId="53A642F5">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（E1）</w:t>
            </w:r>
          </w:p>
        </w:tc>
        <w:tc>
          <w:tcPr>
            <w:tcW w:w="6676" w:type="dxa"/>
            <w:tcBorders>
              <w:top w:val="single" w:color="auto" w:sz="6" w:space="0"/>
              <w:left w:val="single" w:color="auto" w:sz="6" w:space="0"/>
              <w:bottom w:val="single" w:color="auto" w:sz="6" w:space="0"/>
              <w:right w:val="single" w:color="auto" w:sz="6" w:space="0"/>
            </w:tcBorders>
            <w:noWrap w:val="0"/>
            <w:vAlign w:val="center"/>
          </w:tcPr>
          <w:p w14:paraId="47B49C7A">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Cs w:val="21"/>
              </w:rPr>
            </w:pPr>
            <w:r>
              <w:rPr>
                <w:rFonts w:hint="eastAsia"/>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2D0474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1" w:type="dxa"/>
            <w:tcBorders>
              <w:top w:val="single" w:color="auto" w:sz="4" w:space="0"/>
              <w:left w:val="single" w:color="auto" w:sz="6" w:space="0"/>
              <w:bottom w:val="single" w:color="auto" w:sz="4" w:space="0"/>
              <w:right w:val="single" w:color="auto" w:sz="6" w:space="0"/>
            </w:tcBorders>
            <w:noWrap w:val="0"/>
            <w:vAlign w:val="center"/>
          </w:tcPr>
          <w:p w14:paraId="0D29A4D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类型2</w:t>
            </w:r>
          </w:p>
          <w:p w14:paraId="4153A65B">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（E2）</w:t>
            </w:r>
          </w:p>
        </w:tc>
        <w:tc>
          <w:tcPr>
            <w:tcW w:w="6676" w:type="dxa"/>
            <w:tcBorders>
              <w:top w:val="single" w:color="auto" w:sz="6" w:space="0"/>
              <w:left w:val="single" w:color="auto" w:sz="6" w:space="0"/>
              <w:bottom w:val="single" w:color="auto" w:sz="6" w:space="0"/>
              <w:right w:val="single" w:color="auto" w:sz="6" w:space="0"/>
            </w:tcBorders>
            <w:noWrap w:val="0"/>
            <w:vAlign w:val="center"/>
          </w:tcPr>
          <w:p w14:paraId="3E71508F">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Cs w:val="21"/>
              </w:rPr>
            </w:pPr>
            <w:r>
              <w:rPr>
                <w:rFonts w:hint="eastAsia"/>
              </w:rPr>
              <w:t>周边5km范围内居住区、医疗卫生、文化教育、科研、行政办公等机构人口总数大于1万人，小于5万人：或周边500m范围内人口总数大于5001人，小于1000人；油气、化学品输送管线管段周边200m范围内，每千米管段人口数大于100人，小于200人</w:t>
            </w:r>
          </w:p>
        </w:tc>
      </w:tr>
      <w:tr w14:paraId="5C29E3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01" w:type="dxa"/>
            <w:tcBorders>
              <w:top w:val="single" w:color="auto" w:sz="4" w:space="0"/>
              <w:left w:val="single" w:color="auto" w:sz="6" w:space="0"/>
              <w:bottom w:val="single" w:color="auto" w:sz="6" w:space="0"/>
              <w:right w:val="single" w:color="auto" w:sz="6" w:space="0"/>
            </w:tcBorders>
            <w:noWrap w:val="0"/>
            <w:vAlign w:val="center"/>
          </w:tcPr>
          <w:p w14:paraId="09EB41B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类型3</w:t>
            </w:r>
          </w:p>
          <w:p w14:paraId="030FDDAA">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（E3）</w:t>
            </w:r>
          </w:p>
        </w:tc>
        <w:tc>
          <w:tcPr>
            <w:tcW w:w="6676" w:type="dxa"/>
            <w:tcBorders>
              <w:top w:val="single" w:color="auto" w:sz="6" w:space="0"/>
              <w:left w:val="single" w:color="auto" w:sz="6" w:space="0"/>
              <w:bottom w:val="single" w:color="auto" w:sz="6" w:space="0"/>
              <w:right w:val="single" w:color="auto" w:sz="6" w:space="0"/>
            </w:tcBorders>
            <w:noWrap w:val="0"/>
            <w:vAlign w:val="center"/>
          </w:tcPr>
          <w:p w14:paraId="0AA3FA9C">
            <w:pPr>
              <w:rPr>
                <w:rFonts w:hint="default" w:ascii="Times New Roman" w:hAnsi="Times New Roman" w:eastAsia="宋体" w:cs="Times New Roman"/>
                <w:color w:val="auto"/>
                <w:szCs w:val="21"/>
              </w:rPr>
            </w:pPr>
            <w:r>
              <w:rPr>
                <w:rFonts w:hint="eastAsia"/>
              </w:rPr>
              <w:t>周边5km范围内居住区、医疗卫生、文化教育、科研、行政办公等机构人口总数小于1万人：或周边500m范围内人口总数小于500人；油气、化学品输送管线管段周边200m范围内，每千米管段人口数小于100人</w:t>
            </w:r>
          </w:p>
        </w:tc>
      </w:tr>
    </w:tbl>
    <w:p w14:paraId="2B7A3928">
      <w:pPr>
        <w:keepNext w:val="0"/>
        <w:pageBreakBefore w:val="0"/>
        <w:numPr>
          <w:ilvl w:val="0"/>
          <w:numId w:val="0"/>
        </w:numPr>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FF0000"/>
          <w:kern w:val="2"/>
          <w:sz w:val="24"/>
          <w:szCs w:val="32"/>
          <w:lang w:val="en-US" w:eastAsia="zh-CN" w:bidi="ar-SA"/>
        </w:rPr>
        <w:t>本</w:t>
      </w:r>
      <w:r>
        <w:rPr>
          <w:rFonts w:hint="eastAsia" w:ascii="Times New Roman" w:hAnsi="Times New Roman" w:eastAsia="宋体" w:cs="Times New Roman"/>
          <w:color w:val="FF0000"/>
          <w:kern w:val="2"/>
          <w:sz w:val="24"/>
          <w:szCs w:val="32"/>
          <w:lang w:val="en-US" w:eastAsia="zh-CN" w:bidi="ar-SA"/>
        </w:rPr>
        <w:t>项目周边5km范围内居住区、医疗卫生、文化教育、科研、行政办公等机构人口总数小于1万人：周边500m范围内人口总数小于500人；</w:t>
      </w:r>
      <w:r>
        <w:rPr>
          <w:rFonts w:hint="default" w:ascii="Times New Roman" w:hAnsi="Times New Roman" w:eastAsia="宋体" w:cs="Times New Roman"/>
          <w:color w:val="auto"/>
          <w:kern w:val="2"/>
          <w:sz w:val="24"/>
          <w:szCs w:val="32"/>
          <w:lang w:val="en-US" w:eastAsia="zh-CN" w:bidi="ar-SA"/>
        </w:rPr>
        <w:t>因此本</w:t>
      </w:r>
      <w:r>
        <w:rPr>
          <w:rFonts w:hint="eastAsia" w:ascii="Times New Roman" w:hAnsi="Times New Roman" w:eastAsia="宋体" w:cs="Times New Roman"/>
          <w:color w:val="auto"/>
          <w:kern w:val="2"/>
          <w:sz w:val="24"/>
          <w:szCs w:val="32"/>
          <w:lang w:val="en-US" w:eastAsia="zh-CN" w:bidi="ar-SA"/>
        </w:rPr>
        <w:t>项目</w:t>
      </w:r>
      <w:r>
        <w:rPr>
          <w:rFonts w:hint="default" w:ascii="Times New Roman" w:hAnsi="Times New Roman" w:eastAsia="宋体" w:cs="Times New Roman"/>
          <w:color w:val="auto"/>
          <w:kern w:val="2"/>
          <w:sz w:val="24"/>
          <w:szCs w:val="32"/>
          <w:lang w:val="en-US" w:eastAsia="zh-CN" w:bidi="ar-SA"/>
        </w:rPr>
        <w:t>大气环境敏感程度E值为E3。</w:t>
      </w:r>
    </w:p>
    <w:p w14:paraId="47E856F2">
      <w:pPr>
        <w:keepNext w:val="0"/>
        <w:pageBreakBefore w:val="0"/>
        <w:numPr>
          <w:ilvl w:val="0"/>
          <w:numId w:val="0"/>
        </w:numPr>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kern w:val="2"/>
          <w:sz w:val="24"/>
          <w:szCs w:val="32"/>
          <w:lang w:val="en-US" w:eastAsia="zh-CN" w:bidi="ar-SA"/>
        </w:rPr>
        <w:t>（2）</w:t>
      </w:r>
      <w:r>
        <w:rPr>
          <w:rFonts w:hint="default" w:ascii="Times New Roman" w:hAnsi="Times New Roman" w:eastAsia="宋体" w:cs="Times New Roman"/>
          <w:color w:val="auto"/>
          <w:sz w:val="24"/>
          <w:szCs w:val="32"/>
        </w:rPr>
        <w:t>地表水环境</w:t>
      </w:r>
    </w:p>
    <w:p w14:paraId="5E2FC979">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依据事故情况下危险物质泄漏到水体的排放点受纳地表水体功能敏感性，与下游环境敏感目标情况，共分为三种类型，E1为环境高度敏感区，E2为环境中度敏感区，E3为环境低度敏感区，分级原则见表</w:t>
      </w:r>
      <w:r>
        <w:rPr>
          <w:rFonts w:hint="default" w:ascii="Times New Roman" w:hAnsi="Times New Roman" w:eastAsia="宋体" w:cs="Times New Roman"/>
          <w:color w:val="auto"/>
          <w:kern w:val="0"/>
          <w:sz w:val="24"/>
          <w:lang w:val="en-US" w:eastAsia="zh-CN"/>
        </w:rPr>
        <w:t>6</w:t>
      </w:r>
      <w:r>
        <w:rPr>
          <w:rFonts w:hint="default" w:ascii="Times New Roman" w:hAnsi="Times New Roman" w:eastAsia="宋体" w:cs="Times New Roman"/>
          <w:color w:val="auto"/>
          <w:kern w:val="0"/>
          <w:sz w:val="24"/>
        </w:rPr>
        <w:t>。其中地表水功能敏感性分区和环境敏感目标分级分别见表</w:t>
      </w:r>
      <w:r>
        <w:rPr>
          <w:rFonts w:hint="default" w:ascii="Times New Roman" w:hAnsi="Times New Roman" w:eastAsia="宋体" w:cs="Times New Roman"/>
          <w:color w:val="auto"/>
          <w:kern w:val="0"/>
          <w:sz w:val="24"/>
          <w:lang w:val="en-US" w:eastAsia="zh-CN"/>
        </w:rPr>
        <w:t>7</w:t>
      </w:r>
      <w:r>
        <w:rPr>
          <w:rFonts w:hint="default" w:ascii="Times New Roman" w:hAnsi="Times New Roman" w:eastAsia="宋体" w:cs="Times New Roman"/>
          <w:color w:val="auto"/>
          <w:kern w:val="0"/>
          <w:sz w:val="24"/>
        </w:rPr>
        <w:t>和表</w:t>
      </w:r>
      <w:r>
        <w:rPr>
          <w:rFonts w:hint="default" w:ascii="Times New Roman" w:hAnsi="Times New Roman" w:eastAsia="宋体" w:cs="Times New Roman"/>
          <w:color w:val="auto"/>
          <w:kern w:val="0"/>
          <w:sz w:val="24"/>
          <w:lang w:val="en-US" w:eastAsia="zh-CN"/>
        </w:rPr>
        <w:t>8</w:t>
      </w:r>
      <w:r>
        <w:rPr>
          <w:rFonts w:hint="default" w:ascii="Times New Roman" w:hAnsi="Times New Roman" w:eastAsia="宋体" w:cs="Times New Roman"/>
          <w:color w:val="auto"/>
          <w:kern w:val="0"/>
          <w:sz w:val="24"/>
        </w:rPr>
        <w:t>。</w:t>
      </w:r>
    </w:p>
    <w:p w14:paraId="246B346C">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6  </w:t>
      </w:r>
      <w:r>
        <w:rPr>
          <w:rFonts w:hint="default" w:ascii="Times New Roman" w:hAnsi="Times New Roman" w:eastAsia="宋体" w:cs="Times New Roman"/>
          <w:b/>
          <w:bCs/>
          <w:color w:val="auto"/>
          <w:sz w:val="24"/>
          <w:szCs w:val="32"/>
        </w:rPr>
        <w:t>地表水环境敏感程度分级</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9"/>
        <w:gridCol w:w="2069"/>
        <w:gridCol w:w="2069"/>
        <w:gridCol w:w="2070"/>
      </w:tblGrid>
      <w:tr w14:paraId="6E98B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0" w:type="dxa"/>
            <w:vMerge w:val="restart"/>
            <w:noWrap w:val="0"/>
            <w:vAlign w:val="center"/>
          </w:tcPr>
          <w:p w14:paraId="4F916CAC">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环境敏感目标</w:t>
            </w:r>
          </w:p>
        </w:tc>
        <w:tc>
          <w:tcPr>
            <w:tcW w:w="6510" w:type="dxa"/>
            <w:gridSpan w:val="3"/>
            <w:noWrap w:val="0"/>
            <w:vAlign w:val="center"/>
          </w:tcPr>
          <w:p w14:paraId="2B8E434A">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地表水环境敏感性</w:t>
            </w:r>
          </w:p>
        </w:tc>
      </w:tr>
      <w:tr w14:paraId="50DA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0" w:type="dxa"/>
            <w:vMerge w:val="continue"/>
            <w:noWrap w:val="0"/>
            <w:vAlign w:val="center"/>
          </w:tcPr>
          <w:p w14:paraId="650FE601">
            <w:pPr>
              <w:pStyle w:val="8"/>
              <w:keepNext w:val="0"/>
              <w:pageBreakBefore w:val="0"/>
              <w:wordWrap/>
              <w:bidi w:val="0"/>
              <w:spacing w:beforeAutospacing="0" w:afterAutospacing="0" w:line="240" w:lineRule="auto"/>
              <w:ind w:left="0" w:leftChars="0" w:right="0" w:rightChars="0" w:firstLine="0"/>
              <w:jc w:val="center"/>
              <w:rPr>
                <w:rFonts w:hint="default" w:ascii="Times New Roman" w:hAnsi="Times New Roman" w:eastAsia="宋体" w:cs="Times New Roman"/>
                <w:color w:val="auto"/>
                <w:sz w:val="21"/>
                <w:szCs w:val="21"/>
              </w:rPr>
            </w:pPr>
          </w:p>
        </w:tc>
        <w:tc>
          <w:tcPr>
            <w:tcW w:w="2170" w:type="dxa"/>
            <w:noWrap w:val="0"/>
            <w:vAlign w:val="center"/>
          </w:tcPr>
          <w:p w14:paraId="5639CFCF">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F1</w:t>
            </w:r>
          </w:p>
        </w:tc>
        <w:tc>
          <w:tcPr>
            <w:tcW w:w="2170" w:type="dxa"/>
            <w:noWrap w:val="0"/>
            <w:vAlign w:val="center"/>
          </w:tcPr>
          <w:p w14:paraId="45A2E6B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F2</w:t>
            </w:r>
          </w:p>
        </w:tc>
        <w:tc>
          <w:tcPr>
            <w:tcW w:w="2170" w:type="dxa"/>
            <w:noWrap w:val="0"/>
            <w:vAlign w:val="center"/>
          </w:tcPr>
          <w:p w14:paraId="0656EFB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F3</w:t>
            </w:r>
          </w:p>
        </w:tc>
      </w:tr>
      <w:tr w14:paraId="027C6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0" w:type="dxa"/>
            <w:noWrap w:val="0"/>
            <w:vAlign w:val="center"/>
          </w:tcPr>
          <w:p w14:paraId="0314188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S1</w:t>
            </w:r>
          </w:p>
        </w:tc>
        <w:tc>
          <w:tcPr>
            <w:tcW w:w="2170" w:type="dxa"/>
            <w:noWrap w:val="0"/>
            <w:vAlign w:val="center"/>
          </w:tcPr>
          <w:p w14:paraId="08439FD9">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170" w:type="dxa"/>
            <w:noWrap w:val="0"/>
            <w:vAlign w:val="center"/>
          </w:tcPr>
          <w:p w14:paraId="3641A03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170" w:type="dxa"/>
            <w:noWrap w:val="0"/>
            <w:vAlign w:val="center"/>
          </w:tcPr>
          <w:p w14:paraId="4E270761">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E2</w:t>
            </w:r>
          </w:p>
        </w:tc>
      </w:tr>
      <w:tr w14:paraId="5018A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0" w:type="dxa"/>
            <w:noWrap w:val="0"/>
            <w:vAlign w:val="center"/>
          </w:tcPr>
          <w:p w14:paraId="2359A6F9">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S2</w:t>
            </w:r>
          </w:p>
        </w:tc>
        <w:tc>
          <w:tcPr>
            <w:tcW w:w="2170" w:type="dxa"/>
            <w:noWrap w:val="0"/>
            <w:vAlign w:val="center"/>
          </w:tcPr>
          <w:p w14:paraId="3D7D18EE">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170" w:type="dxa"/>
            <w:noWrap w:val="0"/>
            <w:vAlign w:val="center"/>
          </w:tcPr>
          <w:p w14:paraId="0171F121">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E2</w:t>
            </w:r>
          </w:p>
        </w:tc>
        <w:tc>
          <w:tcPr>
            <w:tcW w:w="2170" w:type="dxa"/>
            <w:noWrap w:val="0"/>
            <w:vAlign w:val="center"/>
          </w:tcPr>
          <w:p w14:paraId="525E119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r>
      <w:tr w14:paraId="0D7E8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0" w:type="dxa"/>
            <w:shd w:val="clear" w:color="auto" w:fill="auto"/>
            <w:noWrap w:val="0"/>
            <w:vAlign w:val="center"/>
          </w:tcPr>
          <w:p w14:paraId="33699A5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S3</w:t>
            </w:r>
          </w:p>
        </w:tc>
        <w:tc>
          <w:tcPr>
            <w:tcW w:w="2170" w:type="dxa"/>
            <w:shd w:val="clear" w:color="auto" w:fill="auto"/>
            <w:noWrap w:val="0"/>
            <w:vAlign w:val="center"/>
          </w:tcPr>
          <w:p w14:paraId="4DFB20B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170" w:type="dxa"/>
            <w:shd w:val="clear" w:color="auto" w:fill="auto"/>
            <w:noWrap w:val="0"/>
            <w:vAlign w:val="center"/>
          </w:tcPr>
          <w:p w14:paraId="3C331C0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E2</w:t>
            </w:r>
          </w:p>
        </w:tc>
        <w:tc>
          <w:tcPr>
            <w:tcW w:w="2170" w:type="dxa"/>
            <w:shd w:val="clear" w:color="auto" w:fill="D7D7D7"/>
            <w:noWrap w:val="0"/>
            <w:vAlign w:val="center"/>
          </w:tcPr>
          <w:p w14:paraId="35E1361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r>
    </w:tbl>
    <w:p w14:paraId="6E01AEB7">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7  </w:t>
      </w:r>
      <w:r>
        <w:rPr>
          <w:rFonts w:hint="default" w:ascii="Times New Roman" w:hAnsi="Times New Roman" w:eastAsia="宋体" w:cs="Times New Roman"/>
          <w:b/>
          <w:bCs/>
          <w:color w:val="auto"/>
          <w:sz w:val="24"/>
          <w:szCs w:val="32"/>
        </w:rPr>
        <w:t>地表水功能敏感性分区</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1"/>
        <w:gridCol w:w="6946"/>
      </w:tblGrid>
      <w:tr w14:paraId="5ADB6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6A05FB13">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8"/>
              </w:rPr>
            </w:pPr>
            <w:r>
              <w:rPr>
                <w:rFonts w:hint="default" w:ascii="Times New Roman" w:hAnsi="Times New Roman" w:eastAsia="宋体" w:cs="Times New Roman"/>
                <w:color w:val="auto"/>
              </w:rPr>
              <w:t>敏感性</w:t>
            </w:r>
          </w:p>
        </w:tc>
        <w:tc>
          <w:tcPr>
            <w:tcW w:w="7291" w:type="dxa"/>
            <w:noWrap w:val="0"/>
            <w:vAlign w:val="center"/>
          </w:tcPr>
          <w:p w14:paraId="33585466">
            <w:pPr>
              <w:keepNext w:val="0"/>
              <w:pageBreakBefore w:val="0"/>
              <w:wordWrap/>
              <w:bidi w:val="0"/>
              <w:spacing w:beforeAutospacing="0" w:afterAutospacing="0"/>
              <w:ind w:left="0" w:leftChars="0" w:right="0" w:rightChars="0"/>
              <w:rPr>
                <w:rFonts w:hint="eastAsia" w:ascii="Times New Roman" w:hAnsi="Times New Roman" w:eastAsia="宋体" w:cs="Times New Roman"/>
                <w:b/>
                <w:bCs/>
                <w:color w:val="auto"/>
                <w:szCs w:val="28"/>
                <w:lang w:eastAsia="zh-CN"/>
              </w:rPr>
            </w:pPr>
            <w:r>
              <w:rPr>
                <w:rFonts w:hint="default" w:ascii="Times New Roman" w:hAnsi="Times New Roman" w:eastAsia="宋体" w:cs="Times New Roman"/>
                <w:color w:val="auto"/>
              </w:rPr>
              <w:t>地表水敏感性</w:t>
            </w:r>
            <w:r>
              <w:rPr>
                <w:rFonts w:hint="eastAsia" w:ascii="Times New Roman" w:hAnsi="Times New Roman" w:eastAsia="宋体" w:cs="Times New Roman"/>
                <w:color w:val="auto"/>
                <w:lang w:val="en-US" w:eastAsia="zh-CN"/>
              </w:rPr>
              <w:t>特征</w:t>
            </w:r>
          </w:p>
        </w:tc>
      </w:tr>
      <w:tr w14:paraId="4F360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5668736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8"/>
              </w:rPr>
            </w:pPr>
            <w:r>
              <w:rPr>
                <w:rFonts w:hint="default" w:ascii="Times New Roman" w:hAnsi="Times New Roman" w:eastAsia="宋体" w:cs="Times New Roman"/>
                <w:color w:val="auto"/>
              </w:rPr>
              <w:t>敏感F1</w:t>
            </w:r>
          </w:p>
        </w:tc>
        <w:tc>
          <w:tcPr>
            <w:tcW w:w="7291" w:type="dxa"/>
            <w:noWrap w:val="0"/>
            <w:vAlign w:val="center"/>
          </w:tcPr>
          <w:p w14:paraId="77A3955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排放点进入地表水水域功能为I类以上，或海水水质分类第一类；</w:t>
            </w:r>
          </w:p>
          <w:p w14:paraId="72AA3EB1">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8"/>
              </w:rPr>
            </w:pPr>
            <w:r>
              <w:rPr>
                <w:rFonts w:hint="default" w:ascii="Times New Roman" w:hAnsi="Times New Roman" w:eastAsia="宋体" w:cs="Times New Roman"/>
                <w:color w:val="auto"/>
              </w:rPr>
              <w:t>或以发生事故时，危险物质泄漏到水体的排放点算起，排放进入受纳河流最大流速时，24h流经的范围内跨国界的</w:t>
            </w:r>
          </w:p>
        </w:tc>
      </w:tr>
      <w:tr w14:paraId="464C5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582F5ABF">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8"/>
              </w:rPr>
            </w:pPr>
            <w:r>
              <w:rPr>
                <w:rFonts w:hint="default" w:ascii="Times New Roman" w:hAnsi="Times New Roman" w:eastAsia="宋体" w:cs="Times New Roman"/>
                <w:color w:val="auto"/>
              </w:rPr>
              <w:t>敏感F2</w:t>
            </w:r>
          </w:p>
        </w:tc>
        <w:tc>
          <w:tcPr>
            <w:tcW w:w="7291" w:type="dxa"/>
            <w:noWrap w:val="0"/>
            <w:vAlign w:val="center"/>
          </w:tcPr>
          <w:p w14:paraId="713B3B5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排放点进入地表水水域功能为II类以上，或海水水质分类第二类；</w:t>
            </w:r>
          </w:p>
          <w:p w14:paraId="71DE0D84">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8"/>
              </w:rPr>
            </w:pPr>
            <w:r>
              <w:rPr>
                <w:rFonts w:hint="default" w:ascii="Times New Roman" w:hAnsi="Times New Roman" w:eastAsia="宋体" w:cs="Times New Roman"/>
                <w:color w:val="auto"/>
              </w:rPr>
              <w:t>或以发生事故时，危险物质泄漏到水体的排放点算起，排放进入受纳河流最大流速时，24h流经的范围内跨省界的</w:t>
            </w:r>
          </w:p>
        </w:tc>
      </w:tr>
      <w:tr w14:paraId="701DF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4B381A6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8"/>
              </w:rPr>
            </w:pPr>
            <w:r>
              <w:rPr>
                <w:rFonts w:hint="default" w:ascii="Times New Roman" w:hAnsi="Times New Roman" w:eastAsia="宋体" w:cs="Times New Roman"/>
                <w:color w:val="auto"/>
              </w:rPr>
              <w:t>敏感F3</w:t>
            </w:r>
          </w:p>
        </w:tc>
        <w:tc>
          <w:tcPr>
            <w:tcW w:w="7291" w:type="dxa"/>
            <w:noWrap w:val="0"/>
            <w:vAlign w:val="center"/>
          </w:tcPr>
          <w:p w14:paraId="1D3CC66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8"/>
              </w:rPr>
            </w:pPr>
            <w:r>
              <w:rPr>
                <w:rFonts w:hint="default" w:ascii="Times New Roman" w:hAnsi="Times New Roman" w:eastAsia="宋体" w:cs="Times New Roman"/>
                <w:color w:val="auto"/>
              </w:rPr>
              <w:t>上述地区之外的其他地区</w:t>
            </w:r>
          </w:p>
        </w:tc>
      </w:tr>
    </w:tbl>
    <w:p w14:paraId="2F17996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本项目周边无跨</w:t>
      </w:r>
      <w:r>
        <w:rPr>
          <w:rFonts w:hint="default" w:ascii="Times New Roman" w:hAnsi="Times New Roman" w:eastAsia="宋体" w:cs="Times New Roman"/>
          <w:color w:val="auto"/>
          <w:sz w:val="24"/>
          <w:szCs w:val="24"/>
        </w:rPr>
        <w:t>国界</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跨省界地表水水域</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因此本项目地表水敏感性特征F值为</w:t>
      </w:r>
      <w:r>
        <w:rPr>
          <w:rFonts w:hint="default" w:ascii="Times New Roman" w:hAnsi="Times New Roman" w:eastAsia="宋体" w:cs="Times New Roman"/>
          <w:color w:val="auto"/>
        </w:rPr>
        <w:t>F</w:t>
      </w:r>
      <w:r>
        <w:rPr>
          <w:rFonts w:hint="eastAsia" w:ascii="Times New Roman" w:hAnsi="Times New Roman" w:eastAsia="宋体" w:cs="Times New Roman"/>
          <w:color w:val="auto"/>
          <w:sz w:val="24"/>
          <w:szCs w:val="24"/>
          <w:lang w:val="en-US" w:eastAsia="zh-CN"/>
        </w:rPr>
        <w:t>3。</w:t>
      </w:r>
    </w:p>
    <w:p w14:paraId="10536268">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32"/>
        </w:rPr>
      </w:pPr>
    </w:p>
    <w:p w14:paraId="5E60E0C3">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8  </w:t>
      </w:r>
      <w:r>
        <w:rPr>
          <w:rFonts w:hint="default" w:ascii="Times New Roman" w:hAnsi="Times New Roman" w:eastAsia="宋体" w:cs="Times New Roman"/>
          <w:b/>
          <w:bCs/>
          <w:color w:val="auto"/>
          <w:sz w:val="24"/>
          <w:szCs w:val="32"/>
        </w:rPr>
        <w:t>地表水敏感目标分级</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1"/>
        <w:gridCol w:w="6946"/>
      </w:tblGrid>
      <w:tr w14:paraId="7E1D2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44D7B32A">
            <w:pPr>
              <w:keepNext w:val="0"/>
              <w:pageBreakBefore w:val="0"/>
              <w:wordWrap/>
              <w:autoSpaceDE w:val="0"/>
              <w:autoSpaceDN w:val="0"/>
              <w:bidi w:val="0"/>
              <w:adjustRightInd w:val="0"/>
              <w:spacing w:beforeAutospacing="0" w:afterAutospacing="0"/>
              <w:ind w:left="0" w:leftChars="0" w:right="0" w:rightChars="0"/>
              <w:jc w:val="center"/>
              <w:textAlignment w:val="baseline"/>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分级</w:t>
            </w:r>
          </w:p>
        </w:tc>
        <w:tc>
          <w:tcPr>
            <w:tcW w:w="7291" w:type="dxa"/>
            <w:noWrap w:val="0"/>
            <w:vAlign w:val="center"/>
          </w:tcPr>
          <w:p w14:paraId="49AD96CD">
            <w:pPr>
              <w:keepNext w:val="0"/>
              <w:pageBreakBefore w:val="0"/>
              <w:wordWrap/>
              <w:autoSpaceDE w:val="0"/>
              <w:autoSpaceDN w:val="0"/>
              <w:bidi w:val="0"/>
              <w:adjustRightInd w:val="0"/>
              <w:spacing w:beforeAutospacing="0" w:afterAutospacing="0"/>
              <w:ind w:left="0" w:leftChars="0" w:right="0" w:rightChars="0"/>
              <w:jc w:val="center"/>
              <w:textAlignment w:val="baseline"/>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环境敏感目标</w:t>
            </w:r>
          </w:p>
        </w:tc>
      </w:tr>
      <w:tr w14:paraId="141FE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23A42C5F">
            <w:pPr>
              <w:keepNext w:val="0"/>
              <w:pageBreakBefore w:val="0"/>
              <w:wordWrap/>
              <w:autoSpaceDE w:val="0"/>
              <w:autoSpaceDN w:val="0"/>
              <w:bidi w:val="0"/>
              <w:adjustRightInd w:val="0"/>
              <w:spacing w:beforeAutospacing="0" w:afterAutospacing="0"/>
              <w:ind w:left="0" w:leftChars="0" w:right="0" w:rightChars="0"/>
              <w:jc w:val="center"/>
              <w:textAlignment w:val="baseline"/>
              <w:rPr>
                <w:rFonts w:hint="default" w:ascii="Times New Roman" w:hAnsi="Times New Roman" w:eastAsia="宋体" w:cs="Times New Roman"/>
                <w:color w:val="auto"/>
                <w:kern w:val="0"/>
                <w:szCs w:val="28"/>
              </w:rPr>
            </w:pPr>
            <w:r>
              <w:rPr>
                <w:rFonts w:hint="default" w:ascii="Times New Roman" w:hAnsi="Times New Roman" w:eastAsia="宋体" w:cs="Times New Roman"/>
                <w:color w:val="auto"/>
                <w:kern w:val="0"/>
                <w:szCs w:val="28"/>
              </w:rPr>
              <w:t>S1</w:t>
            </w:r>
          </w:p>
        </w:tc>
        <w:tc>
          <w:tcPr>
            <w:tcW w:w="7291" w:type="dxa"/>
            <w:noWrap w:val="0"/>
            <w:vAlign w:val="center"/>
          </w:tcPr>
          <w:p w14:paraId="2F4AFC65">
            <w:pPr>
              <w:keepNext w:val="0"/>
              <w:pageBreakBefore w:val="0"/>
              <w:wordWrap/>
              <w:autoSpaceDE w:val="0"/>
              <w:autoSpaceDN w:val="0"/>
              <w:bidi w:val="0"/>
              <w:adjustRightInd w:val="0"/>
              <w:spacing w:beforeAutospacing="0" w:afterAutospacing="0"/>
              <w:ind w:left="0" w:leftChars="0" w:right="0" w:rightChars="0"/>
              <w:jc w:val="left"/>
              <w:textAlignment w:val="baseline"/>
              <w:rPr>
                <w:rFonts w:hint="default" w:ascii="Times New Roman" w:hAnsi="Times New Roman" w:eastAsia="宋体" w:cs="Times New Roman"/>
                <w:color w:val="auto"/>
                <w:kern w:val="0"/>
                <w:szCs w:val="28"/>
              </w:rPr>
            </w:pPr>
            <w:r>
              <w:rPr>
                <w:rFonts w:hint="default" w:ascii="Times New Roman" w:hAnsi="Times New Roman" w:eastAsia="宋体" w:cs="Times New Roman"/>
                <w:color w:val="auto"/>
                <w:kern w:val="0"/>
                <w:szCs w:val="28"/>
              </w:rPr>
              <w:t>发生事故时，危险物质泄漏到内陆水体的排放点下游</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顺水流向</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10km范围内、近岸海域一个潮周期水质点可能达到的最大水平距离的两倍范围内，有如下一类或多类环境风险受体：集中式地表水饮用水水源保护区</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包括一级保护区、二级保护区及准保护区</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33F18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40CFF11F">
            <w:pPr>
              <w:keepNext w:val="0"/>
              <w:pageBreakBefore w:val="0"/>
              <w:wordWrap/>
              <w:autoSpaceDE w:val="0"/>
              <w:autoSpaceDN w:val="0"/>
              <w:bidi w:val="0"/>
              <w:adjustRightInd w:val="0"/>
              <w:spacing w:beforeAutospacing="0" w:afterAutospacing="0"/>
              <w:ind w:left="0" w:leftChars="0" w:right="0" w:rightChars="0"/>
              <w:jc w:val="center"/>
              <w:textAlignment w:val="baseline"/>
              <w:rPr>
                <w:rFonts w:hint="default" w:ascii="Times New Roman" w:hAnsi="Times New Roman" w:eastAsia="宋体" w:cs="Times New Roman"/>
                <w:color w:val="auto"/>
                <w:kern w:val="0"/>
                <w:szCs w:val="28"/>
              </w:rPr>
            </w:pPr>
            <w:r>
              <w:rPr>
                <w:rFonts w:hint="default" w:ascii="Times New Roman" w:hAnsi="Times New Roman" w:eastAsia="宋体" w:cs="Times New Roman"/>
                <w:color w:val="auto"/>
                <w:kern w:val="0"/>
                <w:szCs w:val="28"/>
              </w:rPr>
              <w:t>S2</w:t>
            </w:r>
          </w:p>
        </w:tc>
        <w:tc>
          <w:tcPr>
            <w:tcW w:w="7291" w:type="dxa"/>
            <w:noWrap w:val="0"/>
            <w:vAlign w:val="center"/>
          </w:tcPr>
          <w:p w14:paraId="13E7B6A8">
            <w:pPr>
              <w:keepNext w:val="0"/>
              <w:pageBreakBefore w:val="0"/>
              <w:wordWrap/>
              <w:autoSpaceDE w:val="0"/>
              <w:autoSpaceDN w:val="0"/>
              <w:bidi w:val="0"/>
              <w:adjustRightInd w:val="0"/>
              <w:spacing w:beforeAutospacing="0" w:afterAutospacing="0"/>
              <w:ind w:left="0" w:leftChars="0" w:right="0" w:rightChars="0"/>
              <w:jc w:val="left"/>
              <w:textAlignment w:val="baseline"/>
              <w:rPr>
                <w:rFonts w:hint="default" w:ascii="Times New Roman" w:hAnsi="Times New Roman" w:eastAsia="宋体" w:cs="Times New Roman"/>
                <w:color w:val="auto"/>
                <w:kern w:val="0"/>
                <w:szCs w:val="28"/>
              </w:rPr>
            </w:pPr>
            <w:r>
              <w:rPr>
                <w:rFonts w:hint="default" w:ascii="Times New Roman" w:hAnsi="Times New Roman" w:eastAsia="宋体" w:cs="Times New Roman"/>
                <w:color w:val="auto"/>
                <w:kern w:val="0"/>
                <w:szCs w:val="28"/>
              </w:rPr>
              <w:t>发生事故时，危险物质泄漏到内陆水体的排放点下游</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顺水流向</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58E8B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8" w:type="dxa"/>
            <w:noWrap w:val="0"/>
            <w:vAlign w:val="center"/>
          </w:tcPr>
          <w:p w14:paraId="218BCBC1">
            <w:pPr>
              <w:keepNext w:val="0"/>
              <w:pageBreakBefore w:val="0"/>
              <w:wordWrap/>
              <w:autoSpaceDE w:val="0"/>
              <w:autoSpaceDN w:val="0"/>
              <w:bidi w:val="0"/>
              <w:adjustRightInd w:val="0"/>
              <w:spacing w:beforeAutospacing="0" w:afterAutospacing="0"/>
              <w:ind w:left="0" w:leftChars="0" w:right="0" w:rightChars="0"/>
              <w:jc w:val="center"/>
              <w:textAlignment w:val="baseline"/>
              <w:rPr>
                <w:rFonts w:hint="default" w:ascii="Times New Roman" w:hAnsi="Times New Roman" w:eastAsia="宋体" w:cs="Times New Roman"/>
                <w:color w:val="auto"/>
                <w:kern w:val="0"/>
                <w:szCs w:val="28"/>
              </w:rPr>
            </w:pPr>
            <w:r>
              <w:rPr>
                <w:rFonts w:hint="default" w:ascii="Times New Roman" w:hAnsi="Times New Roman" w:eastAsia="宋体" w:cs="Times New Roman"/>
                <w:color w:val="auto"/>
                <w:kern w:val="0"/>
                <w:szCs w:val="28"/>
              </w:rPr>
              <w:t>S3</w:t>
            </w:r>
          </w:p>
        </w:tc>
        <w:tc>
          <w:tcPr>
            <w:tcW w:w="7291" w:type="dxa"/>
            <w:noWrap w:val="0"/>
            <w:vAlign w:val="center"/>
          </w:tcPr>
          <w:p w14:paraId="03559F9E">
            <w:pPr>
              <w:keepNext w:val="0"/>
              <w:pageBreakBefore w:val="0"/>
              <w:wordWrap/>
              <w:autoSpaceDE w:val="0"/>
              <w:autoSpaceDN w:val="0"/>
              <w:bidi w:val="0"/>
              <w:adjustRightInd w:val="0"/>
              <w:spacing w:beforeAutospacing="0" w:afterAutospacing="0"/>
              <w:ind w:left="0" w:leftChars="0" w:right="0" w:rightChars="0"/>
              <w:jc w:val="left"/>
              <w:textAlignment w:val="baseline"/>
              <w:rPr>
                <w:rFonts w:hint="default" w:ascii="Times New Roman" w:hAnsi="Times New Roman" w:eastAsia="宋体" w:cs="Times New Roman"/>
                <w:color w:val="auto"/>
                <w:kern w:val="0"/>
                <w:szCs w:val="28"/>
              </w:rPr>
            </w:pPr>
            <w:r>
              <w:rPr>
                <w:rFonts w:hint="default" w:ascii="Times New Roman" w:hAnsi="Times New Roman" w:eastAsia="宋体" w:cs="Times New Roman"/>
                <w:color w:val="auto"/>
                <w:kern w:val="0"/>
                <w:szCs w:val="28"/>
              </w:rPr>
              <w:t>排放点下游</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顺水流向</w:t>
            </w:r>
            <w:r>
              <w:rPr>
                <w:rFonts w:hint="default" w:ascii="Times New Roman" w:hAnsi="Times New Roman" w:eastAsia="宋体" w:cs="Times New Roman"/>
                <w:color w:val="auto"/>
                <w:kern w:val="0"/>
                <w:szCs w:val="28"/>
                <w:lang w:eastAsia="zh-CN"/>
              </w:rPr>
              <w:t>）</w:t>
            </w:r>
            <w:r>
              <w:rPr>
                <w:rFonts w:hint="default" w:ascii="Times New Roman" w:hAnsi="Times New Roman" w:eastAsia="宋体" w:cs="Times New Roman"/>
                <w:color w:val="auto"/>
                <w:kern w:val="0"/>
                <w:szCs w:val="28"/>
              </w:rPr>
              <w:t>10km范围、近岸海域一个潮周期水质点可能达到的最大水平距离的两倍范围内无上述类型1和类型2包括的敏感保护目标</w:t>
            </w:r>
          </w:p>
        </w:tc>
      </w:tr>
    </w:tbl>
    <w:p w14:paraId="3AA9DF91">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FF0000"/>
          <w:kern w:val="0"/>
          <w:sz w:val="24"/>
          <w:lang w:val="en-US" w:eastAsia="zh-CN"/>
        </w:rPr>
      </w:pPr>
      <w:r>
        <w:rPr>
          <w:rFonts w:hint="default" w:ascii="Times New Roman" w:hAnsi="Times New Roman" w:eastAsia="宋体" w:cs="Times New Roman"/>
          <w:color w:val="FF0000"/>
          <w:kern w:val="0"/>
          <w:sz w:val="24"/>
        </w:rPr>
        <w:t>本项目</w:t>
      </w:r>
      <w:r>
        <w:rPr>
          <w:rFonts w:hint="eastAsia" w:ascii="Times New Roman" w:hAnsi="Times New Roman" w:eastAsia="宋体" w:cs="Times New Roman"/>
          <w:color w:val="FF0000"/>
          <w:kern w:val="0"/>
          <w:sz w:val="24"/>
          <w:lang w:val="en-US" w:eastAsia="zh-CN"/>
        </w:rPr>
        <w:t>消防废水发生泄漏事故时，排放点下游（顺水流向）10km范围内无上述类型1和类型2包括的敏感保护目标，</w:t>
      </w:r>
      <w:r>
        <w:rPr>
          <w:rFonts w:hint="eastAsia" w:ascii="Times New Roman" w:hAnsi="Times New Roman" w:eastAsia="宋体" w:cs="Times New Roman"/>
          <w:color w:val="FF0000"/>
          <w:sz w:val="24"/>
          <w:szCs w:val="24"/>
          <w:lang w:val="en-US" w:eastAsia="zh-CN"/>
        </w:rPr>
        <w:t>因此本项目</w:t>
      </w:r>
      <w:r>
        <w:rPr>
          <w:rFonts w:hint="default" w:ascii="Times New Roman" w:hAnsi="Times New Roman" w:eastAsia="宋体" w:cs="Times New Roman"/>
          <w:color w:val="FF0000"/>
          <w:kern w:val="0"/>
          <w:sz w:val="24"/>
        </w:rPr>
        <w:t>地表水敏感目标分级为S3。</w:t>
      </w:r>
    </w:p>
    <w:p w14:paraId="566F4E3A">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FF0000"/>
          <w:kern w:val="0"/>
          <w:sz w:val="24"/>
        </w:rPr>
      </w:pPr>
      <w:r>
        <w:rPr>
          <w:rFonts w:hint="default" w:ascii="Times New Roman" w:hAnsi="Times New Roman" w:eastAsia="宋体" w:cs="Times New Roman"/>
          <w:color w:val="FF0000"/>
          <w:kern w:val="0"/>
          <w:sz w:val="24"/>
        </w:rPr>
        <w:t>根据上述分析，本项目地表水功能敏感性为E3，即环境低度敏感区。</w:t>
      </w:r>
    </w:p>
    <w:p w14:paraId="12DCA065">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kern w:val="2"/>
          <w:sz w:val="24"/>
          <w:szCs w:val="32"/>
          <w:lang w:val="en-US" w:eastAsia="zh-CN" w:bidi="ar-SA"/>
        </w:rPr>
        <w:t>（3）</w:t>
      </w:r>
      <w:r>
        <w:rPr>
          <w:rFonts w:hint="default" w:ascii="Times New Roman" w:hAnsi="Times New Roman" w:eastAsia="宋体" w:cs="Times New Roman"/>
          <w:color w:val="auto"/>
          <w:sz w:val="24"/>
          <w:szCs w:val="32"/>
        </w:rPr>
        <w:t>地下水环境</w:t>
      </w:r>
    </w:p>
    <w:p w14:paraId="29CB36D8">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根据地下水功能敏感性与包气带防污性能，共分为三种类型，E1为环境高度敏感区，E2为环境中度敏感区，E3为环境低度敏感区，分级原则见表</w:t>
      </w:r>
      <w:r>
        <w:rPr>
          <w:rFonts w:hint="default" w:ascii="Times New Roman" w:hAnsi="Times New Roman" w:eastAsia="宋体" w:cs="Times New Roman"/>
          <w:color w:val="auto"/>
          <w:kern w:val="0"/>
          <w:sz w:val="24"/>
          <w:lang w:val="en-US" w:eastAsia="zh-CN"/>
        </w:rPr>
        <w:t>9</w:t>
      </w:r>
      <w:r>
        <w:rPr>
          <w:rFonts w:hint="default" w:ascii="Times New Roman" w:hAnsi="Times New Roman" w:eastAsia="宋体" w:cs="Times New Roman"/>
          <w:color w:val="auto"/>
          <w:kern w:val="0"/>
          <w:sz w:val="24"/>
        </w:rPr>
        <w:t>，其中地下水功能敏感性分区和包气带防污性能分级见表</w:t>
      </w:r>
      <w:r>
        <w:rPr>
          <w:rFonts w:hint="default" w:ascii="Times New Roman" w:hAnsi="Times New Roman" w:eastAsia="宋体" w:cs="Times New Roman"/>
          <w:color w:val="auto"/>
          <w:kern w:val="0"/>
          <w:sz w:val="24"/>
          <w:lang w:val="en-US" w:eastAsia="zh-CN"/>
        </w:rPr>
        <w:t>10</w:t>
      </w:r>
      <w:r>
        <w:rPr>
          <w:rFonts w:hint="default" w:ascii="Times New Roman" w:hAnsi="Times New Roman" w:eastAsia="宋体" w:cs="Times New Roman"/>
          <w:color w:val="auto"/>
          <w:kern w:val="0"/>
          <w:sz w:val="24"/>
        </w:rPr>
        <w:t>及表1</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rPr>
        <w:t>。</w:t>
      </w:r>
    </w:p>
    <w:p w14:paraId="7A19014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9  </w:t>
      </w:r>
      <w:r>
        <w:rPr>
          <w:rFonts w:hint="default" w:ascii="Times New Roman" w:hAnsi="Times New Roman" w:eastAsia="宋体" w:cs="Times New Roman"/>
          <w:b/>
          <w:bCs/>
          <w:color w:val="auto"/>
          <w:sz w:val="24"/>
          <w:szCs w:val="32"/>
        </w:rPr>
        <w:t>地下水环境敏感程度分级</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9"/>
        <w:gridCol w:w="2069"/>
        <w:gridCol w:w="2069"/>
        <w:gridCol w:w="2070"/>
      </w:tblGrid>
      <w:tr w14:paraId="2714A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vMerge w:val="restart"/>
            <w:noWrap w:val="0"/>
            <w:vAlign w:val="center"/>
          </w:tcPr>
          <w:p w14:paraId="6DB45864">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环境敏感目标</w:t>
            </w:r>
          </w:p>
        </w:tc>
        <w:tc>
          <w:tcPr>
            <w:tcW w:w="6795" w:type="dxa"/>
            <w:gridSpan w:val="3"/>
            <w:noWrap w:val="0"/>
            <w:vAlign w:val="center"/>
          </w:tcPr>
          <w:p w14:paraId="4619809F">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地下水环境敏感性</w:t>
            </w:r>
          </w:p>
        </w:tc>
      </w:tr>
      <w:tr w14:paraId="4428D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vMerge w:val="continue"/>
            <w:noWrap w:val="0"/>
            <w:vAlign w:val="center"/>
          </w:tcPr>
          <w:p w14:paraId="38C8B16F">
            <w:pPr>
              <w:pStyle w:val="8"/>
              <w:keepNext w:val="0"/>
              <w:pageBreakBefore w:val="0"/>
              <w:wordWrap/>
              <w:bidi w:val="0"/>
              <w:spacing w:beforeAutospacing="0" w:afterAutospacing="0" w:line="240" w:lineRule="auto"/>
              <w:ind w:left="0" w:leftChars="0" w:right="0" w:rightChars="0" w:firstLine="0"/>
              <w:jc w:val="center"/>
              <w:rPr>
                <w:rFonts w:hint="default" w:ascii="Times New Roman" w:hAnsi="Times New Roman" w:eastAsia="宋体" w:cs="Times New Roman"/>
                <w:b/>
                <w:bCs/>
                <w:color w:val="auto"/>
                <w:sz w:val="21"/>
                <w:szCs w:val="21"/>
              </w:rPr>
            </w:pPr>
          </w:p>
        </w:tc>
        <w:tc>
          <w:tcPr>
            <w:tcW w:w="2265" w:type="dxa"/>
            <w:noWrap w:val="0"/>
            <w:vAlign w:val="center"/>
          </w:tcPr>
          <w:p w14:paraId="39C36772">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G1</w:t>
            </w:r>
          </w:p>
        </w:tc>
        <w:tc>
          <w:tcPr>
            <w:tcW w:w="2265" w:type="dxa"/>
            <w:noWrap w:val="0"/>
            <w:vAlign w:val="center"/>
          </w:tcPr>
          <w:p w14:paraId="62471B88">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G2</w:t>
            </w:r>
          </w:p>
        </w:tc>
        <w:tc>
          <w:tcPr>
            <w:tcW w:w="2265" w:type="dxa"/>
            <w:noWrap w:val="0"/>
            <w:vAlign w:val="center"/>
          </w:tcPr>
          <w:p w14:paraId="134C2908">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G3</w:t>
            </w:r>
          </w:p>
        </w:tc>
      </w:tr>
      <w:tr w14:paraId="6324D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34E3988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D1</w:t>
            </w:r>
          </w:p>
        </w:tc>
        <w:tc>
          <w:tcPr>
            <w:tcW w:w="2265" w:type="dxa"/>
            <w:noWrap w:val="0"/>
            <w:vAlign w:val="center"/>
          </w:tcPr>
          <w:p w14:paraId="7277F66E">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265" w:type="dxa"/>
            <w:noWrap w:val="0"/>
            <w:vAlign w:val="center"/>
          </w:tcPr>
          <w:p w14:paraId="494467F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265" w:type="dxa"/>
            <w:noWrap w:val="0"/>
            <w:vAlign w:val="center"/>
          </w:tcPr>
          <w:p w14:paraId="6C082B3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E2</w:t>
            </w:r>
          </w:p>
        </w:tc>
      </w:tr>
      <w:tr w14:paraId="4F138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6B562B7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D2</w:t>
            </w:r>
          </w:p>
        </w:tc>
        <w:tc>
          <w:tcPr>
            <w:tcW w:w="2265" w:type="dxa"/>
            <w:noWrap w:val="0"/>
            <w:vAlign w:val="center"/>
          </w:tcPr>
          <w:p w14:paraId="7231507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E1</w:t>
            </w:r>
          </w:p>
        </w:tc>
        <w:tc>
          <w:tcPr>
            <w:tcW w:w="2265" w:type="dxa"/>
            <w:noWrap w:val="0"/>
            <w:vAlign w:val="center"/>
          </w:tcPr>
          <w:p w14:paraId="3BA27EC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E2</w:t>
            </w:r>
          </w:p>
        </w:tc>
        <w:tc>
          <w:tcPr>
            <w:tcW w:w="2265" w:type="dxa"/>
            <w:noWrap w:val="0"/>
            <w:vAlign w:val="center"/>
          </w:tcPr>
          <w:p w14:paraId="637E19B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r>
      <w:tr w14:paraId="204C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672B632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D3</w:t>
            </w:r>
          </w:p>
        </w:tc>
        <w:tc>
          <w:tcPr>
            <w:tcW w:w="2265" w:type="dxa"/>
            <w:noWrap w:val="0"/>
            <w:vAlign w:val="center"/>
          </w:tcPr>
          <w:p w14:paraId="03C11D6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E2</w:t>
            </w:r>
          </w:p>
        </w:tc>
        <w:tc>
          <w:tcPr>
            <w:tcW w:w="2265" w:type="dxa"/>
            <w:noWrap w:val="0"/>
            <w:vAlign w:val="center"/>
          </w:tcPr>
          <w:p w14:paraId="70E9C94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c>
          <w:tcPr>
            <w:tcW w:w="2265" w:type="dxa"/>
            <w:noWrap w:val="0"/>
            <w:vAlign w:val="center"/>
          </w:tcPr>
          <w:p w14:paraId="27B70CA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r>
    </w:tbl>
    <w:p w14:paraId="1179D54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10  </w:t>
      </w:r>
      <w:r>
        <w:rPr>
          <w:rFonts w:hint="default" w:ascii="Times New Roman" w:hAnsi="Times New Roman" w:eastAsia="宋体" w:cs="Times New Roman"/>
          <w:b/>
          <w:bCs/>
          <w:color w:val="auto"/>
          <w:sz w:val="24"/>
          <w:szCs w:val="32"/>
        </w:rPr>
        <w:t>地下水环境敏感性分区</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6924"/>
      </w:tblGrid>
      <w:tr w14:paraId="32C9C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6" w:type="dxa"/>
            <w:noWrap w:val="0"/>
            <w:vAlign w:val="center"/>
          </w:tcPr>
          <w:p w14:paraId="52357481">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敏感性</w:t>
            </w:r>
          </w:p>
        </w:tc>
        <w:tc>
          <w:tcPr>
            <w:tcW w:w="7594" w:type="dxa"/>
            <w:noWrap w:val="0"/>
            <w:vAlign w:val="center"/>
          </w:tcPr>
          <w:p w14:paraId="5FEF65E4">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地表水敏感性分区</w:t>
            </w:r>
          </w:p>
        </w:tc>
      </w:tr>
      <w:tr w14:paraId="072F4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6" w:type="dxa"/>
            <w:noWrap w:val="0"/>
            <w:vAlign w:val="center"/>
          </w:tcPr>
          <w:p w14:paraId="5147C22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G1</w:t>
            </w:r>
          </w:p>
        </w:tc>
        <w:tc>
          <w:tcPr>
            <w:tcW w:w="7594" w:type="dxa"/>
            <w:noWrap w:val="0"/>
            <w:vAlign w:val="center"/>
          </w:tcPr>
          <w:p w14:paraId="0BF59D7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集中式饮用水水源</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包括已建成的在用、备用、应急水源，在建和规划的饮用水水源</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准保护区；除集中式饮用水水源以外的国家和地方政府设定的与地下水环境相关的其他保护区，如热水、矿泉水、温泉等特殊地下水资源保护区</w:t>
            </w:r>
          </w:p>
        </w:tc>
      </w:tr>
      <w:tr w14:paraId="28E14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6" w:type="dxa"/>
            <w:noWrap w:val="0"/>
            <w:vAlign w:val="center"/>
          </w:tcPr>
          <w:p w14:paraId="195D70B7">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G2</w:t>
            </w:r>
          </w:p>
        </w:tc>
        <w:tc>
          <w:tcPr>
            <w:tcW w:w="7594" w:type="dxa"/>
            <w:noWrap w:val="0"/>
            <w:vAlign w:val="center"/>
          </w:tcPr>
          <w:p w14:paraId="5300F50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集中式饮用水水源</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包括已建成的在用、备用、应急水源，在建和规划的饮用水水源</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准保护区以外的补给径流区；未划定准保护区的集中式饮用水水源，其保护区以外的补给径流区；分散式饮用水水源地；特殊地下水资源</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如热水、矿泉水、温泉等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保护区以外的分布区等其他未列入。上述敏感分级的环境敏感区a</w:t>
            </w:r>
          </w:p>
        </w:tc>
      </w:tr>
      <w:tr w14:paraId="6A40E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6" w:type="dxa"/>
            <w:noWrap w:val="0"/>
            <w:vAlign w:val="center"/>
          </w:tcPr>
          <w:p w14:paraId="38149C3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G3</w:t>
            </w:r>
          </w:p>
        </w:tc>
        <w:tc>
          <w:tcPr>
            <w:tcW w:w="7594" w:type="dxa"/>
            <w:noWrap w:val="0"/>
            <w:vAlign w:val="center"/>
          </w:tcPr>
          <w:p w14:paraId="2B6BF5F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上述地区之外的其他地区</w:t>
            </w:r>
          </w:p>
        </w:tc>
      </w:tr>
      <w:tr w14:paraId="1D90E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60" w:type="dxa"/>
            <w:gridSpan w:val="2"/>
            <w:noWrap w:val="0"/>
            <w:vAlign w:val="center"/>
          </w:tcPr>
          <w:p w14:paraId="27D3EE5F">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a“环境敏感区”是指《建设项目环境影响评价分类管理名录》中所界定的涉及地下水的环境敏感区</w:t>
            </w:r>
          </w:p>
        </w:tc>
      </w:tr>
    </w:tbl>
    <w:p w14:paraId="3BCFF25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11  </w:t>
      </w:r>
      <w:r>
        <w:rPr>
          <w:rFonts w:hint="default" w:ascii="Times New Roman" w:hAnsi="Times New Roman" w:eastAsia="宋体" w:cs="Times New Roman"/>
          <w:b/>
          <w:bCs/>
          <w:color w:val="auto"/>
          <w:sz w:val="24"/>
          <w:szCs w:val="32"/>
        </w:rPr>
        <w:t>包气带防污性能分级</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7049"/>
      </w:tblGrid>
      <w:tr w14:paraId="67517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noWrap w:val="0"/>
            <w:vAlign w:val="center"/>
          </w:tcPr>
          <w:p w14:paraId="499D440A">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分级</w:t>
            </w:r>
          </w:p>
        </w:tc>
        <w:tc>
          <w:tcPr>
            <w:tcW w:w="7731" w:type="dxa"/>
            <w:noWrap w:val="0"/>
            <w:vAlign w:val="center"/>
          </w:tcPr>
          <w:p w14:paraId="591CF6BB">
            <w:pPr>
              <w:keepNext w:val="0"/>
              <w:pageBreakBefore w:val="0"/>
              <w:wordWrap/>
              <w:bidi w:val="0"/>
              <w:spacing w:beforeAutospacing="0" w:afterAutospacing="0"/>
              <w:ind w:left="0" w:leftChars="0" w:right="0" w:rightChars="0"/>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包气带岩土的渗透性能</w:t>
            </w:r>
          </w:p>
        </w:tc>
      </w:tr>
      <w:tr w14:paraId="718D2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noWrap w:val="0"/>
            <w:vAlign w:val="center"/>
          </w:tcPr>
          <w:p w14:paraId="6A6A5CA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D3</w:t>
            </w:r>
          </w:p>
        </w:tc>
        <w:tc>
          <w:tcPr>
            <w:tcW w:w="7731" w:type="dxa"/>
            <w:noWrap w:val="0"/>
            <w:vAlign w:val="center"/>
          </w:tcPr>
          <w:p w14:paraId="27988D9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Mb≥1.0，K≤1.0×10-6cm/s，且分布连续、稳定</w:t>
            </w:r>
          </w:p>
        </w:tc>
      </w:tr>
      <w:tr w14:paraId="39500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noWrap w:val="0"/>
            <w:vAlign w:val="center"/>
          </w:tcPr>
          <w:p w14:paraId="598058E3">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D2</w:t>
            </w:r>
          </w:p>
        </w:tc>
        <w:tc>
          <w:tcPr>
            <w:tcW w:w="7731" w:type="dxa"/>
            <w:noWrap w:val="0"/>
            <w:vAlign w:val="center"/>
          </w:tcPr>
          <w:p w14:paraId="2A37C4A6">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0.5m≤Mb＜1.0m，K≤1.0×10-6cm/s，且分布连续、稳定</w:t>
            </w:r>
          </w:p>
          <w:p w14:paraId="276EA83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Mb≥1.0，1.0×10</w:t>
            </w:r>
            <w:r>
              <w:rPr>
                <w:rFonts w:hint="default" w:ascii="Times New Roman" w:hAnsi="Times New Roman" w:eastAsia="宋体" w:cs="Times New Roman"/>
                <w:color w:val="auto"/>
                <w:vertAlign w:val="superscript"/>
              </w:rPr>
              <w:t>-6</w:t>
            </w:r>
            <w:r>
              <w:rPr>
                <w:rFonts w:hint="default" w:ascii="Times New Roman" w:hAnsi="Times New Roman" w:eastAsia="宋体" w:cs="Times New Roman"/>
                <w:color w:val="auto"/>
              </w:rPr>
              <w:t>cm/s＜K≤1.0×10</w:t>
            </w:r>
            <w:r>
              <w:rPr>
                <w:rFonts w:hint="default" w:ascii="Times New Roman" w:hAnsi="Times New Roman" w:eastAsia="宋体" w:cs="Times New Roman"/>
                <w:color w:val="auto"/>
                <w:vertAlign w:val="superscript"/>
              </w:rPr>
              <w:t>-4</w:t>
            </w:r>
            <w:r>
              <w:rPr>
                <w:rFonts w:hint="default" w:ascii="Times New Roman" w:hAnsi="Times New Roman" w:eastAsia="宋体" w:cs="Times New Roman"/>
                <w:color w:val="auto"/>
              </w:rPr>
              <w:t>cm/s，且分布连续、稳定</w:t>
            </w:r>
          </w:p>
        </w:tc>
      </w:tr>
      <w:tr w14:paraId="3DE79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noWrap w:val="0"/>
            <w:vAlign w:val="center"/>
          </w:tcPr>
          <w:p w14:paraId="6C5D92D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D1</w:t>
            </w:r>
          </w:p>
        </w:tc>
        <w:tc>
          <w:tcPr>
            <w:tcW w:w="7731" w:type="dxa"/>
            <w:noWrap w:val="0"/>
            <w:vAlign w:val="center"/>
          </w:tcPr>
          <w:p w14:paraId="371A170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岩（土）层不满足上述“D2”和“D3”条件</w:t>
            </w:r>
          </w:p>
        </w:tc>
      </w:tr>
      <w:tr w14:paraId="222FC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60" w:type="dxa"/>
            <w:gridSpan w:val="2"/>
            <w:noWrap w:val="0"/>
            <w:vAlign w:val="center"/>
          </w:tcPr>
          <w:p w14:paraId="0250610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szCs w:val="21"/>
              </w:rPr>
            </w:pPr>
            <w:r>
              <w:rPr>
                <w:rFonts w:hint="default" w:ascii="Times New Roman" w:hAnsi="Times New Roman" w:eastAsia="宋体" w:cs="Times New Roman"/>
                <w:color w:val="auto"/>
              </w:rPr>
              <w:t>Mb：岩土层单层厚度。K：渗透系数</w:t>
            </w:r>
          </w:p>
        </w:tc>
      </w:tr>
    </w:tbl>
    <w:p w14:paraId="4C2C6D52">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目所在区域不涉及集中式饮用水水源保护区、特殊地下水资源保护区、未划定准保护区的集中式饮用水水源，不属于保护区以外的补给径流区。本项目地下水功能敏感性分区为G3。本项目包气带防污性能分级为“Mb≥1.0，K≤1.0×10</w:t>
      </w:r>
      <w:r>
        <w:rPr>
          <w:rFonts w:hint="default" w:ascii="Times New Roman" w:hAnsi="Times New Roman" w:eastAsia="宋体" w:cs="Times New Roman"/>
          <w:color w:val="auto"/>
          <w:kern w:val="0"/>
          <w:sz w:val="24"/>
          <w:vertAlign w:val="superscript"/>
        </w:rPr>
        <w:t>-6</w:t>
      </w:r>
      <w:r>
        <w:rPr>
          <w:rFonts w:hint="default" w:ascii="Times New Roman" w:hAnsi="Times New Roman" w:eastAsia="宋体" w:cs="Times New Roman"/>
          <w:color w:val="auto"/>
          <w:kern w:val="0"/>
          <w:sz w:val="24"/>
        </w:rPr>
        <w:t>cm/s，且分布连续、稳定”，故包气带防污性能分级为D3；则项目地下水功能环境敏感程度为E3，即环境低度敏感区。</w:t>
      </w:r>
    </w:p>
    <w:p w14:paraId="14432A95">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lang w:val="en-US" w:eastAsia="zh-CN"/>
        </w:rPr>
        <w:t>2.4</w:t>
      </w:r>
      <w:r>
        <w:rPr>
          <w:rFonts w:hint="default" w:ascii="Times New Roman" w:hAnsi="Times New Roman" w:eastAsia="宋体" w:cs="Times New Roman"/>
          <w:b/>
          <w:bCs/>
          <w:color w:val="auto"/>
          <w:sz w:val="24"/>
          <w:szCs w:val="32"/>
        </w:rPr>
        <w:t>环境风险评级工作等级</w:t>
      </w:r>
    </w:p>
    <w:p w14:paraId="01D1FF0E">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建设项目环境风险潜势划分为Ⅰ、Ⅱ、Ⅲ、Ⅳ/Ⅳ+级。根据建设项目涉及的物质和工艺系统的危险性及其所在地的环境敏感程度，结合事故情形下环境影响途径，按照表</w:t>
      </w:r>
      <w:r>
        <w:rPr>
          <w:rFonts w:hint="default" w:ascii="Times New Roman" w:hAnsi="Times New Roman" w:eastAsia="宋体" w:cs="Times New Roman"/>
          <w:color w:val="auto"/>
          <w:kern w:val="0"/>
          <w:sz w:val="24"/>
          <w:lang w:val="en-US" w:eastAsia="zh-CN"/>
        </w:rPr>
        <w:t>12</w:t>
      </w:r>
      <w:r>
        <w:rPr>
          <w:rFonts w:hint="default" w:ascii="Times New Roman" w:hAnsi="Times New Roman" w:eastAsia="宋体" w:cs="Times New Roman"/>
          <w:color w:val="auto"/>
          <w:kern w:val="0"/>
          <w:sz w:val="24"/>
        </w:rPr>
        <w:t>确定环境风险潜势。</w:t>
      </w:r>
    </w:p>
    <w:p w14:paraId="0D29C39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12  </w:t>
      </w:r>
      <w:r>
        <w:rPr>
          <w:rFonts w:hint="default" w:ascii="Times New Roman" w:hAnsi="Times New Roman" w:eastAsia="宋体" w:cs="Times New Roman"/>
          <w:b/>
          <w:bCs/>
          <w:color w:val="auto"/>
          <w:sz w:val="24"/>
          <w:szCs w:val="32"/>
        </w:rPr>
        <w:t>建设项目环境风险潜势划分</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3"/>
        <w:gridCol w:w="1471"/>
        <w:gridCol w:w="1602"/>
        <w:gridCol w:w="1555"/>
        <w:gridCol w:w="1546"/>
      </w:tblGrid>
      <w:tr w14:paraId="71F14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vMerge w:val="restart"/>
            <w:noWrap w:val="0"/>
            <w:vAlign w:val="center"/>
          </w:tcPr>
          <w:p w14:paraId="065262C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环境敏感程度（E）</w:t>
            </w:r>
          </w:p>
        </w:tc>
        <w:tc>
          <w:tcPr>
            <w:tcW w:w="6751" w:type="dxa"/>
            <w:gridSpan w:val="4"/>
            <w:noWrap w:val="0"/>
            <w:vAlign w:val="center"/>
          </w:tcPr>
          <w:p w14:paraId="31B79B3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危险物质及工艺系统危险性（P）</w:t>
            </w:r>
          </w:p>
        </w:tc>
      </w:tr>
      <w:tr w14:paraId="48597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vMerge w:val="continue"/>
            <w:noWrap w:val="0"/>
            <w:vAlign w:val="center"/>
          </w:tcPr>
          <w:p w14:paraId="46A59A63">
            <w:pPr>
              <w:pStyle w:val="8"/>
              <w:keepNext w:val="0"/>
              <w:pageBreakBefore w:val="0"/>
              <w:wordWrap/>
              <w:bidi w:val="0"/>
              <w:spacing w:beforeAutospacing="0" w:afterAutospacing="0" w:line="240" w:lineRule="auto"/>
              <w:ind w:left="0" w:leftChars="0" w:right="0" w:rightChars="0" w:firstLine="0"/>
              <w:jc w:val="center"/>
              <w:rPr>
                <w:rFonts w:hint="default" w:ascii="Times New Roman" w:hAnsi="Times New Roman" w:eastAsia="宋体" w:cs="Times New Roman"/>
                <w:b/>
                <w:bCs/>
                <w:color w:val="auto"/>
                <w:sz w:val="21"/>
                <w:szCs w:val="21"/>
              </w:rPr>
            </w:pPr>
          </w:p>
        </w:tc>
        <w:tc>
          <w:tcPr>
            <w:tcW w:w="1607" w:type="dxa"/>
            <w:noWrap w:val="0"/>
            <w:vAlign w:val="center"/>
          </w:tcPr>
          <w:p w14:paraId="6F7B545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极高危害（P1）</w:t>
            </w:r>
          </w:p>
        </w:tc>
        <w:tc>
          <w:tcPr>
            <w:tcW w:w="1753" w:type="dxa"/>
            <w:noWrap w:val="0"/>
            <w:vAlign w:val="center"/>
          </w:tcPr>
          <w:p w14:paraId="31DC3C8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高度危害（P2）</w:t>
            </w:r>
          </w:p>
        </w:tc>
        <w:tc>
          <w:tcPr>
            <w:tcW w:w="1701" w:type="dxa"/>
            <w:noWrap w:val="0"/>
            <w:vAlign w:val="center"/>
          </w:tcPr>
          <w:p w14:paraId="4118014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中度危害（P3）</w:t>
            </w:r>
          </w:p>
        </w:tc>
        <w:tc>
          <w:tcPr>
            <w:tcW w:w="1690" w:type="dxa"/>
            <w:noWrap w:val="0"/>
            <w:vAlign w:val="center"/>
          </w:tcPr>
          <w:p w14:paraId="639B55F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轻度危害（P4）</w:t>
            </w:r>
          </w:p>
        </w:tc>
      </w:tr>
      <w:tr w14:paraId="0C512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noWrap w:val="0"/>
            <w:vAlign w:val="center"/>
          </w:tcPr>
          <w:p w14:paraId="1C0405A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环境高度敏感区（E1）</w:t>
            </w:r>
          </w:p>
        </w:tc>
        <w:tc>
          <w:tcPr>
            <w:tcW w:w="1607" w:type="dxa"/>
            <w:noWrap w:val="0"/>
            <w:vAlign w:val="center"/>
          </w:tcPr>
          <w:p w14:paraId="330A2E6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Ⅳ+</w:t>
            </w:r>
          </w:p>
        </w:tc>
        <w:tc>
          <w:tcPr>
            <w:tcW w:w="1753" w:type="dxa"/>
            <w:noWrap w:val="0"/>
            <w:vAlign w:val="center"/>
          </w:tcPr>
          <w:p w14:paraId="7B17C84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Ⅳ</w:t>
            </w:r>
          </w:p>
        </w:tc>
        <w:tc>
          <w:tcPr>
            <w:tcW w:w="1701" w:type="dxa"/>
            <w:noWrap w:val="0"/>
            <w:vAlign w:val="center"/>
          </w:tcPr>
          <w:p w14:paraId="3FB4383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III</w:t>
            </w:r>
          </w:p>
        </w:tc>
        <w:tc>
          <w:tcPr>
            <w:tcW w:w="1690" w:type="dxa"/>
            <w:noWrap w:val="0"/>
            <w:vAlign w:val="center"/>
          </w:tcPr>
          <w:p w14:paraId="0F1CA18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III</w:t>
            </w:r>
          </w:p>
        </w:tc>
      </w:tr>
      <w:tr w14:paraId="678E2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noWrap w:val="0"/>
            <w:vAlign w:val="center"/>
          </w:tcPr>
          <w:p w14:paraId="344DAA0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环境中度敏感区（E2）</w:t>
            </w:r>
          </w:p>
        </w:tc>
        <w:tc>
          <w:tcPr>
            <w:tcW w:w="1607" w:type="dxa"/>
            <w:noWrap w:val="0"/>
            <w:vAlign w:val="center"/>
          </w:tcPr>
          <w:p w14:paraId="3EC65365">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Ⅳ</w:t>
            </w:r>
          </w:p>
        </w:tc>
        <w:tc>
          <w:tcPr>
            <w:tcW w:w="1753" w:type="dxa"/>
            <w:noWrap w:val="0"/>
            <w:vAlign w:val="center"/>
          </w:tcPr>
          <w:p w14:paraId="7EE7EC2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III</w:t>
            </w:r>
          </w:p>
        </w:tc>
        <w:tc>
          <w:tcPr>
            <w:tcW w:w="1701" w:type="dxa"/>
            <w:noWrap w:val="0"/>
            <w:vAlign w:val="center"/>
          </w:tcPr>
          <w:p w14:paraId="1EE535D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III</w:t>
            </w:r>
          </w:p>
        </w:tc>
        <w:tc>
          <w:tcPr>
            <w:tcW w:w="1690" w:type="dxa"/>
            <w:noWrap w:val="0"/>
            <w:vAlign w:val="center"/>
          </w:tcPr>
          <w:p w14:paraId="122EC7E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w:t>
            </w:r>
          </w:p>
        </w:tc>
      </w:tr>
      <w:tr w14:paraId="1CBD7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9" w:type="dxa"/>
            <w:noWrap w:val="0"/>
            <w:vAlign w:val="center"/>
          </w:tcPr>
          <w:p w14:paraId="61A0A2D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环境低度敏感区（E3）</w:t>
            </w:r>
          </w:p>
        </w:tc>
        <w:tc>
          <w:tcPr>
            <w:tcW w:w="1607" w:type="dxa"/>
            <w:noWrap w:val="0"/>
            <w:vAlign w:val="center"/>
          </w:tcPr>
          <w:p w14:paraId="69D70DF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III</w:t>
            </w:r>
          </w:p>
        </w:tc>
        <w:tc>
          <w:tcPr>
            <w:tcW w:w="1753" w:type="dxa"/>
            <w:noWrap w:val="0"/>
            <w:vAlign w:val="center"/>
          </w:tcPr>
          <w:p w14:paraId="3CF9294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III</w:t>
            </w:r>
          </w:p>
        </w:tc>
        <w:tc>
          <w:tcPr>
            <w:tcW w:w="1701" w:type="dxa"/>
            <w:noWrap w:val="0"/>
            <w:vAlign w:val="center"/>
          </w:tcPr>
          <w:p w14:paraId="1F96C12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II</w:t>
            </w:r>
          </w:p>
        </w:tc>
        <w:tc>
          <w:tcPr>
            <w:tcW w:w="1690" w:type="dxa"/>
            <w:noWrap w:val="0"/>
            <w:vAlign w:val="center"/>
          </w:tcPr>
          <w:p w14:paraId="675B420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w:t>
            </w:r>
          </w:p>
        </w:tc>
      </w:tr>
      <w:tr w14:paraId="1B4D7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60" w:type="dxa"/>
            <w:gridSpan w:val="5"/>
            <w:noWrap w:val="0"/>
            <w:vAlign w:val="center"/>
          </w:tcPr>
          <w:p w14:paraId="22EC349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注：Ⅳ+为极高环境风险。</w:t>
            </w:r>
          </w:p>
        </w:tc>
      </w:tr>
    </w:tbl>
    <w:p w14:paraId="7CDFC32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本工程环境风险潜势判断见表</w:t>
      </w:r>
      <w:r>
        <w:rPr>
          <w:rFonts w:hint="default" w:ascii="Times New Roman" w:hAnsi="Times New Roman" w:eastAsia="宋体" w:cs="Times New Roman"/>
          <w:color w:val="auto"/>
          <w:sz w:val="24"/>
          <w:szCs w:val="24"/>
          <w:lang w:val="en-US" w:eastAsia="zh-CN"/>
        </w:rPr>
        <w:t>13</w:t>
      </w:r>
      <w:r>
        <w:rPr>
          <w:rFonts w:hint="default" w:ascii="Times New Roman" w:hAnsi="Times New Roman" w:eastAsia="宋体" w:cs="Times New Roman"/>
          <w:color w:val="auto"/>
          <w:sz w:val="24"/>
          <w:szCs w:val="24"/>
        </w:rPr>
        <w:t>。</w:t>
      </w:r>
    </w:p>
    <w:p w14:paraId="2378C38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 xml:space="preserve">13  </w:t>
      </w:r>
      <w:r>
        <w:rPr>
          <w:rFonts w:hint="default" w:ascii="Times New Roman" w:hAnsi="Times New Roman" w:eastAsia="宋体" w:cs="Times New Roman"/>
          <w:b/>
          <w:bCs/>
          <w:color w:val="auto"/>
          <w:sz w:val="24"/>
          <w:szCs w:val="24"/>
        </w:rPr>
        <w:t>项目环境敏感程度统计表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9"/>
        <w:gridCol w:w="2069"/>
        <w:gridCol w:w="2069"/>
        <w:gridCol w:w="2070"/>
      </w:tblGrid>
      <w:tr w14:paraId="40006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6420C1A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影响途径</w:t>
            </w:r>
          </w:p>
        </w:tc>
        <w:tc>
          <w:tcPr>
            <w:tcW w:w="2265" w:type="dxa"/>
            <w:noWrap w:val="0"/>
            <w:vAlign w:val="center"/>
          </w:tcPr>
          <w:p w14:paraId="7C31229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P值</w:t>
            </w:r>
          </w:p>
        </w:tc>
        <w:tc>
          <w:tcPr>
            <w:tcW w:w="2265" w:type="dxa"/>
            <w:noWrap w:val="0"/>
            <w:vAlign w:val="center"/>
          </w:tcPr>
          <w:p w14:paraId="49826E3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E值</w:t>
            </w:r>
          </w:p>
        </w:tc>
        <w:tc>
          <w:tcPr>
            <w:tcW w:w="2265" w:type="dxa"/>
            <w:noWrap w:val="0"/>
            <w:vAlign w:val="center"/>
          </w:tcPr>
          <w:p w14:paraId="06F199D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环境风险潜势级别</w:t>
            </w:r>
          </w:p>
        </w:tc>
      </w:tr>
      <w:tr w14:paraId="722ED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544F13C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大气环境</w:t>
            </w:r>
          </w:p>
        </w:tc>
        <w:tc>
          <w:tcPr>
            <w:tcW w:w="2265" w:type="dxa"/>
            <w:vMerge w:val="restart"/>
            <w:noWrap w:val="0"/>
            <w:vAlign w:val="center"/>
          </w:tcPr>
          <w:p w14:paraId="35F8E9D4">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P4</w:t>
            </w:r>
          </w:p>
        </w:tc>
        <w:tc>
          <w:tcPr>
            <w:tcW w:w="2265" w:type="dxa"/>
            <w:noWrap w:val="0"/>
            <w:vAlign w:val="center"/>
          </w:tcPr>
          <w:p w14:paraId="49DD59B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rPr>
              <w:t>E</w:t>
            </w:r>
            <w:r>
              <w:rPr>
                <w:rFonts w:hint="default" w:ascii="Times New Roman" w:hAnsi="Times New Roman" w:eastAsia="宋体" w:cs="Times New Roman"/>
                <w:color w:val="auto"/>
                <w:lang w:val="en-US" w:eastAsia="zh-CN"/>
              </w:rPr>
              <w:t>3</w:t>
            </w:r>
          </w:p>
        </w:tc>
        <w:tc>
          <w:tcPr>
            <w:tcW w:w="2265" w:type="dxa"/>
            <w:noWrap w:val="0"/>
            <w:vAlign w:val="center"/>
          </w:tcPr>
          <w:p w14:paraId="040C4DF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w:t>
            </w:r>
          </w:p>
        </w:tc>
      </w:tr>
      <w:tr w14:paraId="4301B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376C25F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地表水环境</w:t>
            </w:r>
          </w:p>
        </w:tc>
        <w:tc>
          <w:tcPr>
            <w:tcW w:w="2265" w:type="dxa"/>
            <w:vMerge w:val="continue"/>
            <w:noWrap w:val="0"/>
            <w:vAlign w:val="center"/>
          </w:tcPr>
          <w:p w14:paraId="5F4403EA">
            <w:pPr>
              <w:pStyle w:val="8"/>
              <w:keepNext w:val="0"/>
              <w:pageBreakBefore w:val="0"/>
              <w:wordWrap/>
              <w:bidi w:val="0"/>
              <w:spacing w:beforeAutospacing="0" w:afterAutospacing="0" w:line="240" w:lineRule="auto"/>
              <w:ind w:left="0" w:leftChars="0" w:right="0" w:rightChars="0" w:firstLine="0"/>
              <w:jc w:val="center"/>
              <w:rPr>
                <w:rFonts w:hint="default" w:ascii="Times New Roman" w:hAnsi="Times New Roman" w:eastAsia="宋体" w:cs="Times New Roman"/>
                <w:color w:val="auto"/>
                <w:sz w:val="21"/>
                <w:szCs w:val="21"/>
              </w:rPr>
            </w:pPr>
          </w:p>
        </w:tc>
        <w:tc>
          <w:tcPr>
            <w:tcW w:w="2265" w:type="dxa"/>
            <w:noWrap w:val="0"/>
            <w:vAlign w:val="center"/>
          </w:tcPr>
          <w:p w14:paraId="120C66A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c>
          <w:tcPr>
            <w:tcW w:w="2265" w:type="dxa"/>
            <w:noWrap w:val="0"/>
            <w:vAlign w:val="center"/>
          </w:tcPr>
          <w:p w14:paraId="2713CA3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w:t>
            </w:r>
          </w:p>
        </w:tc>
      </w:tr>
      <w:tr w14:paraId="1246B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5" w:type="dxa"/>
            <w:noWrap w:val="0"/>
            <w:vAlign w:val="center"/>
          </w:tcPr>
          <w:p w14:paraId="2AC410F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地下水环境</w:t>
            </w:r>
          </w:p>
        </w:tc>
        <w:tc>
          <w:tcPr>
            <w:tcW w:w="2265" w:type="dxa"/>
            <w:vMerge w:val="continue"/>
            <w:noWrap w:val="0"/>
            <w:vAlign w:val="center"/>
          </w:tcPr>
          <w:p w14:paraId="093E1722">
            <w:pPr>
              <w:pStyle w:val="8"/>
              <w:keepNext w:val="0"/>
              <w:pageBreakBefore w:val="0"/>
              <w:wordWrap/>
              <w:bidi w:val="0"/>
              <w:spacing w:beforeAutospacing="0" w:afterAutospacing="0" w:line="240" w:lineRule="auto"/>
              <w:ind w:left="0" w:leftChars="0" w:right="0" w:rightChars="0" w:firstLine="0"/>
              <w:jc w:val="center"/>
              <w:rPr>
                <w:rFonts w:hint="default" w:ascii="Times New Roman" w:hAnsi="Times New Roman" w:eastAsia="宋体" w:cs="Times New Roman"/>
                <w:color w:val="auto"/>
                <w:sz w:val="21"/>
                <w:szCs w:val="21"/>
              </w:rPr>
            </w:pPr>
          </w:p>
        </w:tc>
        <w:tc>
          <w:tcPr>
            <w:tcW w:w="2265" w:type="dxa"/>
            <w:noWrap w:val="0"/>
            <w:vAlign w:val="center"/>
          </w:tcPr>
          <w:p w14:paraId="6F1C9E60">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E3</w:t>
            </w:r>
          </w:p>
        </w:tc>
        <w:tc>
          <w:tcPr>
            <w:tcW w:w="2265" w:type="dxa"/>
            <w:noWrap w:val="0"/>
            <w:vAlign w:val="center"/>
          </w:tcPr>
          <w:p w14:paraId="76C21F7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I</w:t>
            </w:r>
          </w:p>
        </w:tc>
      </w:tr>
    </w:tbl>
    <w:p w14:paraId="47AE7128">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根据上表判断结果，本项目大气环境风险潜势</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地表水环境风险潜势、地下水环境风险潜势等级均为I。</w:t>
      </w:r>
    </w:p>
    <w:p w14:paraId="33B5A40A">
      <w:pPr>
        <w:keepNext w:val="0"/>
        <w:pageBreakBefore w:val="0"/>
        <w:widowControl/>
        <w:wordWrap/>
        <w:bidi w:val="0"/>
        <w:spacing w:beforeAutospacing="0" w:afterAutospacing="0" w:line="360" w:lineRule="auto"/>
        <w:ind w:left="0" w:leftChars="0" w:right="0" w:rightChars="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w:t>
      </w:r>
      <w:r>
        <w:rPr>
          <w:rFonts w:hint="default" w:ascii="Times New Roman" w:hAnsi="Times New Roman" w:eastAsia="宋体" w:cs="Times New Roman"/>
          <w:color w:val="auto"/>
          <w:kern w:val="0"/>
          <w:sz w:val="24"/>
          <w:lang w:eastAsia="zh-CN"/>
        </w:rPr>
        <w:t>HJ169-2018</w:t>
      </w:r>
      <w:r>
        <w:rPr>
          <w:rFonts w:hint="default" w:ascii="Times New Roman" w:hAnsi="Times New Roman" w:eastAsia="宋体" w:cs="Times New Roman"/>
          <w:color w:val="auto"/>
          <w:kern w:val="0"/>
          <w:sz w:val="24"/>
        </w:rPr>
        <w:t>），依据建设项目涉及的物质及工艺系统危险性和所在地的环境敏感性确定环境风险潜势，按照</w:t>
      </w:r>
      <w:r>
        <w:rPr>
          <w:rFonts w:hint="default" w:ascii="Times New Roman" w:hAnsi="Times New Roman" w:eastAsia="宋体" w:cs="Times New Roman"/>
          <w:color w:val="auto"/>
          <w:kern w:val="0"/>
          <w:sz w:val="24"/>
          <w:lang w:val="en-US" w:eastAsia="zh-CN"/>
        </w:rPr>
        <w:t>下</w:t>
      </w:r>
      <w:r>
        <w:rPr>
          <w:rFonts w:hint="default" w:ascii="Times New Roman" w:hAnsi="Times New Roman" w:eastAsia="宋体" w:cs="Times New Roman"/>
          <w:color w:val="auto"/>
          <w:kern w:val="0"/>
          <w:sz w:val="24"/>
        </w:rPr>
        <w:t>表确定评价工作等级。</w:t>
      </w:r>
    </w:p>
    <w:p w14:paraId="54725CBF">
      <w:pPr>
        <w:keepNext w:val="0"/>
        <w:pageBreakBefore w:val="0"/>
        <w:wordWrap/>
        <w:bidi w:val="0"/>
        <w:spacing w:beforeAutospacing="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表</w:t>
      </w:r>
      <w:r>
        <w:rPr>
          <w:rFonts w:hint="default" w:ascii="Times New Roman" w:hAnsi="Times New Roman" w:eastAsia="宋体" w:cs="Times New Roman"/>
          <w:b/>
          <w:bCs/>
          <w:color w:val="auto"/>
          <w:sz w:val="24"/>
          <w:szCs w:val="32"/>
          <w:lang w:val="en-US" w:eastAsia="zh-CN"/>
        </w:rPr>
        <w:t xml:space="preserve">14  </w:t>
      </w:r>
      <w:r>
        <w:rPr>
          <w:rFonts w:hint="default" w:ascii="Times New Roman" w:hAnsi="Times New Roman" w:eastAsia="宋体" w:cs="Times New Roman"/>
          <w:b/>
          <w:bCs/>
          <w:color w:val="auto"/>
          <w:sz w:val="24"/>
          <w:szCs w:val="32"/>
        </w:rPr>
        <w:t>风险评价工作等级</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8"/>
        <w:gridCol w:w="1654"/>
        <w:gridCol w:w="1655"/>
        <w:gridCol w:w="1656"/>
      </w:tblGrid>
      <w:tr w14:paraId="7A465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noWrap w:val="0"/>
            <w:vAlign w:val="center"/>
          </w:tcPr>
          <w:p w14:paraId="1DC4F60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环境风险潜势</w:t>
            </w:r>
          </w:p>
        </w:tc>
        <w:tc>
          <w:tcPr>
            <w:tcW w:w="1747" w:type="dxa"/>
            <w:noWrap w:val="0"/>
            <w:vAlign w:val="center"/>
          </w:tcPr>
          <w:p w14:paraId="34AB6329">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Ⅳ、Ⅳ+</w:t>
            </w:r>
          </w:p>
        </w:tc>
        <w:tc>
          <w:tcPr>
            <w:tcW w:w="1743" w:type="dxa"/>
            <w:noWrap w:val="0"/>
            <w:vAlign w:val="center"/>
          </w:tcPr>
          <w:p w14:paraId="3CDF4BDD">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Ⅲ</w:t>
            </w:r>
          </w:p>
        </w:tc>
        <w:tc>
          <w:tcPr>
            <w:tcW w:w="1743" w:type="dxa"/>
            <w:noWrap w:val="0"/>
            <w:vAlign w:val="center"/>
          </w:tcPr>
          <w:p w14:paraId="1691849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Ⅱ</w:t>
            </w:r>
          </w:p>
        </w:tc>
        <w:tc>
          <w:tcPr>
            <w:tcW w:w="1744" w:type="dxa"/>
            <w:noWrap w:val="0"/>
            <w:vAlign w:val="center"/>
          </w:tcPr>
          <w:p w14:paraId="76DCF9B3">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Ⅰ</w:t>
            </w:r>
          </w:p>
        </w:tc>
      </w:tr>
      <w:tr w14:paraId="5EEC1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3" w:type="dxa"/>
            <w:noWrap w:val="0"/>
            <w:vAlign w:val="center"/>
          </w:tcPr>
          <w:p w14:paraId="1CC1CCAA">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评价工作等级</w:t>
            </w:r>
          </w:p>
        </w:tc>
        <w:tc>
          <w:tcPr>
            <w:tcW w:w="1747" w:type="dxa"/>
            <w:noWrap w:val="0"/>
            <w:vAlign w:val="center"/>
          </w:tcPr>
          <w:p w14:paraId="34386BDF">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一</w:t>
            </w:r>
          </w:p>
        </w:tc>
        <w:tc>
          <w:tcPr>
            <w:tcW w:w="1743" w:type="dxa"/>
            <w:noWrap w:val="0"/>
            <w:vAlign w:val="center"/>
          </w:tcPr>
          <w:p w14:paraId="6BBEA62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二</w:t>
            </w:r>
          </w:p>
        </w:tc>
        <w:tc>
          <w:tcPr>
            <w:tcW w:w="1743" w:type="dxa"/>
            <w:noWrap w:val="0"/>
            <w:vAlign w:val="center"/>
          </w:tcPr>
          <w:p w14:paraId="0E78F59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三</w:t>
            </w:r>
          </w:p>
        </w:tc>
        <w:tc>
          <w:tcPr>
            <w:tcW w:w="1744" w:type="dxa"/>
            <w:noWrap w:val="0"/>
            <w:vAlign w:val="center"/>
          </w:tcPr>
          <w:p w14:paraId="17D20ADC">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color w:val="auto"/>
              </w:rPr>
              <w:t>简单分析a</w:t>
            </w:r>
          </w:p>
        </w:tc>
      </w:tr>
      <w:tr w14:paraId="30316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5"/>
            <w:noWrap w:val="0"/>
            <w:vAlign w:val="center"/>
          </w:tcPr>
          <w:p w14:paraId="3AFF620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注：a是相对于详细评价工作内容而言，在描述危险物质、环境影响途径、环境危害后果、风险防范措施等方面给出定性的说明。</w:t>
            </w:r>
          </w:p>
        </w:tc>
      </w:tr>
    </w:tbl>
    <w:p w14:paraId="7F53151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i w:val="0"/>
          <w:iCs w:val="0"/>
          <w:color w:val="auto"/>
          <w:sz w:val="24"/>
          <w:szCs w:val="24"/>
        </w:rPr>
      </w:pPr>
      <w:r>
        <w:rPr>
          <w:rFonts w:hint="default" w:ascii="Times New Roman" w:hAnsi="Times New Roman" w:eastAsia="宋体" w:cs="Times New Roman"/>
          <w:color w:val="auto"/>
          <w:sz w:val="24"/>
          <w:szCs w:val="24"/>
        </w:rPr>
        <w:t>根据上表，本项目环境风险评价工作等级为简单分析。</w:t>
      </w:r>
    </w:p>
    <w:p w14:paraId="39C5514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、环境风险评价</w:t>
      </w:r>
    </w:p>
    <w:p w14:paraId="4ED2AC43">
      <w:pPr>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3.1</w:t>
      </w:r>
      <w:r>
        <w:rPr>
          <w:rFonts w:hint="default" w:ascii="Times New Roman" w:hAnsi="Times New Roman" w:eastAsia="宋体" w:cs="Times New Roman"/>
          <w:b/>
          <w:bCs/>
          <w:color w:val="auto"/>
          <w:sz w:val="24"/>
          <w:szCs w:val="24"/>
        </w:rPr>
        <w:t>环境风险物质</w:t>
      </w:r>
    </w:p>
    <w:p w14:paraId="625D34F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对照《建设项目环境风险评价技术导则》（</w:t>
      </w:r>
      <w:r>
        <w:rPr>
          <w:rFonts w:hint="default" w:ascii="Times New Roman" w:hAnsi="Times New Roman" w:eastAsia="宋体" w:cs="Times New Roman"/>
          <w:color w:val="auto"/>
          <w:sz w:val="24"/>
          <w:szCs w:val="24"/>
          <w:lang w:eastAsia="zh-CN"/>
        </w:rPr>
        <w:t>HJ169</w:t>
      </w:r>
      <w:r>
        <w:rPr>
          <w:rFonts w:hint="default" w:ascii="Times New Roman" w:hAnsi="Times New Roman" w:eastAsia="宋体" w:cs="Times New Roman"/>
          <w:color w:val="auto"/>
          <w:sz w:val="24"/>
          <w:szCs w:val="24"/>
        </w:rPr>
        <w:t>-2018）附录B。</w:t>
      </w:r>
    </w:p>
    <w:p w14:paraId="4741B488">
      <w:pPr>
        <w:keepNext w:val="0"/>
        <w:keepLines/>
        <w:pageBreakBefore w:val="0"/>
        <w:wordWrap/>
        <w:topLinePunct/>
        <w:autoSpaceDE w:val="0"/>
        <w:bidi w:val="0"/>
        <w:adjustRightInd w:val="0"/>
        <w:snapToGrid w:val="0"/>
        <w:spacing w:beforeAutospacing="0" w:afterAutospacing="0" w:line="360" w:lineRule="auto"/>
        <w:ind w:left="0" w:leftChars="0" w:right="0" w:rightChars="0"/>
        <w:jc w:val="center"/>
        <w:rPr>
          <w:rFonts w:hint="default" w:ascii="Times New Roman" w:hAnsi="Times New Roman" w:eastAsia="宋体" w:cs="Times New Roman"/>
          <w:b/>
          <w:color w:val="FF0000"/>
          <w:sz w:val="24"/>
          <w:lang w:val="en-US" w:eastAsia="zh-CN"/>
        </w:rPr>
      </w:pPr>
      <w:r>
        <w:rPr>
          <w:rFonts w:hint="default" w:ascii="Times New Roman" w:hAnsi="Times New Roman" w:eastAsia="宋体" w:cs="Times New Roman"/>
          <w:b/>
          <w:bCs/>
          <w:color w:val="FF0000"/>
          <w:sz w:val="24"/>
          <w:szCs w:val="32"/>
        </w:rPr>
        <w:t>表</w:t>
      </w:r>
      <w:r>
        <w:rPr>
          <w:rFonts w:hint="default" w:ascii="Times New Roman" w:hAnsi="Times New Roman" w:eastAsia="宋体" w:cs="Times New Roman"/>
          <w:b/>
          <w:bCs/>
          <w:color w:val="FF0000"/>
          <w:sz w:val="24"/>
          <w:szCs w:val="32"/>
          <w:lang w:val="en-US" w:eastAsia="zh-CN"/>
        </w:rPr>
        <w:t xml:space="preserve">15  </w:t>
      </w:r>
      <w:r>
        <w:rPr>
          <w:rFonts w:hint="default" w:ascii="Times New Roman" w:hAnsi="Times New Roman" w:eastAsia="宋体" w:cs="Times New Roman"/>
          <w:b/>
          <w:color w:val="FF0000"/>
          <w:sz w:val="24"/>
          <w:lang w:val="en-US" w:eastAsia="zh-CN"/>
        </w:rPr>
        <w:t>主要环境风险物质理化性质及危险特性一览表</w:t>
      </w:r>
    </w:p>
    <w:tbl>
      <w:tblPr>
        <w:tblStyle w:val="3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
        <w:gridCol w:w="831"/>
        <w:gridCol w:w="3307"/>
        <w:gridCol w:w="3308"/>
      </w:tblGrid>
      <w:tr w14:paraId="0E047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7F6AAF1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序号</w:t>
            </w:r>
          </w:p>
        </w:tc>
        <w:tc>
          <w:tcPr>
            <w:tcW w:w="831" w:type="dxa"/>
            <w:vAlign w:val="center"/>
          </w:tcPr>
          <w:p w14:paraId="086B93F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名称</w:t>
            </w:r>
          </w:p>
        </w:tc>
        <w:tc>
          <w:tcPr>
            <w:tcW w:w="3307" w:type="dxa"/>
            <w:vAlign w:val="center"/>
          </w:tcPr>
          <w:p w14:paraId="0CA41708">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理化性质</w:t>
            </w:r>
          </w:p>
        </w:tc>
        <w:tc>
          <w:tcPr>
            <w:tcW w:w="3308" w:type="dxa"/>
            <w:vAlign w:val="center"/>
          </w:tcPr>
          <w:p w14:paraId="128EE14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危险特性</w:t>
            </w:r>
          </w:p>
        </w:tc>
      </w:tr>
      <w:tr w14:paraId="21480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3F1D7A0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1</w:t>
            </w:r>
          </w:p>
        </w:tc>
        <w:tc>
          <w:tcPr>
            <w:tcW w:w="831" w:type="dxa"/>
            <w:shd w:val="clear" w:color="auto" w:fill="auto"/>
            <w:vAlign w:val="center"/>
          </w:tcPr>
          <w:p w14:paraId="5D076E35">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丙烷</w:t>
            </w:r>
          </w:p>
        </w:tc>
        <w:tc>
          <w:tcPr>
            <w:tcW w:w="3307" w:type="dxa"/>
            <w:shd w:val="clear" w:color="auto" w:fill="auto"/>
            <w:vAlign w:val="center"/>
          </w:tcPr>
          <w:p w14:paraId="2F44638D">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性状：无色气体，纯品无臭溶解性：微溶液于水，溶于乙醇、乙醚。熔点（℃）：-187.6，沸点（℃）：-42.1，相对密度（水=1）：0.58（-44.5℃），临界温度（℃）：96.8临界压力（MPa）：4.25，相对密度（空气=1）：1.6，燃烧热（KJ/mol）：-2217.8，饱和蒸汽压（KPa）：840（20℃），闪点（℃）：-104，爆炸下限（%）：2.1，爆炸上限（%）：9.5，引燃温度（℃）：450</w:t>
            </w:r>
          </w:p>
        </w:tc>
        <w:tc>
          <w:tcPr>
            <w:tcW w:w="3308" w:type="dxa"/>
            <w:shd w:val="clear" w:color="auto" w:fill="auto"/>
            <w:vAlign w:val="center"/>
          </w:tcPr>
          <w:p w14:paraId="3DCDFABC">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易燃气体。与空气混合能形成爆炸性混合物，遇热源和明火有燃烧爆炸的危险。与氧化剂接触会猛烈反应。气体比空气重，能在较低处扩散到相当远的地方，遇明火会引着回燃。本品有单纯性窒息及麻醉作用。人短暂接触1%丙烷，不引起症状；10%以下的浓度，只引起轻度头晕；高浓度时可出现麻醉状态、意识丧失；极高浓度时可致窒息</w:t>
            </w:r>
          </w:p>
        </w:tc>
      </w:tr>
      <w:tr w14:paraId="59A8B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712098F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2</w:t>
            </w:r>
          </w:p>
        </w:tc>
        <w:tc>
          <w:tcPr>
            <w:tcW w:w="831" w:type="dxa"/>
            <w:shd w:val="clear" w:color="auto" w:fill="auto"/>
            <w:vAlign w:val="center"/>
          </w:tcPr>
          <w:p w14:paraId="5A9BC69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甲烷</w:t>
            </w:r>
          </w:p>
        </w:tc>
        <w:tc>
          <w:tcPr>
            <w:tcW w:w="3307" w:type="dxa"/>
            <w:shd w:val="clear" w:color="auto" w:fill="auto"/>
            <w:vAlign w:val="center"/>
          </w:tcPr>
          <w:p w14:paraId="346EAD3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性状：无色无臭气体。溶解性：微溶于水，溶于醇、乙醚。熔点（℃）：-182.5，沸点（℃）：-161.5，相对密度（水=1）：0.42（-164℃），临界温度（℃）：-82.6，临界压力（MPa）：4.59，相对密度（空气=1）：0.55，燃烧热（KJ/mol）：889.5，最小点火能（mJ）：0.28，饱和蒸汽压（KPa）：53.32（－168.8℃）</w:t>
            </w:r>
          </w:p>
        </w:tc>
        <w:tc>
          <w:tcPr>
            <w:tcW w:w="3308" w:type="dxa"/>
            <w:shd w:val="clear" w:color="auto" w:fill="auto"/>
            <w:vAlign w:val="center"/>
          </w:tcPr>
          <w:p w14:paraId="290FD95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易燃，与空气混合能形成爆炸性混合物，遇热源和明火有燃烧爆炸的危险。与五氧化溴、氯气、次氯酸、三氟化氮、液氧、二氟化氧及其它强氧化剂接触剧烈反应。甲烷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14:paraId="792E8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7B340F7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3</w:t>
            </w:r>
          </w:p>
        </w:tc>
        <w:tc>
          <w:tcPr>
            <w:tcW w:w="831" w:type="dxa"/>
            <w:shd w:val="clear" w:color="auto" w:fill="auto"/>
            <w:vAlign w:val="center"/>
          </w:tcPr>
          <w:p w14:paraId="7CBB063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一氧化碳</w:t>
            </w:r>
          </w:p>
        </w:tc>
        <w:tc>
          <w:tcPr>
            <w:tcW w:w="3307" w:type="dxa"/>
            <w:shd w:val="clear" w:color="auto" w:fill="auto"/>
            <w:vAlign w:val="center"/>
          </w:tcPr>
          <w:p w14:paraId="530066E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性状：无色无臭气体；溶解性：不微溶于水，溶于乙醇、苯等多种有机溶剂；熔点（℃）：－205，沸点（℃）：－191.5，相对密度（水=1）：1.25，临界温度（℃）：－140.2，临界压力（MPa）：3.5，相对密度（空气=1）：0.97，爆炸下限（%）：74.2，爆炸上限（%）：12.5，引燃温度（℃）：610</w:t>
            </w:r>
          </w:p>
        </w:tc>
        <w:tc>
          <w:tcPr>
            <w:tcW w:w="3308" w:type="dxa"/>
            <w:shd w:val="clear" w:color="auto" w:fill="auto"/>
            <w:vAlign w:val="center"/>
          </w:tcPr>
          <w:p w14:paraId="34DBA78C">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是一种易燃易爆气体。与空气混合能形成爆炸性混合物，遇明火、高热能引起燃烧爆炸。一氧化碳在血中与血红蛋白结合而造成组织缺氧。急性中毒：轻度中毒者出现头痛、头晕、耳鸣、心悸、恶心、呕吐、无力，血液碳氧血红蛋白浓度可高于10%；中度中毒者除上述症状外，还有皮肤粘膜呈樱红色、脉快、烦躁、步态不稳、浅至中度昏迷，血液碳氧血红蛋白浓度可高于30%；重度患者深度昏迷、瞳孔缩小、肌张力增强、频繁抽搐、大小便失禁、休克、肺水肿、严重心肌损害等，血液碳氧血红蛋白可高于50%。部分患者昏迷苏醒后，约经2～60天的症状缓解期后，又可能出现迟发性脑病，以意识精神障碍、锥体系或锥体外系损害为主。慢性影响：能否造成慢性中毒及对心血管影响无定论。</w:t>
            </w:r>
          </w:p>
        </w:tc>
      </w:tr>
      <w:tr w14:paraId="31ED7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0D9C11DE">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4</w:t>
            </w:r>
          </w:p>
        </w:tc>
        <w:tc>
          <w:tcPr>
            <w:tcW w:w="831" w:type="dxa"/>
            <w:shd w:val="clear" w:color="auto" w:fill="auto"/>
            <w:vAlign w:val="center"/>
          </w:tcPr>
          <w:p w14:paraId="73FE4ED9">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乙烷</w:t>
            </w:r>
          </w:p>
        </w:tc>
        <w:tc>
          <w:tcPr>
            <w:tcW w:w="3307" w:type="dxa"/>
            <w:shd w:val="clear" w:color="auto" w:fill="auto"/>
            <w:vAlign w:val="center"/>
          </w:tcPr>
          <w:p w14:paraId="2E4F76B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外观与性状：无色无臭气体；熔点（℃）：-183.3；沸点（℃）：-88.6；相对密度（水=1）：0.45；相对蒸气密度（空气=1）：1.04；饱和蒸气压（kPa）：53.32（-99.7℃）；燃烧热（kJ/mol）：1558.3；临界温度（℃）：32.2；临界压力（MPa）：4.87；闪点（℃）：&lt;-50；引燃温度（℃）：472；爆炸上限%（V/V）：16.0；爆炸下限%（V/V）：3.0；溶解性：不溶于水，微溶于乙醇、丙酮，溶于苯，与四氯化碳互溶</w:t>
            </w:r>
          </w:p>
        </w:tc>
        <w:tc>
          <w:tcPr>
            <w:tcW w:w="3308" w:type="dxa"/>
            <w:shd w:val="clear" w:color="auto" w:fill="auto"/>
            <w:vAlign w:val="center"/>
          </w:tcPr>
          <w:p w14:paraId="4026D308">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易燃，与空气混合能形成爆炸性混合物，遇热源和明火有燃烧爆炸的危险。与氟、氯等接触回发生剧烈的化学反应</w:t>
            </w:r>
          </w:p>
        </w:tc>
      </w:tr>
      <w:tr w14:paraId="153B0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557E5B8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5</w:t>
            </w:r>
          </w:p>
        </w:tc>
        <w:tc>
          <w:tcPr>
            <w:tcW w:w="831" w:type="dxa"/>
            <w:shd w:val="clear" w:color="auto" w:fill="auto"/>
            <w:vAlign w:val="center"/>
          </w:tcPr>
          <w:p w14:paraId="18372F0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乙烯</w:t>
            </w:r>
          </w:p>
        </w:tc>
        <w:tc>
          <w:tcPr>
            <w:tcW w:w="3307" w:type="dxa"/>
            <w:shd w:val="clear" w:color="auto" w:fill="auto"/>
            <w:vAlign w:val="center"/>
          </w:tcPr>
          <w:p w14:paraId="7E683613">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无色气体，略具烃类特有的臭味；熔点-169.4℃；相对密度（水=1）0.61；沸点-103.9℃；相对蒸汽密度（空气=1）0.98；闪点无意义；饱和蒸汽压4083.40kPa（0℃）；引燃温度425℃；爆炸上限/下限36.0%/5.04%（V/V）；临界压力5.04MPa；临界温度9.2℃。</w:t>
            </w:r>
          </w:p>
        </w:tc>
        <w:tc>
          <w:tcPr>
            <w:tcW w:w="3308" w:type="dxa"/>
            <w:shd w:val="clear" w:color="auto" w:fill="auto"/>
            <w:vAlign w:val="center"/>
          </w:tcPr>
          <w:p w14:paraId="1F7DC03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易燃，与空气混合能形成爆炸性混合物；遇明火、高热或与氧化剂接触，有引起燃烧爆炸的危险；与氟、氯等接触会发生剧烈的化学反应</w:t>
            </w:r>
          </w:p>
        </w:tc>
      </w:tr>
      <w:tr w14:paraId="2436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1B6AADDB">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6</w:t>
            </w:r>
          </w:p>
        </w:tc>
        <w:tc>
          <w:tcPr>
            <w:tcW w:w="831" w:type="dxa"/>
            <w:shd w:val="clear" w:color="auto" w:fill="auto"/>
            <w:vAlign w:val="center"/>
          </w:tcPr>
          <w:p w14:paraId="0073D93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丙烯</w:t>
            </w:r>
          </w:p>
        </w:tc>
        <w:tc>
          <w:tcPr>
            <w:tcW w:w="3307" w:type="dxa"/>
            <w:shd w:val="clear" w:color="auto" w:fill="auto"/>
            <w:vAlign w:val="center"/>
          </w:tcPr>
          <w:p w14:paraId="53E4070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无色、有烃类气味的气体；熔点（℃）-191.2；沸点（℃）-47.7；相对密度（水=1）0.5；相对蒸汽密度（空气=1）1.48；饱和蒸汽压（kPa）602.88（0℃）；引燃温度（℃）455；爆炸上限（v%）15.0；爆炸下限（v%）1.0</w:t>
            </w:r>
          </w:p>
        </w:tc>
        <w:tc>
          <w:tcPr>
            <w:tcW w:w="3308" w:type="dxa"/>
            <w:shd w:val="clear" w:color="auto" w:fill="auto"/>
            <w:vAlign w:val="center"/>
          </w:tcPr>
          <w:p w14:paraId="75E5949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易燃，与空气混合能形成爆炸性混合物；遇热源和明火有燃烧爆炸的危险。与二氧化氮、四氧化二氮、氧化二氮等激烈化合，与其他氧化剂接触剧烈反应。气体比空气重，能在较低处扩散到相当远的地方，遇火源会着火回燃</w:t>
            </w:r>
          </w:p>
        </w:tc>
      </w:tr>
      <w:tr w14:paraId="35EE3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43513AA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7</w:t>
            </w:r>
          </w:p>
        </w:tc>
        <w:tc>
          <w:tcPr>
            <w:tcW w:w="831" w:type="dxa"/>
            <w:shd w:val="clear" w:color="auto" w:fill="auto"/>
            <w:vAlign w:val="center"/>
          </w:tcPr>
          <w:p w14:paraId="52D6C55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异丁烷</w:t>
            </w:r>
          </w:p>
        </w:tc>
        <w:tc>
          <w:tcPr>
            <w:tcW w:w="3307" w:type="dxa"/>
            <w:shd w:val="clear" w:color="auto" w:fill="auto"/>
            <w:vAlign w:val="center"/>
          </w:tcPr>
          <w:p w14:paraId="36242A8F">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无色、稍有气味的气体，分子式为C</w:t>
            </w:r>
            <w:r>
              <w:rPr>
                <w:rFonts w:hint="default" w:ascii="Times New Roman" w:hAnsi="Times New Roman" w:eastAsia="宋体" w:cs="Times New Roman"/>
                <w:b w:val="0"/>
                <w:bCs/>
                <w:color w:val="FF0000"/>
                <w:sz w:val="21"/>
                <w:szCs w:val="21"/>
                <w:vertAlign w:val="subscript"/>
                <w:lang w:val="en-US" w:eastAsia="zh-CN"/>
              </w:rPr>
              <w:t>4</w:t>
            </w:r>
            <w:r>
              <w:rPr>
                <w:rFonts w:hint="default" w:ascii="Times New Roman" w:hAnsi="Times New Roman" w:eastAsia="宋体" w:cs="Times New Roman"/>
                <w:b w:val="0"/>
                <w:bCs/>
                <w:color w:val="FF0000"/>
                <w:sz w:val="21"/>
                <w:szCs w:val="21"/>
                <w:vertAlign w:val="baseline"/>
                <w:lang w:val="en-US" w:eastAsia="zh-CN"/>
              </w:rPr>
              <w:t>H</w:t>
            </w:r>
            <w:r>
              <w:rPr>
                <w:rFonts w:hint="default" w:ascii="Times New Roman" w:hAnsi="Times New Roman" w:eastAsia="宋体" w:cs="Times New Roman"/>
                <w:b w:val="0"/>
                <w:bCs/>
                <w:color w:val="FF0000"/>
                <w:sz w:val="21"/>
                <w:szCs w:val="21"/>
                <w:vertAlign w:val="subscript"/>
                <w:lang w:val="en-US" w:eastAsia="zh-CN"/>
              </w:rPr>
              <w:t>10</w:t>
            </w:r>
            <w:r>
              <w:rPr>
                <w:rFonts w:hint="default" w:ascii="Times New Roman" w:hAnsi="Times New Roman" w:eastAsia="宋体" w:cs="Times New Roman"/>
                <w:b w:val="0"/>
                <w:bCs/>
                <w:color w:val="FF0000"/>
                <w:sz w:val="21"/>
                <w:szCs w:val="21"/>
                <w:vertAlign w:val="baseline"/>
                <w:lang w:val="en-US" w:eastAsia="zh-CN"/>
              </w:rPr>
              <w:t>，分子量为58.12，熔点为-159.6℃，沸点为-11.8℃，相对密度（水=1）为0.56，相对蒸气密度（空气=1）为2.01，饱和蒸气压为160.09kPa（0℃），燃烧热为2856.6kJ/mol，临界温度为135℃，临界压力为3.65MPa，闪点为-82.8℃，引燃温度为460℃，爆炸上限为8.5%（V/V），爆炸下限为1.8%（V/V），溶解性为微溶于水，溶于乙醚。</w:t>
            </w:r>
          </w:p>
        </w:tc>
        <w:tc>
          <w:tcPr>
            <w:tcW w:w="3308" w:type="dxa"/>
            <w:shd w:val="clear" w:color="auto" w:fill="auto"/>
            <w:vAlign w:val="center"/>
          </w:tcPr>
          <w:p w14:paraId="5A13EF42">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易燃气体，与空气混合能形成爆炸性混合物，遇热源和明火有燃烧爆炸的危险，与氧化剂接触猛烈反应，其蒸气比空气重，能在较低处扩散到相当远的地方，遇火源会着火回燃</w:t>
            </w:r>
          </w:p>
        </w:tc>
      </w:tr>
      <w:tr w14:paraId="78627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dxa"/>
            <w:vAlign w:val="center"/>
          </w:tcPr>
          <w:p w14:paraId="64FC138A">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sz w:val="21"/>
                <w:szCs w:val="21"/>
                <w:vertAlign w:val="baseline"/>
                <w:lang w:val="en-US" w:eastAsia="zh-CN"/>
              </w:rPr>
            </w:pPr>
            <w:r>
              <w:rPr>
                <w:rFonts w:hint="default" w:ascii="Times New Roman" w:hAnsi="Times New Roman" w:eastAsia="宋体" w:cs="Times New Roman"/>
                <w:b w:val="0"/>
                <w:bCs/>
                <w:color w:val="FF0000"/>
                <w:sz w:val="21"/>
                <w:szCs w:val="21"/>
                <w:vertAlign w:val="baseline"/>
                <w:lang w:val="en-US" w:eastAsia="zh-CN"/>
              </w:rPr>
              <w:t>8</w:t>
            </w:r>
          </w:p>
        </w:tc>
        <w:tc>
          <w:tcPr>
            <w:tcW w:w="831" w:type="dxa"/>
            <w:shd w:val="clear" w:color="auto" w:fill="auto"/>
            <w:vAlign w:val="center"/>
          </w:tcPr>
          <w:p w14:paraId="7B015760">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乙炔气</w:t>
            </w:r>
          </w:p>
        </w:tc>
        <w:tc>
          <w:tcPr>
            <w:tcW w:w="3307" w:type="dxa"/>
            <w:shd w:val="clear" w:color="auto" w:fill="auto"/>
            <w:vAlign w:val="center"/>
          </w:tcPr>
          <w:p w14:paraId="01976FB7">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无色无臭气体，工业品有使人不愉快的大蒜气味；熔点：-81.8℃（119kPa）；沸点：-83.8℃；相对密度（水=1）：0.62；相对蒸汽密度（空气=1）：0.91；饱和蒸汽压（kPa）：4053（16.8℃）；引燃温度（℃）：305；爆炸上限/下限（%V/V）：80.0/2.1；溶解性：微溶于水、乙醇，溶于丙酮、氯仿、苯</w:t>
            </w:r>
          </w:p>
        </w:tc>
        <w:tc>
          <w:tcPr>
            <w:tcW w:w="3308" w:type="dxa"/>
            <w:shd w:val="clear" w:color="auto" w:fill="auto"/>
            <w:vAlign w:val="center"/>
          </w:tcPr>
          <w:p w14:paraId="1520DBB6">
            <w:pPr>
              <w:keepNext w:val="0"/>
              <w:keepLines/>
              <w:pageBreakBefore w:val="0"/>
              <w:wordWrap/>
              <w:topLinePunct/>
              <w:autoSpaceDE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color w:val="FF0000"/>
                <w:kern w:val="2"/>
                <w:sz w:val="21"/>
                <w:szCs w:val="21"/>
                <w:vertAlign w:val="baseline"/>
                <w:lang w:val="en-US" w:eastAsia="zh-CN" w:bidi="ar-SA"/>
              </w:rPr>
            </w:pPr>
            <w:r>
              <w:rPr>
                <w:rFonts w:hint="default" w:ascii="Times New Roman" w:hAnsi="Times New Roman" w:eastAsia="宋体" w:cs="Times New Roman"/>
                <w:b w:val="0"/>
                <w:bCs/>
                <w:color w:val="FF0000"/>
                <w:sz w:val="21"/>
                <w:szCs w:val="21"/>
                <w:vertAlign w:val="baseline"/>
                <w:lang w:val="en-US" w:eastAsia="zh-CN"/>
              </w:rPr>
              <w:t>极易燃烧爆炸。与空气混合能形成爆炸性混合物，遇明火、高热能引起燃烧爆炸。与氧化剂接触会猛烈反应。与氟、氯等接触会发生剧烈的化学反应。能与铜、银、汞等的化合物生成爆炸性物质。具有弱麻醉作用。吸入高浓度，初期兴奋、多语、哭笑不安，后出现眩晕、头痛、恶心、呕吐、共济失调、嗜睡；严重者昏迷、紫绀、瞳孔对光反应消失、脉弱而不齐。高浓度吸入可引起单纯窒息。当混有磷化氢、硫化氢时，毒性增大，应予注意</w:t>
            </w:r>
          </w:p>
        </w:tc>
      </w:tr>
    </w:tbl>
    <w:p w14:paraId="507A11E5">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3.2</w:t>
      </w:r>
      <w:r>
        <w:rPr>
          <w:rFonts w:hint="default" w:ascii="Times New Roman" w:hAnsi="Times New Roman" w:eastAsia="宋体" w:cs="Times New Roman"/>
          <w:b/>
          <w:bCs/>
          <w:color w:val="auto"/>
          <w:sz w:val="24"/>
          <w:szCs w:val="24"/>
          <w:lang w:eastAsia="zh-CN"/>
        </w:rPr>
        <w:t>运营过程</w:t>
      </w:r>
      <w:r>
        <w:rPr>
          <w:rFonts w:hint="default" w:ascii="Times New Roman" w:hAnsi="Times New Roman" w:eastAsia="宋体" w:cs="Times New Roman"/>
          <w:b/>
          <w:bCs/>
          <w:color w:val="auto"/>
          <w:sz w:val="24"/>
          <w:szCs w:val="24"/>
        </w:rPr>
        <w:t>风险识别</w:t>
      </w:r>
    </w:p>
    <w:p w14:paraId="1EDA6CD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本项目在气体液化储存充装在运行过程中可能因卸料、存储、检修等过程产生</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、如遇明火进而引发爆炸，具体风险因素如下：</w:t>
      </w:r>
    </w:p>
    <w:p w14:paraId="5D6F9A2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val="en-US" w:eastAsia="zh-CN"/>
        </w:rPr>
        <w:t>3.2.1</w:t>
      </w:r>
      <w:r>
        <w:rPr>
          <w:rFonts w:hint="default" w:ascii="Times New Roman" w:hAnsi="Times New Roman" w:eastAsia="宋体" w:cs="Times New Roman"/>
          <w:b/>
          <w:bCs/>
          <w:color w:val="auto"/>
          <w:sz w:val="24"/>
          <w:szCs w:val="24"/>
        </w:rPr>
        <w:t>卸料过程中危险有害因素</w:t>
      </w:r>
    </w:p>
    <w:p w14:paraId="57DFE78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①卸料时接口间密封不好或自身破损，造成泄漏。</w:t>
      </w:r>
    </w:p>
    <w:p w14:paraId="13C0ECA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②泵或管道系统由于超压运转、泵体、轴封不好、旁通阀、润滑系统缺陷、操作失灵，造成泄漏。</w:t>
      </w:r>
    </w:p>
    <w:p w14:paraId="6DCE687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③管道破裂、法兰、阀门密封不好，焊接缺陷，造成泄漏。</w:t>
      </w:r>
    </w:p>
    <w:p w14:paraId="49AB8BD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④管道、管件、阀门和紧固件严重腐蚀、变形、移位和破裂均可发生泄漏。</w:t>
      </w:r>
    </w:p>
    <w:p w14:paraId="0E4DC21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⑤因操作不当或其它原因造成</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阀门的开启或断裂造成泄漏。</w:t>
      </w:r>
    </w:p>
    <w:p w14:paraId="7D02C13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⑥物体打击或车辆碰撞导致</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、管道、阀门、法兰损坏造成气体泄漏。</w:t>
      </w:r>
    </w:p>
    <w:p w14:paraId="5D20771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⑦在卸料过程中物料管道、罐车无静电接地，卸料时流速过快等原因造成静电积聚导致火灾、爆炸事故的发生。</w:t>
      </w:r>
    </w:p>
    <w:p w14:paraId="51D8484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⑧若人员操作失误罐车未熄火就进行卸料作业，挥发出的</w:t>
      </w:r>
      <w:r>
        <w:rPr>
          <w:rFonts w:hint="default" w:ascii="Times New Roman" w:hAnsi="Times New Roman" w:eastAsia="宋体" w:cs="Times New Roman"/>
          <w:color w:val="auto"/>
          <w:sz w:val="24"/>
          <w:szCs w:val="24"/>
          <w:lang w:eastAsia="zh-CN"/>
        </w:rPr>
        <w:t>甲烷</w:t>
      </w:r>
      <w:r>
        <w:rPr>
          <w:rFonts w:hint="default" w:ascii="Times New Roman" w:hAnsi="Times New Roman" w:eastAsia="宋体" w:cs="Times New Roman"/>
          <w:color w:val="auto"/>
          <w:sz w:val="24"/>
          <w:szCs w:val="24"/>
        </w:rPr>
        <w:t>遇激发性能源导致火灾爆炸事故的发生。</w:t>
      </w:r>
    </w:p>
    <w:p w14:paraId="58019BB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⑨若人员操作失误气体未卸完，或料管未拆除完毕，立即启动罐车，易发生拉断管道，发生</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，遇明火导致火灾、爆炸。</w:t>
      </w:r>
    </w:p>
    <w:p w14:paraId="0B7B859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3.2.2</w:t>
      </w:r>
      <w:r>
        <w:rPr>
          <w:rFonts w:hint="default" w:ascii="Times New Roman" w:hAnsi="Times New Roman" w:eastAsia="宋体" w:cs="Times New Roman"/>
          <w:b/>
          <w:bCs/>
          <w:color w:val="auto"/>
          <w:sz w:val="24"/>
          <w:szCs w:val="24"/>
        </w:rPr>
        <w:t>储存过程危险有害因素</w:t>
      </w:r>
    </w:p>
    <w:p w14:paraId="407B42A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①罐体焊缝的开裂、构件的泄漏，以及操作不当造成满罐，致泄漏引起火灾、爆炸事故；</w:t>
      </w:r>
    </w:p>
    <w:p w14:paraId="13AD44E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②罐体、管道法兰的焊接处出现焊接质量事故，导致</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或管道破裂而发生泄漏造成火灾、爆炸事故；</w:t>
      </w:r>
    </w:p>
    <w:p w14:paraId="0FEAE46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液位装置失灵或液位装置损坏或自动控制系统失灵（管线断裂），自控元件故障造成满罐，造成大量的泄漏而发生火灾、爆炸事故；</w:t>
      </w:r>
    </w:p>
    <w:p w14:paraId="62D5887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等压力容器，受热、高温膨胀，罐内压力剧增均可导致爆炸，特别是低温储存若绝热失效可导致爆炸事故的发生；</w:t>
      </w:r>
    </w:p>
    <w:p w14:paraId="2A1EB1F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上的安全附件失效，可导致火灾、爆炸事故的发生；</w:t>
      </w:r>
    </w:p>
    <w:p w14:paraId="686B9BB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⑥由于制造及施工等原因或地基处理不当，耐压不均匀下沉而造成</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破坏，大量液体泄漏被引燃；</w:t>
      </w:r>
    </w:p>
    <w:p w14:paraId="0B84EFF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⑦由于卸车时接头脱落，管道连接处及垫片破损而造成泄漏被引燃；</w:t>
      </w:r>
    </w:p>
    <w:p w14:paraId="0E334A7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⑧</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区域虽然使用防爆电气设备，但安装不规范或使用时间长，电气线路老化、穿线的防爆孔未堵实产生电火花引燃泄漏物质而发生火灾、爆炸事故。</w:t>
      </w:r>
    </w:p>
    <w:p w14:paraId="18B5DA0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⑨埋地</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区若发生</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，丙烷、丁烷液化气体可直接透过包气带污染地下水。</w:t>
      </w:r>
    </w:p>
    <w:p w14:paraId="00BCE8C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3.2.3</w:t>
      </w:r>
      <w:r>
        <w:rPr>
          <w:rFonts w:hint="default" w:ascii="Times New Roman" w:hAnsi="Times New Roman" w:eastAsia="宋体" w:cs="Times New Roman"/>
          <w:b/>
          <w:bCs/>
          <w:color w:val="auto"/>
          <w:sz w:val="24"/>
          <w:szCs w:val="24"/>
        </w:rPr>
        <w:t>气化、调压过程危险有害因素</w:t>
      </w:r>
    </w:p>
    <w:p w14:paraId="64FEC68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①液化的气体在气化、加臭、调压输送过程中，如气体泄漏，与空气形成爆炸性混合气体，遇明火、高能等可能发生火灾、爆炸事故。</w:t>
      </w:r>
    </w:p>
    <w:p w14:paraId="2AC287B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②气体在输送过程中，气体输送与管道壁在一定流速下的摩擦会产生静电，可因静电积聚导致火灾、爆炸事故的发生。</w:t>
      </w:r>
    </w:p>
    <w:p w14:paraId="7629ACD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③装置系统配设的电气设施如果选型不合理或绝缘老化、外力作用损坏等，会发生触电和爆炸性气体触发的爆炸后果。</w:t>
      </w:r>
    </w:p>
    <w:p w14:paraId="0D2FA6C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④液化的气体气化过程为吸热过程，金属设备外表气温较低，如操作工误接触可造成低温灼伤。</w:t>
      </w:r>
    </w:p>
    <w:p w14:paraId="6B98C51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val="en-US" w:eastAsia="zh-CN"/>
        </w:rPr>
        <w:t>3.2.4</w:t>
      </w:r>
      <w:r>
        <w:rPr>
          <w:rFonts w:hint="default" w:ascii="Times New Roman" w:hAnsi="Times New Roman" w:eastAsia="宋体" w:cs="Times New Roman"/>
          <w:b/>
          <w:bCs/>
          <w:color w:val="auto"/>
          <w:sz w:val="24"/>
          <w:szCs w:val="24"/>
        </w:rPr>
        <w:t>装、检修过程危险有害因素</w:t>
      </w:r>
    </w:p>
    <w:p w14:paraId="6615A69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动火、焊割作业：若罐内、管道内或作业环境有易燃易爆气体，动火时会发生火灾、爆炸事故，动火设备电线裸露会造成触电、火灾，检修设备与其他设备搭接电焊时放弧引起火灾、爆炸。高处动火、登高器械固定不牢会发生坠落事故，动火结束后，动火区域高温焊渣清理不净会引起火灾、爆炸事故。</w:t>
      </w:r>
    </w:p>
    <w:p w14:paraId="45200B2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②建设时若没有将原有的地沟或低洼处积聚的气体残液处理干净，有可能引起火灾、爆炸事故的发生。</w:t>
      </w:r>
    </w:p>
    <w:p w14:paraId="3F67B48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32"/>
          <w:lang w:val="en-US" w:eastAsia="zh-CN"/>
        </w:rPr>
        <w:t xml:space="preserve">17   </w:t>
      </w:r>
      <w:r>
        <w:rPr>
          <w:rFonts w:hint="default" w:ascii="Times New Roman" w:hAnsi="Times New Roman" w:eastAsia="宋体" w:cs="Times New Roman"/>
          <w:b/>
          <w:bCs/>
          <w:color w:val="auto"/>
          <w:sz w:val="24"/>
          <w:szCs w:val="24"/>
        </w:rPr>
        <w:t>建设项目环境风险识别表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
        <w:gridCol w:w="672"/>
        <w:gridCol w:w="1070"/>
        <w:gridCol w:w="1063"/>
        <w:gridCol w:w="1063"/>
        <w:gridCol w:w="1063"/>
        <w:gridCol w:w="1717"/>
        <w:gridCol w:w="1063"/>
      </w:tblGrid>
      <w:tr w14:paraId="77E7D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dxa"/>
            <w:noWrap w:val="0"/>
            <w:vAlign w:val="center"/>
          </w:tcPr>
          <w:p w14:paraId="4CC9D6B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742" w:type="dxa"/>
            <w:gridSpan w:val="2"/>
            <w:noWrap w:val="0"/>
            <w:vAlign w:val="center"/>
          </w:tcPr>
          <w:p w14:paraId="7343EF9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危险单元</w:t>
            </w:r>
          </w:p>
        </w:tc>
        <w:tc>
          <w:tcPr>
            <w:tcW w:w="1063" w:type="dxa"/>
            <w:noWrap w:val="0"/>
            <w:vAlign w:val="center"/>
          </w:tcPr>
          <w:p w14:paraId="1FEB9DE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风险源</w:t>
            </w:r>
          </w:p>
        </w:tc>
        <w:tc>
          <w:tcPr>
            <w:tcW w:w="1063" w:type="dxa"/>
            <w:noWrap w:val="0"/>
            <w:vAlign w:val="center"/>
          </w:tcPr>
          <w:p w14:paraId="40C92F8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主要危险物质</w:t>
            </w:r>
          </w:p>
        </w:tc>
        <w:tc>
          <w:tcPr>
            <w:tcW w:w="1063" w:type="dxa"/>
            <w:noWrap w:val="0"/>
            <w:vAlign w:val="center"/>
          </w:tcPr>
          <w:p w14:paraId="2586AA7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环境风险类型</w:t>
            </w:r>
          </w:p>
        </w:tc>
        <w:tc>
          <w:tcPr>
            <w:tcW w:w="1717" w:type="dxa"/>
            <w:noWrap w:val="0"/>
            <w:vAlign w:val="center"/>
          </w:tcPr>
          <w:p w14:paraId="50A4DEB5">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环境影响途径</w:t>
            </w:r>
          </w:p>
        </w:tc>
        <w:tc>
          <w:tcPr>
            <w:tcW w:w="1063" w:type="dxa"/>
            <w:noWrap w:val="0"/>
            <w:vAlign w:val="center"/>
          </w:tcPr>
          <w:p w14:paraId="1C3886BF">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可能受影响的环境敏感目标</w:t>
            </w:r>
          </w:p>
        </w:tc>
      </w:tr>
      <w:tr w14:paraId="6765B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dxa"/>
            <w:vMerge w:val="restart"/>
            <w:noWrap w:val="0"/>
            <w:vAlign w:val="center"/>
          </w:tcPr>
          <w:p w14:paraId="075E5F15">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72" w:type="dxa"/>
            <w:vMerge w:val="restart"/>
            <w:noWrap w:val="0"/>
            <w:vAlign w:val="center"/>
          </w:tcPr>
          <w:p w14:paraId="51EA702E">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生产系统</w:t>
            </w:r>
          </w:p>
        </w:tc>
        <w:tc>
          <w:tcPr>
            <w:tcW w:w="1070" w:type="dxa"/>
            <w:noWrap w:val="0"/>
            <w:vAlign w:val="center"/>
          </w:tcPr>
          <w:p w14:paraId="09804342">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立式储槽区</w:t>
            </w:r>
          </w:p>
        </w:tc>
        <w:tc>
          <w:tcPr>
            <w:tcW w:w="1063" w:type="dxa"/>
            <w:noWrap w:val="0"/>
            <w:vAlign w:val="center"/>
          </w:tcPr>
          <w:p w14:paraId="5C2393B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储槽</w:t>
            </w:r>
          </w:p>
        </w:tc>
        <w:tc>
          <w:tcPr>
            <w:tcW w:w="1063" w:type="dxa"/>
            <w:noWrap w:val="0"/>
            <w:vAlign w:val="center"/>
          </w:tcPr>
          <w:p w14:paraId="096DA398">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七氟丙烷</w:t>
            </w:r>
          </w:p>
        </w:tc>
        <w:tc>
          <w:tcPr>
            <w:tcW w:w="1063" w:type="dxa"/>
            <w:vMerge w:val="restart"/>
            <w:noWrap w:val="0"/>
            <w:vAlign w:val="center"/>
          </w:tcPr>
          <w:p w14:paraId="751A3898">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危险物质泄漏，火灾、爆炸等引发的伴生/次生污染物排放</w:t>
            </w:r>
          </w:p>
        </w:tc>
        <w:tc>
          <w:tcPr>
            <w:tcW w:w="1717" w:type="dxa"/>
            <w:vMerge w:val="restart"/>
            <w:noWrap w:val="0"/>
            <w:vAlign w:val="center"/>
          </w:tcPr>
          <w:p w14:paraId="437B0410">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泄漏的气体及火灾爆炸产生废气通过大气环境向周边扩散；消防水漫流影响地下水</w:t>
            </w:r>
          </w:p>
        </w:tc>
        <w:tc>
          <w:tcPr>
            <w:tcW w:w="1063" w:type="dxa"/>
            <w:vMerge w:val="restart"/>
            <w:noWrap w:val="0"/>
            <w:vAlign w:val="center"/>
          </w:tcPr>
          <w:p w14:paraId="6463C3EA">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周围居民</w:t>
            </w:r>
          </w:p>
        </w:tc>
      </w:tr>
      <w:tr w14:paraId="3E52B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dxa"/>
            <w:vMerge w:val="continue"/>
            <w:noWrap w:val="0"/>
            <w:vAlign w:val="center"/>
          </w:tcPr>
          <w:p w14:paraId="52FE530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672" w:type="dxa"/>
            <w:vMerge w:val="continue"/>
            <w:noWrap w:val="0"/>
            <w:vAlign w:val="center"/>
          </w:tcPr>
          <w:p w14:paraId="46E89189">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1070" w:type="dxa"/>
            <w:noWrap w:val="0"/>
            <w:vAlign w:val="center"/>
          </w:tcPr>
          <w:p w14:paraId="10B1FB0D">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地埋丙烷储槽区</w:t>
            </w:r>
          </w:p>
        </w:tc>
        <w:tc>
          <w:tcPr>
            <w:tcW w:w="1063" w:type="dxa"/>
            <w:noWrap w:val="0"/>
            <w:vAlign w:val="center"/>
          </w:tcPr>
          <w:p w14:paraId="448BF560">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储槽</w:t>
            </w:r>
          </w:p>
        </w:tc>
        <w:tc>
          <w:tcPr>
            <w:tcW w:w="1063" w:type="dxa"/>
            <w:noWrap w:val="0"/>
            <w:vAlign w:val="center"/>
          </w:tcPr>
          <w:p w14:paraId="0ABD1224">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丙烷</w:t>
            </w:r>
          </w:p>
        </w:tc>
        <w:tc>
          <w:tcPr>
            <w:tcW w:w="1063" w:type="dxa"/>
            <w:vMerge w:val="continue"/>
            <w:noWrap w:val="0"/>
            <w:vAlign w:val="center"/>
          </w:tcPr>
          <w:p w14:paraId="1CE735C0">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p>
        </w:tc>
        <w:tc>
          <w:tcPr>
            <w:tcW w:w="1717" w:type="dxa"/>
            <w:vMerge w:val="continue"/>
            <w:noWrap w:val="0"/>
            <w:vAlign w:val="center"/>
          </w:tcPr>
          <w:p w14:paraId="2275B544">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p>
        </w:tc>
        <w:tc>
          <w:tcPr>
            <w:tcW w:w="1063" w:type="dxa"/>
            <w:vMerge w:val="continue"/>
            <w:noWrap w:val="0"/>
            <w:vAlign w:val="center"/>
          </w:tcPr>
          <w:p w14:paraId="47DDAE70">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p>
        </w:tc>
      </w:tr>
      <w:tr w14:paraId="4A2DB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dxa"/>
            <w:vMerge w:val="continue"/>
            <w:noWrap w:val="0"/>
            <w:vAlign w:val="center"/>
          </w:tcPr>
          <w:p w14:paraId="17660981">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672" w:type="dxa"/>
            <w:vMerge w:val="continue"/>
            <w:noWrap w:val="0"/>
            <w:vAlign w:val="center"/>
          </w:tcPr>
          <w:p w14:paraId="4573614C">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p>
        </w:tc>
        <w:tc>
          <w:tcPr>
            <w:tcW w:w="1070" w:type="dxa"/>
            <w:noWrap w:val="0"/>
            <w:vAlign w:val="center"/>
          </w:tcPr>
          <w:p w14:paraId="1BC6D786">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甲类库房</w:t>
            </w:r>
          </w:p>
        </w:tc>
        <w:tc>
          <w:tcPr>
            <w:tcW w:w="1063" w:type="dxa"/>
            <w:noWrap w:val="0"/>
            <w:vAlign w:val="center"/>
          </w:tcPr>
          <w:p w14:paraId="52D5B713">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气瓶</w:t>
            </w:r>
          </w:p>
        </w:tc>
        <w:tc>
          <w:tcPr>
            <w:tcW w:w="1063" w:type="dxa"/>
            <w:noWrap w:val="0"/>
            <w:vAlign w:val="center"/>
          </w:tcPr>
          <w:p w14:paraId="6EC911C7">
            <w:pPr>
              <w:keepNext w:val="0"/>
              <w:pageBreakBefore w:val="0"/>
              <w:wordWrap/>
              <w:bidi w:val="0"/>
              <w:spacing w:beforeAutospacing="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FF0000"/>
                <w:sz w:val="21"/>
                <w:szCs w:val="21"/>
              </w:rPr>
              <w:t>甲烷、一氧化碳</w:t>
            </w:r>
            <w:r>
              <w:rPr>
                <w:rFonts w:hint="default" w:ascii="Times New Roman" w:hAnsi="Times New Roman" w:eastAsia="宋体" w:cs="Times New Roman"/>
                <w:color w:val="FF0000"/>
                <w:sz w:val="21"/>
                <w:szCs w:val="21"/>
                <w:lang w:eastAsia="zh-CN"/>
              </w:rPr>
              <w:t>、</w:t>
            </w:r>
            <w:r>
              <w:rPr>
                <w:rFonts w:hint="default" w:ascii="Times New Roman" w:hAnsi="Times New Roman" w:eastAsia="宋体" w:cs="Times New Roman"/>
                <w:color w:val="FF0000"/>
                <w:sz w:val="21"/>
                <w:szCs w:val="21"/>
              </w:rPr>
              <w:t>乙烷、乙烯、丙烯、异丁烷、乙炔气</w:t>
            </w:r>
          </w:p>
        </w:tc>
        <w:tc>
          <w:tcPr>
            <w:tcW w:w="1063" w:type="dxa"/>
            <w:vMerge w:val="continue"/>
            <w:noWrap w:val="0"/>
            <w:vAlign w:val="center"/>
          </w:tcPr>
          <w:p w14:paraId="42ADA187">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p>
        </w:tc>
        <w:tc>
          <w:tcPr>
            <w:tcW w:w="1717" w:type="dxa"/>
            <w:vMerge w:val="continue"/>
            <w:noWrap w:val="0"/>
            <w:vAlign w:val="center"/>
          </w:tcPr>
          <w:p w14:paraId="574A8128">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p>
        </w:tc>
        <w:tc>
          <w:tcPr>
            <w:tcW w:w="1063" w:type="dxa"/>
            <w:vMerge w:val="continue"/>
            <w:noWrap w:val="0"/>
            <w:vAlign w:val="center"/>
          </w:tcPr>
          <w:p w14:paraId="410DBF08">
            <w:pPr>
              <w:keepNext w:val="0"/>
              <w:pageBreakBefore w:val="0"/>
              <w:wordWrap/>
              <w:bidi w:val="0"/>
              <w:spacing w:beforeAutospacing="0" w:afterAutospacing="0" w:line="240" w:lineRule="auto"/>
              <w:ind w:left="0" w:leftChars="0" w:right="0" w:rightChars="0"/>
              <w:rPr>
                <w:rFonts w:hint="default" w:ascii="Times New Roman" w:hAnsi="Times New Roman" w:eastAsia="宋体" w:cs="Times New Roman"/>
                <w:color w:val="auto"/>
                <w:sz w:val="21"/>
                <w:szCs w:val="21"/>
              </w:rPr>
            </w:pPr>
          </w:p>
        </w:tc>
      </w:tr>
    </w:tbl>
    <w:p w14:paraId="6D1EADD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泄漏事故发生后可能造成的危害类型主要包括泄漏气体扩散至环境空气中、地下水的直接危害，各种工业气体引燃后的冲击波危害和热辐射危害。该项目工艺过程风险因素识别见下表。</w:t>
      </w:r>
    </w:p>
    <w:p w14:paraId="1A452B2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32"/>
          <w:lang w:val="en-US" w:eastAsia="zh-CN"/>
        </w:rPr>
        <w:t xml:space="preserve">18  </w:t>
      </w:r>
      <w:r>
        <w:rPr>
          <w:rFonts w:hint="default" w:ascii="Times New Roman" w:hAnsi="Times New Roman" w:eastAsia="宋体" w:cs="Times New Roman"/>
          <w:b/>
          <w:bCs/>
          <w:color w:val="auto"/>
          <w:sz w:val="24"/>
          <w:szCs w:val="24"/>
        </w:rPr>
        <w:t>工艺过程风险因素识别表</w:t>
      </w:r>
    </w:p>
    <w:tbl>
      <w:tblPr>
        <w:tblStyle w:val="3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625"/>
        <w:gridCol w:w="6956"/>
      </w:tblGrid>
      <w:tr w14:paraId="252D1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noWrap w:val="0"/>
            <w:vAlign w:val="center"/>
          </w:tcPr>
          <w:p w14:paraId="443A27C6">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分类</w:t>
            </w:r>
          </w:p>
        </w:tc>
        <w:tc>
          <w:tcPr>
            <w:tcW w:w="666" w:type="dxa"/>
            <w:noWrap w:val="0"/>
            <w:vAlign w:val="center"/>
          </w:tcPr>
          <w:p w14:paraId="0B7CBBE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类型</w:t>
            </w:r>
          </w:p>
        </w:tc>
        <w:tc>
          <w:tcPr>
            <w:tcW w:w="7649" w:type="dxa"/>
            <w:noWrap w:val="0"/>
            <w:vAlign w:val="center"/>
          </w:tcPr>
          <w:p w14:paraId="7DD83D2E">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风险项</w:t>
            </w:r>
          </w:p>
        </w:tc>
      </w:tr>
      <w:tr w14:paraId="39D4A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restart"/>
            <w:noWrap w:val="0"/>
            <w:vAlign w:val="center"/>
          </w:tcPr>
          <w:p w14:paraId="075FE97A">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工艺危险性</w:t>
            </w:r>
          </w:p>
        </w:tc>
        <w:tc>
          <w:tcPr>
            <w:tcW w:w="666" w:type="dxa"/>
            <w:noWrap w:val="0"/>
            <w:vAlign w:val="center"/>
          </w:tcPr>
          <w:p w14:paraId="2A6103EB">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设计施工</w:t>
            </w:r>
          </w:p>
        </w:tc>
        <w:tc>
          <w:tcPr>
            <w:tcW w:w="7649" w:type="dxa"/>
            <w:noWrap w:val="0"/>
            <w:vAlign w:val="center"/>
          </w:tcPr>
          <w:p w14:paraId="556EA6A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①项目选址存在基准面低、设施基础不稳固、周围排水不通畅、环境破坏等潜在危险；</w:t>
            </w:r>
          </w:p>
          <w:p w14:paraId="21E3B8F2">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②调压、计量设施及相关配套设施为带压设备，受外界不良影响、设计、制造和施工缺陷可能引起管线、设备超出自身承受压力发生物理爆破危险。</w:t>
            </w:r>
          </w:p>
        </w:tc>
      </w:tr>
      <w:tr w14:paraId="3DEA7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0"/>
            <w:vAlign w:val="center"/>
          </w:tcPr>
          <w:p w14:paraId="4B764C5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tc>
        <w:tc>
          <w:tcPr>
            <w:tcW w:w="666" w:type="dxa"/>
            <w:noWrap w:val="0"/>
            <w:vAlign w:val="center"/>
          </w:tcPr>
          <w:p w14:paraId="0A73141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设备</w:t>
            </w:r>
          </w:p>
        </w:tc>
        <w:tc>
          <w:tcPr>
            <w:tcW w:w="7649" w:type="dxa"/>
            <w:noWrap w:val="0"/>
            <w:vAlign w:val="center"/>
          </w:tcPr>
          <w:p w14:paraId="4D03E96E">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①生产设备、管线、阀门、法兰等因腐蚀、雷击或关闭不严等造成漏气，在有火源（如静电、明火等）情况下发生燃烧、爆炸；</w:t>
            </w:r>
          </w:p>
          <w:p w14:paraId="472BE81F">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②压力仪表、阀件等设备附件带压操作脱落，设备缺陷或操作失误造成爆炸，危险区域内人员有受到爆裂管件碎片打击的危险。</w:t>
            </w:r>
          </w:p>
        </w:tc>
      </w:tr>
      <w:tr w14:paraId="60884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0"/>
            <w:vAlign w:val="center"/>
          </w:tcPr>
          <w:p w14:paraId="1C88E13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tc>
        <w:tc>
          <w:tcPr>
            <w:tcW w:w="666" w:type="dxa"/>
            <w:noWrap w:val="0"/>
            <w:vAlign w:val="center"/>
          </w:tcPr>
          <w:p w14:paraId="49E2B657">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操作</w:t>
            </w:r>
          </w:p>
        </w:tc>
        <w:tc>
          <w:tcPr>
            <w:tcW w:w="7649" w:type="dxa"/>
            <w:noWrap w:val="0"/>
            <w:vAlign w:val="center"/>
          </w:tcPr>
          <w:p w14:paraId="6EF4A75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①设施故障、操作不当引起超压，阀组内漏造成高低压互窜，流程不通畅，如安全阀联锁报警系统失效，造成容器破裂后大量的</w:t>
            </w:r>
            <w:r>
              <w:rPr>
                <w:rFonts w:hint="default" w:ascii="Times New Roman" w:hAnsi="Times New Roman" w:eastAsia="宋体" w:cs="Times New Roman"/>
                <w:color w:val="auto"/>
                <w:lang w:eastAsia="zh-CN"/>
              </w:rPr>
              <w:t>甲烷</w:t>
            </w:r>
            <w:r>
              <w:rPr>
                <w:rFonts w:hint="default" w:ascii="Times New Roman" w:hAnsi="Times New Roman" w:eastAsia="宋体" w:cs="Times New Roman"/>
                <w:color w:val="auto"/>
              </w:rPr>
              <w:t>泄漏及至燃烧、爆炸；</w:t>
            </w:r>
          </w:p>
          <w:p w14:paraId="16ADAA4C">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②流程置换、检修、紧急情况处理、截断阀联锁等过程中</w:t>
            </w:r>
            <w:r>
              <w:rPr>
                <w:rFonts w:hint="default" w:ascii="Times New Roman" w:hAnsi="Times New Roman" w:eastAsia="宋体" w:cs="Times New Roman"/>
                <w:color w:val="auto"/>
                <w:lang w:eastAsia="zh-CN"/>
              </w:rPr>
              <w:t>甲烷</w:t>
            </w:r>
            <w:r>
              <w:rPr>
                <w:rFonts w:hint="default" w:ascii="Times New Roman" w:hAnsi="Times New Roman" w:eastAsia="宋体" w:cs="Times New Roman"/>
                <w:color w:val="auto"/>
              </w:rPr>
              <w:t>放空后扩散，遇火源发生火灾或爆炸的危险；</w:t>
            </w:r>
          </w:p>
          <w:p w14:paraId="084B894F">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③系统运行中，检修泄漏的管道、法兰及各种阀门设备，系统投产运行、调试或介质置换等特殊情况下，有可能引发</w:t>
            </w:r>
            <w:r>
              <w:rPr>
                <w:rFonts w:hint="default" w:ascii="Times New Roman" w:hAnsi="Times New Roman" w:eastAsia="宋体" w:cs="Times New Roman"/>
                <w:color w:val="auto"/>
                <w:lang w:eastAsia="zh-CN"/>
              </w:rPr>
              <w:t>甲烷</w:t>
            </w:r>
            <w:r>
              <w:rPr>
                <w:rFonts w:hint="default" w:ascii="Times New Roman" w:hAnsi="Times New Roman" w:eastAsia="宋体" w:cs="Times New Roman"/>
                <w:color w:val="auto"/>
              </w:rPr>
              <w:t>与空气混合达爆炸浓度，遇火源或撞击、静电、电气等火花引发</w:t>
            </w:r>
            <w:r>
              <w:rPr>
                <w:rFonts w:hint="default" w:ascii="Times New Roman" w:hAnsi="Times New Roman" w:eastAsia="宋体" w:cs="Times New Roman"/>
                <w:color w:val="auto"/>
                <w:lang w:eastAsia="zh-CN"/>
              </w:rPr>
              <w:t>甲烷</w:t>
            </w:r>
            <w:r>
              <w:rPr>
                <w:rFonts w:hint="default" w:ascii="Times New Roman" w:hAnsi="Times New Roman" w:eastAsia="宋体" w:cs="Times New Roman"/>
                <w:color w:val="auto"/>
              </w:rPr>
              <w:t>爆炸危险。</w:t>
            </w:r>
          </w:p>
        </w:tc>
      </w:tr>
      <w:tr w14:paraId="05571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0"/>
            <w:vAlign w:val="center"/>
          </w:tcPr>
          <w:p w14:paraId="608899D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tc>
        <w:tc>
          <w:tcPr>
            <w:tcW w:w="666" w:type="dxa"/>
            <w:noWrap w:val="0"/>
            <w:vAlign w:val="center"/>
          </w:tcPr>
          <w:p w14:paraId="06CC6F48">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自然因素</w:t>
            </w:r>
          </w:p>
        </w:tc>
        <w:tc>
          <w:tcPr>
            <w:tcW w:w="7649" w:type="dxa"/>
            <w:noWrap w:val="0"/>
            <w:vAlign w:val="center"/>
          </w:tcPr>
          <w:p w14:paraId="5C3F2CB0">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①地震等地质灾害引发站场内承压设备受外力裂缝、折断等造成管段</w:t>
            </w:r>
            <w:r>
              <w:rPr>
                <w:rFonts w:hint="default" w:ascii="Times New Roman" w:hAnsi="Times New Roman" w:eastAsia="宋体" w:cs="Times New Roman"/>
                <w:color w:val="auto"/>
                <w:lang w:eastAsia="zh-CN"/>
              </w:rPr>
              <w:t>甲烷</w:t>
            </w:r>
            <w:r>
              <w:rPr>
                <w:rFonts w:hint="default" w:ascii="Times New Roman" w:hAnsi="Times New Roman" w:eastAsia="宋体" w:cs="Times New Roman"/>
                <w:color w:val="auto"/>
              </w:rPr>
              <w:t>泄漏，遇火源发生爆炸；</w:t>
            </w:r>
          </w:p>
          <w:p w14:paraId="333D18B5">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②在雷雨天气，站内设施有可能受到雷击的危险，引起爆炸和火灾。</w:t>
            </w:r>
          </w:p>
        </w:tc>
      </w:tr>
      <w:tr w14:paraId="7C726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noWrap w:val="0"/>
            <w:vAlign w:val="center"/>
          </w:tcPr>
          <w:p w14:paraId="4BAF57FD">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p>
        </w:tc>
        <w:tc>
          <w:tcPr>
            <w:tcW w:w="666" w:type="dxa"/>
            <w:noWrap w:val="0"/>
            <w:vAlign w:val="center"/>
          </w:tcPr>
          <w:p w14:paraId="3A6F17F2">
            <w:pPr>
              <w:keepNext w:val="0"/>
              <w:pageBreakBefore w:val="0"/>
              <w:wordWrap/>
              <w:bidi w:val="0"/>
              <w:spacing w:beforeAutospacing="0" w:afterAutospacing="0"/>
              <w:ind w:left="0" w:leftChars="0" w:right="0" w:right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其他</w:t>
            </w:r>
          </w:p>
        </w:tc>
        <w:tc>
          <w:tcPr>
            <w:tcW w:w="7649" w:type="dxa"/>
            <w:noWrap w:val="0"/>
            <w:vAlign w:val="center"/>
          </w:tcPr>
          <w:p w14:paraId="05298D3B">
            <w:pPr>
              <w:keepNext w:val="0"/>
              <w:pageBreakBefore w:val="0"/>
              <w:wordWrap/>
              <w:bidi w:val="0"/>
              <w:spacing w:beforeAutospacing="0" w:afterAutospacing="0"/>
              <w:ind w:left="0" w:leftChars="0" w:right="0" w:rightChars="0"/>
              <w:rPr>
                <w:rFonts w:hint="default" w:ascii="Times New Roman" w:hAnsi="Times New Roman" w:eastAsia="宋体" w:cs="Times New Roman"/>
                <w:color w:val="auto"/>
              </w:rPr>
            </w:pPr>
            <w:r>
              <w:rPr>
                <w:rFonts w:hint="default" w:ascii="Times New Roman" w:hAnsi="Times New Roman" w:eastAsia="宋体" w:cs="Times New Roman"/>
                <w:color w:val="auto"/>
              </w:rPr>
              <w:t>站场附近危险性建筑带来的危害。</w:t>
            </w:r>
          </w:p>
        </w:tc>
      </w:tr>
    </w:tbl>
    <w:p w14:paraId="79F0ECD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环境影响的途径主要为丙烷、氧的泄漏，以及火灾、爆炸等引发的伴生/次生污染物排放。</w:t>
      </w:r>
    </w:p>
    <w:p w14:paraId="02CBA6B1">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3.3</w:t>
      </w:r>
      <w:r>
        <w:rPr>
          <w:rFonts w:hint="default" w:ascii="Times New Roman" w:hAnsi="Times New Roman" w:eastAsia="宋体" w:cs="Times New Roman"/>
          <w:b/>
          <w:bCs/>
          <w:color w:val="auto"/>
          <w:sz w:val="24"/>
          <w:szCs w:val="24"/>
          <w:lang w:eastAsia="zh-CN"/>
        </w:rPr>
        <w:t>运营过程</w:t>
      </w:r>
      <w:r>
        <w:rPr>
          <w:rFonts w:hint="default" w:ascii="Times New Roman" w:hAnsi="Times New Roman" w:eastAsia="宋体" w:cs="Times New Roman"/>
          <w:b/>
          <w:bCs/>
          <w:color w:val="auto"/>
          <w:sz w:val="24"/>
          <w:szCs w:val="24"/>
        </w:rPr>
        <w:t>风险识别</w:t>
      </w:r>
    </w:p>
    <w:p w14:paraId="553D1C9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常用危险化学品的分类及标志》（GB13690-92），常用危险化学品按期主要危险特性分为8类。按照《爆炸为现场所安全规定》（劳动部发[1995]56号），充装站属于危险场所。一旦本项目发生重大环境风险事故，必然会对项目周边区域的大气和地表水环境造成重大危害，由此引起的风险事故形式主要包括以下几个方面：</w:t>
      </w:r>
    </w:p>
    <w:p w14:paraId="53D11CF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（1）储罐区如管理、操作不当，由于设备损坏或操作失误引起泄漏，</w:t>
      </w:r>
      <w:r>
        <w:rPr>
          <w:rFonts w:hint="default" w:ascii="Times New Roman" w:hAnsi="Times New Roman" w:eastAsia="宋体" w:cs="Times New Roman"/>
          <w:color w:val="auto"/>
          <w:sz w:val="24"/>
          <w:szCs w:val="24"/>
          <w:lang w:val="en-US" w:eastAsia="zh-CN"/>
        </w:rPr>
        <w:t>工业气体</w:t>
      </w:r>
      <w:r>
        <w:rPr>
          <w:rFonts w:hint="default" w:ascii="Times New Roman" w:hAnsi="Times New Roman" w:eastAsia="宋体" w:cs="Times New Roman"/>
          <w:color w:val="auto"/>
          <w:sz w:val="24"/>
          <w:szCs w:val="24"/>
        </w:rPr>
        <w:t>扩散会在一定范围内使人员的器官组织造成损伤，使生理机能失调或发生障碍，甚至危及生命，到之后的毒性形式主要表现为急性、慢性、远期以及暂时性的麻醉和昏迷。</w:t>
      </w:r>
    </w:p>
    <w:p w14:paraId="7D4F445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（2）火灾项目设计的</w:t>
      </w:r>
      <w:r>
        <w:rPr>
          <w:rFonts w:hint="default" w:ascii="Times New Roman" w:hAnsi="Times New Roman" w:eastAsia="宋体" w:cs="Times New Roman"/>
          <w:color w:val="auto"/>
          <w:sz w:val="24"/>
          <w:szCs w:val="24"/>
          <w:lang w:val="en-US" w:eastAsia="zh-CN"/>
        </w:rPr>
        <w:t>工业气体</w:t>
      </w:r>
      <w:r>
        <w:rPr>
          <w:rFonts w:hint="default" w:ascii="Times New Roman" w:hAnsi="Times New Roman" w:eastAsia="宋体" w:cs="Times New Roman"/>
          <w:color w:val="auto"/>
          <w:sz w:val="24"/>
          <w:szCs w:val="24"/>
        </w:rPr>
        <w:t>为易燃物料。在事故状况下，</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一旦遇到明火、静电火花机雷击等，极易引发火灾。当生产装置及储罐发生火灾时，其燃烧火焰的温度高，火势蔓延迅速，直接对火源周围的人员、设备、建构筑物构成极大的威胁。火灾风险对周围环境的危害主要包括热辐和浓烟，同时部分物料燃烧过程中会产生新的污染物（如不完全燃烧时产生的CO等）。</w:t>
      </w:r>
    </w:p>
    <w:p w14:paraId="4346E6C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爆炸和燃烧本质都是可燃物质在空气中的氧化反应，爆炸于燃烧的区别在于氧化速度的不同。决定氧化速度的因素是在点火前可燃物与助燃物是否按一定比例均匀混合，由于燃烧速度快，热量来不及散尽，温度急剧上升，气体因高热而急剧膨胀就成为爆炸。爆炸对周围环境造成的破坏主要以震荡、冲击波的形式表现。</w:t>
      </w:r>
    </w:p>
    <w:p w14:paraId="3B6C340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2"/>
          <w:sz w:val="24"/>
          <w:szCs w:val="24"/>
          <w:lang w:val="en-US" w:eastAsia="zh-CN" w:bidi="ar-SA"/>
        </w:rPr>
        <w:t>3.4</w:t>
      </w:r>
      <w:r>
        <w:rPr>
          <w:rFonts w:hint="default" w:ascii="Times New Roman" w:hAnsi="Times New Roman" w:eastAsia="宋体" w:cs="Times New Roman"/>
          <w:b/>
          <w:bCs/>
          <w:color w:val="auto"/>
          <w:sz w:val="24"/>
          <w:szCs w:val="24"/>
        </w:rPr>
        <w:t>源项分析</w:t>
      </w:r>
    </w:p>
    <w:p w14:paraId="289F1A8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（1）事故类型</w:t>
      </w:r>
    </w:p>
    <w:p w14:paraId="324CF1A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本项目可能发生的事故主要有</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储罐及管线破损导致</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渗漏，</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与空气形成爆炸性混合气并达到爆炸极限时，遇到火源会发生火灾、爆炸事故。根据风险识别，本项目主要存在的事故类型有：</w:t>
      </w:r>
    </w:p>
    <w:p w14:paraId="494309A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①储罐、管道破损导致</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渗漏引起大气污染事故、水体以及土壤污染；</w:t>
      </w:r>
    </w:p>
    <w:p w14:paraId="1EEAC17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泄漏后遇明火发生火灾、爆炸事故。</w:t>
      </w:r>
    </w:p>
    <w:p w14:paraId="048F773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（2）事故影响分析</w:t>
      </w:r>
    </w:p>
    <w:p w14:paraId="38C4F4E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①储罐、管道破损导致</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渗漏后果分析</w:t>
      </w:r>
    </w:p>
    <w:p w14:paraId="02FF8FF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在生产过程中，由于阀门、管线接口不严、设备的老化等原因容易导致</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泄漏，其渗漏量较小，大部分挥发进入大气环境中，对地表水、土壤和地下水也有一定的影响。由于站内安装泄漏报警装置，一旦发生泄漏，自动报警设备会自动报警，并自动关闭所有管线的阀门，也可以手动关闭，以保证储罐管线内的</w:t>
      </w: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不泄露。</w:t>
      </w:r>
    </w:p>
    <w:p w14:paraId="29701B4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②火灾、爆炸后果分析</w:t>
      </w:r>
    </w:p>
    <w:p w14:paraId="37FD488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工业气体</w:t>
      </w:r>
      <w:r>
        <w:rPr>
          <w:rFonts w:hint="default" w:ascii="Times New Roman" w:hAnsi="Times New Roman" w:eastAsia="宋体" w:cs="Times New Roman"/>
          <w:color w:val="auto"/>
          <w:sz w:val="24"/>
          <w:szCs w:val="24"/>
        </w:rPr>
        <w:t>为易燃易爆气体，完全燃烧后产生水和二氧化碳，不产生二次污染物，不会对大气环境造成较大影响。但火灾发生后的消防废水污染物浓度较高，若直接进入环境，会对受纳水体造成一定影响。</w:t>
      </w:r>
    </w:p>
    <w:p w14:paraId="38D16FF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kern w:val="2"/>
          <w:sz w:val="24"/>
          <w:szCs w:val="24"/>
          <w:lang w:val="en-US" w:eastAsia="zh-CN" w:bidi="ar-SA"/>
        </w:rPr>
        <w:t>3.5</w:t>
      </w:r>
      <w:r>
        <w:rPr>
          <w:rFonts w:hint="default" w:ascii="Times New Roman" w:hAnsi="Times New Roman" w:eastAsia="宋体" w:cs="Times New Roman"/>
          <w:b/>
          <w:bCs/>
          <w:color w:val="auto"/>
          <w:sz w:val="24"/>
          <w:szCs w:val="24"/>
        </w:rPr>
        <w:t>突发事故产生的环境影响及应急处理措施</w:t>
      </w:r>
    </w:p>
    <w:p w14:paraId="3BCF925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（1）环境风险应急预案：</w:t>
      </w:r>
    </w:p>
    <w:p w14:paraId="6BF94D4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事故应急预案，又称现场应急计划，是发生事故时应急救援工作的重要组成部分，对防止事故发生、发生事故后有效控制事故、最大限度减少事故造成的损失，有积极意义。</w:t>
      </w:r>
    </w:p>
    <w:p w14:paraId="43E172F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1）安全保障事故应急预案</w:t>
      </w:r>
    </w:p>
    <w:p w14:paraId="229F350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①综合应急方案</w:t>
      </w:r>
    </w:p>
    <w:p w14:paraId="7F8C4BD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a.发生事故后，先是抢救伤员，同时采取防止事故蔓延或扩大的措施。险情严重时，必须组织抢险队和救护队。</w:t>
      </w:r>
    </w:p>
    <w:p w14:paraId="205BDC8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b.防止第二次灾害事故发生，采取措施防止残留危险物品的燃烧和爆炸；可燃气体、液体的继续泄漏；悬吊物坠落和垮塌等。</w:t>
      </w:r>
    </w:p>
    <w:p w14:paraId="2851257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c.建立警戒区、警戒线，撤离无关人员，禁止非抢救人员入内，对有毒物品和可燃气体、液体泄漏的场所，采取防毒措施，切断电源、火种和断绝交通。</w:t>
      </w:r>
    </w:p>
    <w:p w14:paraId="7E4EF15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②应急方案框架</w:t>
      </w:r>
    </w:p>
    <w:p w14:paraId="50771A4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事故应急方案框架，又称现场应急计划，是发生事故时应急救援工作的重要组成部分，对防止事故发生、发生事故后有效控制事故、最大限度减少事故造成的损失，有积极意义。本评价提出事故应急方案框架，包括方案制定准备工作、方案主要内容、方案的实施等三部分。</w:t>
      </w:r>
    </w:p>
    <w:p w14:paraId="751AFA3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2)具体应急方案</w:t>
      </w:r>
    </w:p>
    <w:p w14:paraId="5C9939E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当储罐发生较大泄漏时，应采取以下措施：</w:t>
      </w:r>
    </w:p>
    <w:p w14:paraId="47A0D27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①正确分析判断突然事故发生的位置，用最快的办法打开截断阀，同时组织人力对油品扩散危险区进行警戒，严格控制一切可燃物可能发生的火源，避免发生着火爆炸和蔓延扩大；</w:t>
      </w:r>
    </w:p>
    <w:p w14:paraId="4FDDE25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②立即将事故简要报告上级主管领导、生产指挥系统，通知当地公安、消防部门加强防范措施；</w:t>
      </w:r>
    </w:p>
    <w:p w14:paraId="4670CAE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③组织抢修队伍迅速奔赴现场。在现场领导小组的统一组织指挥下，按照制定的抢修方案和安全技术措施，分工负责，在确保安全的前提下进行抢修</w:t>
      </w:r>
      <w:r>
        <w:rPr>
          <w:rFonts w:hint="default" w:ascii="Times New Roman" w:hAnsi="Times New Roman" w:eastAsia="宋体" w:cs="Times New Roman"/>
          <w:color w:val="auto"/>
          <w:sz w:val="24"/>
          <w:szCs w:val="24"/>
          <w:lang w:eastAsia="zh-CN"/>
        </w:rPr>
        <w:t>。</w:t>
      </w:r>
    </w:p>
    <w:p w14:paraId="00E3034F">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w:t>
      </w:r>
      <w:r>
        <w:rPr>
          <w:rFonts w:hint="default" w:ascii="Times New Roman" w:hAnsi="Times New Roman" w:eastAsia="宋体" w:cs="Times New Roman"/>
          <w:b/>
          <w:bCs/>
          <w:color w:val="auto"/>
          <w:sz w:val="24"/>
          <w:szCs w:val="24"/>
        </w:rPr>
        <w:t>环境风险管理</w:t>
      </w:r>
    </w:p>
    <w:p w14:paraId="6DBF90D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采取完善的防范措施、加强控制和管理是杜绝、减轻和避免环境风险的有效办法。</w:t>
      </w:r>
    </w:p>
    <w:p w14:paraId="5CF1284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本项目应从施工设计、气体运输、贮存、生产管理等各方面采取安全防范措施，做到规范设计、安全施工、严格各种设备材质要求，从总图布置、设计与工程措施方面防范风险事故的发生。</w:t>
      </w:r>
    </w:p>
    <w:p w14:paraId="7C956408">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4.1</w:t>
      </w:r>
      <w:r>
        <w:rPr>
          <w:rFonts w:hint="default" w:ascii="Times New Roman" w:hAnsi="Times New Roman" w:eastAsia="宋体" w:cs="Times New Roman"/>
          <w:b/>
          <w:bCs/>
          <w:color w:val="auto"/>
          <w:sz w:val="24"/>
          <w:szCs w:val="24"/>
        </w:rPr>
        <w:t>工程前期及设计阶段的事故防范措施</w:t>
      </w:r>
    </w:p>
    <w:p w14:paraId="191C85E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（1）合理选址，避开居民区、重要公共建筑及明火、散发火花地点。</w:t>
      </w:r>
    </w:p>
    <w:p w14:paraId="2766214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公司严格按防火规范进行平面布局，各建（构）筑物间距满足安全防火距离，符合《氧气站设计规范》（GB50030-2013）、《建筑设计防火规范》（GB5006-2014）（2018年修订）、《石油化工设备和管道涂料防腐蚀设计规范》（SH/T3022-2019）等的相关规定。</w:t>
      </w:r>
    </w:p>
    <w:p w14:paraId="2A03512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站内路面宽度转弯半径应能满足消防、运输通行的要求，站内利用道路和围墙进行功能分区，将生产区和辅助生产区分开，这样减少了生产区和辅助生产区的相互千扰，又能使危险隐患减少，同时便于生产管理。</w:t>
      </w:r>
    </w:p>
    <w:p w14:paraId="65C36AA7">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4.2</w:t>
      </w:r>
      <w:r>
        <w:rPr>
          <w:rFonts w:hint="default" w:ascii="Times New Roman" w:hAnsi="Times New Roman" w:eastAsia="宋体" w:cs="Times New Roman"/>
          <w:b/>
          <w:bCs/>
          <w:color w:val="auto"/>
          <w:sz w:val="24"/>
          <w:szCs w:val="24"/>
        </w:rPr>
        <w:t>施工期的事故防范措施</w:t>
      </w:r>
    </w:p>
    <w:p w14:paraId="2953D7D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（1）科学施工</w:t>
      </w:r>
    </w:p>
    <w:p w14:paraId="7EB134C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①在施工过程中，加强监理。</w:t>
      </w:r>
    </w:p>
    <w:p w14:paraId="230E567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②建立施工质量保证体系，提高施工检验人员的水平，加强检验手段。</w:t>
      </w:r>
    </w:p>
    <w:p w14:paraId="6CE1D95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③制定严格的规章制度，发现缺陷及时正确修补并做好记录。</w:t>
      </w:r>
    </w:p>
    <w:p w14:paraId="7B98F70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（2）施工单位应持有劳动行政部门颁发的压力管道安装许可证。从事管道焊接以及无损检测的检测人员，必须按有关规定取得劳动行政部门颁发的特种作业人员资格证书，并要求持证上岗。</w:t>
      </w:r>
    </w:p>
    <w:p w14:paraId="54FAE32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（3）变法兰连接和螺纹连接为焊接，减少起漏点和静密封点。主要阀门都采用焊接形式</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确保阀门质量可靠</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，对主干线相连的压力表、变送器以及干线截断阀的根部阀都应采用焊接。</w:t>
      </w:r>
    </w:p>
    <w:p w14:paraId="5078474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（4）冗余设计</w:t>
      </w:r>
    </w:p>
    <w:p w14:paraId="44EEDD3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对放空管线来说，最好采用双阀设计，用一阀保证密封，用另一阀用来截流。同时管线和弯头，尤其是弯头因该采取冗余设计。</w:t>
      </w:r>
    </w:p>
    <w:p w14:paraId="07042C4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（5）应控制关键设备及阀门的质量，以减少漏气的可能。</w:t>
      </w:r>
    </w:p>
    <w:p w14:paraId="210E16D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（6）建立可燃气体报警系统，一旦出现泄漏，可及时进行报警。</w:t>
      </w:r>
    </w:p>
    <w:p w14:paraId="5749F15A">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4.3</w:t>
      </w:r>
      <w:r>
        <w:rPr>
          <w:rFonts w:hint="default" w:ascii="Times New Roman" w:hAnsi="Times New Roman" w:eastAsia="宋体" w:cs="Times New Roman"/>
          <w:b/>
          <w:bCs/>
          <w:color w:val="auto"/>
          <w:sz w:val="24"/>
          <w:szCs w:val="24"/>
        </w:rPr>
        <w:t>运营期泄露风险防范措施</w:t>
      </w:r>
    </w:p>
    <w:p w14:paraId="6D0CC6F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充气站由于泄漏引起的事故时有发生，造成严重的后果；为了减少充气站的</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风险，或者一旦</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后，确保能得到有效的控制，建议从生产安全管理方面采取以下</w:t>
      </w:r>
    </w:p>
    <w:p w14:paraId="409E9CD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防范措施：</w:t>
      </w:r>
    </w:p>
    <w:p w14:paraId="27B656C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（1）建立严格门卫管理制度。</w:t>
      </w:r>
    </w:p>
    <w:p w14:paraId="0303D95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（2）站场要划定禁火区域，禁绝一切火源。从以下方面加强火源控制：</w:t>
      </w:r>
    </w:p>
    <w:p w14:paraId="2B19C81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①严禁拖拉机、电瓶车、摩托车等进入禁火区域，汽车、槽车进入时，必须在排气管上装有防火罩。</w:t>
      </w:r>
    </w:p>
    <w:p w14:paraId="07A6BD9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进入站（库）内工作人员必须穿防静电鞋和防静电服；现场人员穿防静电工作服，且禁止在易燃易爆场所穿脱，禁止在防静电工作服上附加和佩戴任何金属物件，并在现场设置消除静电的触摸装置。严禁携带打火机、火柴，不准使用能产生火花的工具。</w:t>
      </w:r>
    </w:p>
    <w:p w14:paraId="1FB8D4A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③严禁随意在站、库内及周围进行动火焊割作业等。</w:t>
      </w:r>
    </w:p>
    <w:p w14:paraId="2AE3D4A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（3）做好设备维修检验工作，定期进行全面的安全检查，加强工艺管线等设备的日常维护保养：</w:t>
      </w:r>
    </w:p>
    <w:p w14:paraId="3249EF8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①坚持两小时巡检制和点检制。</w:t>
      </w:r>
    </w:p>
    <w:p w14:paraId="2563D31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②巡检时对静密封点重点进行检查。</w:t>
      </w:r>
    </w:p>
    <w:p w14:paraId="2E5E03B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③对站场关键及薄弱的位置比如弯头、调压阀阀体等定期进行厚度测量，并进行跟踪，对减薄厉害处进行全面跟踪。</w:t>
      </w:r>
    </w:p>
    <w:p w14:paraId="72FD826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（4）严格控制</w:t>
      </w:r>
      <w:r>
        <w:rPr>
          <w:rFonts w:hint="default" w:ascii="Times New Roman" w:hAnsi="Times New Roman" w:eastAsia="宋体" w:cs="Times New Roman"/>
          <w:color w:val="auto"/>
          <w:sz w:val="24"/>
          <w:szCs w:val="24"/>
          <w:lang w:eastAsia="zh-CN"/>
        </w:rPr>
        <w:t>甲烷</w:t>
      </w:r>
      <w:r>
        <w:rPr>
          <w:rFonts w:hint="default" w:ascii="Times New Roman" w:hAnsi="Times New Roman" w:eastAsia="宋体" w:cs="Times New Roman"/>
          <w:color w:val="auto"/>
          <w:sz w:val="24"/>
          <w:szCs w:val="24"/>
        </w:rPr>
        <w:t>的气质，以减轻槽罐与管道腐蚀。</w:t>
      </w:r>
    </w:p>
    <w:p w14:paraId="5316948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（5）做好清管工作和分离过滤以及各种气体的净化工作。</w:t>
      </w:r>
    </w:p>
    <w:p w14:paraId="1813842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（6）加强用电安全管理，减少或避免触电事故的发生。</w:t>
      </w:r>
    </w:p>
    <w:p w14:paraId="79B354E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（7）甲类仓库和</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区危险性大，容易发生火灾和爆炸事故，必须按照有关规定，建立防火、防爆制度，经常进行防火巡查，严格进行消防安全管理，确保消防安全。</w:t>
      </w:r>
    </w:p>
    <w:p w14:paraId="63ED0527">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4.4</w:t>
      </w:r>
      <w:r>
        <w:rPr>
          <w:rFonts w:hint="default" w:ascii="Times New Roman" w:hAnsi="Times New Roman" w:eastAsia="宋体" w:cs="Times New Roman"/>
          <w:b/>
          <w:bCs/>
          <w:color w:val="auto"/>
          <w:sz w:val="24"/>
          <w:szCs w:val="24"/>
        </w:rPr>
        <w:t>运营期泄露风险防范措施</w:t>
      </w:r>
    </w:p>
    <w:p w14:paraId="00F87B3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（1）站内布置严格分为生产区和生产辅助区，站内建筑物均按二级耐火等级设计。</w:t>
      </w:r>
    </w:p>
    <w:p w14:paraId="72EAA85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（2）电器设备、设施执行《漏电保护器安装和运行》</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GB13955-92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的规定。为防止爆炸，站内电器设备、设施的选型、设计、安装及维修等均应符合《爆炸和火灾危险环境电力装置设计规范》</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GB50058-92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的规定。</w:t>
      </w:r>
    </w:p>
    <w:p w14:paraId="2B4D021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（3）在</w:t>
      </w:r>
      <w:r>
        <w:rPr>
          <w:rFonts w:hint="default" w:ascii="Times New Roman" w:hAnsi="Times New Roman" w:eastAsia="宋体" w:cs="Times New Roman"/>
          <w:color w:val="auto"/>
          <w:sz w:val="24"/>
          <w:szCs w:val="24"/>
          <w:lang w:eastAsia="zh-CN"/>
        </w:rPr>
        <w:t>厂区</w:t>
      </w:r>
      <w:r>
        <w:rPr>
          <w:rFonts w:hint="default" w:ascii="Times New Roman" w:hAnsi="Times New Roman" w:eastAsia="宋体" w:cs="Times New Roman"/>
          <w:color w:val="auto"/>
          <w:sz w:val="24"/>
          <w:szCs w:val="24"/>
        </w:rPr>
        <w:t>内中除设置消防水池、消防泵房、消防水系统外，另配置消防器材。设置手提式干粉灭火器和推车式干粉灭火器。</w:t>
      </w:r>
    </w:p>
    <w:p w14:paraId="7CF97B5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（4）在</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、调压计量装置等易产生泄漏的区域设可燃气体泄漏报警装置。为埋地</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、低温液体</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配置检漏仪表。</w:t>
      </w:r>
    </w:p>
    <w:p w14:paraId="703659C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（5）生产区的机电设备、电气仪表设备及开关，均按I区防爆选型。</w:t>
      </w:r>
    </w:p>
    <w:p w14:paraId="60B71E8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（6）站内工艺区设置独立避雷针及独立避雷装置，站场内其他非爆炸区域的建筑物按普通建筑三类防雷设计。</w:t>
      </w:r>
    </w:p>
    <w:p w14:paraId="6781BDC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（7）站内工艺管道和设备均有静电接地装置。</w:t>
      </w:r>
    </w:p>
    <w:p w14:paraId="1AB02166">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4.5</w:t>
      </w:r>
      <w:r>
        <w:rPr>
          <w:rFonts w:hint="default" w:ascii="Times New Roman" w:hAnsi="Times New Roman" w:eastAsia="宋体" w:cs="Times New Roman"/>
          <w:b/>
          <w:bCs/>
          <w:color w:val="auto"/>
          <w:sz w:val="24"/>
          <w:szCs w:val="24"/>
        </w:rPr>
        <w:t>运营期泄露风险防范措施</w:t>
      </w:r>
    </w:p>
    <w:p w14:paraId="2FEFC27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（1）槽车运输过程注意事项：</w:t>
      </w:r>
    </w:p>
    <w:p w14:paraId="605EBF1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①运输路线不应经过城区。合理安排运输时间，不能高温运输，尽量避开在夜间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22：00至次日凌晨6：00</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，午休</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12：00至14：30</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进行运输，尽量避开经过居民密集的路段，以防发生噪声扰民现象。</w:t>
      </w:r>
    </w:p>
    <w:p w14:paraId="276A5BD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②槽车上应配备灭火器材和接地链。</w:t>
      </w:r>
    </w:p>
    <w:p w14:paraId="539DEBE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③采用专业的合格车辆进行运输，并配备押运人员，运输人员及押运人员须安全培训持证上岗，车辆不得超装、超载。</w:t>
      </w:r>
    </w:p>
    <w:p w14:paraId="1E54FF1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（2）装卸和运输途中，操作人员必须具备合格的专业技能，装卸作业机械设备的性能必须符合要求，不得野蛮装卸作业。运输与装卸时，严格按照《汽车危险货物运输装卸作业规程》进行。</w:t>
      </w:r>
    </w:p>
    <w:p w14:paraId="2077ED9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（3）必须严格遵守《危险化学品安全管理条例》的有关规定；在运输车辆明显位置贴示“危险”警示标记；严格执行道路《道路危险危险货物运输管理规定》和《汽车危险品运输规则》中有关规定。</w:t>
      </w:r>
    </w:p>
    <w:p w14:paraId="03F9A36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（4）在槽罐车运输过程中，一旦气体发生意外</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，在采取应急处理的同时，运送人员应立即向本单位应急小组取得联系，请求当地公安交警、环境保护或城市应急联动中心的支持。</w:t>
      </w:r>
    </w:p>
    <w:p w14:paraId="12BEA4B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（5）定期对槽罐设备、阀门等部件进行检查、维修、更换，防止因腐蚀、磨损、密封不严导致泄漏。</w:t>
      </w:r>
    </w:p>
    <w:p w14:paraId="6D458B2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（6）不得进入危险化学品运输车辆禁止通行区域，确需进入禁止通行区域的，应当事先向当地公安部门报告，并按公安部门指定的行车时间和路线进行运输，并做到文明行车。</w:t>
      </w:r>
    </w:p>
    <w:p w14:paraId="7B5426A8">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4.6</w:t>
      </w:r>
      <w:r>
        <w:rPr>
          <w:rFonts w:hint="default" w:ascii="Times New Roman" w:hAnsi="Times New Roman" w:eastAsia="宋体" w:cs="Times New Roman"/>
          <w:b/>
          <w:bCs/>
          <w:color w:val="auto"/>
          <w:sz w:val="24"/>
          <w:szCs w:val="24"/>
        </w:rPr>
        <w:t>环境风险管理制度</w:t>
      </w:r>
    </w:p>
    <w:p w14:paraId="1D52030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风险事故的发生主要是由于管理不当、操作失误</w:t>
      </w:r>
      <w:r>
        <w:rPr>
          <w:rFonts w:hint="default" w:ascii="Times New Roman" w:hAnsi="Times New Roman" w:eastAsia="宋体" w:cs="Times New Roman"/>
          <w:color w:val="auto"/>
          <w:sz w:val="24"/>
          <w:szCs w:val="24"/>
          <w:lang w:eastAsia="zh-CN"/>
        </w:rPr>
        <w:t>等</w:t>
      </w:r>
      <w:r>
        <w:rPr>
          <w:rFonts w:hint="default" w:ascii="Times New Roman" w:hAnsi="Times New Roman" w:eastAsia="宋体" w:cs="Times New Roman"/>
          <w:color w:val="auto"/>
          <w:sz w:val="24"/>
          <w:szCs w:val="24"/>
        </w:rPr>
        <w:t>引起的。因此，要从管理、操作方面着手防范事故的发生，建立健全各项制度，杜绝事故的发生。</w:t>
      </w:r>
    </w:p>
    <w:p w14:paraId="2A3A5D2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风险管理制度方面主要需从以下几方面加以落实：</w:t>
      </w:r>
    </w:p>
    <w:p w14:paraId="5D8E981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强化安全、消防和环保管理，监理管理机构，制定各项管理制度，加强日常监督检查。建立岗位安全事故责任制。在管理方面要有一系列详细的安全管理制度及有效的安全管理组织，确保各种有关的安全管理规定能在各个环节上得到充分落实，并能有所改进与提高。</w:t>
      </w:r>
    </w:p>
    <w:p w14:paraId="6074813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（2）在投产运行前，应制定出正常、异常或紧急状态下的操作手册和维修手册，</w:t>
      </w:r>
    </w:p>
    <w:p w14:paraId="56666F8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并对操作、维修人员进行培训，持证上岗，避免因严重操作失误而造成的事故。</w:t>
      </w:r>
    </w:p>
    <w:p w14:paraId="17E66C2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（3）设立厂内急救指挥小组，并和当地事故应急救援部门建立正常联系，一旦出现事故，能立刻实施有效的救援。</w:t>
      </w:r>
    </w:p>
    <w:p w14:paraId="4CD7C01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（4）制定应急操作规程，在规程中应说明发生事故时应采取的操作步骤，规定抢修进度，限制事故的影响。</w:t>
      </w:r>
    </w:p>
    <w:p w14:paraId="1FCFAD8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（5）对</w:t>
      </w:r>
      <w:r>
        <w:rPr>
          <w:rFonts w:hint="default" w:ascii="Times New Roman" w:hAnsi="Times New Roman" w:eastAsia="宋体" w:cs="Times New Roman"/>
          <w:color w:val="auto"/>
          <w:sz w:val="24"/>
          <w:szCs w:val="24"/>
          <w:lang w:eastAsia="zh-CN"/>
        </w:rPr>
        <w:t>厂区</w:t>
      </w:r>
      <w:r>
        <w:rPr>
          <w:rFonts w:hint="default" w:ascii="Times New Roman" w:hAnsi="Times New Roman" w:eastAsia="宋体" w:cs="Times New Roman"/>
          <w:color w:val="auto"/>
          <w:sz w:val="24"/>
          <w:szCs w:val="24"/>
        </w:rPr>
        <w:t>附近的居民加强教育，避免发生第三方破坏的事故。</w:t>
      </w:r>
    </w:p>
    <w:p w14:paraId="73962E4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（6）安全培训教育。包括以下五个方面的内容：</w:t>
      </w:r>
    </w:p>
    <w:p w14:paraId="050EAB1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①生产安全法规教育，包括国家颁布的与本项目有关的法令、法规、国家标准及结合本项目自身特点而制定的安全法规。</w:t>
      </w:r>
    </w:p>
    <w:p w14:paraId="4A13EF4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②生产安全知识教育，让员工了解一般生产技术，一般安全技术和专业安全技术。</w:t>
      </w:r>
    </w:p>
    <w:p w14:paraId="2C7A97B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③生产安全技能教育</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通过对作业人员各种技能的训练，使其安全技能、实际操作能力达到各岗位要求。</w:t>
      </w:r>
    </w:p>
    <w:p w14:paraId="69C86C6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④安全教育制度，以定期培训、讲座的方式加强安全宣传、教育，并形成例会制度，提高生产人员的安全意识与责任意识。</w:t>
      </w:r>
    </w:p>
    <w:p w14:paraId="647A8D1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⑤加强对工作人员安全素质方面的教育及训练，包括安全知识、安全技术、安全心理、职业卫生及排险与消防活动等，而且要时常演练与考核。</w:t>
      </w:r>
    </w:p>
    <w:p w14:paraId="31862EA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（7）建立健全防火安全规章制度并严格执行。防火制度主要包括以下几方面：</w:t>
      </w:r>
    </w:p>
    <w:p w14:paraId="102F4FA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①建立人员安全责任制度，主要把每个工作人员在业务上、工作上与消防安全管理上的职责、责任明确。</w:t>
      </w:r>
    </w:p>
    <w:p w14:paraId="2FADC61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②防火防爆制度，是对各类火种、火源和有散发火花危险的机械设备、作业活动，以及可燃、易燃物品等的控制和管理，规定</w:t>
      </w:r>
      <w:r>
        <w:rPr>
          <w:rFonts w:hint="default" w:ascii="Times New Roman" w:hAnsi="Times New Roman" w:eastAsia="宋体" w:cs="Times New Roman"/>
          <w:color w:val="auto"/>
          <w:sz w:val="24"/>
          <w:szCs w:val="24"/>
          <w:lang w:eastAsia="zh-CN"/>
        </w:rPr>
        <w:t>厂区</w:t>
      </w:r>
      <w:r>
        <w:rPr>
          <w:rFonts w:hint="default" w:ascii="Times New Roman" w:hAnsi="Times New Roman" w:eastAsia="宋体" w:cs="Times New Roman"/>
          <w:color w:val="auto"/>
          <w:sz w:val="24"/>
          <w:szCs w:val="24"/>
        </w:rPr>
        <w:t>内必须禁止使用明火。</w:t>
      </w:r>
    </w:p>
    <w:p w14:paraId="17CF4D6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③安全检查制度，各类</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容器、输送设备、安全设施、消防器材，进行各种日常的、定期的、专业的防火安全检查，并将发现的问题定人、限期落实整改。</w:t>
      </w:r>
    </w:p>
    <w:p w14:paraId="3079922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④其他安全制度，如外来人员和车辆入站制度，夜间值班巡逻制度，火线、火警报告制度，安全奖惩制度等。</w:t>
      </w:r>
    </w:p>
    <w:p w14:paraId="5A58C50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⑤</w:t>
      </w:r>
      <w:r>
        <w:rPr>
          <w:rFonts w:hint="default" w:ascii="Times New Roman" w:hAnsi="Times New Roman" w:eastAsia="宋体" w:cs="Times New Roman"/>
          <w:color w:val="auto"/>
          <w:sz w:val="24"/>
          <w:szCs w:val="24"/>
          <w:lang w:eastAsia="zh-CN"/>
        </w:rPr>
        <w:t>厂区</w:t>
      </w:r>
      <w:r>
        <w:rPr>
          <w:rFonts w:hint="default" w:ascii="Times New Roman" w:hAnsi="Times New Roman" w:eastAsia="宋体" w:cs="Times New Roman"/>
          <w:color w:val="auto"/>
          <w:sz w:val="24"/>
          <w:szCs w:val="24"/>
        </w:rPr>
        <w:t>内设有醒目的“严禁烟火”标志。</w:t>
      </w:r>
    </w:p>
    <w:p w14:paraId="7A89E8A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（8）制定安全检查制度并做好生产安全检查工作。对重要的仪器设备有完善的检查项目、维护方法；按计划进行定期维护；有专门档案（包括维护记录档案），文件齐全。本项目生产安全检查的基本程序如下：</w:t>
      </w:r>
    </w:p>
    <w:p w14:paraId="190C3C1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①检查准备阶段，建立一个适应检查工作需要的组织领导，适当配备检查力量，集中培训安全检查人员，明确检查步骤和路径，分析可能会遇到的疑难问题及其处理方法。</w:t>
      </w:r>
    </w:p>
    <w:p w14:paraId="6E5FC27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②检查实施阶段，深入检查现场，按要求逐项逐条、逐个设备、逐个岗位现场进行检查，并做好检查记录，检查中发现的问题应和被检查人员交换意见，指出隐患和问题所在，并给出改进意见。</w:t>
      </w:r>
    </w:p>
    <w:p w14:paraId="144482B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③检查结束阶段，根据检查的结果，及时编写出检查报告，并检查发现的问题，应尽快限期整改，</w:t>
      </w:r>
      <w:r>
        <w:rPr>
          <w:rFonts w:hint="default" w:ascii="Times New Roman" w:hAnsi="Times New Roman" w:eastAsia="宋体" w:cs="Times New Roman"/>
          <w:color w:val="auto"/>
          <w:sz w:val="24"/>
          <w:szCs w:val="24"/>
          <w:lang w:eastAsia="zh-CN"/>
        </w:rPr>
        <w:t>并</w:t>
      </w:r>
      <w:r>
        <w:rPr>
          <w:rFonts w:hint="default" w:ascii="Times New Roman" w:hAnsi="Times New Roman" w:eastAsia="宋体" w:cs="Times New Roman"/>
          <w:color w:val="auto"/>
          <w:sz w:val="24"/>
          <w:szCs w:val="24"/>
        </w:rPr>
        <w:t>明确整改负责人的责任。</w:t>
      </w:r>
    </w:p>
    <w:p w14:paraId="1AB513BC">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4.7</w:t>
      </w:r>
      <w:r>
        <w:rPr>
          <w:rFonts w:hint="default" w:ascii="Times New Roman" w:hAnsi="Times New Roman" w:eastAsia="宋体" w:cs="Times New Roman"/>
          <w:b/>
          <w:bCs/>
          <w:color w:val="auto"/>
          <w:sz w:val="24"/>
          <w:szCs w:val="24"/>
        </w:rPr>
        <w:t>环境风险管理制度</w:t>
      </w:r>
    </w:p>
    <w:p w14:paraId="15500A1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（1）发生事故后，应采取以下措施：</w:t>
      </w:r>
    </w:p>
    <w:p w14:paraId="6B5D8F0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①正确分析判断突然事故发生的原因，应立即切断气源，用最快的办法切断管段上、下游的截断阀，放空气体，同时组织人力对</w:t>
      </w:r>
      <w:r>
        <w:rPr>
          <w:rFonts w:hint="default" w:ascii="Times New Roman" w:hAnsi="Times New Roman" w:eastAsia="宋体" w:cs="Times New Roman"/>
          <w:color w:val="auto"/>
          <w:sz w:val="24"/>
          <w:szCs w:val="24"/>
          <w:lang w:eastAsia="zh-CN"/>
        </w:rPr>
        <w:t>厂区</w:t>
      </w:r>
      <w:r>
        <w:rPr>
          <w:rFonts w:hint="default" w:ascii="Times New Roman" w:hAnsi="Times New Roman" w:eastAsia="宋体" w:cs="Times New Roman"/>
          <w:color w:val="auto"/>
          <w:sz w:val="24"/>
          <w:szCs w:val="24"/>
        </w:rPr>
        <w:t>进行警戒，建立警戒区、警戒线，撤离无关人员，禁止非应急人员入内，采取措施，切断电源、火种和断绝交通，加强防范控制措施；严格控制一切可燃物可能发生的火源，避免发生着火爆炸和事故的蔓延扩大，防止第二次灾害事故发生。</w:t>
      </w:r>
    </w:p>
    <w:p w14:paraId="2CCB2AC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②立即将事故简要报告上级领导、生产指挥系统，若发生着火爆炸，险情严重时，先抢救伤员，并及时通知当地公安、消防指挥系统，必要组织抢救队和救护队。</w:t>
      </w:r>
    </w:p>
    <w:p w14:paraId="218E57E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③组织抢修队伍迅速奔赴现场。在现场领导小组的统一组织指挥下，按照制定的抢修方案和安全技术措施，周密组织，分工负责，在确保安全的前提下进行抢修。</w:t>
      </w:r>
    </w:p>
    <w:p w14:paraId="0770D86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（2）公司环境风险事故综合应急方案</w:t>
      </w:r>
    </w:p>
    <w:p w14:paraId="7A34F47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①发生事故后，先是抢救伤员，同时采取防止事故蔓延或扩大的措施。险情严重时，必须组织抢险队和救护队。</w:t>
      </w:r>
    </w:p>
    <w:p w14:paraId="7F599C3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②防止第二次灾害事故发生，采取措施防止残留危险物品的燃烧和爆炸；可燃气体、液体的继续泄漏</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悬吊物坠落和垮塌等。</w:t>
      </w:r>
    </w:p>
    <w:p w14:paraId="3DECFBB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③建立警戒区、警戒线，撤离无关人员，禁止非抢救人员入内，对有毒物品和可燃气体、液体泄漏的场所，采取防毒措施，切断电源、火种和断绝交通。</w:t>
      </w:r>
    </w:p>
    <w:p w14:paraId="6F7C348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（3）槽罐爆裂、气体大量泄漏的处理</w:t>
      </w:r>
    </w:p>
    <w:p w14:paraId="16BDF43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当槽罐发生较大泄漏时，应采取以下措施：</w:t>
      </w:r>
    </w:p>
    <w:p w14:paraId="69851E4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①正确分析判断突然事故发生的位置，用最快的办法关闭截断阀，同时组织人力对气体扩散危险区进行警戒，严格控制一切可燃物可能发生的火源，避免发生着火爆炸和蔓延扩大；</w:t>
      </w:r>
    </w:p>
    <w:p w14:paraId="72D623B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②立即将事故简要报告上级主管领导、生产指挥系统，通知当地公安、消防部门进行协助处理；</w:t>
      </w:r>
    </w:p>
    <w:p w14:paraId="111C595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③组织抢修队伍迅速奔赴现场。在现场领导小组的统一组织指挥下，按照制定的抢修方案和安全技术措施，分工负责，在确保安全的前提下进行抢修。</w:t>
      </w:r>
    </w:p>
    <w:p w14:paraId="4EC386D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A罐区泄漏处置：</w:t>
      </w:r>
    </w:p>
    <w:p w14:paraId="22A126B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消除所有点火源（泄漏区附近禁止吸烟、消除所有明火、火花或火焰）。</w:t>
      </w:r>
    </w:p>
    <w:p w14:paraId="0D4321C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作业时所有设备应接地。</w:t>
      </w:r>
    </w:p>
    <w:p w14:paraId="4C4AE9F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在保证安全的情况下堵漏。</w:t>
      </w:r>
    </w:p>
    <w:p w14:paraId="2CB6CD21">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喷雾状水抑制蒸气或改变蒸气云流向。禁止用水直接冲击泄漏物或泄漏源。</w:t>
      </w:r>
    </w:p>
    <w:p w14:paraId="6D26FA8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用工业覆盖层或吸附、吸收剂盖住泄漏点附近的下水道等地方，防止泄漏物蒸气向下水道、通风系统和密闭性空间扩散。</w:t>
      </w:r>
    </w:p>
    <w:p w14:paraId="2B5B602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隔离泄漏区直至气体散尽。合理通风，加速扩散。</w:t>
      </w:r>
    </w:p>
    <w:p w14:paraId="234FCF8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漏气容器要妥善处理，修复、检验后再用。</w:t>
      </w:r>
    </w:p>
    <w:p w14:paraId="339E086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B公共安全：</w:t>
      </w:r>
    </w:p>
    <w:p w14:paraId="16D666E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首先拨打安全技术标签上的应急电话，若没有合适的信息，拨打本手册提供的国家危险化学品登记中心电话。</w:t>
      </w:r>
    </w:p>
    <w:p w14:paraId="632AC81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立即隔离泄漏区至少100米。疏散无关人员并建立警戒区。</w:t>
      </w:r>
    </w:p>
    <w:p w14:paraId="0C3C630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在上风处停留，切勿进入低洼处。密闭空间加强通风。</w:t>
      </w:r>
    </w:p>
    <w:p w14:paraId="52407D6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佩戴正压自给式呼吸器。穿生产商特别推荐的防护服。</w:t>
      </w:r>
    </w:p>
    <w:p w14:paraId="7A5966D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一般消防防护服仅用于灭火时的防护，对泄漏防护则无效。</w:t>
      </w:r>
    </w:p>
    <w:p w14:paraId="456BE14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C防护措施：</w:t>
      </w:r>
    </w:p>
    <w:p w14:paraId="1CD6698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呼吸系统防护</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高浓度环境中，建议佩戴过滤式防毒面具（半面罩）。</w:t>
      </w:r>
    </w:p>
    <w:p w14:paraId="6FEDC89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眼睛防护：一般不需要特殊防护，高浓度接触时可戴化学安全防护眼镜。</w:t>
      </w:r>
    </w:p>
    <w:p w14:paraId="2E9E68A6">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身体防护：穿防静电工作服。</w:t>
      </w:r>
    </w:p>
    <w:p w14:paraId="294A9D8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手防护：戴一般作业防护手套。</w:t>
      </w:r>
    </w:p>
    <w:p w14:paraId="4856818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其他：工作现场严禁吸烟。避免高浓度吸入。进入限制性空间或其他高浓度区作业，须有人监护。</w:t>
      </w:r>
    </w:p>
    <w:p w14:paraId="3201BE6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D燃烧爆炸处置：</w:t>
      </w:r>
    </w:p>
    <w:p w14:paraId="7F1DCC5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火灾：若不能切断泄漏气源，则不得扑灭正在燃烧的气体。</w:t>
      </w:r>
    </w:p>
    <w:p w14:paraId="1CECAE5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小火：干粉、二氧化碳。</w:t>
      </w:r>
    </w:p>
    <w:p w14:paraId="440B5222">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大火：水幕、雾状水。在确保安全的前提下，将容器移离火场。</w:t>
      </w:r>
    </w:p>
    <w:p w14:paraId="786ADB0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E槽罐、公路槽车火灾时：</w:t>
      </w:r>
    </w:p>
    <w:p w14:paraId="64AC145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尽可能远距离灭火或使用遥控水枪或水炮扑救。用大量水冷却容器，直至火灾扑灭。</w:t>
      </w:r>
    </w:p>
    <w:p w14:paraId="29281EE8">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切勿对泄漏口或安全阀直接喷水，防止产生冰冻。</w:t>
      </w:r>
    </w:p>
    <w:p w14:paraId="31C3C53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安全阀发出声响或</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变色，立即撤离。切勿在</w:t>
      </w:r>
      <w:r>
        <w:rPr>
          <w:rFonts w:hint="default" w:ascii="Times New Roman" w:hAnsi="Times New Roman" w:eastAsia="宋体" w:cs="Times New Roman"/>
          <w:color w:val="auto"/>
          <w:sz w:val="24"/>
          <w:szCs w:val="24"/>
          <w:lang w:eastAsia="zh-CN"/>
        </w:rPr>
        <w:t>储槽</w:t>
      </w:r>
      <w:r>
        <w:rPr>
          <w:rFonts w:hint="default" w:ascii="Times New Roman" w:hAnsi="Times New Roman" w:eastAsia="宋体" w:cs="Times New Roman"/>
          <w:color w:val="auto"/>
          <w:sz w:val="24"/>
          <w:szCs w:val="24"/>
        </w:rPr>
        <w:t>附近停留。</w:t>
      </w:r>
    </w:p>
    <w:p w14:paraId="44C0E7C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大火，使用遥控水枪或水炮远距离灭火，否则，立即撤离，让其自行燃烧。</w:t>
      </w:r>
    </w:p>
    <w:p w14:paraId="20D113FF">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F急救措施：</w:t>
      </w:r>
    </w:p>
    <w:p w14:paraId="598DB6BD">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吸入：迅速脱离现场至空气新鲜处。注意保暖，保持呼吸道通畅。必要时进行人工呼吸。就医。</w:t>
      </w:r>
    </w:p>
    <w:p w14:paraId="39AE5FE4">
      <w:pPr>
        <w:keepNext w:val="0"/>
        <w:keepLines w:val="0"/>
        <w:pageBreakBefore w:val="0"/>
        <w:widowControl/>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4.8</w:t>
      </w:r>
      <w:r>
        <w:rPr>
          <w:rFonts w:hint="default" w:ascii="Times New Roman" w:hAnsi="Times New Roman" w:eastAsia="宋体" w:cs="Times New Roman"/>
          <w:b/>
          <w:bCs/>
          <w:color w:val="auto"/>
          <w:sz w:val="24"/>
          <w:szCs w:val="24"/>
        </w:rPr>
        <w:t>突发环境事件应急预案编制要求</w:t>
      </w:r>
    </w:p>
    <w:p w14:paraId="3364F5D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根据国家环保总局环发〔2005〕152号文的要求，通过对污染事故的风险评价，各有关企业应</w:t>
      </w:r>
      <w:r>
        <w:rPr>
          <w:rFonts w:hint="default" w:ascii="Times New Roman" w:hAnsi="Times New Roman" w:eastAsia="宋体" w:cs="Times New Roman"/>
          <w:color w:val="auto"/>
          <w:sz w:val="24"/>
          <w:szCs w:val="24"/>
          <w:lang w:eastAsia="zh-CN"/>
        </w:rPr>
        <w:t>制定</w:t>
      </w:r>
      <w:r>
        <w:rPr>
          <w:rFonts w:hint="default" w:ascii="Times New Roman" w:hAnsi="Times New Roman" w:eastAsia="宋体" w:cs="Times New Roman"/>
          <w:color w:val="auto"/>
          <w:sz w:val="24"/>
          <w:szCs w:val="24"/>
        </w:rPr>
        <w:t>重大环境污染事故发生时的工作计划、消除事故隐患的实施及突发性事故应急办法等。重大事故应急预案是企业为加强对重大事故的处理能力，而预先指定的事故应急对策，目的是将突发事故或紧急事件局部化，如可能并予以消除；尽量降低事故对周围环境、人员和财产的影响。建设单位应按照《企业事业单位突发环境事件应急预案备案管理办法（试行）》的有关规定，制定环境应急预案，并向当地生态环境主管部门备案</w:t>
      </w:r>
      <w:r>
        <w:rPr>
          <w:rFonts w:hint="default" w:ascii="Times New Roman" w:hAnsi="Times New Roman" w:eastAsia="宋体" w:cs="Times New Roman"/>
          <w:color w:val="0000FF"/>
          <w:sz w:val="24"/>
          <w:szCs w:val="24"/>
          <w:lang w:eastAsia="zh-CN"/>
        </w:rPr>
        <w:t>。</w:t>
      </w:r>
      <w:r>
        <w:rPr>
          <w:rFonts w:hint="default" w:ascii="Times New Roman" w:hAnsi="Times New Roman" w:eastAsia="宋体" w:cs="Times New Roman"/>
          <w:color w:val="0000FF"/>
          <w:sz w:val="24"/>
          <w:szCs w:val="24"/>
          <w:lang w:val="en-US" w:eastAsia="zh-CN"/>
        </w:rPr>
        <w:t>同时，还应该加强与园区应急预案的联动响应</w:t>
      </w:r>
      <w:r>
        <w:rPr>
          <w:rFonts w:hint="default" w:ascii="Times New Roman" w:hAnsi="Times New Roman" w:eastAsia="宋体" w:cs="Times New Roman"/>
          <w:color w:val="0000FF"/>
          <w:sz w:val="24"/>
          <w:szCs w:val="24"/>
        </w:rPr>
        <w:t>。</w:t>
      </w:r>
    </w:p>
    <w:p w14:paraId="7514F351">
      <w:pPr>
        <w:keepNext w:val="0"/>
        <w:keepLines w:val="0"/>
        <w:pageBreakBefore w:val="0"/>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2"/>
          <w:sz w:val="24"/>
          <w:szCs w:val="24"/>
          <w:lang w:val="en-US" w:eastAsia="zh-CN" w:bidi="ar-SA"/>
        </w:rPr>
        <w:t>5、</w:t>
      </w:r>
      <w:r>
        <w:rPr>
          <w:rFonts w:hint="default" w:ascii="Times New Roman" w:hAnsi="Times New Roman" w:eastAsia="宋体" w:cs="Times New Roman"/>
          <w:b/>
          <w:bCs/>
          <w:color w:val="auto"/>
          <w:sz w:val="24"/>
          <w:szCs w:val="24"/>
        </w:rPr>
        <w:t>结论</w:t>
      </w:r>
    </w:p>
    <w:p w14:paraId="128E434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环境风险判定结果，本项目环境风险潜势为Ⅲ，评价工作等级为二级。建设单位通过提高施工质量、保证气体质量、提高厂区生产管理水平及员工操作水平、落实相关环境风险防范措施后，本项目发生事故的概率很低，且危害后果不大，相应的环境风险也是较低的，项目的环境风险属于可接受范围。</w:t>
      </w:r>
    </w:p>
    <w:p w14:paraId="1D27EBFF">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1328552D">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2FA5421D">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37C8C435">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sectPr>
          <w:pgSz w:w="11906" w:h="16838"/>
          <w:pgMar w:top="1440" w:right="1800" w:bottom="1440" w:left="1800" w:header="851" w:footer="992" w:gutter="0"/>
          <w:pgNumType w:fmt="decimal"/>
          <w:cols w:space="425" w:num="1"/>
          <w:docGrid w:type="lines" w:linePitch="312" w:charSpace="0"/>
        </w:sectPr>
      </w:pPr>
    </w:p>
    <w:p w14:paraId="133DF858">
      <w:pPr>
        <w:jc w:val="center"/>
        <w:rPr>
          <w:rFonts w:hint="eastAsia" w:eastAsia="宋体"/>
          <w:lang w:eastAsia="zh-CN"/>
        </w:rPr>
      </w:pPr>
      <w:r>
        <w:rPr>
          <w:rFonts w:hint="default" w:ascii="Times New Roman" w:hAnsi="Times New Roman" w:cs="Times New Roman"/>
          <w:sz w:val="21"/>
        </w:rPr>
        <mc:AlternateContent>
          <mc:Choice Requires="wps">
            <w:drawing>
              <wp:anchor distT="0" distB="0" distL="114300" distR="114300" simplePos="0" relativeHeight="251661312" behindDoc="0" locked="0" layoutInCell="1" allowOverlap="1">
                <wp:simplePos x="0" y="0"/>
                <wp:positionH relativeFrom="column">
                  <wp:posOffset>3444240</wp:posOffset>
                </wp:positionH>
                <wp:positionV relativeFrom="paragraph">
                  <wp:posOffset>3705860</wp:posOffset>
                </wp:positionV>
                <wp:extent cx="1057910" cy="276860"/>
                <wp:effectExtent l="12700" t="12700" r="15240" b="224790"/>
                <wp:wrapNone/>
                <wp:docPr id="36" name="矩形标注 36"/>
                <wp:cNvGraphicFramePr/>
                <a:graphic xmlns:a="http://schemas.openxmlformats.org/drawingml/2006/main">
                  <a:graphicData uri="http://schemas.microsoft.com/office/word/2010/wordprocessingShape">
                    <wps:wsp>
                      <wps:cNvSpPr/>
                      <wps:spPr>
                        <a:xfrm>
                          <a:off x="4479290" y="4225290"/>
                          <a:ext cx="965835" cy="276860"/>
                        </a:xfrm>
                        <a:prstGeom prst="wedgeRectCallout">
                          <a:avLst>
                            <a:gd name="adj1" fmla="val -2333"/>
                            <a:gd name="adj2" fmla="val 123853"/>
                          </a:avLst>
                        </a:prstGeom>
                        <a:noFill/>
                        <a:ln w="25400" cap="flat" cmpd="sng" algn="ctr">
                          <a:solidFill>
                            <a:srgbClr val="FF0000"/>
                          </a:solidFill>
                          <a:prstDash val="solid"/>
                        </a:ln>
                        <a:effectLst/>
                      </wps:spPr>
                      <wps:txbx>
                        <w:txbxContent>
                          <w:p w14:paraId="7908FB01">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FF0000"/>
                                <w:sz w:val="24"/>
                                <w:szCs w:val="32"/>
                                <w:lang w:eastAsia="zh-CN"/>
                              </w:rPr>
                            </w:pPr>
                            <w:r>
                              <w:rPr>
                                <w:rFonts w:hint="eastAsia"/>
                                <w:color w:val="FF0000"/>
                                <w:sz w:val="24"/>
                                <w:szCs w:val="32"/>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1.2pt;margin-top:291.8pt;height:21.8pt;width:83.3pt;z-index:251661312;v-text-anchor:middle;mso-width-relative:page;mso-height-relative:page;" filled="f" stroked="t" coordsize="21600,21600" o:gfxdata="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gJyjV2gAAAAsBAAAPAAAAAAAAAAEAIAAAACIAAABk&#10;cnMvZG93bnJldi54bWxQSwECFAAUAAAACACHTuJAqe/RS68CAAA+BQAADgAAAAAAAAABACAAAAAp&#10;AQAAZHJzL2Uyb0RvYy54bWxQSwUGAAAAAAYABgBZAQAASgYAAAAA&#10;" adj="10296,37552">
                <v:fill on="f" focussize="0,0"/>
                <v:stroke weight="2pt" color="#FF0000" joinstyle="round"/>
                <v:imagedata o:title=""/>
                <o:lock v:ext="edit" aspectratio="f"/>
                <v:textbox>
                  <w:txbxContent>
                    <w:p w14:paraId="7908FB01">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FF0000"/>
                          <w:sz w:val="24"/>
                          <w:szCs w:val="32"/>
                          <w:lang w:eastAsia="zh-CN"/>
                        </w:rPr>
                      </w:pPr>
                      <w:r>
                        <w:rPr>
                          <w:rFonts w:hint="eastAsia"/>
                          <w:color w:val="FF0000"/>
                          <w:sz w:val="24"/>
                          <w:szCs w:val="32"/>
                          <w:lang w:eastAsia="zh-CN"/>
                        </w:rPr>
                        <w:t>本项目位置</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62336" behindDoc="0" locked="0" layoutInCell="1" allowOverlap="1">
                <wp:simplePos x="0" y="0"/>
                <wp:positionH relativeFrom="column">
                  <wp:posOffset>3912870</wp:posOffset>
                </wp:positionH>
                <wp:positionV relativeFrom="paragraph">
                  <wp:posOffset>4172585</wp:posOffset>
                </wp:positionV>
                <wp:extent cx="76200" cy="76200"/>
                <wp:effectExtent l="12700" t="12700" r="25400" b="25400"/>
                <wp:wrapNone/>
                <wp:docPr id="35" name="椭圆 35"/>
                <wp:cNvGraphicFramePr/>
                <a:graphic xmlns:a="http://schemas.openxmlformats.org/drawingml/2006/main">
                  <a:graphicData uri="http://schemas.microsoft.com/office/word/2010/wordprocessingShape">
                    <wps:wsp>
                      <wps:cNvSpPr/>
                      <wps:spPr>
                        <a:xfrm>
                          <a:off x="4916805" y="4693920"/>
                          <a:ext cx="75565" cy="75565"/>
                        </a:xfrm>
                        <a:prstGeom prst="ellipse">
                          <a:avLst/>
                        </a:prstGeom>
                        <a:solidFill>
                          <a:srgbClr val="000000"/>
                        </a:solidFill>
                        <a:ln w="25400" cap="flat" cmpd="sng" algn="ctr">
                          <a:solidFill>
                            <a:srgbClr val="FF0000"/>
                          </a:solidFill>
                          <a:prstDash val="solid"/>
                        </a:ln>
                        <a:effectLst/>
                      </wps:spPr>
                      <wps:txbx>
                        <w:txbxContent>
                          <w:p w14:paraId="5D9491E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8.1pt;margin-top:328.55pt;height:6pt;width:6pt;z-index:251662336;v-text-anchor:middle;mso-width-relative:page;mso-height-relative:page;" fillcolor="#000000" filled="t" stroked="t" coordsize="21600,21600" o:gfxdata="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kbM/k2gAAAAsBAAAPAAAAAAAAAAEAIAAA&#10;ACIAAABkcnMvZG93bnJldi54bWxQSwECFAAUAAAACACHTuJARJDEoHwCAAAEBQAADgAAAAAAAAAB&#10;ACAAAAApAQAAZHJzL2Uyb0RvYy54bWxQSwUGAAAAAAYABgBZAQAAFwYAAAAA&#10;">
                <v:fill on="t" focussize="0,0"/>
                <v:stroke weight="2pt" color="#FF0000" joinstyle="round"/>
                <v:imagedata o:title=""/>
                <o:lock v:ext="edit" aspectratio="f"/>
                <v:textbox>
                  <w:txbxContent>
                    <w:p w14:paraId="5D9491E6">
                      <w:pPr>
                        <w:jc w:val="center"/>
                      </w:pPr>
                    </w:p>
                  </w:txbxContent>
                </v:textbox>
              </v:shape>
            </w:pict>
          </mc:Fallback>
        </mc:AlternateContent>
      </w:r>
      <w:r>
        <w:rPr>
          <w:rFonts w:hint="default" w:ascii="Times New Roman" w:hAnsi="Times New Roman" w:eastAsia="宋体" w:cs="Times New Roman"/>
          <w:color w:val="auto"/>
        </w:rPr>
        <w:drawing>
          <wp:anchor distT="0" distB="0" distL="114300" distR="114300" simplePos="0" relativeHeight="251669504" behindDoc="0" locked="0" layoutInCell="1" allowOverlap="1">
            <wp:simplePos x="0" y="0"/>
            <wp:positionH relativeFrom="column">
              <wp:posOffset>7586980</wp:posOffset>
            </wp:positionH>
            <wp:positionV relativeFrom="paragraph">
              <wp:posOffset>52070</wp:posOffset>
            </wp:positionV>
            <wp:extent cx="567055" cy="624840"/>
            <wp:effectExtent l="0" t="0" r="4445" b="3810"/>
            <wp:wrapNone/>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3"/>
                    <a:stretch>
                      <a:fillRect/>
                    </a:stretch>
                  </pic:blipFill>
                  <pic:spPr>
                    <a:xfrm>
                      <a:off x="0" y="0"/>
                      <a:ext cx="567055" cy="62484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251659264" behindDoc="0" locked="0" layoutInCell="1" allowOverlap="1">
                <wp:simplePos x="0" y="0"/>
                <wp:positionH relativeFrom="column">
                  <wp:posOffset>2704465</wp:posOffset>
                </wp:positionH>
                <wp:positionV relativeFrom="paragraph">
                  <wp:posOffset>4994910</wp:posOffset>
                </wp:positionV>
                <wp:extent cx="3543300" cy="39624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3543300" cy="396240"/>
                        </a:xfrm>
                        <a:prstGeom prst="rect">
                          <a:avLst/>
                        </a:prstGeom>
                        <a:noFill/>
                        <a:ln>
                          <a:noFill/>
                        </a:ln>
                      </wps:spPr>
                      <wps:txbx>
                        <w:txbxContent>
                          <w:p w14:paraId="5F7AF687">
                            <w:pPr>
                              <w:jc w:val="center"/>
                              <w:rPr>
                                <w:rFonts w:hint="eastAsia" w:ascii="Arial" w:hAnsi="Arial" w:cs="Arial"/>
                                <w:b/>
                                <w:sz w:val="28"/>
                                <w:szCs w:val="28"/>
                              </w:rPr>
                            </w:pPr>
                            <w:r>
                              <w:rPr>
                                <w:rFonts w:ascii="Arial" w:cs="Arial"/>
                                <w:b/>
                                <w:sz w:val="28"/>
                                <w:szCs w:val="28"/>
                              </w:rPr>
                              <w:t>附图</w:t>
                            </w:r>
                            <w:r>
                              <w:rPr>
                                <w:rFonts w:hint="eastAsia" w:ascii="Arial" w:hAnsi="Arial" w:cs="Arial"/>
                                <w:b/>
                                <w:sz w:val="28"/>
                                <w:szCs w:val="28"/>
                                <w:lang w:val="en-US" w:eastAsia="zh-CN"/>
                              </w:rPr>
                              <w:t>1</w:t>
                            </w:r>
                            <w:r>
                              <w:rPr>
                                <w:rFonts w:ascii="Arial" w:hAnsi="Arial" w:cs="Arial"/>
                                <w:b/>
                                <w:sz w:val="28"/>
                                <w:szCs w:val="28"/>
                              </w:rPr>
                              <w:t xml:space="preserve">  </w:t>
                            </w:r>
                            <w:r>
                              <w:rPr>
                                <w:rFonts w:hint="eastAsia" w:ascii="Arial" w:cs="Arial"/>
                                <w:b/>
                                <w:sz w:val="28"/>
                                <w:szCs w:val="28"/>
                                <w:lang w:eastAsia="zh-CN"/>
                              </w:rPr>
                              <w:t>项目地理位置</w:t>
                            </w:r>
                            <w:r>
                              <w:rPr>
                                <w:rFonts w:hint="eastAsia" w:ascii="Arial" w:cs="Arial"/>
                                <w:b/>
                                <w:sz w:val="28"/>
                                <w:szCs w:val="28"/>
                              </w:rPr>
                              <w:t>图</w:t>
                            </w:r>
                          </w:p>
                        </w:txbxContent>
                      </wps:txbx>
                      <wps:bodyPr upright="1"/>
                    </wps:wsp>
                  </a:graphicData>
                </a:graphic>
              </wp:anchor>
            </w:drawing>
          </mc:Choice>
          <mc:Fallback>
            <w:pict>
              <v:shape id="_x0000_s1026" o:spid="_x0000_s1026" o:spt="202" type="#_x0000_t202" style="position:absolute;left:0pt;margin-left:212.95pt;margin-top:393.3pt;height:31.2pt;width:279pt;z-index:251659264;mso-width-relative:page;mso-height-relative:page;" filled="f" stroked="f" coordsize="21600,21600" o:gfxdata="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kA/JL&#10;2AAAAAsBAAAPAAAAAAAAAAEAIAAAACIAAABkcnMvZG93bnJldi54bWxQSwECFAAUAAAACACHTuJA&#10;wzizY68BAABQAwAADgAAAAAAAAABACAAAAAnAQAAZHJzL2Uyb0RvYy54bWxQSwUGAAAAAAYABgBZ&#10;AQAASAUAAAAA&#10;">
                <v:fill on="f" focussize="0,0"/>
                <v:stroke on="f"/>
                <v:imagedata o:title=""/>
                <o:lock v:ext="edit" aspectratio="f"/>
                <v:textbox>
                  <w:txbxContent>
                    <w:p w14:paraId="5F7AF687">
                      <w:pPr>
                        <w:jc w:val="center"/>
                        <w:rPr>
                          <w:rFonts w:hint="eastAsia" w:ascii="Arial" w:hAnsi="Arial" w:cs="Arial"/>
                          <w:b/>
                          <w:sz w:val="28"/>
                          <w:szCs w:val="28"/>
                        </w:rPr>
                      </w:pPr>
                      <w:r>
                        <w:rPr>
                          <w:rFonts w:ascii="Arial" w:cs="Arial"/>
                          <w:b/>
                          <w:sz w:val="28"/>
                          <w:szCs w:val="28"/>
                        </w:rPr>
                        <w:t>附图</w:t>
                      </w:r>
                      <w:r>
                        <w:rPr>
                          <w:rFonts w:hint="eastAsia" w:ascii="Arial" w:hAnsi="Arial" w:cs="Arial"/>
                          <w:b/>
                          <w:sz w:val="28"/>
                          <w:szCs w:val="28"/>
                          <w:lang w:val="en-US" w:eastAsia="zh-CN"/>
                        </w:rPr>
                        <w:t>1</w:t>
                      </w:r>
                      <w:r>
                        <w:rPr>
                          <w:rFonts w:ascii="Arial" w:hAnsi="Arial" w:cs="Arial"/>
                          <w:b/>
                          <w:sz w:val="28"/>
                          <w:szCs w:val="28"/>
                        </w:rPr>
                        <w:t xml:space="preserve">  </w:t>
                      </w:r>
                      <w:r>
                        <w:rPr>
                          <w:rFonts w:hint="eastAsia" w:ascii="Arial" w:cs="Arial"/>
                          <w:b/>
                          <w:sz w:val="28"/>
                          <w:szCs w:val="28"/>
                          <w:lang w:eastAsia="zh-CN"/>
                        </w:rPr>
                        <w:t>项目地理位置</w:t>
                      </w:r>
                      <w:r>
                        <w:rPr>
                          <w:rFonts w:hint="eastAsia" w:ascii="Arial" w:cs="Arial"/>
                          <w:b/>
                          <w:sz w:val="28"/>
                          <w:szCs w:val="28"/>
                        </w:rPr>
                        <w:t>图</w:t>
                      </w:r>
                    </w:p>
                  </w:txbxContent>
                </v:textbox>
              </v:shape>
            </w:pict>
          </mc:Fallback>
        </mc:AlternateContent>
      </w:r>
      <w:r>
        <w:rPr>
          <w:rFonts w:hint="eastAsia" w:eastAsia="宋体"/>
          <w:lang w:eastAsia="zh-CN"/>
        </w:rPr>
        <w:drawing>
          <wp:inline distT="0" distB="0" distL="114300" distR="114300">
            <wp:extent cx="7432040" cy="5255895"/>
            <wp:effectExtent l="0" t="0" r="16510" b="1905"/>
            <wp:docPr id="31" name="图片 18" descr="302-303乌拉特中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descr="302-303乌拉特中旗"/>
                    <pic:cNvPicPr>
                      <a:picLocks noChangeAspect="1"/>
                    </pic:cNvPicPr>
                  </pic:nvPicPr>
                  <pic:blipFill>
                    <a:blip r:embed="rId34"/>
                    <a:stretch>
                      <a:fillRect/>
                    </a:stretch>
                  </pic:blipFill>
                  <pic:spPr>
                    <a:xfrm>
                      <a:off x="0" y="0"/>
                      <a:ext cx="7432040" cy="5255895"/>
                    </a:xfrm>
                    <a:prstGeom prst="rect">
                      <a:avLst/>
                    </a:prstGeom>
                    <a:noFill/>
                    <a:ln>
                      <a:noFill/>
                    </a:ln>
                  </pic:spPr>
                </pic:pic>
              </a:graphicData>
            </a:graphic>
          </wp:inline>
        </w:drawing>
      </w:r>
    </w:p>
    <w:p w14:paraId="2662273A">
      <w:pPr>
        <w:jc w:val="center"/>
        <w:rPr>
          <w:rFonts w:hint="eastAsia" w:eastAsia="宋体"/>
          <w:lang w:eastAsia="zh-CN"/>
        </w:rPr>
      </w:pPr>
      <w:r>
        <w:rPr>
          <w:sz w:val="21"/>
        </w:rPr>
        <mc:AlternateContent>
          <mc:Choice Requires="wps">
            <w:drawing>
              <wp:anchor distT="0" distB="0" distL="114300" distR="114300" simplePos="0" relativeHeight="251665408" behindDoc="0" locked="0" layoutInCell="1" allowOverlap="1">
                <wp:simplePos x="0" y="0"/>
                <wp:positionH relativeFrom="column">
                  <wp:posOffset>3132455</wp:posOffset>
                </wp:positionH>
                <wp:positionV relativeFrom="paragraph">
                  <wp:posOffset>3366770</wp:posOffset>
                </wp:positionV>
                <wp:extent cx="779780" cy="450215"/>
                <wp:effectExtent l="0" t="0" r="0" b="0"/>
                <wp:wrapNone/>
                <wp:docPr id="30" name="矩形 30"/>
                <wp:cNvGraphicFramePr/>
                <a:graphic xmlns:a="http://schemas.openxmlformats.org/drawingml/2006/main">
                  <a:graphicData uri="http://schemas.microsoft.com/office/word/2010/wordprocessingShape">
                    <wps:wsp>
                      <wps:cNvSpPr/>
                      <wps:spPr>
                        <a:xfrm>
                          <a:off x="0" y="0"/>
                          <a:ext cx="779780" cy="450215"/>
                        </a:xfrm>
                        <a:prstGeom prst="rect">
                          <a:avLst/>
                        </a:prstGeom>
                        <a:noFill/>
                        <a:ln>
                          <a:noFill/>
                        </a:ln>
                      </wps:spPr>
                      <wps:txbx>
                        <w:txbxContent>
                          <w:p w14:paraId="3D798AEF">
                            <w:pPr>
                              <w:rPr>
                                <w:rFonts w:hint="eastAsia"/>
                                <w:b/>
                                <w:bCs/>
                                <w:color w:val="0000FF"/>
                                <w:sz w:val="28"/>
                                <w:szCs w:val="28"/>
                                <w:lang w:val="en-US" w:eastAsia="zh-CN"/>
                              </w:rPr>
                            </w:pPr>
                            <w:r>
                              <w:rPr>
                                <w:rFonts w:hint="eastAsia" w:ascii="Times New Roman" w:hAnsi="Times New Roman" w:cs="Times New Roman"/>
                                <w:b/>
                                <w:bCs/>
                                <w:color w:val="0000FF"/>
                                <w:sz w:val="28"/>
                                <w:szCs w:val="28"/>
                                <w:lang w:val="en-US" w:eastAsia="zh-CN"/>
                              </w:rPr>
                              <w:t>空</w:t>
                            </w:r>
                            <w:r>
                              <w:rPr>
                                <w:rFonts w:hint="eastAsia" w:ascii="Times New Roman" w:hAnsi="Times New Roman" w:eastAsia="宋体" w:cs="Times New Roman"/>
                                <w:b/>
                                <w:bCs/>
                                <w:color w:val="0000FF"/>
                                <w:sz w:val="28"/>
                                <w:szCs w:val="28"/>
                                <w:lang w:eastAsia="zh-CN"/>
                              </w:rPr>
                              <w:t>地</w:t>
                            </w:r>
                          </w:p>
                        </w:txbxContent>
                      </wps:txbx>
                      <wps:bodyPr upright="1"/>
                    </wps:wsp>
                  </a:graphicData>
                </a:graphic>
              </wp:anchor>
            </w:drawing>
          </mc:Choice>
          <mc:Fallback>
            <w:pict>
              <v:rect id="_x0000_s1026" o:spid="_x0000_s1026" o:spt="1" style="position:absolute;left:0pt;margin-left:246.65pt;margin-top:265.1pt;height:35.45pt;width:61.4pt;z-index:251665408;mso-width-relative:page;mso-height-relative:page;" filled="f" stroked="f" coordsize="21600,21600" o:gfxdata="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D9xqoXcAAAACwEAAA8A&#10;AAAAAAAAAQAgAAAAIgAAAGRycy9kb3ducmV2LnhtbFBLAQIUABQAAAAIAIdO4kAha3EqoQEAAEID&#10;AAAOAAAAAAAAAAEAIAAAACsBAABkcnMvZTJvRG9jLnhtbFBLBQYAAAAABgAGAFkBAAA+BQAAAAA=&#10;">
                <v:fill on="f" focussize="0,0"/>
                <v:stroke on="f"/>
                <v:imagedata o:title=""/>
                <o:lock v:ext="edit" aspectratio="f"/>
                <v:textbox>
                  <w:txbxContent>
                    <w:p w14:paraId="3D798AEF">
                      <w:pPr>
                        <w:rPr>
                          <w:rFonts w:hint="eastAsia"/>
                          <w:b/>
                          <w:bCs/>
                          <w:color w:val="0000FF"/>
                          <w:sz w:val="28"/>
                          <w:szCs w:val="28"/>
                          <w:lang w:val="en-US" w:eastAsia="zh-CN"/>
                        </w:rPr>
                      </w:pPr>
                      <w:r>
                        <w:rPr>
                          <w:rFonts w:hint="eastAsia" w:ascii="Times New Roman" w:hAnsi="Times New Roman" w:cs="Times New Roman"/>
                          <w:b/>
                          <w:bCs/>
                          <w:color w:val="0000FF"/>
                          <w:sz w:val="28"/>
                          <w:szCs w:val="28"/>
                          <w:lang w:val="en-US" w:eastAsia="zh-CN"/>
                        </w:rPr>
                        <w:t>空</w:t>
                      </w:r>
                      <w:r>
                        <w:rPr>
                          <w:rFonts w:hint="eastAsia" w:ascii="Times New Roman" w:hAnsi="Times New Roman" w:eastAsia="宋体" w:cs="Times New Roman"/>
                          <w:b/>
                          <w:bCs/>
                          <w:color w:val="0000FF"/>
                          <w:sz w:val="28"/>
                          <w:szCs w:val="28"/>
                          <w:lang w:eastAsia="zh-CN"/>
                        </w:rPr>
                        <w:t>地</w:t>
                      </w:r>
                    </w:p>
                  </w:txbxContent>
                </v:textbox>
              </v:rect>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5116830</wp:posOffset>
                </wp:positionH>
                <wp:positionV relativeFrom="paragraph">
                  <wp:posOffset>3098165</wp:posOffset>
                </wp:positionV>
                <wp:extent cx="1160145" cy="503555"/>
                <wp:effectExtent l="0" t="0" r="0" b="0"/>
                <wp:wrapNone/>
                <wp:docPr id="33" name="矩形 33"/>
                <wp:cNvGraphicFramePr/>
                <a:graphic xmlns:a="http://schemas.openxmlformats.org/drawingml/2006/main">
                  <a:graphicData uri="http://schemas.microsoft.com/office/word/2010/wordprocessingShape">
                    <wps:wsp>
                      <wps:cNvSpPr/>
                      <wps:spPr>
                        <a:xfrm>
                          <a:off x="0" y="0"/>
                          <a:ext cx="1160145" cy="503555"/>
                        </a:xfrm>
                        <a:prstGeom prst="rect">
                          <a:avLst/>
                        </a:prstGeom>
                        <a:noFill/>
                        <a:ln>
                          <a:noFill/>
                        </a:ln>
                      </wps:spPr>
                      <wps:txbx>
                        <w:txbxContent>
                          <w:p w14:paraId="0F850FDB">
                            <w:pPr>
                              <w:rPr>
                                <w:rFonts w:hint="eastAsia"/>
                                <w:b/>
                                <w:bCs/>
                                <w:color w:val="0000FF"/>
                                <w:sz w:val="28"/>
                                <w:szCs w:val="28"/>
                                <w:lang w:val="en-US" w:eastAsia="zh-CN"/>
                              </w:rPr>
                            </w:pPr>
                            <w:r>
                              <w:rPr>
                                <w:rFonts w:hint="default" w:ascii="Times New Roman" w:hAnsi="Times New Roman" w:eastAsia="宋体" w:cs="Times New Roman"/>
                                <w:b/>
                                <w:bCs/>
                                <w:color w:val="0000FF"/>
                                <w:sz w:val="28"/>
                                <w:szCs w:val="28"/>
                              </w:rPr>
                              <w:t>园区煤密沟</w:t>
                            </w:r>
                          </w:p>
                        </w:txbxContent>
                      </wps:txbx>
                      <wps:bodyPr upright="1"/>
                    </wps:wsp>
                  </a:graphicData>
                </a:graphic>
              </wp:anchor>
            </w:drawing>
          </mc:Choice>
          <mc:Fallback>
            <w:pict>
              <v:rect id="_x0000_s1026" o:spid="_x0000_s1026" o:spt="1" style="position:absolute;left:0pt;margin-left:402.9pt;margin-top:243.95pt;height:39.65pt;width:91.35pt;z-index:251664384;mso-width-relative:page;mso-height-relative:page;" filled="f" stroked="f" coordsize="21600,21600" o:gfxdata="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aI9ZN0AAAALAQAA&#10;DwAAAAAAAAABACAAAAAiAAAAZHJzL2Rvd25yZXYueG1sUEsBAhQAFAAAAAgAh07iQFXkZYuiAQAA&#10;QwMAAA4AAAAAAAAAAQAgAAAALAEAAGRycy9lMm9Eb2MueG1sUEsFBgAAAAAGAAYAWQEAAEAFAAAA&#10;AA==&#10;">
                <v:fill on="f" focussize="0,0"/>
                <v:stroke on="f"/>
                <v:imagedata o:title=""/>
                <o:lock v:ext="edit" aspectratio="f"/>
                <v:textbox>
                  <w:txbxContent>
                    <w:p w14:paraId="0F850FDB">
                      <w:pPr>
                        <w:rPr>
                          <w:rFonts w:hint="eastAsia"/>
                          <w:b/>
                          <w:bCs/>
                          <w:color w:val="0000FF"/>
                          <w:sz w:val="28"/>
                          <w:szCs w:val="28"/>
                          <w:lang w:val="en-US" w:eastAsia="zh-CN"/>
                        </w:rPr>
                      </w:pPr>
                      <w:r>
                        <w:rPr>
                          <w:rFonts w:hint="default" w:ascii="Times New Roman" w:hAnsi="Times New Roman" w:eastAsia="宋体" w:cs="Times New Roman"/>
                          <w:b/>
                          <w:bCs/>
                          <w:color w:val="0000FF"/>
                          <w:sz w:val="28"/>
                          <w:szCs w:val="28"/>
                        </w:rPr>
                        <w:t>园区煤密沟</w:t>
                      </w:r>
                    </w:p>
                  </w:txbxContent>
                </v:textbox>
              </v:rect>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5391150</wp:posOffset>
                </wp:positionH>
                <wp:positionV relativeFrom="paragraph">
                  <wp:posOffset>994410</wp:posOffset>
                </wp:positionV>
                <wp:extent cx="833120" cy="461645"/>
                <wp:effectExtent l="337820" t="4445" r="10160" b="276860"/>
                <wp:wrapNone/>
                <wp:docPr id="28" name="矩形标注 28"/>
                <wp:cNvGraphicFramePr/>
                <a:graphic xmlns:a="http://schemas.openxmlformats.org/drawingml/2006/main">
                  <a:graphicData uri="http://schemas.microsoft.com/office/word/2010/wordprocessingShape">
                    <wps:wsp>
                      <wps:cNvSpPr/>
                      <wps:spPr>
                        <a:xfrm>
                          <a:off x="0" y="0"/>
                          <a:ext cx="833120" cy="461645"/>
                        </a:xfrm>
                        <a:prstGeom prst="wedgeRectCallout">
                          <a:avLst>
                            <a:gd name="adj1" fmla="val -86278"/>
                            <a:gd name="adj2" fmla="val 104056"/>
                          </a:avLst>
                        </a:prstGeom>
                        <a:noFill/>
                        <a:ln w="9525" cap="flat" cmpd="sng">
                          <a:solidFill>
                            <a:srgbClr val="FFFF00"/>
                          </a:solidFill>
                          <a:prstDash val="solid"/>
                          <a:miter/>
                          <a:headEnd type="none" w="med" len="med"/>
                          <a:tailEnd type="none" w="med" len="med"/>
                        </a:ln>
                      </wps:spPr>
                      <wps:txbx>
                        <w:txbxContent>
                          <w:p w14:paraId="3EF3D2AF">
                            <w:pPr>
                              <w:rPr>
                                <w:rFonts w:hint="eastAsia" w:eastAsia="宋体"/>
                                <w:b/>
                                <w:bCs/>
                                <w:color w:val="0000FF"/>
                                <w:sz w:val="28"/>
                                <w:szCs w:val="36"/>
                                <w:lang w:eastAsia="zh-CN"/>
                              </w:rPr>
                            </w:pPr>
                            <w:r>
                              <w:rPr>
                                <w:rFonts w:hint="eastAsia"/>
                                <w:b/>
                                <w:bCs/>
                                <w:color w:val="0000FF"/>
                                <w:sz w:val="28"/>
                                <w:szCs w:val="36"/>
                                <w:lang w:eastAsia="zh-CN"/>
                              </w:rPr>
                              <w:t>纬二路</w:t>
                            </w:r>
                          </w:p>
                        </w:txbxContent>
                      </wps:txbx>
                      <wps:bodyPr upright="1"/>
                    </wps:wsp>
                  </a:graphicData>
                </a:graphic>
              </wp:anchor>
            </w:drawing>
          </mc:Choice>
          <mc:Fallback>
            <w:pict>
              <v:shape id="_x0000_s1026" o:spid="_x0000_s1026" o:spt="61" type="#_x0000_t61" style="position:absolute;left:0pt;margin-left:424.5pt;margin-top:78.3pt;height:36.35pt;width:65.6pt;z-index:251670528;mso-width-relative:page;mso-height-relative:page;" filled="f" stroked="t" coordsize="21600,21600" o:gfxdata="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iuIWDZAAAACwEAAA8AAAAAAAAAAQAgAAAAIgAAAGRycy9k&#10;b3ducmV2LnhtbFBLAQIUABQAAAAIAIdO4kA3ixomOgIAAGYEAAAOAAAAAAAAAAEAIAAAACgBAABk&#10;cnMvZTJvRG9jLnhtbFBLBQYAAAAABgAGAFkBAADUBQAAAAA=&#10;" adj="-7836,33276">
                <v:fill on="f" focussize="0,0"/>
                <v:stroke color="#FFFF00" joinstyle="miter"/>
                <v:imagedata o:title=""/>
                <o:lock v:ext="edit" aspectratio="f"/>
                <v:textbox>
                  <w:txbxContent>
                    <w:p w14:paraId="3EF3D2AF">
                      <w:pPr>
                        <w:rPr>
                          <w:rFonts w:hint="eastAsia" w:eastAsia="宋体"/>
                          <w:b/>
                          <w:bCs/>
                          <w:color w:val="0000FF"/>
                          <w:sz w:val="28"/>
                          <w:szCs w:val="36"/>
                          <w:lang w:eastAsia="zh-CN"/>
                        </w:rPr>
                      </w:pPr>
                      <w:r>
                        <w:rPr>
                          <w:rFonts w:hint="eastAsia"/>
                          <w:b/>
                          <w:bCs/>
                          <w:color w:val="0000FF"/>
                          <w:sz w:val="28"/>
                          <w:szCs w:val="36"/>
                          <w:lang w:eastAsia="zh-CN"/>
                        </w:rPr>
                        <w:t>纬二路</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17780</wp:posOffset>
                </wp:positionH>
                <wp:positionV relativeFrom="paragraph">
                  <wp:posOffset>1186815</wp:posOffset>
                </wp:positionV>
                <wp:extent cx="8847455" cy="887095"/>
                <wp:effectExtent l="3810" t="38100" r="6985" b="46355"/>
                <wp:wrapNone/>
                <wp:docPr id="42" name="直接连接符 42"/>
                <wp:cNvGraphicFramePr/>
                <a:graphic xmlns:a="http://schemas.openxmlformats.org/drawingml/2006/main">
                  <a:graphicData uri="http://schemas.microsoft.com/office/word/2010/wordprocessingShape">
                    <wps:wsp>
                      <wps:cNvCnPr/>
                      <wps:spPr>
                        <a:xfrm>
                          <a:off x="0" y="0"/>
                          <a:ext cx="8847455" cy="887095"/>
                        </a:xfrm>
                        <a:prstGeom prst="line">
                          <a:avLst/>
                        </a:prstGeom>
                        <a:ln w="76200" cap="flat" cmpd="sng">
                          <a:solidFill>
                            <a:srgbClr val="00B05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4pt;margin-top:93.45pt;height:69.85pt;width:696.65pt;z-index:251667456;mso-width-relative:page;mso-height-relative:page;" filled="f" stroked="t" coordsize="21600,21600" o:gfxdata="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8GF+3YAAAACgEAAA8AAAAAAAAAAQAgAAAAIgAAAGRycy9kb3du&#10;cmV2LnhtbFBLAQIUABQAAAAIAIdO4kAPvga6/wEAAOwDAAAOAAAAAAAAAAEAIAAAACcBAABkcnMv&#10;ZTJvRG9jLnhtbFBLBQYAAAAABgAGAFkBAACYBQAAAAA=&#10;">
                <v:fill on="f" focussize="0,0"/>
                <v:stroke weight="6pt" color="#00B050" joinstyle="round"/>
                <v:imagedata o:title=""/>
                <o:lock v:ext="edit" aspectratio="f"/>
              </v:lin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1195070</wp:posOffset>
                </wp:positionH>
                <wp:positionV relativeFrom="paragraph">
                  <wp:posOffset>2186305</wp:posOffset>
                </wp:positionV>
                <wp:extent cx="2599690" cy="508635"/>
                <wp:effectExtent l="0" t="0" r="0" b="0"/>
                <wp:wrapNone/>
                <wp:docPr id="38" name="矩形 38"/>
                <wp:cNvGraphicFramePr/>
                <a:graphic xmlns:a="http://schemas.openxmlformats.org/drawingml/2006/main">
                  <a:graphicData uri="http://schemas.microsoft.com/office/word/2010/wordprocessingShape">
                    <wps:wsp>
                      <wps:cNvSpPr/>
                      <wps:spPr>
                        <a:xfrm>
                          <a:off x="0" y="0"/>
                          <a:ext cx="2599690" cy="508635"/>
                        </a:xfrm>
                        <a:prstGeom prst="rect">
                          <a:avLst/>
                        </a:prstGeom>
                        <a:noFill/>
                        <a:ln>
                          <a:noFill/>
                        </a:ln>
                      </wps:spPr>
                      <wps:txbx>
                        <w:txbxContent>
                          <w:p w14:paraId="46081D8A">
                            <w:pPr>
                              <w:rPr>
                                <w:rFonts w:hint="eastAsia" w:ascii="Times New Roman" w:hAnsi="Times New Roman" w:eastAsia="宋体" w:cs="Times New Roman"/>
                                <w:b/>
                                <w:bCs/>
                                <w:color w:val="0000FF"/>
                                <w:sz w:val="28"/>
                                <w:szCs w:val="28"/>
                                <w:lang w:val="en-US" w:eastAsia="zh-CN"/>
                              </w:rPr>
                            </w:pPr>
                            <w:r>
                              <w:rPr>
                                <w:rFonts w:hint="eastAsia" w:ascii="Times New Roman" w:hAnsi="Times New Roman" w:eastAsia="宋体" w:cs="Times New Roman"/>
                                <w:b/>
                                <w:bCs/>
                                <w:color w:val="0000FF"/>
                                <w:sz w:val="28"/>
                                <w:szCs w:val="28"/>
                                <w:lang w:val="en-US" w:eastAsia="zh-CN"/>
                              </w:rPr>
                              <w:t>内蒙古寰创橡胶科技有限公司</w:t>
                            </w:r>
                          </w:p>
                        </w:txbxContent>
                      </wps:txbx>
                      <wps:bodyPr upright="1"/>
                    </wps:wsp>
                  </a:graphicData>
                </a:graphic>
              </wp:anchor>
            </w:drawing>
          </mc:Choice>
          <mc:Fallback>
            <w:pict>
              <v:rect id="_x0000_s1026" o:spid="_x0000_s1026" o:spt="1" style="position:absolute;left:0pt;margin-left:94.1pt;margin-top:172.15pt;height:40.05pt;width:204.7pt;z-index:251666432;mso-width-relative:page;mso-height-relative:page;" filled="f" stroked="f" coordsize="21600,21600" o:gfxdata="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7vLrcdwAAAALAQAA&#10;DwAAAAAAAAABACAAAAAiAAAAZHJzL2Rvd25yZXYueG1sUEsBAhQAFAAAAAgAh07iQEhwPpajAQAA&#10;QwMAAA4AAAAAAAAAAQAgAAAAKwEAAGRycy9lMm9Eb2MueG1sUEsFBgAAAAAGAAYAWQEAAEAFAAAA&#10;AA==&#10;">
                <v:fill on="f" focussize="0,0"/>
                <v:stroke on="f"/>
                <v:imagedata o:title=""/>
                <o:lock v:ext="edit" aspectratio="f"/>
                <v:textbox>
                  <w:txbxContent>
                    <w:p w14:paraId="46081D8A">
                      <w:pPr>
                        <w:rPr>
                          <w:rFonts w:hint="eastAsia" w:ascii="Times New Roman" w:hAnsi="Times New Roman" w:eastAsia="宋体" w:cs="Times New Roman"/>
                          <w:b/>
                          <w:bCs/>
                          <w:color w:val="0000FF"/>
                          <w:sz w:val="28"/>
                          <w:szCs w:val="28"/>
                          <w:lang w:val="en-US" w:eastAsia="zh-CN"/>
                        </w:rPr>
                      </w:pPr>
                      <w:r>
                        <w:rPr>
                          <w:rFonts w:hint="eastAsia" w:ascii="Times New Roman" w:hAnsi="Times New Roman" w:eastAsia="宋体" w:cs="Times New Roman"/>
                          <w:b/>
                          <w:bCs/>
                          <w:color w:val="0000FF"/>
                          <w:sz w:val="28"/>
                          <w:szCs w:val="28"/>
                          <w:lang w:val="en-US" w:eastAsia="zh-CN"/>
                        </w:rPr>
                        <w:t>内蒙古寰创橡胶科技有限公司</w:t>
                      </w:r>
                    </w:p>
                  </w:txbxContent>
                </v:textbox>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3837305</wp:posOffset>
                </wp:positionH>
                <wp:positionV relativeFrom="paragraph">
                  <wp:posOffset>2453005</wp:posOffset>
                </wp:positionV>
                <wp:extent cx="1134110" cy="484505"/>
                <wp:effectExtent l="0" t="0" r="0" b="0"/>
                <wp:wrapNone/>
                <wp:docPr id="40" name="矩形 40"/>
                <wp:cNvGraphicFramePr/>
                <a:graphic xmlns:a="http://schemas.openxmlformats.org/drawingml/2006/main">
                  <a:graphicData uri="http://schemas.microsoft.com/office/word/2010/wordprocessingShape">
                    <wps:wsp>
                      <wps:cNvSpPr/>
                      <wps:spPr>
                        <a:xfrm>
                          <a:off x="0" y="0"/>
                          <a:ext cx="1134110" cy="484505"/>
                        </a:xfrm>
                        <a:prstGeom prst="rect">
                          <a:avLst/>
                        </a:prstGeom>
                        <a:noFill/>
                        <a:ln>
                          <a:noFill/>
                        </a:ln>
                      </wps:spPr>
                      <wps:txbx>
                        <w:txbxContent>
                          <w:p w14:paraId="4AEBDD21">
                            <w:pPr>
                              <w:rPr>
                                <w:rFonts w:hint="eastAsia" w:eastAsia="宋体"/>
                                <w:b/>
                                <w:bCs/>
                                <w:color w:val="FF0000"/>
                                <w:sz w:val="28"/>
                                <w:szCs w:val="28"/>
                                <w:lang w:val="en-US" w:eastAsia="zh-CN"/>
                              </w:rPr>
                            </w:pPr>
                            <w:r>
                              <w:rPr>
                                <w:rFonts w:hint="eastAsia"/>
                                <w:b/>
                                <w:bCs/>
                                <w:color w:val="FF0000"/>
                                <w:sz w:val="28"/>
                                <w:szCs w:val="28"/>
                                <w:lang w:val="en-US" w:eastAsia="zh-CN"/>
                              </w:rPr>
                              <w:t>本项目厂区</w:t>
                            </w:r>
                          </w:p>
                        </w:txbxContent>
                      </wps:txbx>
                      <wps:bodyPr upright="1"/>
                    </wps:wsp>
                  </a:graphicData>
                </a:graphic>
              </wp:anchor>
            </w:drawing>
          </mc:Choice>
          <mc:Fallback>
            <w:pict>
              <v:rect id="_x0000_s1026" o:spid="_x0000_s1026" o:spt="1" style="position:absolute;left:0pt;margin-left:302.15pt;margin-top:193.15pt;height:38.15pt;width:89.3pt;z-index:251663360;mso-width-relative:page;mso-height-relative:page;" filled="f" stroked="f" coordsize="21600,21600" o:gfxdata="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IO+ln3AAAAAsBAAAP&#10;AAAAAAAAAAEAIAAAACIAAABkcnMvZG93bnJldi54bWxQSwECFAAUAAAACACHTuJAfmxcHKIBAABD&#10;AwAADgAAAAAAAAABACAAAAArAQAAZHJzL2Uyb0RvYy54bWxQSwUGAAAAAAYABgBZAQAAPwUAAAAA&#10;">
                <v:fill on="f" focussize="0,0"/>
                <v:stroke on="f"/>
                <v:imagedata o:title=""/>
                <o:lock v:ext="edit" aspectratio="f"/>
                <v:textbox>
                  <w:txbxContent>
                    <w:p w14:paraId="4AEBDD21">
                      <w:pPr>
                        <w:rPr>
                          <w:rFonts w:hint="eastAsia" w:eastAsia="宋体"/>
                          <w:b/>
                          <w:bCs/>
                          <w:color w:val="FF0000"/>
                          <w:sz w:val="28"/>
                          <w:szCs w:val="28"/>
                          <w:lang w:val="en-US" w:eastAsia="zh-CN"/>
                        </w:rPr>
                      </w:pPr>
                      <w:r>
                        <w:rPr>
                          <w:rFonts w:hint="eastAsia"/>
                          <w:b/>
                          <w:bCs/>
                          <w:color w:val="FF0000"/>
                          <w:sz w:val="28"/>
                          <w:szCs w:val="28"/>
                          <w:lang w:val="en-US" w:eastAsia="zh-CN"/>
                        </w:rPr>
                        <w:t>本项目厂区</w:t>
                      </w:r>
                    </w:p>
                  </w:txbxContent>
                </v:textbox>
              </v:rect>
            </w:pict>
          </mc:Fallback>
        </mc:AlternateContent>
      </w:r>
      <w:r>
        <w:rPr>
          <w:rFonts w:hint="default" w:ascii="Times New Roman" w:hAnsi="Times New Roman" w:eastAsia="宋体" w:cs="Times New Roman"/>
          <w:color w:val="auto"/>
        </w:rPr>
        <w:drawing>
          <wp:anchor distT="0" distB="0" distL="114300" distR="114300" simplePos="0" relativeHeight="251668480" behindDoc="0" locked="0" layoutInCell="1" allowOverlap="1">
            <wp:simplePos x="0" y="0"/>
            <wp:positionH relativeFrom="column">
              <wp:posOffset>7922895</wp:posOffset>
            </wp:positionH>
            <wp:positionV relativeFrom="paragraph">
              <wp:posOffset>61595</wp:posOffset>
            </wp:positionV>
            <wp:extent cx="567055" cy="624840"/>
            <wp:effectExtent l="0" t="0" r="4445" b="3810"/>
            <wp:wrapNone/>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33"/>
                    <a:stretch>
                      <a:fillRect/>
                    </a:stretch>
                  </pic:blipFill>
                  <pic:spPr>
                    <a:xfrm>
                      <a:off x="0" y="0"/>
                      <a:ext cx="567055" cy="624840"/>
                    </a:xfrm>
                    <a:prstGeom prst="rect">
                      <a:avLst/>
                    </a:prstGeom>
                    <a:noFill/>
                    <a:ln>
                      <a:noFill/>
                    </a:ln>
                  </pic:spPr>
                </pic:pic>
              </a:graphicData>
            </a:graphic>
          </wp:anchor>
        </w:drawing>
      </w:r>
      <w:r>
        <w:rPr>
          <w:sz w:val="21"/>
        </w:rPr>
        <mc:AlternateContent>
          <mc:Choice Requires="wps">
            <w:drawing>
              <wp:anchor distT="0" distB="0" distL="114300" distR="114300" simplePos="0" relativeHeight="251660288" behindDoc="0" locked="0" layoutInCell="1" allowOverlap="1">
                <wp:simplePos x="0" y="0"/>
                <wp:positionH relativeFrom="column">
                  <wp:posOffset>3387725</wp:posOffset>
                </wp:positionH>
                <wp:positionV relativeFrom="paragraph">
                  <wp:posOffset>5166360</wp:posOffset>
                </wp:positionV>
                <wp:extent cx="2543810" cy="400685"/>
                <wp:effectExtent l="0" t="0" r="0" b="0"/>
                <wp:wrapNone/>
                <wp:docPr id="27" name="矩形 27"/>
                <wp:cNvGraphicFramePr/>
                <a:graphic xmlns:a="http://schemas.openxmlformats.org/drawingml/2006/main">
                  <a:graphicData uri="http://schemas.microsoft.com/office/word/2010/wordprocessingShape">
                    <wps:wsp>
                      <wps:cNvSpPr/>
                      <wps:spPr>
                        <a:xfrm>
                          <a:off x="0" y="0"/>
                          <a:ext cx="2543810" cy="400685"/>
                        </a:xfrm>
                        <a:prstGeom prst="rect">
                          <a:avLst/>
                        </a:prstGeom>
                        <a:noFill/>
                        <a:ln>
                          <a:noFill/>
                        </a:ln>
                      </wps:spPr>
                      <wps:txbx>
                        <w:txbxContent>
                          <w:p w14:paraId="403C1FD1">
                            <w:pPr>
                              <w:rPr>
                                <w:b/>
                                <w:bCs/>
                                <w:sz w:val="28"/>
                                <w:szCs w:val="36"/>
                              </w:rPr>
                            </w:pPr>
                            <w:r>
                              <w:rPr>
                                <w:rFonts w:hint="eastAsia"/>
                                <w:b/>
                                <w:bCs/>
                                <w:sz w:val="28"/>
                                <w:szCs w:val="36"/>
                                <w:lang w:val="en-US" w:eastAsia="zh-CN"/>
                              </w:rPr>
                              <w:t xml:space="preserve">附图2  </w:t>
                            </w:r>
                            <w:r>
                              <w:rPr>
                                <w:rFonts w:hint="eastAsia"/>
                                <w:b/>
                                <w:bCs/>
                                <w:sz w:val="28"/>
                                <w:szCs w:val="36"/>
                              </w:rPr>
                              <w:t>项目厂区四周关系图</w:t>
                            </w:r>
                          </w:p>
                        </w:txbxContent>
                      </wps:txbx>
                      <wps:bodyPr upright="1"/>
                    </wps:wsp>
                  </a:graphicData>
                </a:graphic>
              </wp:anchor>
            </w:drawing>
          </mc:Choice>
          <mc:Fallback>
            <w:pict>
              <v:rect id="_x0000_s1026" o:spid="_x0000_s1026" o:spt="1" style="position:absolute;left:0pt;margin-left:266.75pt;margin-top:406.8pt;height:31.55pt;width:200.3pt;z-index:251660288;mso-width-relative:page;mso-height-relative:page;" filled="f" stroked="f" coordsize="21600,21600" o:gfxdata="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TFY/GNwAAAALAQAA&#10;DwAAAAAAAAABACAAAAAiAAAAZHJzL2Rvd25yZXYueG1sUEsBAhQAFAAAAAgAh07iQNqUwwejAQAA&#10;QwMAAA4AAAAAAAAAAQAgAAAAKwEAAGRycy9lMm9Eb2MueG1sUEsFBgAAAAAGAAYAWQEAAEAFAAAA&#10;AA==&#10;">
                <v:fill on="f" focussize="0,0"/>
                <v:stroke on="f"/>
                <v:imagedata o:title=""/>
                <o:lock v:ext="edit" aspectratio="f"/>
                <v:textbox>
                  <w:txbxContent>
                    <w:p w14:paraId="403C1FD1">
                      <w:pPr>
                        <w:rPr>
                          <w:b/>
                          <w:bCs/>
                          <w:sz w:val="28"/>
                          <w:szCs w:val="36"/>
                        </w:rPr>
                      </w:pPr>
                      <w:r>
                        <w:rPr>
                          <w:rFonts w:hint="eastAsia"/>
                          <w:b/>
                          <w:bCs/>
                          <w:sz w:val="28"/>
                          <w:szCs w:val="36"/>
                          <w:lang w:val="en-US" w:eastAsia="zh-CN"/>
                        </w:rPr>
                        <w:t xml:space="preserve">附图2  </w:t>
                      </w:r>
                      <w:r>
                        <w:rPr>
                          <w:rFonts w:hint="eastAsia"/>
                          <w:b/>
                          <w:bCs/>
                          <w:sz w:val="28"/>
                          <w:szCs w:val="36"/>
                        </w:rPr>
                        <w:t>项目厂区四周关系图</w:t>
                      </w:r>
                    </w:p>
                  </w:txbxContent>
                </v:textbox>
              </v:rect>
            </w:pict>
          </mc:Fallback>
        </mc:AlternateContent>
      </w:r>
      <w:r>
        <w:rPr>
          <w:rFonts w:hint="eastAsia" w:eastAsia="宋体"/>
          <w:lang w:eastAsia="zh-CN"/>
        </w:rPr>
        <w:drawing>
          <wp:inline distT="0" distB="0" distL="114300" distR="114300">
            <wp:extent cx="8857615" cy="5117465"/>
            <wp:effectExtent l="0" t="0" r="635" b="6985"/>
            <wp:docPr id="41" name="图片 19" descr="屏幕截图3123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descr="屏幕截图3123123123"/>
                    <pic:cNvPicPr>
                      <a:picLocks noChangeAspect="1"/>
                    </pic:cNvPicPr>
                  </pic:nvPicPr>
                  <pic:blipFill>
                    <a:blip r:embed="rId35"/>
                    <a:stretch>
                      <a:fillRect/>
                    </a:stretch>
                  </pic:blipFill>
                  <pic:spPr>
                    <a:xfrm>
                      <a:off x="0" y="0"/>
                      <a:ext cx="8857615" cy="5117465"/>
                    </a:xfrm>
                    <a:prstGeom prst="rect">
                      <a:avLst/>
                    </a:prstGeom>
                    <a:noFill/>
                    <a:ln>
                      <a:noFill/>
                    </a:ln>
                  </pic:spPr>
                </pic:pic>
              </a:graphicData>
            </a:graphic>
          </wp:inline>
        </w:drawing>
      </w:r>
    </w:p>
    <w:p w14:paraId="313C4E46">
      <w:pPr>
        <w:tabs>
          <w:tab w:val="left" w:pos="950"/>
        </w:tabs>
        <w:jc w:val="center"/>
        <w:rPr>
          <w:rFonts w:hint="eastAsia"/>
          <w:lang w:eastAsia="zh-CN"/>
        </w:rPr>
        <w:sectPr>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51671552" behindDoc="0" locked="0" layoutInCell="1" allowOverlap="1">
                <wp:simplePos x="0" y="0"/>
                <wp:positionH relativeFrom="column">
                  <wp:posOffset>3236595</wp:posOffset>
                </wp:positionH>
                <wp:positionV relativeFrom="paragraph">
                  <wp:posOffset>4865370</wp:posOffset>
                </wp:positionV>
                <wp:extent cx="2543810" cy="400685"/>
                <wp:effectExtent l="0" t="0" r="0" b="0"/>
                <wp:wrapNone/>
                <wp:docPr id="34" name="矩形 34"/>
                <wp:cNvGraphicFramePr/>
                <a:graphic xmlns:a="http://schemas.openxmlformats.org/drawingml/2006/main">
                  <a:graphicData uri="http://schemas.microsoft.com/office/word/2010/wordprocessingShape">
                    <wps:wsp>
                      <wps:cNvSpPr/>
                      <wps:spPr>
                        <a:xfrm>
                          <a:off x="0" y="0"/>
                          <a:ext cx="2543810" cy="400685"/>
                        </a:xfrm>
                        <a:prstGeom prst="rect">
                          <a:avLst/>
                        </a:prstGeom>
                        <a:noFill/>
                        <a:ln>
                          <a:noFill/>
                        </a:ln>
                      </wps:spPr>
                      <wps:txbx>
                        <w:txbxContent>
                          <w:p w14:paraId="37AF4BBD">
                            <w:pPr>
                              <w:rPr>
                                <w:b/>
                                <w:bCs/>
                                <w:sz w:val="28"/>
                                <w:szCs w:val="36"/>
                              </w:rPr>
                            </w:pPr>
                            <w:r>
                              <w:rPr>
                                <w:rFonts w:hint="eastAsia"/>
                                <w:b/>
                                <w:bCs/>
                                <w:sz w:val="28"/>
                                <w:szCs w:val="36"/>
                                <w:lang w:val="en-US" w:eastAsia="zh-CN"/>
                              </w:rPr>
                              <w:t xml:space="preserve">附图3  </w:t>
                            </w:r>
                            <w:r>
                              <w:rPr>
                                <w:rFonts w:hint="eastAsia"/>
                                <w:b/>
                                <w:bCs/>
                                <w:sz w:val="28"/>
                                <w:szCs w:val="36"/>
                              </w:rPr>
                              <w:t>项目厂区</w:t>
                            </w:r>
                            <w:r>
                              <w:rPr>
                                <w:rFonts w:hint="eastAsia"/>
                                <w:b/>
                                <w:bCs/>
                                <w:sz w:val="28"/>
                                <w:szCs w:val="36"/>
                                <w:lang w:val="en-US" w:eastAsia="zh-CN"/>
                              </w:rPr>
                              <w:t>平面布置</w:t>
                            </w:r>
                            <w:r>
                              <w:rPr>
                                <w:rFonts w:hint="eastAsia"/>
                                <w:b/>
                                <w:bCs/>
                                <w:sz w:val="28"/>
                                <w:szCs w:val="36"/>
                              </w:rPr>
                              <w:t>图</w:t>
                            </w:r>
                          </w:p>
                        </w:txbxContent>
                      </wps:txbx>
                      <wps:bodyPr upright="1"/>
                    </wps:wsp>
                  </a:graphicData>
                </a:graphic>
              </wp:anchor>
            </w:drawing>
          </mc:Choice>
          <mc:Fallback>
            <w:pict>
              <v:rect id="_x0000_s1026" o:spid="_x0000_s1026" o:spt="1" style="position:absolute;left:0pt;margin-left:254.85pt;margin-top:383.1pt;height:31.55pt;width:200.3pt;z-index:251671552;mso-width-relative:page;mso-height-relative:page;" filled="f" stroked="f" coordsize="21600,21600" o:gfxdata="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NOhXbDdAAAACwEA&#10;AA8AAAAAAAAAAQAgAAAAIgAAAGRycy9kb3ducmV2LnhtbFBLAQIUABQAAAAIAIdO4kAEVNlLowEA&#10;AEMDAAAOAAAAAAAAAAEAIAAAACwBAABkcnMvZTJvRG9jLnhtbFBLBQYAAAAABgAGAFkBAABBBQAA&#10;AAA=&#10;">
                <v:fill on="f" focussize="0,0"/>
                <v:stroke on="f"/>
                <v:imagedata o:title=""/>
                <o:lock v:ext="edit" aspectratio="f"/>
                <v:textbox>
                  <w:txbxContent>
                    <w:p w14:paraId="37AF4BBD">
                      <w:pPr>
                        <w:rPr>
                          <w:b/>
                          <w:bCs/>
                          <w:sz w:val="28"/>
                          <w:szCs w:val="36"/>
                        </w:rPr>
                      </w:pPr>
                      <w:r>
                        <w:rPr>
                          <w:rFonts w:hint="eastAsia"/>
                          <w:b/>
                          <w:bCs/>
                          <w:sz w:val="28"/>
                          <w:szCs w:val="36"/>
                          <w:lang w:val="en-US" w:eastAsia="zh-CN"/>
                        </w:rPr>
                        <w:t xml:space="preserve">附图3  </w:t>
                      </w:r>
                      <w:r>
                        <w:rPr>
                          <w:rFonts w:hint="eastAsia"/>
                          <w:b/>
                          <w:bCs/>
                          <w:sz w:val="28"/>
                          <w:szCs w:val="36"/>
                        </w:rPr>
                        <w:t>项目厂区</w:t>
                      </w:r>
                      <w:r>
                        <w:rPr>
                          <w:rFonts w:hint="eastAsia"/>
                          <w:b/>
                          <w:bCs/>
                          <w:sz w:val="28"/>
                          <w:szCs w:val="36"/>
                          <w:lang w:val="en-US" w:eastAsia="zh-CN"/>
                        </w:rPr>
                        <w:t>平面布置</w:t>
                      </w:r>
                      <w:r>
                        <w:rPr>
                          <w:rFonts w:hint="eastAsia"/>
                          <w:b/>
                          <w:bCs/>
                          <w:sz w:val="28"/>
                          <w:szCs w:val="36"/>
                        </w:rPr>
                        <w:t>图</w:t>
                      </w:r>
                    </w:p>
                  </w:txbxContent>
                </v:textbox>
              </v:rect>
            </w:pict>
          </mc:Fallback>
        </mc:AlternateContent>
      </w:r>
      <w:r>
        <w:rPr>
          <w:sz w:val="21"/>
        </w:rPr>
        <w:drawing>
          <wp:inline distT="0" distB="0" distL="114300" distR="114300">
            <wp:extent cx="7430770" cy="5255895"/>
            <wp:effectExtent l="0" t="0" r="17780" b="1905"/>
            <wp:docPr id="37" name="图片 20" descr="中旗方案-模型1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0" descr="中旗方案-模型111_00"/>
                    <pic:cNvPicPr>
                      <a:picLocks noChangeAspect="1"/>
                    </pic:cNvPicPr>
                  </pic:nvPicPr>
                  <pic:blipFill>
                    <a:blip r:embed="rId36"/>
                    <a:stretch>
                      <a:fillRect/>
                    </a:stretch>
                  </pic:blipFill>
                  <pic:spPr>
                    <a:xfrm>
                      <a:off x="0" y="0"/>
                      <a:ext cx="7430770" cy="5255895"/>
                    </a:xfrm>
                    <a:prstGeom prst="rect">
                      <a:avLst/>
                    </a:prstGeom>
                    <a:noFill/>
                    <a:ln>
                      <a:noFill/>
                    </a:ln>
                  </pic:spPr>
                </pic:pic>
              </a:graphicData>
            </a:graphic>
          </wp:inline>
        </w:drawing>
      </w:r>
    </w:p>
    <w:p w14:paraId="7FE393CE">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r>
        <w:drawing>
          <wp:inline distT="0" distB="0" distL="114300" distR="114300">
            <wp:extent cx="5263515" cy="7419340"/>
            <wp:effectExtent l="0" t="0" r="13335" b="10160"/>
            <wp:docPr id="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7"/>
                    <pic:cNvPicPr>
                      <a:picLocks noChangeAspect="1"/>
                    </pic:cNvPicPr>
                  </pic:nvPicPr>
                  <pic:blipFill>
                    <a:blip r:embed="rId37"/>
                    <a:stretch>
                      <a:fillRect/>
                    </a:stretch>
                  </pic:blipFill>
                  <pic:spPr>
                    <a:xfrm>
                      <a:off x="0" y="0"/>
                      <a:ext cx="5263515" cy="7419340"/>
                    </a:xfrm>
                    <a:prstGeom prst="rect">
                      <a:avLst/>
                    </a:prstGeom>
                    <a:noFill/>
                    <a:ln>
                      <a:noFill/>
                    </a:ln>
                  </pic:spPr>
                </pic:pic>
              </a:graphicData>
            </a:graphic>
          </wp:inline>
        </w:drawing>
      </w:r>
    </w:p>
    <w:p w14:paraId="55797756">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0DC5FCC4">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629A2ACC">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68CBFF83">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4B0B2ACE">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4C97D088">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67EB4368">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2</w:t>
      </w:r>
    </w:p>
    <w:p w14:paraId="341E5B73">
      <w:pPr>
        <w:pStyle w:val="12"/>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eastAsia="宋体fal"/>
          <w:color w:val="auto"/>
          <w:lang w:eastAsia="zh-CN"/>
        </w:rPr>
      </w:pPr>
      <w:r>
        <w:rPr>
          <w:rFonts w:hint="eastAsia" w:eastAsia="宋体fal"/>
          <w:color w:val="auto"/>
          <w:lang w:eastAsia="zh-CN"/>
        </w:rPr>
        <w:drawing>
          <wp:inline distT="0" distB="0" distL="114300" distR="114300">
            <wp:extent cx="5272405" cy="7459345"/>
            <wp:effectExtent l="0" t="0" r="4445" b="8255"/>
            <wp:docPr id="13" name="图片 13" descr="20240717082306269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40717082306269N(1)"/>
                    <pic:cNvPicPr>
                      <a:picLocks noChangeAspect="1"/>
                    </pic:cNvPicPr>
                  </pic:nvPicPr>
                  <pic:blipFill>
                    <a:blip r:embed="rId38"/>
                    <a:stretch>
                      <a:fillRect/>
                    </a:stretch>
                  </pic:blipFill>
                  <pic:spPr>
                    <a:xfrm>
                      <a:off x="0" y="0"/>
                      <a:ext cx="5272405" cy="7459345"/>
                    </a:xfrm>
                    <a:prstGeom prst="rect">
                      <a:avLst/>
                    </a:prstGeom>
                  </pic:spPr>
                </pic:pic>
              </a:graphicData>
            </a:graphic>
          </wp:inline>
        </w:drawing>
      </w:r>
    </w:p>
    <w:p w14:paraId="6BD9ECBD">
      <w:pPr>
        <w:spacing w:line="480" w:lineRule="auto"/>
        <w:jc w:val="left"/>
        <w:outlineLvl w:val="0"/>
        <w:rPr>
          <w:rFonts w:hint="eastAsia"/>
          <w:b/>
          <w:color w:val="auto"/>
          <w:sz w:val="32"/>
          <w:szCs w:val="32"/>
          <w:lang w:eastAsia="zh-CN"/>
        </w:rPr>
      </w:pPr>
    </w:p>
    <w:p w14:paraId="1F897358">
      <w:pPr>
        <w:spacing w:line="480" w:lineRule="auto"/>
        <w:jc w:val="left"/>
        <w:outlineLvl w:val="0"/>
        <w:rPr>
          <w:rFonts w:hint="eastAsia"/>
          <w:b/>
          <w:color w:val="auto"/>
          <w:sz w:val="32"/>
          <w:szCs w:val="32"/>
          <w:lang w:eastAsia="zh-CN"/>
        </w:rPr>
      </w:pPr>
    </w:p>
    <w:p w14:paraId="2BE4FFAF">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3</w:t>
      </w:r>
    </w:p>
    <w:p w14:paraId="6FEBA408">
      <w:pPr>
        <w:spacing w:line="480" w:lineRule="auto"/>
        <w:jc w:val="left"/>
        <w:outlineLvl w:val="0"/>
        <w:rPr>
          <w:rFonts w:hint="eastAsia"/>
          <w:b/>
          <w:color w:val="auto"/>
          <w:sz w:val="32"/>
          <w:szCs w:val="32"/>
          <w:lang w:eastAsia="zh-CN"/>
        </w:rPr>
      </w:pPr>
      <w:r>
        <w:drawing>
          <wp:inline distT="0" distB="0" distL="114300" distR="114300">
            <wp:extent cx="5266690" cy="7427595"/>
            <wp:effectExtent l="0" t="0" r="1016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9"/>
                    <a:stretch>
                      <a:fillRect/>
                    </a:stretch>
                  </pic:blipFill>
                  <pic:spPr>
                    <a:xfrm>
                      <a:off x="0" y="0"/>
                      <a:ext cx="5266690" cy="7427595"/>
                    </a:xfrm>
                    <a:prstGeom prst="rect">
                      <a:avLst/>
                    </a:prstGeom>
                    <a:noFill/>
                    <a:ln>
                      <a:noFill/>
                    </a:ln>
                  </pic:spPr>
                </pic:pic>
              </a:graphicData>
            </a:graphic>
          </wp:inline>
        </w:drawing>
      </w:r>
    </w:p>
    <w:p w14:paraId="3323907D">
      <w:pPr>
        <w:spacing w:line="480" w:lineRule="auto"/>
        <w:jc w:val="left"/>
        <w:outlineLvl w:val="0"/>
        <w:rPr>
          <w:rFonts w:hint="eastAsia"/>
          <w:b/>
          <w:color w:val="auto"/>
          <w:sz w:val="32"/>
          <w:szCs w:val="32"/>
          <w:lang w:eastAsia="zh-CN"/>
        </w:rPr>
      </w:pPr>
    </w:p>
    <w:p w14:paraId="2550E6A9">
      <w:pPr>
        <w:spacing w:line="480" w:lineRule="auto"/>
        <w:jc w:val="left"/>
        <w:outlineLvl w:val="0"/>
        <w:rPr>
          <w:rFonts w:hint="eastAsia"/>
          <w:b/>
          <w:color w:val="auto"/>
          <w:sz w:val="32"/>
          <w:szCs w:val="32"/>
          <w:lang w:eastAsia="zh-CN"/>
        </w:rPr>
      </w:pPr>
    </w:p>
    <w:p w14:paraId="00CAD4BE">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4</w:t>
      </w:r>
    </w:p>
    <w:p w14:paraId="6547B3EE">
      <w:pPr>
        <w:spacing w:line="480" w:lineRule="auto"/>
        <w:jc w:val="left"/>
        <w:outlineLvl w:val="0"/>
        <w:rPr>
          <w:rFonts w:hint="eastAsia"/>
          <w:b/>
          <w:color w:val="auto"/>
          <w:sz w:val="32"/>
          <w:szCs w:val="32"/>
          <w:lang w:eastAsia="zh-CN"/>
        </w:rPr>
      </w:pPr>
      <w:r>
        <w:drawing>
          <wp:inline distT="0" distB="0" distL="114300" distR="114300">
            <wp:extent cx="5266690" cy="7147560"/>
            <wp:effectExtent l="0" t="0" r="10160" b="152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0"/>
                    <a:stretch>
                      <a:fillRect/>
                    </a:stretch>
                  </pic:blipFill>
                  <pic:spPr>
                    <a:xfrm>
                      <a:off x="0" y="0"/>
                      <a:ext cx="5266690" cy="7147560"/>
                    </a:xfrm>
                    <a:prstGeom prst="rect">
                      <a:avLst/>
                    </a:prstGeom>
                    <a:noFill/>
                    <a:ln>
                      <a:noFill/>
                    </a:ln>
                  </pic:spPr>
                </pic:pic>
              </a:graphicData>
            </a:graphic>
          </wp:inline>
        </w:drawing>
      </w:r>
    </w:p>
    <w:p w14:paraId="2CE8A610">
      <w:pPr>
        <w:spacing w:line="480" w:lineRule="auto"/>
        <w:jc w:val="left"/>
        <w:outlineLvl w:val="0"/>
        <w:rPr>
          <w:rFonts w:hint="eastAsia"/>
          <w:b/>
          <w:color w:val="auto"/>
          <w:sz w:val="32"/>
          <w:szCs w:val="32"/>
          <w:lang w:eastAsia="zh-CN"/>
        </w:rPr>
      </w:pPr>
    </w:p>
    <w:p w14:paraId="220E5EFA">
      <w:pPr>
        <w:spacing w:line="480" w:lineRule="auto"/>
        <w:jc w:val="left"/>
        <w:outlineLvl w:val="0"/>
        <w:rPr>
          <w:rFonts w:hint="eastAsia"/>
          <w:b/>
          <w:color w:val="auto"/>
          <w:sz w:val="32"/>
          <w:szCs w:val="32"/>
          <w:lang w:eastAsia="zh-CN"/>
        </w:rPr>
      </w:pPr>
    </w:p>
    <w:p w14:paraId="47ADCEFF">
      <w:pPr>
        <w:spacing w:line="480" w:lineRule="auto"/>
        <w:jc w:val="left"/>
        <w:outlineLvl w:val="0"/>
        <w:rPr>
          <w:rFonts w:hint="eastAsia"/>
          <w:b/>
          <w:color w:val="auto"/>
          <w:sz w:val="32"/>
          <w:szCs w:val="32"/>
          <w:lang w:eastAsia="zh-CN"/>
        </w:rPr>
      </w:pPr>
    </w:p>
    <w:p w14:paraId="343C9F9E">
      <w:pPr>
        <w:spacing w:line="480" w:lineRule="auto"/>
        <w:jc w:val="left"/>
        <w:outlineLvl w:val="0"/>
        <w:rPr>
          <w:rFonts w:hint="eastAsia"/>
          <w:b/>
          <w:color w:val="auto"/>
          <w:sz w:val="32"/>
          <w:szCs w:val="32"/>
          <w:lang w:eastAsia="zh-CN"/>
        </w:rPr>
      </w:pPr>
      <w:r>
        <w:drawing>
          <wp:inline distT="0" distB="0" distL="114300" distR="114300">
            <wp:extent cx="5269865" cy="6884670"/>
            <wp:effectExtent l="0" t="0" r="6985" b="114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1"/>
                    <a:stretch>
                      <a:fillRect/>
                    </a:stretch>
                  </pic:blipFill>
                  <pic:spPr>
                    <a:xfrm>
                      <a:off x="0" y="0"/>
                      <a:ext cx="5269865" cy="6884670"/>
                    </a:xfrm>
                    <a:prstGeom prst="rect">
                      <a:avLst/>
                    </a:prstGeom>
                    <a:noFill/>
                    <a:ln>
                      <a:noFill/>
                    </a:ln>
                  </pic:spPr>
                </pic:pic>
              </a:graphicData>
            </a:graphic>
          </wp:inline>
        </w:drawing>
      </w:r>
    </w:p>
    <w:p w14:paraId="2E6E1CB8">
      <w:pPr>
        <w:spacing w:line="480" w:lineRule="auto"/>
        <w:jc w:val="left"/>
        <w:outlineLvl w:val="0"/>
        <w:rPr>
          <w:rFonts w:hint="eastAsia"/>
          <w:b/>
          <w:color w:val="auto"/>
          <w:sz w:val="32"/>
          <w:szCs w:val="32"/>
          <w:lang w:eastAsia="zh-CN"/>
        </w:rPr>
      </w:pPr>
    </w:p>
    <w:p w14:paraId="33400882">
      <w:pPr>
        <w:spacing w:line="480" w:lineRule="auto"/>
        <w:jc w:val="left"/>
        <w:outlineLvl w:val="0"/>
        <w:rPr>
          <w:rFonts w:hint="eastAsia"/>
          <w:b/>
          <w:color w:val="auto"/>
          <w:sz w:val="32"/>
          <w:szCs w:val="32"/>
          <w:lang w:eastAsia="zh-CN"/>
        </w:rPr>
      </w:pPr>
    </w:p>
    <w:p w14:paraId="1C8B51AD">
      <w:pPr>
        <w:spacing w:line="480" w:lineRule="auto"/>
        <w:jc w:val="left"/>
        <w:outlineLvl w:val="0"/>
        <w:rPr>
          <w:rFonts w:hint="eastAsia"/>
          <w:b/>
          <w:color w:val="auto"/>
          <w:sz w:val="32"/>
          <w:szCs w:val="32"/>
          <w:lang w:eastAsia="zh-CN"/>
        </w:rPr>
      </w:pPr>
    </w:p>
    <w:p w14:paraId="20A9A51E">
      <w:pPr>
        <w:spacing w:line="480" w:lineRule="auto"/>
        <w:jc w:val="left"/>
        <w:outlineLvl w:val="0"/>
        <w:rPr>
          <w:rFonts w:hint="eastAsia"/>
          <w:b/>
          <w:color w:val="auto"/>
          <w:sz w:val="32"/>
          <w:szCs w:val="32"/>
          <w:lang w:eastAsia="zh-CN"/>
        </w:rPr>
      </w:pPr>
    </w:p>
    <w:p w14:paraId="49AEE819">
      <w:pPr>
        <w:spacing w:line="480" w:lineRule="auto"/>
        <w:jc w:val="left"/>
        <w:outlineLvl w:val="0"/>
        <w:rPr>
          <w:rFonts w:hint="eastAsia"/>
          <w:b/>
          <w:color w:val="auto"/>
          <w:sz w:val="32"/>
          <w:szCs w:val="32"/>
          <w:lang w:eastAsia="zh-CN"/>
        </w:rPr>
      </w:pPr>
    </w:p>
    <w:p w14:paraId="79C5330B">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5</w:t>
      </w:r>
    </w:p>
    <w:p w14:paraId="5F3704F4">
      <w:pPr>
        <w:spacing w:line="480" w:lineRule="auto"/>
        <w:jc w:val="left"/>
        <w:outlineLvl w:val="0"/>
        <w:rPr>
          <w:rFonts w:hint="eastAsia"/>
          <w:b/>
          <w:color w:val="auto"/>
          <w:sz w:val="32"/>
          <w:szCs w:val="32"/>
          <w:lang w:eastAsia="zh-CN"/>
        </w:rPr>
      </w:pPr>
      <w:r>
        <w:drawing>
          <wp:inline distT="0" distB="0" distL="114300" distR="114300">
            <wp:extent cx="5272405" cy="7501890"/>
            <wp:effectExtent l="0" t="0" r="4445"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2"/>
                    <a:stretch>
                      <a:fillRect/>
                    </a:stretch>
                  </pic:blipFill>
                  <pic:spPr>
                    <a:xfrm>
                      <a:off x="0" y="0"/>
                      <a:ext cx="5272405" cy="7501890"/>
                    </a:xfrm>
                    <a:prstGeom prst="rect">
                      <a:avLst/>
                    </a:prstGeom>
                    <a:noFill/>
                    <a:ln>
                      <a:noFill/>
                    </a:ln>
                  </pic:spPr>
                </pic:pic>
              </a:graphicData>
            </a:graphic>
          </wp:inline>
        </w:drawing>
      </w:r>
    </w:p>
    <w:p w14:paraId="29D02D9E">
      <w:pPr>
        <w:spacing w:line="480" w:lineRule="auto"/>
        <w:jc w:val="left"/>
        <w:outlineLvl w:val="0"/>
        <w:rPr>
          <w:rFonts w:hint="eastAsia"/>
          <w:b/>
          <w:color w:val="auto"/>
          <w:sz w:val="32"/>
          <w:szCs w:val="32"/>
          <w:lang w:eastAsia="zh-CN"/>
        </w:rPr>
      </w:pPr>
    </w:p>
    <w:p w14:paraId="5E532B52">
      <w:pPr>
        <w:spacing w:line="480" w:lineRule="auto"/>
        <w:jc w:val="left"/>
        <w:outlineLvl w:val="0"/>
        <w:rPr>
          <w:rFonts w:hint="eastAsia"/>
          <w:b/>
          <w:color w:val="auto"/>
          <w:sz w:val="32"/>
          <w:szCs w:val="32"/>
          <w:lang w:eastAsia="zh-CN"/>
        </w:rPr>
      </w:pPr>
    </w:p>
    <w:p w14:paraId="645FDB94">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6</w:t>
      </w:r>
    </w:p>
    <w:p w14:paraId="0B1FC4EB">
      <w:pPr>
        <w:spacing w:line="480" w:lineRule="auto"/>
        <w:jc w:val="left"/>
        <w:outlineLvl w:val="0"/>
        <w:rPr>
          <w:rFonts w:hint="eastAsia"/>
          <w:b/>
          <w:color w:val="auto"/>
          <w:sz w:val="32"/>
          <w:szCs w:val="32"/>
          <w:lang w:eastAsia="zh-CN"/>
        </w:rPr>
      </w:pPr>
      <w:r>
        <w:drawing>
          <wp:inline distT="0" distB="0" distL="114300" distR="114300">
            <wp:extent cx="5271135" cy="7562850"/>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3"/>
                    <a:stretch>
                      <a:fillRect/>
                    </a:stretch>
                  </pic:blipFill>
                  <pic:spPr>
                    <a:xfrm>
                      <a:off x="0" y="0"/>
                      <a:ext cx="5271135" cy="7562850"/>
                    </a:xfrm>
                    <a:prstGeom prst="rect">
                      <a:avLst/>
                    </a:prstGeom>
                    <a:noFill/>
                    <a:ln>
                      <a:noFill/>
                    </a:ln>
                  </pic:spPr>
                </pic:pic>
              </a:graphicData>
            </a:graphic>
          </wp:inline>
        </w:drawing>
      </w:r>
    </w:p>
    <w:p w14:paraId="005C2121">
      <w:pPr>
        <w:spacing w:line="480" w:lineRule="auto"/>
        <w:jc w:val="left"/>
        <w:outlineLvl w:val="0"/>
        <w:rPr>
          <w:rFonts w:hint="eastAsia"/>
          <w:b/>
          <w:color w:val="auto"/>
          <w:sz w:val="32"/>
          <w:szCs w:val="32"/>
          <w:lang w:eastAsia="zh-CN"/>
        </w:rPr>
      </w:pPr>
    </w:p>
    <w:p w14:paraId="69231C92">
      <w:pPr>
        <w:spacing w:line="480" w:lineRule="auto"/>
        <w:jc w:val="left"/>
        <w:outlineLvl w:val="0"/>
        <w:rPr>
          <w:rFonts w:hint="eastAsia"/>
          <w:b/>
          <w:color w:val="auto"/>
          <w:sz w:val="32"/>
          <w:szCs w:val="32"/>
          <w:lang w:eastAsia="zh-CN"/>
        </w:rPr>
      </w:pPr>
    </w:p>
    <w:p w14:paraId="7ACE673E">
      <w:pPr>
        <w:spacing w:line="480" w:lineRule="auto"/>
        <w:jc w:val="left"/>
        <w:outlineLvl w:val="0"/>
        <w:rPr>
          <w:rFonts w:hint="eastAsia"/>
          <w:b/>
          <w:color w:val="auto"/>
          <w:sz w:val="32"/>
          <w:szCs w:val="32"/>
          <w:lang w:eastAsia="zh-CN"/>
        </w:rPr>
      </w:pPr>
      <w:r>
        <w:drawing>
          <wp:inline distT="0" distB="0" distL="114300" distR="114300">
            <wp:extent cx="5262880" cy="7350125"/>
            <wp:effectExtent l="0" t="0" r="13970" b="317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4"/>
                    <a:stretch>
                      <a:fillRect/>
                    </a:stretch>
                  </pic:blipFill>
                  <pic:spPr>
                    <a:xfrm>
                      <a:off x="0" y="0"/>
                      <a:ext cx="5262880" cy="7350125"/>
                    </a:xfrm>
                    <a:prstGeom prst="rect">
                      <a:avLst/>
                    </a:prstGeom>
                    <a:noFill/>
                    <a:ln>
                      <a:noFill/>
                    </a:ln>
                  </pic:spPr>
                </pic:pic>
              </a:graphicData>
            </a:graphic>
          </wp:inline>
        </w:drawing>
      </w:r>
    </w:p>
    <w:p w14:paraId="3CA29EDD">
      <w:pPr>
        <w:spacing w:line="480" w:lineRule="auto"/>
        <w:jc w:val="left"/>
        <w:outlineLvl w:val="0"/>
        <w:rPr>
          <w:rFonts w:hint="eastAsia"/>
          <w:b/>
          <w:color w:val="auto"/>
          <w:sz w:val="32"/>
          <w:szCs w:val="32"/>
          <w:lang w:eastAsia="zh-CN"/>
        </w:rPr>
      </w:pPr>
    </w:p>
    <w:p w14:paraId="63324D6C">
      <w:pPr>
        <w:spacing w:line="480" w:lineRule="auto"/>
        <w:jc w:val="left"/>
        <w:outlineLvl w:val="0"/>
        <w:rPr>
          <w:rFonts w:hint="eastAsia"/>
          <w:b/>
          <w:color w:val="auto"/>
          <w:sz w:val="32"/>
          <w:szCs w:val="32"/>
          <w:lang w:eastAsia="zh-CN"/>
        </w:rPr>
      </w:pPr>
    </w:p>
    <w:p w14:paraId="63A2B54F">
      <w:pPr>
        <w:spacing w:line="480" w:lineRule="auto"/>
        <w:jc w:val="left"/>
        <w:outlineLvl w:val="0"/>
        <w:rPr>
          <w:rFonts w:hint="eastAsia"/>
          <w:b/>
          <w:color w:val="auto"/>
          <w:sz w:val="32"/>
          <w:szCs w:val="32"/>
          <w:lang w:eastAsia="zh-CN"/>
        </w:rPr>
      </w:pPr>
    </w:p>
    <w:p w14:paraId="3BF0CF0D">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7</w:t>
      </w:r>
    </w:p>
    <w:p w14:paraId="3177392D">
      <w:pPr>
        <w:spacing w:line="480" w:lineRule="auto"/>
        <w:jc w:val="left"/>
        <w:outlineLvl w:val="0"/>
        <w:rPr>
          <w:rFonts w:hint="eastAsia"/>
          <w:b/>
          <w:color w:val="auto"/>
          <w:sz w:val="32"/>
          <w:szCs w:val="32"/>
          <w:lang w:eastAsia="zh-CN"/>
        </w:rPr>
      </w:pPr>
      <w:r>
        <w:drawing>
          <wp:inline distT="0" distB="0" distL="114300" distR="114300">
            <wp:extent cx="5272405" cy="7637780"/>
            <wp:effectExtent l="0" t="0" r="4445" b="127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45"/>
                    <a:stretch>
                      <a:fillRect/>
                    </a:stretch>
                  </pic:blipFill>
                  <pic:spPr>
                    <a:xfrm>
                      <a:off x="0" y="0"/>
                      <a:ext cx="5272405" cy="7637780"/>
                    </a:xfrm>
                    <a:prstGeom prst="rect">
                      <a:avLst/>
                    </a:prstGeom>
                    <a:noFill/>
                    <a:ln>
                      <a:noFill/>
                    </a:ln>
                  </pic:spPr>
                </pic:pic>
              </a:graphicData>
            </a:graphic>
          </wp:inline>
        </w:drawing>
      </w:r>
    </w:p>
    <w:p w14:paraId="0D0A2544">
      <w:pPr>
        <w:spacing w:line="480" w:lineRule="auto"/>
        <w:jc w:val="left"/>
        <w:outlineLvl w:val="0"/>
        <w:rPr>
          <w:rFonts w:hint="eastAsia"/>
          <w:b/>
          <w:color w:val="auto"/>
          <w:sz w:val="32"/>
          <w:szCs w:val="32"/>
          <w:lang w:eastAsia="zh-CN"/>
        </w:rPr>
      </w:pPr>
    </w:p>
    <w:p w14:paraId="04C2DBCF">
      <w:pPr>
        <w:spacing w:line="480" w:lineRule="auto"/>
        <w:jc w:val="left"/>
        <w:outlineLvl w:val="0"/>
        <w:rPr>
          <w:rFonts w:hint="eastAsia"/>
          <w:b/>
          <w:color w:val="auto"/>
          <w:sz w:val="32"/>
          <w:szCs w:val="32"/>
          <w:lang w:eastAsia="zh-CN"/>
        </w:rPr>
      </w:pPr>
    </w:p>
    <w:p w14:paraId="2363E623">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8</w:t>
      </w:r>
    </w:p>
    <w:p w14:paraId="3B35687F">
      <w:pPr>
        <w:spacing w:line="480" w:lineRule="auto"/>
        <w:jc w:val="left"/>
        <w:outlineLvl w:val="0"/>
        <w:rPr>
          <w:rFonts w:hint="eastAsia"/>
          <w:b/>
          <w:color w:val="auto"/>
          <w:sz w:val="32"/>
          <w:szCs w:val="32"/>
          <w:lang w:eastAsia="zh-CN"/>
        </w:rPr>
      </w:pPr>
      <w:r>
        <w:drawing>
          <wp:inline distT="0" distB="0" distL="114300" distR="114300">
            <wp:extent cx="5268595" cy="7612380"/>
            <wp:effectExtent l="0" t="0" r="8255" b="762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46"/>
                    <a:stretch>
                      <a:fillRect/>
                    </a:stretch>
                  </pic:blipFill>
                  <pic:spPr>
                    <a:xfrm>
                      <a:off x="0" y="0"/>
                      <a:ext cx="5268595" cy="7612380"/>
                    </a:xfrm>
                    <a:prstGeom prst="rect">
                      <a:avLst/>
                    </a:prstGeom>
                    <a:noFill/>
                    <a:ln>
                      <a:noFill/>
                    </a:ln>
                  </pic:spPr>
                </pic:pic>
              </a:graphicData>
            </a:graphic>
          </wp:inline>
        </w:drawing>
      </w:r>
    </w:p>
    <w:p w14:paraId="5205A146">
      <w:pPr>
        <w:spacing w:line="480" w:lineRule="auto"/>
        <w:jc w:val="left"/>
        <w:outlineLvl w:val="0"/>
        <w:rPr>
          <w:rFonts w:hint="eastAsia"/>
          <w:b/>
          <w:color w:val="auto"/>
          <w:sz w:val="32"/>
          <w:szCs w:val="32"/>
          <w:lang w:eastAsia="zh-CN"/>
        </w:rPr>
      </w:pPr>
    </w:p>
    <w:p w14:paraId="432FFB20">
      <w:pPr>
        <w:spacing w:line="480" w:lineRule="auto"/>
        <w:jc w:val="left"/>
        <w:outlineLvl w:val="0"/>
        <w:rPr>
          <w:rFonts w:hint="eastAsia"/>
          <w:b/>
          <w:color w:val="auto"/>
          <w:sz w:val="32"/>
          <w:szCs w:val="32"/>
          <w:lang w:eastAsia="zh-CN"/>
        </w:rPr>
      </w:pPr>
    </w:p>
    <w:p w14:paraId="63010325">
      <w:pPr>
        <w:spacing w:line="480" w:lineRule="auto"/>
        <w:jc w:val="left"/>
        <w:outlineLvl w:val="0"/>
        <w:rPr>
          <w:color w:val="auto"/>
          <w:sz w:val="32"/>
          <w:szCs w:val="32"/>
        </w:rPr>
      </w:pPr>
      <w:r>
        <w:rPr>
          <w:rFonts w:hint="eastAsia"/>
          <w:b/>
          <w:color w:val="auto"/>
          <w:sz w:val="32"/>
          <w:szCs w:val="32"/>
          <w:lang w:eastAsia="zh-CN"/>
        </w:rPr>
        <w:t>附件</w:t>
      </w:r>
      <w:r>
        <w:rPr>
          <w:rFonts w:hint="eastAsia"/>
          <w:b/>
          <w:color w:val="auto"/>
          <w:sz w:val="32"/>
          <w:szCs w:val="32"/>
          <w:lang w:val="en-US" w:eastAsia="zh-CN"/>
        </w:rPr>
        <w:t>9</w:t>
      </w:r>
    </w:p>
    <w:p w14:paraId="726D1AAE">
      <w:pPr>
        <w:spacing w:line="480" w:lineRule="auto"/>
        <w:jc w:val="left"/>
        <w:outlineLvl w:val="0"/>
        <w:rPr>
          <w:rFonts w:hint="eastAsia"/>
          <w:b/>
          <w:color w:val="auto"/>
          <w:sz w:val="32"/>
          <w:szCs w:val="32"/>
          <w:lang w:eastAsia="zh-CN"/>
        </w:rPr>
      </w:pPr>
      <w:r>
        <w:drawing>
          <wp:inline distT="0" distB="0" distL="114300" distR="114300">
            <wp:extent cx="5269230" cy="7328535"/>
            <wp:effectExtent l="0" t="0" r="7620" b="571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47"/>
                    <a:stretch>
                      <a:fillRect/>
                    </a:stretch>
                  </pic:blipFill>
                  <pic:spPr>
                    <a:xfrm>
                      <a:off x="0" y="0"/>
                      <a:ext cx="5269230" cy="7328535"/>
                    </a:xfrm>
                    <a:prstGeom prst="rect">
                      <a:avLst/>
                    </a:prstGeom>
                    <a:noFill/>
                    <a:ln>
                      <a:noFill/>
                    </a:ln>
                  </pic:spPr>
                </pic:pic>
              </a:graphicData>
            </a:graphic>
          </wp:inline>
        </w:drawing>
      </w:r>
    </w:p>
    <w:p w14:paraId="0B87EB02">
      <w:pPr>
        <w:spacing w:line="480" w:lineRule="auto"/>
        <w:jc w:val="left"/>
        <w:outlineLvl w:val="0"/>
        <w:rPr>
          <w:rFonts w:hint="eastAsia"/>
          <w:b/>
          <w:color w:val="auto"/>
          <w:sz w:val="32"/>
          <w:szCs w:val="32"/>
          <w:lang w:eastAsia="zh-CN"/>
        </w:rPr>
      </w:pPr>
    </w:p>
    <w:p w14:paraId="3EC3ED84">
      <w:pPr>
        <w:spacing w:line="480" w:lineRule="auto"/>
        <w:jc w:val="left"/>
        <w:outlineLvl w:val="0"/>
        <w:rPr>
          <w:rFonts w:hint="eastAsia"/>
          <w:b/>
          <w:color w:val="auto"/>
          <w:sz w:val="32"/>
          <w:szCs w:val="32"/>
          <w:lang w:eastAsia="zh-CN"/>
        </w:rPr>
      </w:pPr>
    </w:p>
    <w:p w14:paraId="739FEC9B">
      <w:pPr>
        <w:spacing w:line="480" w:lineRule="auto"/>
        <w:jc w:val="left"/>
        <w:outlineLvl w:val="0"/>
        <w:rPr>
          <w:rFonts w:hint="eastAsia"/>
          <w:b/>
          <w:color w:val="auto"/>
          <w:sz w:val="32"/>
          <w:szCs w:val="32"/>
          <w:lang w:eastAsia="zh-CN"/>
        </w:rPr>
      </w:pPr>
      <w:r>
        <w:drawing>
          <wp:inline distT="0" distB="0" distL="114300" distR="114300">
            <wp:extent cx="5266690" cy="7546340"/>
            <wp:effectExtent l="0" t="0" r="10160" b="1651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48"/>
                    <a:stretch>
                      <a:fillRect/>
                    </a:stretch>
                  </pic:blipFill>
                  <pic:spPr>
                    <a:xfrm>
                      <a:off x="0" y="0"/>
                      <a:ext cx="5266690" cy="7546340"/>
                    </a:xfrm>
                    <a:prstGeom prst="rect">
                      <a:avLst/>
                    </a:prstGeom>
                    <a:noFill/>
                    <a:ln>
                      <a:noFill/>
                    </a:ln>
                  </pic:spPr>
                </pic:pic>
              </a:graphicData>
            </a:graphic>
          </wp:inline>
        </w:drawing>
      </w:r>
    </w:p>
    <w:p w14:paraId="78BE6006">
      <w:pPr>
        <w:spacing w:line="480" w:lineRule="auto"/>
        <w:jc w:val="left"/>
        <w:outlineLvl w:val="0"/>
        <w:rPr>
          <w:rFonts w:hint="eastAsia"/>
          <w:b/>
          <w:color w:val="auto"/>
          <w:sz w:val="32"/>
          <w:szCs w:val="32"/>
          <w:lang w:eastAsia="zh-CN"/>
        </w:rPr>
      </w:pPr>
    </w:p>
    <w:p w14:paraId="54AB5595">
      <w:pPr>
        <w:spacing w:line="480" w:lineRule="auto"/>
        <w:jc w:val="left"/>
        <w:outlineLvl w:val="0"/>
        <w:rPr>
          <w:rFonts w:hint="eastAsia"/>
          <w:b/>
          <w:color w:val="auto"/>
          <w:sz w:val="32"/>
          <w:szCs w:val="32"/>
          <w:lang w:eastAsia="zh-CN"/>
        </w:rPr>
      </w:pPr>
    </w:p>
    <w:p w14:paraId="7730BEA5">
      <w:pPr>
        <w:spacing w:line="480" w:lineRule="auto"/>
        <w:jc w:val="left"/>
        <w:outlineLvl w:val="0"/>
        <w:rPr>
          <w:rFonts w:hint="eastAsia"/>
          <w:b/>
          <w:color w:val="auto"/>
          <w:sz w:val="32"/>
          <w:szCs w:val="32"/>
          <w:lang w:eastAsia="zh-CN"/>
        </w:rPr>
      </w:pPr>
    </w:p>
    <w:p w14:paraId="232A818E">
      <w:pPr>
        <w:spacing w:line="480" w:lineRule="auto"/>
        <w:jc w:val="left"/>
        <w:outlineLvl w:val="0"/>
        <w:rPr>
          <w:rFonts w:hint="default"/>
          <w:color w:val="auto"/>
          <w:sz w:val="32"/>
          <w:szCs w:val="32"/>
          <w:lang w:val="en-US"/>
        </w:rPr>
      </w:pPr>
      <w:r>
        <w:rPr>
          <w:rFonts w:hint="eastAsia"/>
          <w:b/>
          <w:color w:val="auto"/>
          <w:sz w:val="32"/>
          <w:szCs w:val="32"/>
          <w:lang w:eastAsia="zh-CN"/>
        </w:rPr>
        <w:t>附件</w:t>
      </w:r>
      <w:r>
        <w:rPr>
          <w:rFonts w:hint="eastAsia"/>
          <w:b/>
          <w:color w:val="auto"/>
          <w:sz w:val="32"/>
          <w:szCs w:val="32"/>
          <w:lang w:val="en-US" w:eastAsia="zh-CN"/>
        </w:rPr>
        <w:t>10</w:t>
      </w:r>
    </w:p>
    <w:p w14:paraId="51C53EDA">
      <w:pPr>
        <w:spacing w:line="480" w:lineRule="auto"/>
        <w:jc w:val="left"/>
        <w:outlineLvl w:val="0"/>
        <w:rPr>
          <w:rFonts w:hint="eastAsia"/>
          <w:b/>
          <w:color w:val="auto"/>
          <w:sz w:val="32"/>
          <w:szCs w:val="32"/>
          <w:lang w:eastAsia="zh-CN"/>
        </w:rPr>
      </w:pPr>
      <w:r>
        <w:drawing>
          <wp:inline distT="0" distB="0" distL="114300" distR="114300">
            <wp:extent cx="5268595" cy="7470775"/>
            <wp:effectExtent l="0" t="0" r="8255" b="15875"/>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49"/>
                    <a:stretch>
                      <a:fillRect/>
                    </a:stretch>
                  </pic:blipFill>
                  <pic:spPr>
                    <a:xfrm>
                      <a:off x="0" y="0"/>
                      <a:ext cx="5268595" cy="7470775"/>
                    </a:xfrm>
                    <a:prstGeom prst="rect">
                      <a:avLst/>
                    </a:prstGeom>
                    <a:noFill/>
                    <a:ln>
                      <a:noFill/>
                    </a:ln>
                  </pic:spPr>
                </pic:pic>
              </a:graphicData>
            </a:graphic>
          </wp:inline>
        </w:drawing>
      </w:r>
    </w:p>
    <w:p w14:paraId="536FB4E4">
      <w:pPr>
        <w:spacing w:line="480" w:lineRule="auto"/>
        <w:jc w:val="left"/>
        <w:outlineLvl w:val="0"/>
        <w:rPr>
          <w:rFonts w:hint="eastAsia"/>
          <w:b/>
          <w:color w:val="auto"/>
          <w:sz w:val="32"/>
          <w:szCs w:val="32"/>
          <w:lang w:eastAsia="zh-CN"/>
        </w:rPr>
      </w:pPr>
    </w:p>
    <w:p w14:paraId="37EE1A87">
      <w:pPr>
        <w:spacing w:line="480" w:lineRule="auto"/>
        <w:jc w:val="left"/>
        <w:outlineLvl w:val="0"/>
        <w:rPr>
          <w:rFonts w:hint="eastAsia"/>
          <w:b/>
          <w:color w:val="auto"/>
          <w:sz w:val="32"/>
          <w:szCs w:val="32"/>
          <w:lang w:eastAsia="zh-CN"/>
        </w:rPr>
      </w:pPr>
    </w:p>
    <w:p w14:paraId="38057B6D">
      <w:pPr>
        <w:spacing w:line="480" w:lineRule="auto"/>
        <w:jc w:val="left"/>
        <w:outlineLvl w:val="0"/>
        <w:rPr>
          <w:rFonts w:hint="default"/>
          <w:color w:val="auto"/>
          <w:sz w:val="32"/>
          <w:szCs w:val="32"/>
          <w:lang w:val="en-US"/>
        </w:rPr>
      </w:pPr>
      <w:r>
        <w:rPr>
          <w:rFonts w:hint="eastAsia"/>
          <w:b/>
          <w:color w:val="auto"/>
          <w:sz w:val="32"/>
          <w:szCs w:val="32"/>
          <w:lang w:eastAsia="zh-CN"/>
        </w:rPr>
        <w:t>附件</w:t>
      </w:r>
      <w:r>
        <w:rPr>
          <w:rFonts w:hint="eastAsia"/>
          <w:b/>
          <w:color w:val="auto"/>
          <w:sz w:val="32"/>
          <w:szCs w:val="32"/>
          <w:lang w:val="en-US" w:eastAsia="zh-CN"/>
        </w:rPr>
        <w:t>11</w:t>
      </w:r>
    </w:p>
    <w:p w14:paraId="3005D86D">
      <w:pPr>
        <w:spacing w:line="480" w:lineRule="auto"/>
        <w:jc w:val="left"/>
        <w:outlineLvl w:val="0"/>
        <w:rPr>
          <w:rFonts w:hint="eastAsia"/>
          <w:b/>
          <w:color w:val="auto"/>
          <w:sz w:val="32"/>
          <w:szCs w:val="32"/>
          <w:lang w:eastAsia="zh-CN"/>
        </w:rPr>
      </w:pPr>
      <w:r>
        <w:rPr>
          <w:rFonts w:hint="eastAsia"/>
          <w:b/>
          <w:color w:val="auto"/>
          <w:sz w:val="32"/>
          <w:szCs w:val="32"/>
          <w:lang w:eastAsia="zh-CN"/>
        </w:rPr>
        <w:drawing>
          <wp:inline distT="0" distB="0" distL="114300" distR="114300">
            <wp:extent cx="5267960" cy="7453630"/>
            <wp:effectExtent l="0" t="0" r="8890" b="13970"/>
            <wp:docPr id="25" name="图片 25" descr="内蒙古自治区生态环境厅“三线一单”数据应用平台  福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内蒙古自治区生态环境厅“三线一单”数据应用平台  福顺_00"/>
                    <pic:cNvPicPr>
                      <a:picLocks noChangeAspect="1"/>
                    </pic:cNvPicPr>
                  </pic:nvPicPr>
                  <pic:blipFill>
                    <a:blip r:embed="rId50"/>
                    <a:stretch>
                      <a:fillRect/>
                    </a:stretch>
                  </pic:blipFill>
                  <pic:spPr>
                    <a:xfrm>
                      <a:off x="0" y="0"/>
                      <a:ext cx="5267960" cy="7453630"/>
                    </a:xfrm>
                    <a:prstGeom prst="rect">
                      <a:avLst/>
                    </a:prstGeom>
                  </pic:spPr>
                </pic:pic>
              </a:graphicData>
            </a:graphic>
          </wp:inline>
        </w:drawing>
      </w:r>
    </w:p>
    <w:p w14:paraId="52E53A90">
      <w:pPr>
        <w:spacing w:line="480" w:lineRule="auto"/>
        <w:jc w:val="left"/>
        <w:outlineLvl w:val="0"/>
        <w:rPr>
          <w:rFonts w:hint="eastAsia"/>
          <w:b/>
          <w:color w:val="auto"/>
          <w:sz w:val="32"/>
          <w:szCs w:val="32"/>
          <w:lang w:eastAsia="zh-CN"/>
        </w:rPr>
      </w:pPr>
    </w:p>
    <w:p w14:paraId="28032455">
      <w:pPr>
        <w:spacing w:line="480" w:lineRule="auto"/>
        <w:jc w:val="left"/>
        <w:outlineLvl w:val="0"/>
        <w:rPr>
          <w:rFonts w:hint="eastAsia"/>
          <w:b/>
          <w:color w:val="auto"/>
          <w:sz w:val="32"/>
          <w:szCs w:val="32"/>
          <w:lang w:eastAsia="zh-CN"/>
        </w:rPr>
      </w:pPr>
    </w:p>
    <w:p w14:paraId="19827283">
      <w:pPr>
        <w:pStyle w:val="1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val="en-US" w:eastAsia="zh-CN"/>
        </w:rPr>
      </w:pPr>
      <w:r>
        <w:rPr>
          <w:rFonts w:hint="eastAsia"/>
          <w:color w:val="auto"/>
          <w:lang w:val="en-US" w:eastAsia="zh-CN"/>
        </w:rPr>
        <w:drawing>
          <wp:inline distT="0" distB="0" distL="114300" distR="114300">
            <wp:extent cx="5267960" cy="7453630"/>
            <wp:effectExtent l="0" t="0" r="8890" b="13970"/>
            <wp:docPr id="26" name="图片 26" descr="内蒙古自治区生态环境厅“三线一单”数据应用平台  福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内蒙古自治区生态环境厅“三线一单”数据应用平台  福顺_01"/>
                    <pic:cNvPicPr>
                      <a:picLocks noChangeAspect="1"/>
                    </pic:cNvPicPr>
                  </pic:nvPicPr>
                  <pic:blipFill>
                    <a:blip r:embed="rId51"/>
                    <a:stretch>
                      <a:fillRect/>
                    </a:stretch>
                  </pic:blipFill>
                  <pic:spPr>
                    <a:xfrm>
                      <a:off x="0" y="0"/>
                      <a:ext cx="5267960" cy="7453630"/>
                    </a:xfrm>
                    <a:prstGeom prst="rect">
                      <a:avLst/>
                    </a:prstGeom>
                  </pic:spPr>
                </pic:pic>
              </a:graphicData>
            </a:graphic>
          </wp:inline>
        </w:drawing>
      </w:r>
    </w:p>
    <w:p w14:paraId="3B283D68">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59521A3A">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17165AD6">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21DD7C30">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2FFD2264">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p w14:paraId="461A0C18">
      <w:pPr>
        <w:keepNext w:val="0"/>
        <w:pageBreakBefore w:val="0"/>
        <w:wordWrap/>
        <w:bidi w:val="0"/>
        <w:spacing w:beforeAutospacing="0" w:afterAutospacing="0"/>
        <w:ind w:left="0" w:leftChars="0" w:right="0" w:rightChars="0"/>
        <w:rPr>
          <w:rFonts w:hint="eastAsia" w:ascii="Times New Roman" w:hAnsi="Times New Roman" w:eastAsia="宋体" w:cs="Times New Roman"/>
          <w:color w:val="auto"/>
          <w:lang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宋体fal">
    <w:altName w:val="宋体"/>
    <w:panose1 w:val="00000000000000000000"/>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ACBD4E">
    <w:pPr>
      <w:pStyle w:val="21"/>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6D31D2">
                          <w:pPr>
                            <w:pStyle w:val="2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16D31D2">
                    <w:pPr>
                      <w:pStyle w:val="2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3BA59FB"/>
    <w:multiLevelType w:val="singleLevel"/>
    <w:tmpl w:val="D3BA59FB"/>
    <w:lvl w:ilvl="0" w:tentative="0">
      <w:start w:val="1"/>
      <w:numFmt w:val="bullet"/>
      <w:pStyle w:val="17"/>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E5ODc3OWI4OGNmNzRlMDg1ZTM2NjhlNzBlOWJmNWMifQ=="/>
  </w:docVars>
  <w:rsids>
    <w:rsidRoot w:val="284D1310"/>
    <w:rsid w:val="007A3406"/>
    <w:rsid w:val="00C6664C"/>
    <w:rsid w:val="00DA3EA5"/>
    <w:rsid w:val="00F343D0"/>
    <w:rsid w:val="00FB1B0B"/>
    <w:rsid w:val="015B6D94"/>
    <w:rsid w:val="01EF4055"/>
    <w:rsid w:val="026F520A"/>
    <w:rsid w:val="02983D3B"/>
    <w:rsid w:val="031B0275"/>
    <w:rsid w:val="031D3717"/>
    <w:rsid w:val="03246A2F"/>
    <w:rsid w:val="033220BC"/>
    <w:rsid w:val="041C00E5"/>
    <w:rsid w:val="04307F30"/>
    <w:rsid w:val="046A6C0D"/>
    <w:rsid w:val="04FE421E"/>
    <w:rsid w:val="051C71D2"/>
    <w:rsid w:val="05B20177"/>
    <w:rsid w:val="05B42592"/>
    <w:rsid w:val="06034AB1"/>
    <w:rsid w:val="0607573C"/>
    <w:rsid w:val="06150DF4"/>
    <w:rsid w:val="0667442D"/>
    <w:rsid w:val="06B07B82"/>
    <w:rsid w:val="06D53145"/>
    <w:rsid w:val="06F86FEE"/>
    <w:rsid w:val="074E71A4"/>
    <w:rsid w:val="078B414B"/>
    <w:rsid w:val="08640C24"/>
    <w:rsid w:val="093F51ED"/>
    <w:rsid w:val="098D7D07"/>
    <w:rsid w:val="09CB082F"/>
    <w:rsid w:val="09ED2E9B"/>
    <w:rsid w:val="09FD200A"/>
    <w:rsid w:val="0A755987"/>
    <w:rsid w:val="0A8A2498"/>
    <w:rsid w:val="0ACC2AB1"/>
    <w:rsid w:val="0AD012CE"/>
    <w:rsid w:val="0AE55920"/>
    <w:rsid w:val="0B3D09E0"/>
    <w:rsid w:val="0B9E719C"/>
    <w:rsid w:val="0C662A91"/>
    <w:rsid w:val="0C9C64B3"/>
    <w:rsid w:val="0CBE0CF3"/>
    <w:rsid w:val="0CE9242B"/>
    <w:rsid w:val="0D556D8D"/>
    <w:rsid w:val="0E941711"/>
    <w:rsid w:val="0ED168E7"/>
    <w:rsid w:val="0F050363"/>
    <w:rsid w:val="0F0C28F0"/>
    <w:rsid w:val="0FFF7484"/>
    <w:rsid w:val="10196798"/>
    <w:rsid w:val="105E031E"/>
    <w:rsid w:val="108251DF"/>
    <w:rsid w:val="1116247A"/>
    <w:rsid w:val="116E25B5"/>
    <w:rsid w:val="117A090C"/>
    <w:rsid w:val="11C64B71"/>
    <w:rsid w:val="12062EB9"/>
    <w:rsid w:val="121A05A5"/>
    <w:rsid w:val="12402AA6"/>
    <w:rsid w:val="12505D75"/>
    <w:rsid w:val="12850115"/>
    <w:rsid w:val="12B10F0A"/>
    <w:rsid w:val="12F40B30"/>
    <w:rsid w:val="134E49AB"/>
    <w:rsid w:val="138B65C8"/>
    <w:rsid w:val="152C0D1B"/>
    <w:rsid w:val="15B11221"/>
    <w:rsid w:val="16382437"/>
    <w:rsid w:val="16831D55"/>
    <w:rsid w:val="16CF7BB0"/>
    <w:rsid w:val="16EF75DF"/>
    <w:rsid w:val="16F271C0"/>
    <w:rsid w:val="179E3A27"/>
    <w:rsid w:val="17B648CC"/>
    <w:rsid w:val="18133ACD"/>
    <w:rsid w:val="18786BCE"/>
    <w:rsid w:val="19722A75"/>
    <w:rsid w:val="19B43AB0"/>
    <w:rsid w:val="19B72B7E"/>
    <w:rsid w:val="19F871FC"/>
    <w:rsid w:val="1B084946"/>
    <w:rsid w:val="1B0D70EF"/>
    <w:rsid w:val="1B1179E4"/>
    <w:rsid w:val="1B122762"/>
    <w:rsid w:val="1B154000"/>
    <w:rsid w:val="1B293607"/>
    <w:rsid w:val="1BEF65FF"/>
    <w:rsid w:val="1C2F10F1"/>
    <w:rsid w:val="1D385D84"/>
    <w:rsid w:val="1DD2547F"/>
    <w:rsid w:val="1E0C16EA"/>
    <w:rsid w:val="1E57208A"/>
    <w:rsid w:val="1E650DFA"/>
    <w:rsid w:val="1E7004A2"/>
    <w:rsid w:val="1E8A0CAA"/>
    <w:rsid w:val="1ECE7A3A"/>
    <w:rsid w:val="1EEB57A3"/>
    <w:rsid w:val="1F9A4FA0"/>
    <w:rsid w:val="203647FC"/>
    <w:rsid w:val="205E3D53"/>
    <w:rsid w:val="20924301"/>
    <w:rsid w:val="20943C19"/>
    <w:rsid w:val="21AF0D0A"/>
    <w:rsid w:val="22A31CE6"/>
    <w:rsid w:val="236D661A"/>
    <w:rsid w:val="23D031BA"/>
    <w:rsid w:val="241733C3"/>
    <w:rsid w:val="24521E21"/>
    <w:rsid w:val="247753E3"/>
    <w:rsid w:val="24DF7015"/>
    <w:rsid w:val="24EF039A"/>
    <w:rsid w:val="251D242F"/>
    <w:rsid w:val="25611230"/>
    <w:rsid w:val="25A466AC"/>
    <w:rsid w:val="25B368EF"/>
    <w:rsid w:val="26221459"/>
    <w:rsid w:val="26296BB1"/>
    <w:rsid w:val="26657B15"/>
    <w:rsid w:val="266746C3"/>
    <w:rsid w:val="2681079B"/>
    <w:rsid w:val="26FD1BEA"/>
    <w:rsid w:val="27020862"/>
    <w:rsid w:val="2758236A"/>
    <w:rsid w:val="27A91D58"/>
    <w:rsid w:val="27B06DE9"/>
    <w:rsid w:val="27CB7F20"/>
    <w:rsid w:val="27D014B6"/>
    <w:rsid w:val="27E86290"/>
    <w:rsid w:val="27FF406E"/>
    <w:rsid w:val="28177609"/>
    <w:rsid w:val="284D1310"/>
    <w:rsid w:val="28763103"/>
    <w:rsid w:val="288E0F4E"/>
    <w:rsid w:val="28C52BC1"/>
    <w:rsid w:val="28F5538F"/>
    <w:rsid w:val="29626662"/>
    <w:rsid w:val="299B4CC8"/>
    <w:rsid w:val="2A2F0ED9"/>
    <w:rsid w:val="2A41271B"/>
    <w:rsid w:val="2A5A075B"/>
    <w:rsid w:val="2AAA1853"/>
    <w:rsid w:val="2AD57308"/>
    <w:rsid w:val="2AE15CAC"/>
    <w:rsid w:val="2AF070E1"/>
    <w:rsid w:val="2B934B2F"/>
    <w:rsid w:val="2B9669FF"/>
    <w:rsid w:val="2B966A97"/>
    <w:rsid w:val="2BC9736B"/>
    <w:rsid w:val="2C3A5F72"/>
    <w:rsid w:val="2C414C55"/>
    <w:rsid w:val="2C8928FE"/>
    <w:rsid w:val="2CCD0296"/>
    <w:rsid w:val="2D3227EF"/>
    <w:rsid w:val="2D870D8D"/>
    <w:rsid w:val="2DBA349E"/>
    <w:rsid w:val="2E5F13C2"/>
    <w:rsid w:val="2EB711FE"/>
    <w:rsid w:val="2EF956D4"/>
    <w:rsid w:val="2F170052"/>
    <w:rsid w:val="2F467635"/>
    <w:rsid w:val="2FAA79A1"/>
    <w:rsid w:val="2FE73D65"/>
    <w:rsid w:val="301B57BD"/>
    <w:rsid w:val="303B05E9"/>
    <w:rsid w:val="307A682F"/>
    <w:rsid w:val="309E3CFF"/>
    <w:rsid w:val="30D4749C"/>
    <w:rsid w:val="317E6003"/>
    <w:rsid w:val="31814A8C"/>
    <w:rsid w:val="318D4498"/>
    <w:rsid w:val="326C1676"/>
    <w:rsid w:val="32D21006"/>
    <w:rsid w:val="32F331BA"/>
    <w:rsid w:val="3364397B"/>
    <w:rsid w:val="336A3380"/>
    <w:rsid w:val="33A37FA3"/>
    <w:rsid w:val="33B31D75"/>
    <w:rsid w:val="347E456C"/>
    <w:rsid w:val="34BD5094"/>
    <w:rsid w:val="35610116"/>
    <w:rsid w:val="36983053"/>
    <w:rsid w:val="369D517D"/>
    <w:rsid w:val="36A71B58"/>
    <w:rsid w:val="37691503"/>
    <w:rsid w:val="38E30E42"/>
    <w:rsid w:val="396226AE"/>
    <w:rsid w:val="3971469F"/>
    <w:rsid w:val="39917CA4"/>
    <w:rsid w:val="39A2111E"/>
    <w:rsid w:val="39DF3CFF"/>
    <w:rsid w:val="3A287454"/>
    <w:rsid w:val="3ABD5DEE"/>
    <w:rsid w:val="3B9823B7"/>
    <w:rsid w:val="3BBA3305"/>
    <w:rsid w:val="3C127E7E"/>
    <w:rsid w:val="3CF17FD1"/>
    <w:rsid w:val="3D523EC8"/>
    <w:rsid w:val="3D8C1249"/>
    <w:rsid w:val="3DA368EE"/>
    <w:rsid w:val="3DA70690"/>
    <w:rsid w:val="3DF17B5D"/>
    <w:rsid w:val="3E6A003B"/>
    <w:rsid w:val="3EB968CD"/>
    <w:rsid w:val="3F0D53D5"/>
    <w:rsid w:val="3F406FEE"/>
    <w:rsid w:val="402C0AD9"/>
    <w:rsid w:val="407E7DCE"/>
    <w:rsid w:val="410F0A26"/>
    <w:rsid w:val="41354204"/>
    <w:rsid w:val="414C082E"/>
    <w:rsid w:val="429A6A15"/>
    <w:rsid w:val="42F73568"/>
    <w:rsid w:val="430258CB"/>
    <w:rsid w:val="437D4F0D"/>
    <w:rsid w:val="43F62371"/>
    <w:rsid w:val="444D156C"/>
    <w:rsid w:val="447540A1"/>
    <w:rsid w:val="44916D5E"/>
    <w:rsid w:val="451E3A00"/>
    <w:rsid w:val="45784EB1"/>
    <w:rsid w:val="459B6D2C"/>
    <w:rsid w:val="45AF0A29"/>
    <w:rsid w:val="45B04457"/>
    <w:rsid w:val="46253C6E"/>
    <w:rsid w:val="46A402FE"/>
    <w:rsid w:val="471E5E67"/>
    <w:rsid w:val="47370CD6"/>
    <w:rsid w:val="47A345BE"/>
    <w:rsid w:val="47C500E1"/>
    <w:rsid w:val="487B4BF3"/>
    <w:rsid w:val="48CC02D4"/>
    <w:rsid w:val="48F36E7F"/>
    <w:rsid w:val="495E3C1A"/>
    <w:rsid w:val="49D44748"/>
    <w:rsid w:val="49DA1254"/>
    <w:rsid w:val="4A1555FF"/>
    <w:rsid w:val="4A525E27"/>
    <w:rsid w:val="4A77763C"/>
    <w:rsid w:val="4A9B42A2"/>
    <w:rsid w:val="4B170003"/>
    <w:rsid w:val="4B1D10E1"/>
    <w:rsid w:val="4B533C05"/>
    <w:rsid w:val="4BA17066"/>
    <w:rsid w:val="4BC95B14"/>
    <w:rsid w:val="4BE85C57"/>
    <w:rsid w:val="4C0F5D7E"/>
    <w:rsid w:val="4C592A56"/>
    <w:rsid w:val="4C612351"/>
    <w:rsid w:val="4CAE62FE"/>
    <w:rsid w:val="4D5318A0"/>
    <w:rsid w:val="4D9873DE"/>
    <w:rsid w:val="4DE202A7"/>
    <w:rsid w:val="4DE60D60"/>
    <w:rsid w:val="4E0474A5"/>
    <w:rsid w:val="4E1D6A43"/>
    <w:rsid w:val="4E501670"/>
    <w:rsid w:val="4ECD1F20"/>
    <w:rsid w:val="4F3F4BCC"/>
    <w:rsid w:val="4FA90297"/>
    <w:rsid w:val="4FE237A9"/>
    <w:rsid w:val="500F6572"/>
    <w:rsid w:val="50474637"/>
    <w:rsid w:val="50C12E9B"/>
    <w:rsid w:val="50D34966"/>
    <w:rsid w:val="50FD4D3F"/>
    <w:rsid w:val="51F07579"/>
    <w:rsid w:val="52102850"/>
    <w:rsid w:val="52355C41"/>
    <w:rsid w:val="526F5338"/>
    <w:rsid w:val="527E7891"/>
    <w:rsid w:val="52815519"/>
    <w:rsid w:val="52961DBF"/>
    <w:rsid w:val="53307183"/>
    <w:rsid w:val="53B14558"/>
    <w:rsid w:val="53C53318"/>
    <w:rsid w:val="54D44008"/>
    <w:rsid w:val="54F262F6"/>
    <w:rsid w:val="55480C74"/>
    <w:rsid w:val="55593D8E"/>
    <w:rsid w:val="555C2284"/>
    <w:rsid w:val="5560764A"/>
    <w:rsid w:val="559631D0"/>
    <w:rsid w:val="559B6E79"/>
    <w:rsid w:val="55EC249C"/>
    <w:rsid w:val="56837A94"/>
    <w:rsid w:val="56B303FA"/>
    <w:rsid w:val="573C6992"/>
    <w:rsid w:val="575431DF"/>
    <w:rsid w:val="577470EB"/>
    <w:rsid w:val="57B95737"/>
    <w:rsid w:val="57D85BBE"/>
    <w:rsid w:val="57EA769F"/>
    <w:rsid w:val="57EC0185"/>
    <w:rsid w:val="58202EE7"/>
    <w:rsid w:val="586B4C84"/>
    <w:rsid w:val="58A62912"/>
    <w:rsid w:val="59533008"/>
    <w:rsid w:val="599A77A5"/>
    <w:rsid w:val="59AD46C0"/>
    <w:rsid w:val="59EA607C"/>
    <w:rsid w:val="5A252C10"/>
    <w:rsid w:val="5A6B2D19"/>
    <w:rsid w:val="5AA318E5"/>
    <w:rsid w:val="5AB346C0"/>
    <w:rsid w:val="5ABE4FF5"/>
    <w:rsid w:val="5AE75360"/>
    <w:rsid w:val="5AEE2558"/>
    <w:rsid w:val="5B215ACE"/>
    <w:rsid w:val="5B397921"/>
    <w:rsid w:val="5B5138A7"/>
    <w:rsid w:val="5B670316"/>
    <w:rsid w:val="5B9C4331"/>
    <w:rsid w:val="5BAF723A"/>
    <w:rsid w:val="5BDB1C7A"/>
    <w:rsid w:val="5BE10F76"/>
    <w:rsid w:val="5C0827EA"/>
    <w:rsid w:val="5C0A2E89"/>
    <w:rsid w:val="5C275860"/>
    <w:rsid w:val="5C8E7193"/>
    <w:rsid w:val="5CF07506"/>
    <w:rsid w:val="5D6F0D72"/>
    <w:rsid w:val="5DA622BA"/>
    <w:rsid w:val="5DD35CEE"/>
    <w:rsid w:val="5E225DE5"/>
    <w:rsid w:val="5E5230B5"/>
    <w:rsid w:val="5F19116F"/>
    <w:rsid w:val="5F6B5569"/>
    <w:rsid w:val="5F816A01"/>
    <w:rsid w:val="5FC541F5"/>
    <w:rsid w:val="605965B2"/>
    <w:rsid w:val="609B1E7E"/>
    <w:rsid w:val="61F47A98"/>
    <w:rsid w:val="62CE7FD6"/>
    <w:rsid w:val="62DE0EB4"/>
    <w:rsid w:val="62DE42A4"/>
    <w:rsid w:val="641B57B0"/>
    <w:rsid w:val="64745E7E"/>
    <w:rsid w:val="651B533C"/>
    <w:rsid w:val="65717652"/>
    <w:rsid w:val="660B3602"/>
    <w:rsid w:val="660E00E4"/>
    <w:rsid w:val="66124991"/>
    <w:rsid w:val="66356117"/>
    <w:rsid w:val="66976C44"/>
    <w:rsid w:val="66B772E6"/>
    <w:rsid w:val="66BD5772"/>
    <w:rsid w:val="670B3747"/>
    <w:rsid w:val="670F2C7E"/>
    <w:rsid w:val="671817F9"/>
    <w:rsid w:val="67A535E2"/>
    <w:rsid w:val="67A91325"/>
    <w:rsid w:val="687C74F3"/>
    <w:rsid w:val="691321D3"/>
    <w:rsid w:val="69567A26"/>
    <w:rsid w:val="698931BC"/>
    <w:rsid w:val="6990454A"/>
    <w:rsid w:val="6A1E1592"/>
    <w:rsid w:val="6AD22940"/>
    <w:rsid w:val="6B286CBC"/>
    <w:rsid w:val="6B4355EC"/>
    <w:rsid w:val="6B7E03D2"/>
    <w:rsid w:val="6B93215A"/>
    <w:rsid w:val="6BCA3618"/>
    <w:rsid w:val="6C33740F"/>
    <w:rsid w:val="6C411B2C"/>
    <w:rsid w:val="6C77379F"/>
    <w:rsid w:val="6CB5542A"/>
    <w:rsid w:val="6CE04091"/>
    <w:rsid w:val="6CED1CB3"/>
    <w:rsid w:val="6CF03552"/>
    <w:rsid w:val="6DBE0ED5"/>
    <w:rsid w:val="6DC31E16"/>
    <w:rsid w:val="6E0A647B"/>
    <w:rsid w:val="6E710071"/>
    <w:rsid w:val="6E82642B"/>
    <w:rsid w:val="6E93032F"/>
    <w:rsid w:val="6EDF73DA"/>
    <w:rsid w:val="6F085736"/>
    <w:rsid w:val="6F0A34D0"/>
    <w:rsid w:val="6F1D510C"/>
    <w:rsid w:val="6F6F075E"/>
    <w:rsid w:val="6FBE55C6"/>
    <w:rsid w:val="6FF34E97"/>
    <w:rsid w:val="7039292C"/>
    <w:rsid w:val="703B4AE4"/>
    <w:rsid w:val="7045244E"/>
    <w:rsid w:val="704A70ED"/>
    <w:rsid w:val="7053679E"/>
    <w:rsid w:val="709750EE"/>
    <w:rsid w:val="70CD22D0"/>
    <w:rsid w:val="711F3D9D"/>
    <w:rsid w:val="71520337"/>
    <w:rsid w:val="71A32941"/>
    <w:rsid w:val="71C25302"/>
    <w:rsid w:val="727E6F0A"/>
    <w:rsid w:val="72AE58D4"/>
    <w:rsid w:val="72C619A7"/>
    <w:rsid w:val="72ED47BB"/>
    <w:rsid w:val="72F1592E"/>
    <w:rsid w:val="72F46C0F"/>
    <w:rsid w:val="73A57029"/>
    <w:rsid w:val="73F456D6"/>
    <w:rsid w:val="74185868"/>
    <w:rsid w:val="741C63C0"/>
    <w:rsid w:val="74532885"/>
    <w:rsid w:val="7579045A"/>
    <w:rsid w:val="75B57BB7"/>
    <w:rsid w:val="75F419BD"/>
    <w:rsid w:val="761621DC"/>
    <w:rsid w:val="768906A9"/>
    <w:rsid w:val="76AA29C3"/>
    <w:rsid w:val="76E934EC"/>
    <w:rsid w:val="76EF573C"/>
    <w:rsid w:val="76FB321F"/>
    <w:rsid w:val="770E6AAE"/>
    <w:rsid w:val="771A36A5"/>
    <w:rsid w:val="78883A5D"/>
    <w:rsid w:val="78EC72C3"/>
    <w:rsid w:val="79422F7F"/>
    <w:rsid w:val="799E680F"/>
    <w:rsid w:val="79B64624"/>
    <w:rsid w:val="7A06491A"/>
    <w:rsid w:val="7A452930"/>
    <w:rsid w:val="7AEC5358"/>
    <w:rsid w:val="7B2A40D3"/>
    <w:rsid w:val="7B5E3370"/>
    <w:rsid w:val="7BC45EE8"/>
    <w:rsid w:val="7BD5403F"/>
    <w:rsid w:val="7C093CE8"/>
    <w:rsid w:val="7C647170"/>
    <w:rsid w:val="7CB579CC"/>
    <w:rsid w:val="7CEC1640"/>
    <w:rsid w:val="7D767A35"/>
    <w:rsid w:val="7DCF1DAE"/>
    <w:rsid w:val="7DDF3B95"/>
    <w:rsid w:val="7DFD5ACF"/>
    <w:rsid w:val="7E4743A8"/>
    <w:rsid w:val="7ED2651A"/>
    <w:rsid w:val="7EF02F3D"/>
    <w:rsid w:val="7EF56F10"/>
    <w:rsid w:val="7F144737"/>
    <w:rsid w:val="7F201A75"/>
    <w:rsid w:val="7F233313"/>
    <w:rsid w:val="7F345520"/>
    <w:rsid w:val="7F792F33"/>
    <w:rsid w:val="7F855D7C"/>
    <w:rsid w:val="7FC8643A"/>
    <w:rsid w:val="7FF60D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iPriority="99"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qFormat/>
    <w:uiPriority w:val="0"/>
    <w:pPr>
      <w:keepNext/>
      <w:keepLines/>
      <w:spacing w:before="260" w:beforeLines="0" w:after="260" w:afterLines="0" w:line="416" w:lineRule="auto"/>
      <w:outlineLvl w:val="1"/>
    </w:pPr>
    <w:rPr>
      <w:rFonts w:ascii="Cambria" w:hAnsi="Cambria" w:eastAsia="宋体" w:cs="Times New Roman"/>
      <w:b/>
      <w:bCs/>
      <w:sz w:val="32"/>
      <w:szCs w:val="32"/>
    </w:rPr>
  </w:style>
  <w:style w:type="paragraph" w:styleId="5">
    <w:name w:val="heading 3"/>
    <w:basedOn w:val="1"/>
    <w:next w:val="1"/>
    <w:qFormat/>
    <w:uiPriority w:val="0"/>
    <w:pPr>
      <w:keepNext/>
      <w:keepLines/>
      <w:spacing w:before="260" w:beforeLines="0" w:after="260" w:afterLines="0" w:line="416" w:lineRule="auto"/>
      <w:outlineLvl w:val="2"/>
    </w:pPr>
    <w:rPr>
      <w:b/>
      <w:bCs/>
      <w:sz w:val="32"/>
      <w:szCs w:val="32"/>
    </w:rPr>
  </w:style>
  <w:style w:type="paragraph" w:styleId="6">
    <w:name w:val="heading 4"/>
    <w:basedOn w:val="1"/>
    <w:next w:val="1"/>
    <w:qFormat/>
    <w:uiPriority w:val="0"/>
    <w:pPr>
      <w:widowControl/>
      <w:spacing w:before="100" w:beforeAutospacing="1" w:after="100" w:afterAutospacing="1"/>
      <w:jc w:val="left"/>
      <w:outlineLvl w:val="3"/>
    </w:pPr>
    <w:rPr>
      <w:rFonts w:ascii="宋体" w:hAnsi="宋体"/>
      <w:kern w:val="0"/>
      <w:sz w:val="24"/>
      <w:szCs w:val="20"/>
    </w:rPr>
  </w:style>
  <w:style w:type="paragraph" w:styleId="7">
    <w:name w:val="heading 6"/>
    <w:basedOn w:val="1"/>
    <w:next w:val="1"/>
    <w:qFormat/>
    <w:uiPriority w:val="0"/>
    <w:pPr>
      <w:keepNext/>
      <w:keepLines/>
      <w:spacing w:before="240" w:after="64" w:line="320" w:lineRule="auto"/>
      <w:outlineLvl w:val="5"/>
    </w:pPr>
    <w:rPr>
      <w:rFonts w:ascii="等线 Light" w:hAnsi="等线 Light" w:eastAsia="等线 Light"/>
      <w:b/>
      <w:bCs/>
      <w:sz w:val="24"/>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2">
    <w:name w:val="Body Text Indent"/>
    <w:basedOn w:val="1"/>
    <w:next w:val="1"/>
    <w:qFormat/>
    <w:uiPriority w:val="0"/>
    <w:pPr>
      <w:widowControl/>
      <w:spacing w:after="312" w:afterLines="100"/>
      <w:ind w:left="200" w:leftChars="200"/>
      <w:jc w:val="left"/>
    </w:pPr>
    <w:rPr>
      <w:rFonts w:ascii="Calibri" w:hAnsi="Calibri"/>
      <w:kern w:val="0"/>
      <w:sz w:val="24"/>
      <w:szCs w:val="22"/>
      <w:lang w:eastAsia="en-US" w:bidi="en-US"/>
    </w:rPr>
  </w:style>
  <w:style w:type="paragraph" w:styleId="8">
    <w:name w:val="List 3"/>
    <w:basedOn w:val="1"/>
    <w:next w:val="1"/>
    <w:qFormat/>
    <w:uiPriority w:val="0"/>
    <w:pPr>
      <w:autoSpaceDE w:val="0"/>
      <w:autoSpaceDN w:val="0"/>
      <w:adjustRightInd w:val="0"/>
      <w:spacing w:line="288" w:lineRule="auto"/>
      <w:ind w:left="1260" w:hanging="420"/>
      <w:jc w:val="left"/>
      <w:textAlignment w:val="baseline"/>
    </w:pPr>
    <w:rPr>
      <w:rFonts w:ascii="Times New Roman" w:hAnsi="Times New Roman" w:eastAsia="宋体" w:cs="Times New Roman"/>
      <w:kern w:val="0"/>
      <w:sz w:val="20"/>
    </w:rPr>
  </w:style>
  <w:style w:type="paragraph" w:styleId="9">
    <w:name w:val="E-mail Signature"/>
    <w:basedOn w:val="1"/>
    <w:next w:val="10"/>
    <w:unhideWhenUsed/>
    <w:qFormat/>
    <w:uiPriority w:val="99"/>
    <w:pPr>
      <w:spacing w:line="460" w:lineRule="exact"/>
      <w:ind w:firstLine="200"/>
    </w:pPr>
  </w:style>
  <w:style w:type="paragraph" w:customStyle="1" w:styleId="10">
    <w:name w:val="文章"/>
    <w:next w:val="11"/>
    <w:qFormat/>
    <w:uiPriority w:val="0"/>
    <w:pPr>
      <w:ind w:firstLine="480"/>
      <w:jc w:val="center"/>
    </w:pPr>
    <w:rPr>
      <w:rFonts w:ascii="Calibri" w:hAnsi="Calibri" w:eastAsia="Calibri" w:cs="Times New Roman"/>
      <w:kern w:val="2"/>
      <w:sz w:val="26"/>
      <w:szCs w:val="22"/>
      <w:lang w:val="en-US" w:eastAsia="zh-CN" w:bidi="ar-SA"/>
    </w:rPr>
  </w:style>
  <w:style w:type="paragraph" w:styleId="11">
    <w:name w:val="List"/>
    <w:basedOn w:val="1"/>
    <w:qFormat/>
    <w:uiPriority w:val="0"/>
    <w:pPr>
      <w:jc w:val="center"/>
    </w:pPr>
    <w:rPr>
      <w:rFonts w:ascii="宋体" w:hAnsi="宋体"/>
      <w:spacing w:val="8"/>
    </w:rPr>
  </w:style>
  <w:style w:type="paragraph" w:styleId="12">
    <w:name w:val="Normal Indent"/>
    <w:basedOn w:val="1"/>
    <w:qFormat/>
    <w:uiPriority w:val="0"/>
    <w:pPr>
      <w:ind w:firstLine="420" w:firstLineChars="200"/>
    </w:pPr>
  </w:style>
  <w:style w:type="paragraph" w:styleId="13">
    <w:name w:val="annotation text"/>
    <w:basedOn w:val="1"/>
    <w:qFormat/>
    <w:uiPriority w:val="0"/>
    <w:pPr>
      <w:jc w:val="left"/>
    </w:pPr>
  </w:style>
  <w:style w:type="paragraph" w:styleId="14">
    <w:name w:val="Body Text 3"/>
    <w:basedOn w:val="1"/>
    <w:qFormat/>
    <w:uiPriority w:val="0"/>
    <w:pPr>
      <w:adjustRightInd w:val="0"/>
      <w:spacing w:after="120"/>
    </w:pPr>
    <w:rPr>
      <w:sz w:val="16"/>
      <w:szCs w:val="20"/>
    </w:rPr>
  </w:style>
  <w:style w:type="paragraph" w:styleId="15">
    <w:name w:val="Body Text"/>
    <w:basedOn w:val="1"/>
    <w:qFormat/>
    <w:uiPriority w:val="0"/>
    <w:pPr>
      <w:jc w:val="left"/>
    </w:pPr>
    <w:rPr>
      <w:sz w:val="24"/>
    </w:rPr>
  </w:style>
  <w:style w:type="paragraph" w:styleId="16">
    <w:name w:val="Plain Text"/>
    <w:basedOn w:val="1"/>
    <w:next w:val="1"/>
    <w:qFormat/>
    <w:uiPriority w:val="0"/>
    <w:rPr>
      <w:rFonts w:ascii="宋体" w:hAnsi="Courier New"/>
    </w:rPr>
  </w:style>
  <w:style w:type="paragraph" w:styleId="17">
    <w:name w:val="List Bullet 5"/>
    <w:basedOn w:val="1"/>
    <w:next w:val="1"/>
    <w:qFormat/>
    <w:uiPriority w:val="0"/>
    <w:pPr>
      <w:numPr>
        <w:ilvl w:val="0"/>
        <w:numId w:val="1"/>
      </w:numPr>
    </w:pPr>
  </w:style>
  <w:style w:type="paragraph" w:styleId="18">
    <w:name w:val="Date"/>
    <w:basedOn w:val="1"/>
    <w:next w:val="1"/>
    <w:qFormat/>
    <w:uiPriority w:val="0"/>
    <w:pPr>
      <w:widowControl/>
    </w:pPr>
    <w:rPr>
      <w:rFonts w:ascii="宋体"/>
      <w:kern w:val="0"/>
      <w:sz w:val="28"/>
      <w:szCs w:val="20"/>
    </w:rPr>
  </w:style>
  <w:style w:type="paragraph" w:styleId="19">
    <w:name w:val="Body Text Indent 2"/>
    <w:basedOn w:val="1"/>
    <w:next w:val="1"/>
    <w:qFormat/>
    <w:uiPriority w:val="0"/>
    <w:pPr>
      <w:spacing w:line="540" w:lineRule="exact"/>
      <w:ind w:firstLine="480" w:firstLineChars="200"/>
    </w:pPr>
    <w:rPr>
      <w:sz w:val="24"/>
    </w:rPr>
  </w:style>
  <w:style w:type="paragraph" w:styleId="20">
    <w:name w:val="endnote text"/>
    <w:basedOn w:val="1"/>
    <w:qFormat/>
    <w:uiPriority w:val="0"/>
    <w:pPr>
      <w:snapToGrid w:val="0"/>
      <w:jc w:val="left"/>
    </w:pPr>
  </w:style>
  <w:style w:type="paragraph" w:styleId="21">
    <w:name w:val="footer"/>
    <w:basedOn w:val="1"/>
    <w:qFormat/>
    <w:uiPriority w:val="0"/>
    <w:pPr>
      <w:tabs>
        <w:tab w:val="center" w:pos="4153"/>
        <w:tab w:val="right" w:pos="8306"/>
      </w:tabs>
      <w:snapToGrid w:val="0"/>
      <w:jc w:val="left"/>
    </w:pPr>
    <w:rPr>
      <w:sz w:val="18"/>
    </w:rPr>
  </w:style>
  <w:style w:type="paragraph" w:styleId="2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3">
    <w:name w:val="Body Text Indent 3"/>
    <w:basedOn w:val="1"/>
    <w:qFormat/>
    <w:uiPriority w:val="0"/>
    <w:pPr>
      <w:spacing w:line="360" w:lineRule="auto"/>
      <w:ind w:firstLine="480" w:firstLineChars="200"/>
      <w:jc w:val="left"/>
    </w:pPr>
    <w:rPr>
      <w:rFonts w:ascii="宋体"/>
      <w:sz w:val="24"/>
    </w:rPr>
  </w:style>
  <w:style w:type="paragraph" w:styleId="24">
    <w:name w:val="toc 2"/>
    <w:basedOn w:val="1"/>
    <w:next w:val="9"/>
    <w:semiHidden/>
    <w:qFormat/>
    <w:uiPriority w:val="0"/>
    <w:pPr>
      <w:tabs>
        <w:tab w:val="right" w:leader="dot" w:pos="9060"/>
      </w:tabs>
      <w:spacing w:line="360" w:lineRule="auto"/>
      <w:ind w:left="420" w:leftChars="200"/>
    </w:pPr>
  </w:style>
  <w:style w:type="paragraph" w:styleId="25">
    <w:name w:val="Body Text 2"/>
    <w:basedOn w:val="1"/>
    <w:qFormat/>
    <w:uiPriority w:val="0"/>
    <w:pPr>
      <w:spacing w:after="120" w:afterLines="0" w:afterAutospacing="0" w:line="480" w:lineRule="auto"/>
    </w:pPr>
  </w:style>
  <w:style w:type="paragraph" w:styleId="26">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7">
    <w:name w:val="Normal (Web)"/>
    <w:basedOn w:val="1"/>
    <w:qFormat/>
    <w:uiPriority w:val="0"/>
    <w:pPr>
      <w:widowControl/>
      <w:spacing w:before="100" w:beforeAutospacing="1" w:after="100" w:afterAutospacing="1"/>
      <w:jc w:val="left"/>
    </w:pPr>
    <w:rPr>
      <w:rFonts w:ascii="宋体" w:hAnsi="宋体"/>
      <w:color w:val="000000"/>
      <w:kern w:val="0"/>
      <w:sz w:val="24"/>
      <w:szCs w:val="20"/>
    </w:rPr>
  </w:style>
  <w:style w:type="paragraph" w:styleId="28">
    <w:name w:val="Title"/>
    <w:basedOn w:val="1"/>
    <w:next w:val="1"/>
    <w:qFormat/>
    <w:uiPriority w:val="0"/>
    <w:pPr>
      <w:spacing w:before="240" w:after="60"/>
      <w:jc w:val="center"/>
      <w:outlineLvl w:val="0"/>
    </w:pPr>
    <w:rPr>
      <w:rFonts w:ascii="Cambria" w:hAnsi="Cambria"/>
      <w:b/>
      <w:bCs/>
      <w:sz w:val="32"/>
      <w:szCs w:val="32"/>
    </w:rPr>
  </w:style>
  <w:style w:type="paragraph" w:styleId="29">
    <w:name w:val="Body Text First Indent"/>
    <w:basedOn w:val="15"/>
    <w:next w:val="1"/>
    <w:qFormat/>
    <w:uiPriority w:val="0"/>
    <w:pPr>
      <w:spacing w:after="120" w:afterLines="0"/>
      <w:ind w:firstLine="420" w:firstLineChars="100"/>
      <w:jc w:val="both"/>
    </w:pPr>
    <w:rPr>
      <w:sz w:val="21"/>
    </w:rPr>
  </w:style>
  <w:style w:type="paragraph" w:styleId="30">
    <w:name w:val="Body Text First Indent 2"/>
    <w:basedOn w:val="2"/>
    <w:next w:val="1"/>
    <w:qFormat/>
    <w:uiPriority w:val="0"/>
    <w:pPr>
      <w:widowControl w:val="0"/>
      <w:spacing w:after="120" w:afterLines="0"/>
      <w:ind w:left="420" w:firstLine="420" w:firstLineChars="200"/>
      <w:jc w:val="both"/>
    </w:pPr>
    <w:rPr>
      <w:rFonts w:ascii="Times New Roman" w:hAnsi="Times New Roman"/>
      <w:kern w:val="2"/>
      <w:sz w:val="21"/>
      <w:szCs w:val="20"/>
      <w:lang w:eastAsia="zh-CN" w:bidi="ar-SA"/>
    </w:rPr>
  </w:style>
  <w:style w:type="table" w:styleId="32">
    <w:name w:val="Table Grid"/>
    <w:basedOn w:val="3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Hyperlink"/>
    <w:basedOn w:val="33"/>
    <w:qFormat/>
    <w:uiPriority w:val="0"/>
    <w:rPr>
      <w:color w:val="0000FF"/>
      <w:u w:val="single"/>
    </w:rPr>
  </w:style>
  <w:style w:type="character" w:styleId="35">
    <w:name w:val="annotation reference"/>
    <w:basedOn w:val="33"/>
    <w:qFormat/>
    <w:uiPriority w:val="0"/>
    <w:rPr>
      <w:sz w:val="21"/>
      <w:szCs w:val="21"/>
    </w:rPr>
  </w:style>
  <w:style w:type="paragraph" w:customStyle="1" w:styleId="36">
    <w:name w:val="Default"/>
    <w:basedOn w:val="37"/>
    <w:next w:val="38"/>
    <w:qFormat/>
    <w:uiPriority w:val="0"/>
    <w:pPr>
      <w:widowControl w:val="0"/>
      <w:autoSpaceDE w:val="0"/>
      <w:autoSpaceDN w:val="0"/>
      <w:adjustRightInd w:val="0"/>
    </w:pPr>
    <w:rPr>
      <w:rFonts w:ascii="宋体" w:hAnsi="Calibri" w:cs="宋体"/>
      <w:color w:val="000000"/>
      <w:sz w:val="24"/>
      <w:szCs w:val="24"/>
      <w:lang w:val="en-US" w:eastAsia="zh-CN" w:bidi="ar-SA"/>
    </w:rPr>
  </w:style>
  <w:style w:type="paragraph" w:customStyle="1" w:styleId="37">
    <w:name w:val="纯文本1"/>
    <w:basedOn w:val="1"/>
    <w:qFormat/>
    <w:uiPriority w:val="0"/>
    <w:pPr>
      <w:adjustRightInd w:val="0"/>
      <w:ind w:firstLine="0"/>
      <w:jc w:val="center"/>
      <w:textAlignment w:val="baseline"/>
    </w:pPr>
    <w:rPr>
      <w:rFonts w:ascii="宋体" w:hAnsi="Courier New" w:eastAsia="宋体" w:cs="Times New Roman"/>
    </w:rPr>
  </w:style>
  <w:style w:type="paragraph" w:customStyle="1" w:styleId="38">
    <w:name w:val="样式35"/>
    <w:next w:val="39"/>
    <w:qFormat/>
    <w:uiPriority w:val="0"/>
    <w:pPr>
      <w:widowControl w:val="0"/>
      <w:spacing w:line="312" w:lineRule="auto"/>
      <w:ind w:firstLine="567"/>
      <w:jc w:val="both"/>
    </w:pPr>
    <w:rPr>
      <w:rFonts w:ascii="宋体" w:hAnsi="Calibri" w:eastAsia="Calibri" w:cs="Times New Roman"/>
      <w:kern w:val="2"/>
      <w:sz w:val="21"/>
      <w:szCs w:val="22"/>
      <w:lang w:val="en-US" w:eastAsia="zh-CN" w:bidi="ar-SA"/>
    </w:rPr>
  </w:style>
  <w:style w:type="paragraph" w:customStyle="1" w:styleId="39">
    <w:name w:val="font6"/>
    <w:next w:val="24"/>
    <w:qFormat/>
    <w:uiPriority w:val="0"/>
    <w:pPr>
      <w:spacing w:before="280" w:after="280"/>
      <w:jc w:val="both"/>
    </w:pPr>
    <w:rPr>
      <w:rFonts w:ascii="Calibri" w:hAnsi="Calibri" w:eastAsia="Calibri" w:cs="Times New Roman"/>
      <w:kern w:val="2"/>
      <w:sz w:val="21"/>
      <w:szCs w:val="22"/>
      <w:lang w:val="en-US" w:eastAsia="zh-CN" w:bidi="ar-SA"/>
    </w:rPr>
  </w:style>
  <w:style w:type="paragraph" w:customStyle="1" w:styleId="40">
    <w:name w:val="样式 正文缩进正文缩进2正文缩进 Char Char正文缩进 Char Char Char Char正文缩进 Char ..."/>
    <w:basedOn w:val="12"/>
    <w:qFormat/>
    <w:uiPriority w:val="0"/>
    <w:pPr>
      <w:spacing w:line="360" w:lineRule="auto"/>
      <w:ind w:firstLine="200"/>
    </w:pPr>
    <w:rPr>
      <w:rFonts w:cs="宋体"/>
      <w:sz w:val="24"/>
    </w:rPr>
  </w:style>
  <w:style w:type="paragraph" w:customStyle="1" w:styleId="41">
    <w:name w:val="[1]正文"/>
    <w:basedOn w:val="1"/>
    <w:qFormat/>
    <w:uiPriority w:val="0"/>
    <w:pPr>
      <w:autoSpaceDE w:val="0"/>
      <w:autoSpaceDN w:val="0"/>
      <w:ind w:left="0" w:leftChars="0" w:firstLine="200" w:firstLineChars="200"/>
    </w:pPr>
    <w:rPr>
      <w:rFonts w:ascii="Times New Roman" w:hAnsi="Times New Roman"/>
      <w:color w:val="000000"/>
      <w:kern w:val="0"/>
      <w:szCs w:val="24"/>
      <w:lang w:val="zh-CN"/>
    </w:rPr>
  </w:style>
  <w:style w:type="paragraph" w:customStyle="1" w:styleId="42">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character" w:customStyle="1" w:styleId="43">
    <w:name w:val="font11"/>
    <w:basedOn w:val="33"/>
    <w:qFormat/>
    <w:uiPriority w:val="0"/>
    <w:rPr>
      <w:rFonts w:hint="default" w:ascii="Times New Roman" w:hAnsi="Times New Roman" w:cs="Times New Roman"/>
      <w:color w:val="000000"/>
      <w:sz w:val="20"/>
      <w:u w:val="none"/>
    </w:rPr>
  </w:style>
  <w:style w:type="paragraph" w:customStyle="1" w:styleId="44">
    <w:name w:val="正文11"/>
    <w:basedOn w:val="1"/>
    <w:qFormat/>
    <w:uiPriority w:val="0"/>
    <w:pPr>
      <w:tabs>
        <w:tab w:val="left" w:pos="2093"/>
      </w:tabs>
      <w:adjustRightInd w:val="0"/>
      <w:spacing w:line="360" w:lineRule="auto"/>
      <w:ind w:firstLine="360" w:firstLineChars="150"/>
    </w:pPr>
    <w:rPr>
      <w:rFonts w:ascii="宋体" w:hAnsi="宋体"/>
      <w:sz w:val="24"/>
    </w:rPr>
  </w:style>
  <w:style w:type="paragraph" w:customStyle="1" w:styleId="45">
    <w:name w:val="Table Paragraph"/>
    <w:basedOn w:val="1"/>
    <w:qFormat/>
    <w:uiPriority w:val="1"/>
  </w:style>
  <w:style w:type="paragraph" w:customStyle="1" w:styleId="46">
    <w:name w:val="正文1"/>
    <w:basedOn w:val="21"/>
    <w:next w:val="1"/>
    <w:qFormat/>
    <w:uiPriority w:val="0"/>
    <w:pPr>
      <w:widowControl w:val="0"/>
      <w:adjustRightInd w:val="0"/>
      <w:spacing w:line="420" w:lineRule="atLeast"/>
      <w:jc w:val="both"/>
      <w:textAlignment w:val="baseline"/>
    </w:pPr>
    <w:rPr>
      <w:rFonts w:ascii="宋体" w:hAnsi="Calibri" w:eastAsia="宋体" w:cs="Times New Roman"/>
      <w:sz w:val="28"/>
      <w:lang w:val="en-US" w:eastAsia="zh-CN" w:bidi="ar-SA"/>
    </w:rPr>
  </w:style>
  <w:style w:type="paragraph" w:customStyle="1" w:styleId="47">
    <w:name w:val="列表(L)"/>
    <w:basedOn w:val="11"/>
    <w:qFormat/>
    <w:uiPriority w:val="0"/>
    <w:pPr>
      <w:snapToGrid w:val="0"/>
    </w:pPr>
    <w:rPr>
      <w:rFonts w:eastAsia="仿宋_GB2312"/>
      <w:kern w:val="0"/>
      <w:sz w:val="20"/>
      <w:szCs w:val="20"/>
    </w:rPr>
  </w:style>
  <w:style w:type="paragraph" w:customStyle="1" w:styleId="48">
    <w:name w:val="表格标题w"/>
    <w:basedOn w:val="1"/>
    <w:qFormat/>
    <w:uiPriority w:val="0"/>
    <w:pPr>
      <w:keepNext/>
      <w:adjustRightInd w:val="0"/>
      <w:spacing w:line="440" w:lineRule="exact"/>
      <w:jc w:val="center"/>
    </w:pPr>
    <w:rPr>
      <w:rFonts w:cs="Arial"/>
      <w:b/>
      <w:szCs w:val="21"/>
    </w:rPr>
  </w:style>
  <w:style w:type="paragraph" w:customStyle="1" w:styleId="49">
    <w:name w:val="报告正文"/>
    <w:basedOn w:val="1"/>
    <w:qFormat/>
    <w:uiPriority w:val="0"/>
    <w:pPr>
      <w:spacing w:line="360" w:lineRule="auto"/>
      <w:ind w:firstLine="480" w:firstLineChars="200"/>
    </w:pPr>
    <w:rPr>
      <w:sz w:val="24"/>
    </w:rPr>
  </w:style>
  <w:style w:type="paragraph" w:customStyle="1" w:styleId="50">
    <w:name w:val="HP 正文"/>
    <w:basedOn w:val="1"/>
    <w:qFormat/>
    <w:uiPriority w:val="0"/>
    <w:pPr>
      <w:autoSpaceDE w:val="0"/>
      <w:autoSpaceDN w:val="0"/>
      <w:adjustRightInd w:val="0"/>
      <w:ind w:firstLine="200"/>
    </w:pPr>
  </w:style>
  <w:style w:type="paragraph" w:customStyle="1" w:styleId="51">
    <w:name w:val="ENFI表体格式"/>
    <w:basedOn w:val="1"/>
    <w:qFormat/>
    <w:uiPriority w:val="0"/>
    <w:pPr>
      <w:widowControl/>
      <w:adjustRightInd w:val="0"/>
      <w:snapToGrid w:val="0"/>
      <w:spacing w:line="240" w:lineRule="atLeast"/>
      <w:jc w:val="center"/>
    </w:pPr>
    <w:rPr>
      <w:rFonts w:eastAsia="仿宋_GB2312"/>
      <w:b/>
      <w:kern w:val="0"/>
      <w:sz w:val="24"/>
    </w:rPr>
  </w:style>
  <w:style w:type="paragraph" w:customStyle="1" w:styleId="52">
    <w:name w:val="报告表正文"/>
    <w:basedOn w:val="19"/>
    <w:next w:val="19"/>
    <w:qFormat/>
    <w:uiPriority w:val="0"/>
    <w:pPr>
      <w:spacing w:line="360" w:lineRule="auto"/>
      <w:ind w:firstLine="200"/>
    </w:pPr>
  </w:style>
  <w:style w:type="paragraph" w:customStyle="1" w:styleId="53">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styleId="54">
    <w:name w:val="List Paragraph"/>
    <w:basedOn w:val="1"/>
    <w:qFormat/>
    <w:uiPriority w:val="99"/>
    <w:pPr>
      <w:ind w:firstLine="420"/>
    </w:pPr>
  </w:style>
  <w:style w:type="paragraph" w:customStyle="1" w:styleId="55">
    <w:name w:val="表格内容5号"/>
    <w:qFormat/>
    <w:uiPriority w:val="0"/>
    <w:pPr>
      <w:widowControl w:val="0"/>
      <w:snapToGrid w:val="0"/>
      <w:spacing w:line="240" w:lineRule="atLeast"/>
      <w:jc w:val="center"/>
    </w:pPr>
    <w:rPr>
      <w:rFonts w:ascii="Times New Roman" w:hAnsi="Times New Roman" w:eastAsia="Times New Roman" w:cs="Times New Roman"/>
      <w:kern w:val="2"/>
      <w:sz w:val="21"/>
      <w:szCs w:val="24"/>
      <w:lang w:val="en-US" w:eastAsia="zh-CN" w:bidi="ar-SA"/>
    </w:rPr>
  </w:style>
  <w:style w:type="paragraph" w:customStyle="1" w:styleId="56">
    <w:name w:val="样式6"/>
    <w:qFormat/>
    <w:uiPriority w:val="0"/>
    <w:pPr>
      <w:tabs>
        <w:tab w:val="left" w:pos="987"/>
        <w:tab w:val="left" w:pos="1144"/>
      </w:tabs>
      <w:outlineLvl w:val="2"/>
    </w:pPr>
    <w:rPr>
      <w:rFonts w:ascii="Times New Roman" w:hAnsi="Times New Roman" w:eastAsia="宋体" w:cs="Times New Roman"/>
    </w:rPr>
  </w:style>
  <w:style w:type="paragraph" w:customStyle="1" w:styleId="57">
    <w:name w:val="样式3"/>
    <w:basedOn w:val="1"/>
    <w:qFormat/>
    <w:uiPriority w:val="0"/>
    <w:pPr>
      <w:autoSpaceDE w:val="0"/>
      <w:autoSpaceDN w:val="0"/>
      <w:snapToGrid w:val="0"/>
      <w:spacing w:before="120" w:line="460" w:lineRule="atLeast"/>
      <w:jc w:val="center"/>
    </w:pPr>
    <w:rPr>
      <w:rFonts w:eastAsia="黑体"/>
      <w:sz w:val="28"/>
    </w:rPr>
  </w:style>
  <w:style w:type="paragraph" w:customStyle="1" w:styleId="58">
    <w:name w:val="●表内"/>
    <w:basedOn w:val="1"/>
    <w:qFormat/>
    <w:uiPriority w:val="0"/>
    <w:pPr>
      <w:jc w:val="center"/>
    </w:pPr>
    <w:rPr>
      <w:szCs w:val="21"/>
    </w:rPr>
  </w:style>
  <w:style w:type="paragraph" w:customStyle="1" w:styleId="59">
    <w:name w:val="Body Text First Indent1"/>
    <w:basedOn w:val="15"/>
    <w:qFormat/>
    <w:uiPriority w:val="0"/>
    <w:pPr>
      <w:pBdr>
        <w:top w:val="none" w:color="auto" w:sz="0" w:space="1"/>
        <w:left w:val="none" w:color="auto" w:sz="0" w:space="4"/>
        <w:bottom w:val="none" w:color="auto" w:sz="0" w:space="1"/>
        <w:right w:val="none" w:color="auto" w:sz="0" w:space="4"/>
      </w:pBdr>
      <w:spacing w:before="0" w:beforeLines="0"/>
      <w:ind w:firstLine="0" w:firstLineChars="0"/>
      <w:jc w:val="both"/>
    </w:pPr>
    <w:rPr>
      <w:rFonts w:ascii="Times New Roman" w:hAnsi="Times New Roman"/>
      <w:sz w:val="21"/>
      <w:szCs w:val="24"/>
    </w:rPr>
  </w:style>
  <w:style w:type="table" w:customStyle="1" w:styleId="60">
    <w:name w:val="Table Normal"/>
    <w:semiHidden/>
    <w:unhideWhenUsed/>
    <w:qFormat/>
    <w:uiPriority w:val="0"/>
    <w:tblPr>
      <w:tblCellMar>
        <w:top w:w="0" w:type="dxa"/>
        <w:left w:w="0" w:type="dxa"/>
        <w:bottom w:w="0" w:type="dxa"/>
        <w:right w:w="0" w:type="dxa"/>
      </w:tblCellMar>
    </w:tblPr>
  </w:style>
  <w:style w:type="paragraph" w:customStyle="1" w:styleId="61">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62">
    <w:name w:val="正文22"/>
    <w:basedOn w:val="1"/>
    <w:qFormat/>
    <w:uiPriority w:val="0"/>
    <w:pPr>
      <w:widowControl/>
      <w:spacing w:line="357" w:lineRule="atLeast"/>
      <w:ind w:firstLine="480" w:firstLineChars="200"/>
      <w:textAlignment w:val="baseline"/>
    </w:pPr>
    <w:rPr>
      <w:color w:val="000000"/>
      <w:kern w:val="0"/>
      <w:szCs w:val="20"/>
    </w:rPr>
  </w:style>
  <w:style w:type="paragraph" w:customStyle="1" w:styleId="63">
    <w:name w:val="文章正文文字"/>
    <w:basedOn w:val="1"/>
    <w:qFormat/>
    <w:uiPriority w:val="0"/>
    <w:rPr>
      <w:rFonts w:ascii="Times New Roman" w:hAnsi="Times New Roman"/>
      <w:kern w:val="0"/>
      <w:szCs w:val="24"/>
    </w:rPr>
  </w:style>
  <w:style w:type="paragraph" w:customStyle="1" w:styleId="64">
    <w:name w:val="正文2"/>
    <w:basedOn w:val="1"/>
    <w:next w:val="1"/>
    <w:qFormat/>
    <w:uiPriority w:val="0"/>
    <w:pPr>
      <w:keepNext w:val="0"/>
      <w:keepLines w:val="0"/>
      <w:widowControl w:val="0"/>
      <w:suppressLineNumbers w:val="0"/>
      <w:autoSpaceDE w:val="0"/>
      <w:autoSpaceDN w:val="0"/>
      <w:spacing w:before="0" w:beforeAutospacing="0" w:after="0" w:afterAutospacing="0" w:line="480" w:lineRule="exact"/>
      <w:ind w:left="0" w:right="0" w:firstLine="1446" w:firstLineChars="200"/>
      <w:jc w:val="left"/>
    </w:pPr>
    <w:rPr>
      <w:rFonts w:hint="eastAsia" w:ascii="Times New Roman" w:hAnsi="Times New Roman" w:cs="宋体"/>
      <w:color w:val="000000"/>
      <w:kern w:val="0"/>
    </w:rPr>
  </w:style>
  <w:style w:type="character" w:customStyle="1" w:styleId="65">
    <w:name w:val="font31"/>
    <w:qFormat/>
    <w:uiPriority w:val="0"/>
    <w:rPr>
      <w:rFonts w:hint="eastAsia" w:ascii="宋体" w:hAnsi="宋体" w:eastAsia="宋体" w:cs="宋体"/>
      <w:color w:val="000000"/>
      <w:sz w:val="24"/>
      <w:szCs w:val="24"/>
      <w:u w:val="none"/>
    </w:rPr>
  </w:style>
  <w:style w:type="character" w:customStyle="1" w:styleId="66">
    <w:name w:val="font41"/>
    <w:qFormat/>
    <w:uiPriority w:val="0"/>
    <w:rPr>
      <w:rFonts w:hint="eastAsia" w:ascii="宋体" w:hAnsi="宋体" w:eastAsia="宋体" w:cs="宋体"/>
      <w:color w:val="000000"/>
      <w:sz w:val="21"/>
      <w:szCs w:val="21"/>
      <w:u w:val="none"/>
    </w:rPr>
  </w:style>
  <w:style w:type="character" w:customStyle="1" w:styleId="67">
    <w:name w:val="font21"/>
    <w:qFormat/>
    <w:uiPriority w:val="0"/>
    <w:rPr>
      <w:rFonts w:hint="default" w:ascii="Times New Roman" w:hAnsi="Times New Roman" w:cs="Times New Roman"/>
      <w:color w:val="000000"/>
      <w:sz w:val="24"/>
      <w:szCs w:val="24"/>
      <w:u w:val="none"/>
    </w:rPr>
  </w:style>
  <w:style w:type="paragraph" w:customStyle="1" w:styleId="68">
    <w:name w:val="样式2"/>
    <w:basedOn w:val="1"/>
    <w:qFormat/>
    <w:uiPriority w:val="0"/>
    <w:pPr>
      <w:adjustRightInd w:val="0"/>
      <w:ind w:left="170"/>
      <w:jc w:val="left"/>
      <w:textAlignment w:val="baseline"/>
    </w:pPr>
    <w:rPr>
      <w:b/>
      <w:kern w:val="0"/>
      <w:sz w:val="24"/>
      <w:szCs w:val="20"/>
    </w:rPr>
  </w:style>
  <w:style w:type="paragraph" w:customStyle="1" w:styleId="69">
    <w:name w:val="Body Text First Indent"/>
    <w:basedOn w:val="15"/>
    <w:qFormat/>
    <w:uiPriority w:val="0"/>
    <w:pPr>
      <w:pBdr>
        <w:top w:val="none" w:color="auto" w:sz="0" w:space="1"/>
        <w:left w:val="none" w:color="auto" w:sz="0" w:space="4"/>
        <w:bottom w:val="none" w:color="auto" w:sz="0" w:space="1"/>
        <w:right w:val="none" w:color="auto" w:sz="0" w:space="4"/>
      </w:pBdr>
      <w:spacing w:before="0" w:beforeLines="0"/>
      <w:ind w:firstLine="0" w:firstLineChars="0"/>
      <w:jc w:val="both"/>
    </w:pPr>
    <w:rPr>
      <w:rFonts w:ascii="Times New Roman" w:hAnsi="Times New Roman"/>
      <w:sz w:val="21"/>
      <w:szCs w:val="24"/>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image" Target="media/image1.png"/><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theme" Target="theme/theme1.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png"/><Relationship Id="rId36" Type="http://schemas.openxmlformats.org/officeDocument/2006/relationships/image" Target="media/image22.jpeg"/><Relationship Id="rId35" Type="http://schemas.openxmlformats.org/officeDocument/2006/relationships/image" Target="media/image21.png"/><Relationship Id="rId34" Type="http://schemas.openxmlformats.org/officeDocument/2006/relationships/image" Target="media/image20.jpeg"/><Relationship Id="rId33" Type="http://schemas.openxmlformats.org/officeDocument/2006/relationships/image" Target="media/image19.png"/><Relationship Id="rId32" Type="http://schemas.openxmlformats.org/officeDocument/2006/relationships/image" Target="media/image18.wmf"/><Relationship Id="rId31" Type="http://schemas.openxmlformats.org/officeDocument/2006/relationships/oleObject" Target="embeddings/oleObject10.bin"/><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emf"/><Relationship Id="rId26" Type="http://schemas.openxmlformats.org/officeDocument/2006/relationships/oleObject" Target="embeddings/oleObject9.bin"/><Relationship Id="rId25" Type="http://schemas.openxmlformats.org/officeDocument/2006/relationships/image" Target="media/image13.emf"/><Relationship Id="rId24" Type="http://schemas.openxmlformats.org/officeDocument/2006/relationships/oleObject" Target="embeddings/oleObject8.bin"/><Relationship Id="rId23" Type="http://schemas.openxmlformats.org/officeDocument/2006/relationships/image" Target="media/image12.emf"/><Relationship Id="rId22" Type="http://schemas.openxmlformats.org/officeDocument/2006/relationships/oleObject" Target="embeddings/oleObject7.bin"/><Relationship Id="rId21" Type="http://schemas.openxmlformats.org/officeDocument/2006/relationships/image" Target="media/image11.e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5.bin"/><Relationship Id="rId17" Type="http://schemas.openxmlformats.org/officeDocument/2006/relationships/image" Target="media/image9.emf"/><Relationship Id="rId16" Type="http://schemas.openxmlformats.org/officeDocument/2006/relationships/oleObject" Target="embeddings/oleObject4.bin"/><Relationship Id="rId15" Type="http://schemas.openxmlformats.org/officeDocument/2006/relationships/image" Target="media/image8.emf"/><Relationship Id="rId14" Type="http://schemas.openxmlformats.org/officeDocument/2006/relationships/oleObject" Target="embeddings/oleObject3.bin"/><Relationship Id="rId13" Type="http://schemas.openxmlformats.org/officeDocument/2006/relationships/image" Target="media/image7.emf"/><Relationship Id="rId12" Type="http://schemas.openxmlformats.org/officeDocument/2006/relationships/oleObject" Target="embeddings/oleObject2.bin"/><Relationship Id="rId11" Type="http://schemas.openxmlformats.org/officeDocument/2006/relationships/image" Target="media/image6.png"/><Relationship Id="rId10" Type="http://schemas.openxmlformats.org/officeDocument/2006/relationships/image" Target="media/image5.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96</Pages>
  <Words>29183</Words>
  <Characters>32188</Characters>
  <Lines>0</Lines>
  <Paragraphs>0</Paragraphs>
  <TotalTime>6</TotalTime>
  <ScaleCrop>false</ScaleCrop>
  <LinksUpToDate>false</LinksUpToDate>
  <CharactersWithSpaces>32276</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2021-03-18T01:30:00Z</dcterms:created>
  <dc:creator>旭昶</dc:creator>
  <cp:lastModifiedBy>乌拉特中旗大数据中心</cp:lastModifiedBy>
  <dcterms:modified xsi:type="dcterms:W3CDTF">2025-06-18T01:25:01Z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F59F5CC2DF9541CC98CE2573391E4509_13</vt:lpwstr>
  </property>
  <property fmtid="{D5CDD505-2E9C-101B-9397-08002B2CF9AE}" pid="4" name="KSOTemplateDocerSaveRecord">
    <vt:lpwstr>eyJoZGlkIjoiM2IxMjJkMTFlZTMxY2NmZGNkNWJkMjViNDFmYjBjY2EiLCJ1c2VySWQiOiIxMzExMjkxMTUzIn0=</vt:lpwstr>
  </property>
</Properties>
</file>