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933247">
      <w:pPr>
        <w:widowControl/>
        <w:jc w:val="left"/>
        <w:rPr>
          <w:rFonts w:hint="eastAsia" w:ascii="宋体" w:hAnsi="宋体" w:eastAsia="宋体" w:cs="宋体"/>
          <w:color w:val="auto"/>
          <w:kern w:val="0"/>
          <w:sz w:val="44"/>
          <w:szCs w:val="44"/>
          <w:lang w:bidi="ar"/>
        </w:rPr>
      </w:pPr>
    </w:p>
    <w:p w14:paraId="1718A978">
      <w:pPr>
        <w:widowControl/>
        <w:jc w:val="left"/>
        <w:rPr>
          <w:rFonts w:hint="eastAsia" w:ascii="宋体" w:hAnsi="宋体" w:eastAsia="宋体" w:cs="宋体"/>
          <w:b/>
          <w:bCs/>
          <w:color w:val="auto"/>
          <w:kern w:val="0"/>
          <w:sz w:val="56"/>
          <w:szCs w:val="56"/>
          <w:lang w:bidi="ar"/>
        </w:rPr>
      </w:pPr>
    </w:p>
    <w:p w14:paraId="31996752">
      <w:pPr>
        <w:adjustRightInd w:val="0"/>
        <w:snapToGrid w:val="0"/>
        <w:jc w:val="center"/>
        <w:outlineLvl w:val="0"/>
        <w:rPr>
          <w:rFonts w:hint="eastAsia" w:ascii="宋体" w:hAnsi="宋体" w:eastAsia="宋体" w:cs="宋体"/>
          <w:b w:val="0"/>
          <w:bCs/>
          <w:color w:val="auto"/>
          <w:sz w:val="72"/>
          <w:szCs w:val="72"/>
        </w:rPr>
      </w:pPr>
      <w:r>
        <w:rPr>
          <w:rFonts w:hint="eastAsia" w:ascii="宋体" w:hAnsi="宋体" w:eastAsia="宋体" w:cs="宋体"/>
          <w:b/>
          <w:bCs w:val="0"/>
          <w:color w:val="auto"/>
          <w:sz w:val="72"/>
          <w:szCs w:val="72"/>
        </w:rPr>
        <w:t>建设项目环境影响报告表</w:t>
      </w:r>
    </w:p>
    <w:p w14:paraId="4AD38343">
      <w:pPr>
        <w:adjustRightInd w:val="0"/>
        <w:snapToGrid w:val="0"/>
        <w:spacing w:before="249" w:beforeLines="80"/>
        <w:jc w:val="center"/>
        <w:rPr>
          <w:rFonts w:hint="eastAsia" w:ascii="宋体" w:hAnsi="宋体" w:eastAsia="宋体" w:cs="宋体"/>
          <w:b/>
          <w:bCs w:val="0"/>
          <w:color w:val="auto"/>
          <w:sz w:val="48"/>
          <w:szCs w:val="48"/>
        </w:rPr>
      </w:pPr>
      <w:r>
        <w:rPr>
          <w:rFonts w:hint="eastAsia" w:ascii="宋体" w:hAnsi="宋体" w:eastAsia="宋体" w:cs="宋体"/>
          <w:b/>
          <w:bCs w:val="0"/>
          <w:color w:val="auto"/>
          <w:sz w:val="48"/>
          <w:szCs w:val="48"/>
        </w:rPr>
        <w:t>（污染影响类）</w:t>
      </w:r>
    </w:p>
    <w:p w14:paraId="5E1C7949">
      <w:pPr>
        <w:widowControl/>
        <w:jc w:val="left"/>
        <w:rPr>
          <w:rFonts w:hint="eastAsia" w:ascii="宋体" w:hAnsi="宋体" w:eastAsia="宋体" w:cs="宋体"/>
          <w:b/>
          <w:bCs/>
          <w:color w:val="auto"/>
          <w:kern w:val="0"/>
          <w:sz w:val="30"/>
          <w:szCs w:val="30"/>
          <w:lang w:bidi="ar"/>
        </w:rPr>
      </w:pPr>
    </w:p>
    <w:p w14:paraId="5649D5F3">
      <w:pPr>
        <w:widowControl/>
        <w:jc w:val="left"/>
        <w:rPr>
          <w:rFonts w:hint="eastAsia" w:ascii="宋体" w:hAnsi="宋体" w:eastAsia="宋体" w:cs="宋体"/>
          <w:b/>
          <w:bCs/>
          <w:color w:val="auto"/>
          <w:kern w:val="0"/>
          <w:sz w:val="30"/>
          <w:szCs w:val="30"/>
          <w:lang w:bidi="ar"/>
        </w:rPr>
      </w:pPr>
    </w:p>
    <w:p w14:paraId="41679DF6">
      <w:pPr>
        <w:widowControl/>
        <w:jc w:val="left"/>
        <w:rPr>
          <w:rFonts w:hint="eastAsia" w:ascii="宋体" w:hAnsi="宋体" w:eastAsia="宋体" w:cs="宋体"/>
          <w:b/>
          <w:bCs/>
          <w:color w:val="auto"/>
          <w:kern w:val="0"/>
          <w:sz w:val="30"/>
          <w:szCs w:val="30"/>
          <w:lang w:bidi="ar"/>
        </w:rPr>
      </w:pPr>
    </w:p>
    <w:p w14:paraId="0E012FC2">
      <w:pPr>
        <w:widowControl/>
        <w:jc w:val="left"/>
        <w:rPr>
          <w:rFonts w:hint="eastAsia" w:ascii="宋体" w:hAnsi="宋体" w:eastAsia="宋体" w:cs="宋体"/>
          <w:b/>
          <w:bCs/>
          <w:color w:val="auto"/>
          <w:kern w:val="0"/>
          <w:sz w:val="30"/>
          <w:szCs w:val="30"/>
          <w:u w:val="single"/>
          <w:lang w:bidi="ar"/>
        </w:rPr>
      </w:pPr>
    </w:p>
    <w:p w14:paraId="27727948">
      <w:pPr>
        <w:widowControl/>
        <w:jc w:val="left"/>
        <w:rPr>
          <w:rFonts w:hint="eastAsia" w:ascii="宋体" w:hAnsi="宋体" w:eastAsia="宋体" w:cs="宋体"/>
          <w:b/>
          <w:bCs/>
          <w:color w:val="auto"/>
          <w:kern w:val="0"/>
          <w:sz w:val="30"/>
          <w:szCs w:val="30"/>
          <w:u w:val="single"/>
          <w:lang w:bidi="ar"/>
        </w:rPr>
      </w:pPr>
    </w:p>
    <w:p w14:paraId="5C89709A">
      <w:pPr>
        <w:widowControl/>
        <w:spacing w:line="360" w:lineRule="auto"/>
        <w:ind w:left="2115" w:leftChars="150" w:right="315" w:rightChars="150" w:hanging="1800" w:hangingChars="500"/>
        <w:jc w:val="left"/>
        <w:rPr>
          <w:rFonts w:hint="eastAsia" w:ascii="宋体" w:hAnsi="宋体" w:eastAsia="宋体" w:cs="宋体"/>
          <w:color w:val="auto"/>
          <w:sz w:val="36"/>
          <w:szCs w:val="36"/>
        </w:rPr>
      </w:pPr>
      <w:r>
        <w:rPr>
          <w:rFonts w:hint="eastAsia" w:ascii="宋体" w:hAnsi="宋体" w:eastAsia="宋体" w:cs="宋体"/>
          <w:color w:val="auto"/>
          <w:kern w:val="0"/>
          <w:sz w:val="36"/>
          <w:szCs w:val="36"/>
          <w:lang w:bidi="ar"/>
        </w:rPr>
        <w:t>项目名称：</w:t>
      </w:r>
      <w:r>
        <w:rPr>
          <w:rFonts w:hint="eastAsia" w:eastAsia="宋体" w:cs="宋体"/>
          <w:color w:val="auto"/>
          <w:kern w:val="0"/>
          <w:sz w:val="36"/>
          <w:szCs w:val="36"/>
          <w:u w:val="single"/>
          <w:lang w:eastAsia="zh-CN" w:bidi="ar"/>
        </w:rPr>
        <w:t>巴彦淖尔盛安化工有限责任公司乌拉特中旗分公司锅炉技改项目</w:t>
      </w:r>
      <w:r>
        <w:rPr>
          <w:rFonts w:hint="eastAsia" w:ascii="宋体" w:hAnsi="宋体" w:eastAsia="宋体" w:cs="宋体"/>
          <w:color w:val="auto"/>
          <w:kern w:val="0"/>
          <w:sz w:val="36"/>
          <w:szCs w:val="36"/>
          <w:u w:val="single"/>
          <w:lang w:bidi="ar"/>
        </w:rPr>
        <w:t xml:space="preserve">                </w:t>
      </w:r>
    </w:p>
    <w:p w14:paraId="75E44FE3">
      <w:pPr>
        <w:widowControl/>
        <w:spacing w:line="360" w:lineRule="auto"/>
        <w:ind w:left="3555" w:leftChars="150" w:right="315" w:rightChars="150" w:hanging="3240" w:hangingChars="900"/>
        <w:jc w:val="left"/>
        <w:rPr>
          <w:rFonts w:hint="eastAsia" w:ascii="宋体" w:hAnsi="宋体" w:eastAsia="宋体" w:cs="宋体"/>
          <w:color w:val="auto"/>
          <w:kern w:val="0"/>
          <w:sz w:val="36"/>
          <w:szCs w:val="36"/>
          <w:lang w:bidi="ar"/>
        </w:rPr>
      </w:pPr>
      <w:r>
        <w:rPr>
          <w:rFonts w:hint="eastAsia" w:ascii="宋体" w:hAnsi="宋体" w:eastAsia="宋体" w:cs="宋体"/>
          <w:color w:val="auto"/>
          <w:kern w:val="0"/>
          <w:sz w:val="36"/>
          <w:szCs w:val="36"/>
          <w:lang w:bidi="ar"/>
        </w:rPr>
        <w:t>建设单位（盖章）：</w:t>
      </w:r>
      <w:r>
        <w:rPr>
          <w:rFonts w:hint="eastAsia" w:ascii="宋体" w:hAnsi="宋体" w:eastAsia="宋体" w:cs="宋体"/>
          <w:color w:val="auto"/>
          <w:kern w:val="0"/>
          <w:sz w:val="36"/>
          <w:szCs w:val="36"/>
          <w:u w:val="single"/>
          <w:lang w:eastAsia="zh-CN" w:bidi="ar"/>
        </w:rPr>
        <w:t>巴彦淖尔盛安化工有限责任公司乌拉特中旗分公司</w:t>
      </w:r>
      <w:r>
        <w:rPr>
          <w:rFonts w:hint="eastAsia" w:ascii="宋体" w:hAnsi="宋体" w:eastAsia="宋体" w:cs="宋体"/>
          <w:color w:val="auto"/>
          <w:kern w:val="0"/>
          <w:sz w:val="36"/>
          <w:szCs w:val="36"/>
          <w:u w:val="single"/>
          <w:lang w:bidi="ar"/>
        </w:rPr>
        <w:t xml:space="preserve">            </w:t>
      </w:r>
    </w:p>
    <w:p w14:paraId="765EEFF1">
      <w:pPr>
        <w:widowControl/>
        <w:spacing w:line="360" w:lineRule="auto"/>
        <w:ind w:left="315" w:leftChars="150" w:right="315" w:rightChars="150"/>
        <w:jc w:val="left"/>
        <w:rPr>
          <w:rFonts w:hint="eastAsia" w:ascii="宋体" w:hAnsi="宋体" w:eastAsia="宋体" w:cs="宋体"/>
          <w:color w:val="auto"/>
          <w:kern w:val="0"/>
          <w:sz w:val="32"/>
          <w:szCs w:val="32"/>
          <w:lang w:bidi="ar"/>
        </w:rPr>
      </w:pPr>
      <w:r>
        <w:rPr>
          <w:rFonts w:hint="eastAsia" w:ascii="宋体" w:hAnsi="宋体" w:eastAsia="宋体" w:cs="宋体"/>
          <w:color w:val="auto"/>
          <w:kern w:val="0"/>
          <w:sz w:val="36"/>
          <w:szCs w:val="36"/>
          <w:lang w:bidi="ar"/>
        </w:rPr>
        <w:t>编制日期：</w:t>
      </w:r>
      <w:r>
        <w:rPr>
          <w:rFonts w:hint="eastAsia" w:ascii="宋体" w:hAnsi="宋体" w:eastAsia="宋体" w:cs="宋体"/>
          <w:color w:val="auto"/>
          <w:kern w:val="0"/>
          <w:sz w:val="36"/>
          <w:szCs w:val="36"/>
          <w:u w:val="single"/>
          <w:lang w:bidi="ar"/>
        </w:rPr>
        <w:t xml:space="preserve">         </w:t>
      </w:r>
      <w:r>
        <w:rPr>
          <w:rFonts w:hint="eastAsia" w:ascii="宋体" w:hAnsi="宋体" w:eastAsia="宋体" w:cs="宋体"/>
          <w:color w:val="auto"/>
          <w:sz w:val="36"/>
          <w:szCs w:val="36"/>
          <w:u w:val="single"/>
        </w:rPr>
        <w:t xml:space="preserve"> 202</w:t>
      </w:r>
      <w:r>
        <w:rPr>
          <w:rFonts w:hint="eastAsia" w:ascii="宋体" w:hAnsi="宋体" w:eastAsia="宋体" w:cs="宋体"/>
          <w:color w:val="auto"/>
          <w:sz w:val="36"/>
          <w:szCs w:val="36"/>
          <w:u w:val="single"/>
          <w:lang w:val="en-US" w:eastAsia="zh-CN"/>
        </w:rPr>
        <w:t>5</w:t>
      </w:r>
      <w:r>
        <w:rPr>
          <w:rFonts w:hint="eastAsia" w:ascii="宋体" w:hAnsi="宋体" w:eastAsia="宋体" w:cs="宋体"/>
          <w:color w:val="auto"/>
          <w:sz w:val="36"/>
          <w:szCs w:val="36"/>
          <w:u w:val="single"/>
        </w:rPr>
        <w:t>年</w:t>
      </w:r>
      <w:r>
        <w:rPr>
          <w:rFonts w:hint="eastAsia" w:ascii="宋体" w:hAnsi="宋体" w:eastAsia="宋体" w:cs="宋体"/>
          <w:color w:val="auto"/>
          <w:sz w:val="36"/>
          <w:szCs w:val="36"/>
          <w:u w:val="single"/>
          <w:lang w:val="en-US" w:eastAsia="zh-CN"/>
        </w:rPr>
        <w:t>7</w:t>
      </w:r>
      <w:r>
        <w:rPr>
          <w:rFonts w:hint="eastAsia" w:ascii="宋体" w:hAnsi="宋体" w:eastAsia="宋体" w:cs="宋体"/>
          <w:color w:val="auto"/>
          <w:sz w:val="36"/>
          <w:szCs w:val="36"/>
          <w:u w:val="single"/>
        </w:rPr>
        <w:t>月</w:t>
      </w:r>
      <w:r>
        <w:rPr>
          <w:rFonts w:hint="eastAsia" w:ascii="宋体" w:hAnsi="宋体" w:eastAsia="宋体" w:cs="宋体"/>
          <w:color w:val="auto"/>
          <w:kern w:val="0"/>
          <w:sz w:val="36"/>
          <w:szCs w:val="36"/>
          <w:u w:val="single"/>
          <w:lang w:bidi="ar"/>
        </w:rPr>
        <w:t xml:space="preserve">            </w:t>
      </w:r>
    </w:p>
    <w:p w14:paraId="3006C6A3">
      <w:pPr>
        <w:pStyle w:val="10"/>
        <w:ind w:left="0" w:leftChars="0" w:firstLine="0" w:firstLineChars="0"/>
        <w:rPr>
          <w:rFonts w:hint="eastAsia" w:ascii="宋体" w:hAnsi="宋体" w:eastAsia="宋体" w:cs="宋体"/>
          <w:color w:val="auto"/>
        </w:rPr>
      </w:pPr>
    </w:p>
    <w:p w14:paraId="2B30CABD">
      <w:pPr>
        <w:rPr>
          <w:rFonts w:hint="eastAsia" w:ascii="宋体" w:hAnsi="宋体" w:eastAsia="宋体" w:cs="宋体"/>
          <w:color w:val="auto"/>
        </w:rPr>
      </w:pPr>
    </w:p>
    <w:p w14:paraId="2B209117">
      <w:pPr>
        <w:pStyle w:val="14"/>
        <w:rPr>
          <w:rFonts w:hint="eastAsia" w:ascii="宋体" w:hAnsi="宋体" w:eastAsia="宋体" w:cs="宋体"/>
          <w:color w:val="auto"/>
        </w:rPr>
      </w:pPr>
    </w:p>
    <w:p w14:paraId="190983F3">
      <w:pPr>
        <w:pStyle w:val="14"/>
        <w:ind w:left="0" w:firstLine="0" w:firstLineChars="0"/>
        <w:rPr>
          <w:rFonts w:hint="eastAsia" w:ascii="宋体" w:hAnsi="宋体" w:eastAsia="宋体" w:cs="宋体"/>
          <w:color w:val="auto"/>
        </w:rPr>
      </w:pPr>
    </w:p>
    <w:p w14:paraId="71E40CBB">
      <w:pPr>
        <w:widowControl/>
        <w:jc w:val="center"/>
        <w:rPr>
          <w:rFonts w:hint="eastAsia" w:ascii="宋体" w:hAnsi="宋体" w:eastAsia="宋体" w:cs="宋体"/>
          <w:color w:val="auto"/>
          <w:kern w:val="0"/>
          <w:sz w:val="32"/>
          <w:szCs w:val="32"/>
          <w:lang w:bidi="ar"/>
        </w:rPr>
      </w:pPr>
      <w:r>
        <w:rPr>
          <w:rFonts w:hint="eastAsia" w:ascii="宋体" w:hAnsi="宋体" w:eastAsia="宋体" w:cs="宋体"/>
          <w:color w:val="auto"/>
          <w:sz w:val="36"/>
          <w:szCs w:val="36"/>
        </w:rPr>
        <w:t>中华人民共和国生态环境部制</w:t>
      </w:r>
    </w:p>
    <w:p w14:paraId="7A1E1F0B">
      <w:pPr>
        <w:rPr>
          <w:rFonts w:hint="eastAsia" w:ascii="宋体" w:hAnsi="宋体" w:eastAsia="宋体" w:cs="宋体"/>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51DC871">
      <w:pPr>
        <w:pStyle w:val="24"/>
        <w:ind w:firstLine="600"/>
        <w:jc w:val="center"/>
        <w:outlineLvl w:val="0"/>
        <w:rPr>
          <w:rFonts w:hint="eastAsia" w:ascii="宋体" w:hAnsi="宋体" w:eastAsia="宋体" w:cs="宋体"/>
          <w:snapToGrid w:val="0"/>
          <w:color w:val="auto"/>
          <w:sz w:val="30"/>
          <w:szCs w:val="30"/>
        </w:rPr>
      </w:pPr>
      <w:r>
        <w:rPr>
          <w:rFonts w:hint="eastAsia" w:ascii="宋体" w:hAnsi="宋体" w:eastAsia="宋体" w:cs="宋体"/>
          <w:snapToGrid w:val="0"/>
          <w:color w:val="auto"/>
          <w:sz w:val="30"/>
          <w:szCs w:val="30"/>
        </w:rPr>
        <w:t>一、建设项目基本情况</w:t>
      </w:r>
    </w:p>
    <w:tbl>
      <w:tblPr>
        <w:tblStyle w:val="27"/>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9"/>
        <w:gridCol w:w="2005"/>
        <w:gridCol w:w="1850"/>
        <w:gridCol w:w="3332"/>
      </w:tblGrid>
      <w:tr w14:paraId="2795C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0B9306F7">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建设项目名称</w:t>
            </w:r>
          </w:p>
        </w:tc>
        <w:tc>
          <w:tcPr>
            <w:tcW w:w="7187" w:type="dxa"/>
            <w:gridSpan w:val="3"/>
            <w:vAlign w:val="center"/>
          </w:tcPr>
          <w:p w14:paraId="57508D5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lang w:eastAsia="zh-CN"/>
              </w:rPr>
            </w:pPr>
            <w:r>
              <w:rPr>
                <w:rFonts w:hint="eastAsia" w:eastAsia="宋体" w:cs="宋体"/>
                <w:color w:val="auto"/>
                <w:sz w:val="24"/>
                <w:lang w:eastAsia="zh-CN"/>
              </w:rPr>
              <w:t>巴彦淖尔盛安化工有限责任公司乌拉特中旗分公司锅炉技改项目</w:t>
            </w:r>
          </w:p>
        </w:tc>
      </w:tr>
      <w:tr w14:paraId="1E42C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09A78D0B">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项目代码</w:t>
            </w:r>
          </w:p>
        </w:tc>
        <w:tc>
          <w:tcPr>
            <w:tcW w:w="7187" w:type="dxa"/>
            <w:gridSpan w:val="3"/>
            <w:vAlign w:val="center"/>
          </w:tcPr>
          <w:p w14:paraId="5860BC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4"/>
              </w:rPr>
            </w:pPr>
            <w:r>
              <w:rPr>
                <w:rFonts w:hint="eastAsia" w:ascii="宋体" w:hAnsi="宋体" w:eastAsia="宋体" w:cs="宋体"/>
                <w:color w:val="auto"/>
                <w:sz w:val="24"/>
              </w:rPr>
              <w:t>无</w:t>
            </w:r>
          </w:p>
        </w:tc>
      </w:tr>
      <w:tr w14:paraId="48C08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48DB9755">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建设单位联系人</w:t>
            </w:r>
          </w:p>
        </w:tc>
        <w:tc>
          <w:tcPr>
            <w:tcW w:w="2005" w:type="dxa"/>
            <w:vAlign w:val="center"/>
          </w:tcPr>
          <w:p w14:paraId="46C2D1B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lang w:eastAsia="zh-CN"/>
              </w:rPr>
            </w:pPr>
            <w:r>
              <w:rPr>
                <w:rFonts w:hint="eastAsia" w:ascii="宋体" w:hAnsi="宋体" w:eastAsia="宋体" w:cs="宋体"/>
                <w:color w:val="auto"/>
                <w:sz w:val="24"/>
                <w:lang w:val="en-US" w:eastAsia="zh-CN"/>
              </w:rPr>
              <w:t>周瑞平</w:t>
            </w:r>
          </w:p>
        </w:tc>
        <w:tc>
          <w:tcPr>
            <w:tcW w:w="1850" w:type="dxa"/>
            <w:vAlign w:val="center"/>
          </w:tcPr>
          <w:p w14:paraId="669B067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联系方式</w:t>
            </w:r>
          </w:p>
        </w:tc>
        <w:tc>
          <w:tcPr>
            <w:tcW w:w="3332" w:type="dxa"/>
            <w:vAlign w:val="center"/>
          </w:tcPr>
          <w:p w14:paraId="457959AB">
            <w:pPr>
              <w:keepNext w:val="0"/>
              <w:keepLines w:val="0"/>
              <w:suppressLineNumbers w:val="0"/>
              <w:spacing w:before="0" w:beforeAutospacing="0" w:after="0" w:afterAutospacing="0" w:line="360" w:lineRule="exact"/>
              <w:ind w:left="0" w:right="0"/>
              <w:jc w:val="center"/>
              <w:rPr>
                <w:rFonts w:hint="default" w:ascii="宋体" w:hAnsi="宋体" w:eastAsia="宋体" w:cs="宋体"/>
                <w:color w:val="auto"/>
                <w:sz w:val="24"/>
                <w:lang w:val="en-US"/>
              </w:rPr>
            </w:pPr>
            <w:r>
              <w:rPr>
                <w:rFonts w:hint="eastAsia" w:eastAsia="宋体" w:cs="宋体"/>
                <w:color w:val="auto"/>
                <w:sz w:val="24"/>
                <w:lang w:val="en-US" w:eastAsia="zh-CN"/>
              </w:rPr>
              <w:t>15047333912</w:t>
            </w:r>
          </w:p>
        </w:tc>
      </w:tr>
      <w:tr w14:paraId="2757F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7FC378D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建设地点</w:t>
            </w:r>
          </w:p>
        </w:tc>
        <w:tc>
          <w:tcPr>
            <w:tcW w:w="7187" w:type="dxa"/>
            <w:gridSpan w:val="3"/>
            <w:vAlign w:val="center"/>
          </w:tcPr>
          <w:p w14:paraId="3545408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内蒙古自治区巴彦淖尔市乌拉特中旗新忽热苏木长山壕金矿内蒙古太平矿业已弃用闲置的危险品总仓库区</w:t>
            </w:r>
          </w:p>
        </w:tc>
      </w:tr>
      <w:tr w14:paraId="792D1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2551E99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地理坐标</w:t>
            </w:r>
          </w:p>
        </w:tc>
        <w:tc>
          <w:tcPr>
            <w:tcW w:w="7187" w:type="dxa"/>
            <w:gridSpan w:val="3"/>
            <w:vAlign w:val="center"/>
          </w:tcPr>
          <w:p w14:paraId="72020EF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color w:val="auto"/>
                <w:sz w:val="24"/>
              </w:rPr>
              <w:t xml:space="preserve"> 东经：</w:t>
            </w:r>
            <w:r>
              <w:rPr>
                <w:rFonts w:hint="eastAsia" w:ascii="宋体" w:hAnsi="宋体" w:eastAsia="宋体" w:cs="宋体"/>
                <w:color w:val="auto"/>
                <w:sz w:val="24"/>
                <w:u w:val="single"/>
              </w:rPr>
              <w:t xml:space="preserve"> 10</w:t>
            </w:r>
            <w:r>
              <w:rPr>
                <w:rFonts w:hint="eastAsia" w:ascii="宋体" w:hAnsi="宋体" w:eastAsia="宋体" w:cs="宋体"/>
                <w:color w:val="auto"/>
                <w:sz w:val="24"/>
                <w:u w:val="single"/>
                <w:lang w:val="en-US" w:eastAsia="zh-CN"/>
              </w:rPr>
              <w:t>9</w:t>
            </w:r>
            <w:r>
              <w:rPr>
                <w:rFonts w:hint="eastAsia" w:ascii="宋体" w:hAnsi="宋体" w:eastAsia="宋体" w:cs="宋体"/>
                <w:color w:val="auto"/>
                <w:sz w:val="24"/>
                <w:u w:val="single"/>
              </w:rPr>
              <w:t xml:space="preserve"> </w:t>
            </w:r>
            <w:r>
              <w:rPr>
                <w:rFonts w:hint="eastAsia" w:ascii="宋体" w:hAnsi="宋体" w:eastAsia="宋体" w:cs="宋体"/>
                <w:color w:val="auto"/>
                <w:sz w:val="24"/>
              </w:rPr>
              <w:t>度</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16</w:t>
            </w:r>
            <w:r>
              <w:rPr>
                <w:rFonts w:hint="eastAsia" w:ascii="宋体" w:hAnsi="宋体" w:eastAsia="宋体" w:cs="宋体"/>
                <w:color w:val="auto"/>
                <w:sz w:val="24"/>
                <w:u w:val="single"/>
              </w:rPr>
              <w:t xml:space="preserve"> </w:t>
            </w:r>
            <w:r>
              <w:rPr>
                <w:rFonts w:hint="eastAsia" w:ascii="宋体" w:hAnsi="宋体" w:eastAsia="宋体" w:cs="宋体"/>
                <w:color w:val="auto"/>
                <w:sz w:val="24"/>
              </w:rPr>
              <w:t>分</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19.987</w:t>
            </w:r>
            <w:r>
              <w:rPr>
                <w:rFonts w:hint="eastAsia" w:ascii="宋体" w:hAnsi="宋体" w:eastAsia="宋体" w:cs="宋体"/>
                <w:color w:val="auto"/>
                <w:sz w:val="24"/>
                <w:u w:val="single"/>
              </w:rPr>
              <w:t xml:space="preserve"> </w:t>
            </w:r>
            <w:r>
              <w:rPr>
                <w:rFonts w:hint="eastAsia" w:ascii="宋体" w:hAnsi="宋体" w:eastAsia="宋体" w:cs="宋体"/>
                <w:color w:val="auto"/>
                <w:sz w:val="24"/>
              </w:rPr>
              <w:t>秒，北纬：</w:t>
            </w:r>
            <w:r>
              <w:rPr>
                <w:rFonts w:hint="eastAsia" w:ascii="宋体" w:hAnsi="宋体" w:eastAsia="宋体" w:cs="宋体"/>
                <w:color w:val="auto"/>
                <w:sz w:val="24"/>
                <w:u w:val="single"/>
              </w:rPr>
              <w:t xml:space="preserve"> 4</w:t>
            </w:r>
            <w:r>
              <w:rPr>
                <w:rFonts w:hint="eastAsia" w:ascii="宋体" w:hAnsi="宋体" w:eastAsia="宋体" w:cs="宋体"/>
                <w:color w:val="auto"/>
                <w:sz w:val="24"/>
                <w:u w:val="single"/>
                <w:lang w:val="en-US" w:eastAsia="zh-CN"/>
              </w:rPr>
              <w:t>1</w:t>
            </w:r>
            <w:r>
              <w:rPr>
                <w:rFonts w:hint="eastAsia" w:ascii="宋体" w:hAnsi="宋体" w:eastAsia="宋体" w:cs="宋体"/>
                <w:color w:val="auto"/>
                <w:sz w:val="24"/>
                <w:u w:val="single"/>
              </w:rPr>
              <w:t xml:space="preserve"> </w:t>
            </w:r>
            <w:r>
              <w:rPr>
                <w:rFonts w:hint="eastAsia" w:ascii="宋体" w:hAnsi="宋体" w:eastAsia="宋体" w:cs="宋体"/>
                <w:color w:val="auto"/>
                <w:sz w:val="24"/>
              </w:rPr>
              <w:t>度</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39</w:t>
            </w:r>
            <w:r>
              <w:rPr>
                <w:rFonts w:hint="eastAsia" w:ascii="宋体" w:hAnsi="宋体" w:eastAsia="宋体" w:cs="宋体"/>
                <w:color w:val="auto"/>
                <w:sz w:val="24"/>
                <w:u w:val="single"/>
              </w:rPr>
              <w:t xml:space="preserve"> </w:t>
            </w:r>
            <w:r>
              <w:rPr>
                <w:rFonts w:hint="eastAsia" w:ascii="宋体" w:hAnsi="宋体" w:eastAsia="宋体" w:cs="宋体"/>
                <w:color w:val="auto"/>
                <w:sz w:val="24"/>
              </w:rPr>
              <w:t>分</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39.886</w:t>
            </w:r>
            <w:r>
              <w:rPr>
                <w:rFonts w:hint="eastAsia" w:ascii="宋体" w:hAnsi="宋体" w:eastAsia="宋体" w:cs="宋体"/>
                <w:color w:val="auto"/>
                <w:sz w:val="24"/>
                <w:u w:val="single"/>
              </w:rPr>
              <w:t xml:space="preserve"> </w:t>
            </w:r>
            <w:r>
              <w:rPr>
                <w:rFonts w:hint="eastAsia" w:ascii="宋体" w:hAnsi="宋体" w:eastAsia="宋体" w:cs="宋体"/>
                <w:color w:val="auto"/>
                <w:sz w:val="24"/>
              </w:rPr>
              <w:t>秒</w:t>
            </w:r>
          </w:p>
        </w:tc>
      </w:tr>
      <w:tr w14:paraId="4AA65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013C7435">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国民经济</w:t>
            </w:r>
          </w:p>
          <w:p w14:paraId="33F25F1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行业类别</w:t>
            </w:r>
          </w:p>
        </w:tc>
        <w:tc>
          <w:tcPr>
            <w:tcW w:w="2005" w:type="dxa"/>
            <w:vAlign w:val="center"/>
          </w:tcPr>
          <w:p w14:paraId="6F46F466">
            <w:pPr>
              <w:pStyle w:val="10"/>
              <w:keepNext w:val="0"/>
              <w:keepLines w:val="0"/>
              <w:suppressLineNumbers w:val="0"/>
              <w:spacing w:before="0" w:beforeAutospacing="0" w:afterAutospacing="0" w:line="360" w:lineRule="exact"/>
              <w:ind w:left="0" w:leftChars="0" w:right="0" w:firstLine="0" w:firstLineChars="0"/>
              <w:jc w:val="center"/>
              <w:rPr>
                <w:rFonts w:hint="eastAsia" w:ascii="宋体" w:hAnsi="宋体" w:eastAsia="宋体" w:cs="宋体"/>
                <w:color w:val="auto"/>
                <w:sz w:val="24"/>
                <w:szCs w:val="24"/>
              </w:rPr>
            </w:pPr>
          </w:p>
          <w:p w14:paraId="2BE0BD4F">
            <w:pPr>
              <w:pStyle w:val="10"/>
              <w:keepNext w:val="0"/>
              <w:keepLines w:val="0"/>
              <w:suppressLineNumbers w:val="0"/>
              <w:spacing w:before="0" w:beforeAutospacing="0" w:afterAutospacing="0" w:line="360" w:lineRule="exact"/>
              <w:ind w:left="0" w:leftChars="0" w:right="0" w:firstLine="0" w:firstLineChars="0"/>
              <w:jc w:val="center"/>
              <w:rPr>
                <w:rFonts w:hint="eastAsia" w:ascii="宋体" w:hAnsi="宋体" w:eastAsia="宋体" w:cs="宋体"/>
                <w:color w:val="auto"/>
                <w:sz w:val="24"/>
                <w:szCs w:val="24"/>
              </w:rPr>
            </w:pPr>
            <w:r>
              <w:rPr>
                <w:rFonts w:hint="eastAsia" w:ascii="宋体" w:hAnsi="宋体" w:eastAsia="宋体" w:cs="宋体"/>
                <w:color w:val="auto"/>
                <w:sz w:val="24"/>
                <w:szCs w:val="24"/>
              </w:rPr>
              <w:t>D4430热力生产和供应</w:t>
            </w:r>
          </w:p>
        </w:tc>
        <w:tc>
          <w:tcPr>
            <w:tcW w:w="1850" w:type="dxa"/>
            <w:vAlign w:val="center"/>
          </w:tcPr>
          <w:p w14:paraId="5382F33B">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建设项目</w:t>
            </w:r>
          </w:p>
          <w:p w14:paraId="2A221AF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行业类别</w:t>
            </w:r>
          </w:p>
        </w:tc>
        <w:tc>
          <w:tcPr>
            <w:tcW w:w="3332" w:type="dxa"/>
            <w:vAlign w:val="center"/>
          </w:tcPr>
          <w:p w14:paraId="5CA80E3C">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sz w:val="24"/>
              </w:rPr>
            </w:pPr>
            <w:r>
              <w:rPr>
                <w:rFonts w:hint="eastAsia" w:ascii="宋体" w:hAnsi="宋体" w:eastAsia="宋体" w:cs="宋体"/>
                <w:color w:val="auto"/>
                <w:sz w:val="24"/>
              </w:rPr>
              <w:t>四十一、电力、热力生产和供应业—91热力生产和供应工程（包括建设单位自建自用的供热工程）—燃煤、燃油锅炉总容量65吨/小时（45.5兆瓦）及以下的；天然气锅炉总容量1吨/小时（0.7兆瓦）以上的；使用其他高污染燃料的</w:t>
            </w:r>
          </w:p>
        </w:tc>
      </w:tr>
      <w:tr w14:paraId="5A7E6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65BB46F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建设性质</w:t>
            </w:r>
          </w:p>
        </w:tc>
        <w:tc>
          <w:tcPr>
            <w:tcW w:w="2005" w:type="dxa"/>
            <w:vAlign w:val="center"/>
          </w:tcPr>
          <w:p w14:paraId="034EEDB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rPr>
              <w:sym w:font="Wingdings 2" w:char="00A3"/>
            </w:r>
            <w:r>
              <w:rPr>
                <w:rFonts w:hint="eastAsia" w:ascii="宋体" w:hAnsi="宋体" w:eastAsia="宋体" w:cs="宋体"/>
                <w:color w:val="auto"/>
                <w:sz w:val="24"/>
              </w:rPr>
              <w:t>新建（迁建）</w:t>
            </w:r>
          </w:p>
          <w:p w14:paraId="35596654">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rPr>
              <w:sym w:font="Wingdings 2" w:char="00A3"/>
            </w:r>
            <w:r>
              <w:rPr>
                <w:rFonts w:hint="eastAsia" w:ascii="宋体" w:hAnsi="宋体" w:eastAsia="宋体" w:cs="宋体"/>
                <w:color w:val="auto"/>
                <w:sz w:val="24"/>
              </w:rPr>
              <w:t>改建</w:t>
            </w:r>
          </w:p>
          <w:p w14:paraId="6053938B">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rPr>
              <w:sym w:font="Wingdings 2" w:char="00A3"/>
            </w:r>
            <w:r>
              <w:rPr>
                <w:rFonts w:hint="eastAsia" w:ascii="宋体" w:hAnsi="宋体" w:eastAsia="宋体" w:cs="宋体"/>
                <w:color w:val="auto"/>
                <w:sz w:val="24"/>
              </w:rPr>
              <w:t>扩建</w:t>
            </w:r>
          </w:p>
          <w:p w14:paraId="7AC453E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rPr>
              <w:sym w:font="Wingdings 2" w:char="0052"/>
            </w:r>
            <w:r>
              <w:rPr>
                <w:rFonts w:hint="eastAsia" w:ascii="宋体" w:hAnsi="宋体" w:eastAsia="宋体" w:cs="宋体"/>
                <w:color w:val="auto"/>
                <w:sz w:val="24"/>
              </w:rPr>
              <w:t>技术改造</w:t>
            </w:r>
          </w:p>
        </w:tc>
        <w:tc>
          <w:tcPr>
            <w:tcW w:w="1850" w:type="dxa"/>
            <w:vAlign w:val="center"/>
          </w:tcPr>
          <w:p w14:paraId="26CFCA3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color w:val="auto"/>
                <w:sz w:val="24"/>
              </w:rPr>
              <w:t>建设项目</w:t>
            </w:r>
          </w:p>
          <w:p w14:paraId="6DB88FF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color w:val="auto"/>
                <w:sz w:val="24"/>
              </w:rPr>
              <w:t>申报情形</w:t>
            </w:r>
          </w:p>
        </w:tc>
        <w:tc>
          <w:tcPr>
            <w:tcW w:w="3332" w:type="dxa"/>
            <w:vAlign w:val="center"/>
          </w:tcPr>
          <w:p w14:paraId="383B4E89">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rPr>
              <w:sym w:font="Wingdings 2" w:char="0052"/>
            </w:r>
            <w:r>
              <w:rPr>
                <w:rFonts w:hint="eastAsia" w:ascii="宋体" w:hAnsi="宋体" w:eastAsia="宋体" w:cs="宋体"/>
                <w:color w:val="auto"/>
                <w:sz w:val="24"/>
              </w:rPr>
              <w:t xml:space="preserve">首次申报项目             </w:t>
            </w:r>
          </w:p>
          <w:p w14:paraId="5673B5E7">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rPr>
              <w:t>不予批准后再次申报项目</w:t>
            </w:r>
          </w:p>
          <w:p w14:paraId="247C52AD">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rPr>
              <w:sym w:font="Wingdings 2" w:char="00A3"/>
            </w:r>
            <w:r>
              <w:rPr>
                <w:rFonts w:hint="eastAsia" w:ascii="宋体" w:hAnsi="宋体" w:eastAsia="宋体" w:cs="宋体"/>
                <w:color w:val="auto"/>
                <w:sz w:val="24"/>
              </w:rPr>
              <w:t xml:space="preserve">超五年重新审核项目     </w:t>
            </w:r>
          </w:p>
          <w:p w14:paraId="403371B1">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eastAsia="宋体" w:cs="宋体"/>
                <w:color w:val="auto"/>
                <w:sz w:val="24"/>
              </w:rPr>
              <w:t>重大变动重新报批项目</w:t>
            </w:r>
          </w:p>
        </w:tc>
      </w:tr>
      <w:tr w14:paraId="76D7E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1711231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项目审批（核准/备案）部门（选填）</w:t>
            </w:r>
          </w:p>
        </w:tc>
        <w:tc>
          <w:tcPr>
            <w:tcW w:w="2005" w:type="dxa"/>
            <w:vAlign w:val="center"/>
          </w:tcPr>
          <w:p w14:paraId="4606CF0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color w:val="auto"/>
                <w:sz w:val="24"/>
              </w:rPr>
              <w:t>/</w:t>
            </w:r>
          </w:p>
        </w:tc>
        <w:tc>
          <w:tcPr>
            <w:tcW w:w="1850" w:type="dxa"/>
            <w:vAlign w:val="center"/>
          </w:tcPr>
          <w:p w14:paraId="39665F6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项目审批（核准/备案）文号（选填）</w:t>
            </w:r>
          </w:p>
        </w:tc>
        <w:tc>
          <w:tcPr>
            <w:tcW w:w="3332" w:type="dxa"/>
            <w:vAlign w:val="center"/>
          </w:tcPr>
          <w:p w14:paraId="60ADDFF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color w:val="auto"/>
                <w:sz w:val="24"/>
              </w:rPr>
              <w:t>/</w:t>
            </w:r>
          </w:p>
        </w:tc>
      </w:tr>
      <w:tr w14:paraId="0DB6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629E10C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rPr>
            </w:pPr>
            <w:r>
              <w:rPr>
                <w:rFonts w:hint="eastAsia" w:ascii="宋体" w:hAnsi="宋体" w:eastAsia="宋体" w:cs="宋体"/>
                <w:b/>
                <w:bCs/>
                <w:color w:val="auto"/>
                <w:sz w:val="24"/>
                <w:highlight w:val="none"/>
              </w:rPr>
              <w:t>总投资（万元）</w:t>
            </w:r>
          </w:p>
        </w:tc>
        <w:tc>
          <w:tcPr>
            <w:tcW w:w="2005" w:type="dxa"/>
            <w:vAlign w:val="center"/>
          </w:tcPr>
          <w:p w14:paraId="6EBF03D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30</w:t>
            </w:r>
          </w:p>
        </w:tc>
        <w:tc>
          <w:tcPr>
            <w:tcW w:w="1850" w:type="dxa"/>
            <w:vAlign w:val="center"/>
          </w:tcPr>
          <w:p w14:paraId="7AFCCA0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rPr>
            </w:pPr>
            <w:r>
              <w:rPr>
                <w:rFonts w:hint="eastAsia" w:ascii="宋体" w:hAnsi="宋体" w:eastAsia="宋体" w:cs="宋体"/>
                <w:b/>
                <w:bCs/>
                <w:color w:val="auto"/>
                <w:sz w:val="24"/>
                <w:highlight w:val="none"/>
              </w:rPr>
              <w:t>环保投资（万元）</w:t>
            </w:r>
          </w:p>
        </w:tc>
        <w:tc>
          <w:tcPr>
            <w:tcW w:w="3332" w:type="dxa"/>
            <w:vAlign w:val="center"/>
          </w:tcPr>
          <w:p w14:paraId="10A87CD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12</w:t>
            </w:r>
          </w:p>
        </w:tc>
      </w:tr>
      <w:tr w14:paraId="5309C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775D004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rPr>
            </w:pPr>
            <w:r>
              <w:rPr>
                <w:rFonts w:hint="eastAsia" w:ascii="宋体" w:hAnsi="宋体" w:eastAsia="宋体" w:cs="宋体"/>
                <w:b/>
                <w:bCs/>
                <w:color w:val="auto"/>
                <w:sz w:val="24"/>
                <w:highlight w:val="none"/>
              </w:rPr>
              <w:t>环保投资占比（%）</w:t>
            </w:r>
          </w:p>
        </w:tc>
        <w:tc>
          <w:tcPr>
            <w:tcW w:w="2005" w:type="dxa"/>
            <w:vAlign w:val="center"/>
          </w:tcPr>
          <w:p w14:paraId="0DA1D0C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40</w:t>
            </w:r>
          </w:p>
        </w:tc>
        <w:tc>
          <w:tcPr>
            <w:tcW w:w="1850" w:type="dxa"/>
            <w:vAlign w:val="center"/>
          </w:tcPr>
          <w:p w14:paraId="5339E8E1">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施工工期</w:t>
            </w:r>
          </w:p>
        </w:tc>
        <w:tc>
          <w:tcPr>
            <w:tcW w:w="3332" w:type="dxa"/>
            <w:vAlign w:val="center"/>
          </w:tcPr>
          <w:p w14:paraId="44EEF59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个月</w:t>
            </w:r>
          </w:p>
        </w:tc>
      </w:tr>
      <w:tr w14:paraId="42A2A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784A952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是否开工建设</w:t>
            </w:r>
          </w:p>
        </w:tc>
        <w:tc>
          <w:tcPr>
            <w:tcW w:w="2005" w:type="dxa"/>
            <w:vAlign w:val="center"/>
          </w:tcPr>
          <w:p w14:paraId="6DB2D7E2">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sym w:font="Wingdings 2" w:char="0052"/>
            </w:r>
            <w:r>
              <w:rPr>
                <w:rFonts w:hint="eastAsia" w:ascii="宋体" w:hAnsi="宋体" w:eastAsia="宋体" w:cs="宋体"/>
                <w:color w:val="auto"/>
                <w:sz w:val="24"/>
                <w:highlight w:val="none"/>
              </w:rPr>
              <w:t>否</w:t>
            </w:r>
          </w:p>
          <w:p w14:paraId="2A00291B">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sym w:font="Wingdings 2" w:char="00A3"/>
            </w:r>
            <w:r>
              <w:rPr>
                <w:rFonts w:hint="eastAsia" w:ascii="宋体" w:hAnsi="宋体" w:eastAsia="宋体" w:cs="宋体"/>
                <w:color w:val="auto"/>
                <w:sz w:val="24"/>
                <w:highlight w:val="none"/>
              </w:rPr>
              <w:t>是：</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p>
        </w:tc>
        <w:tc>
          <w:tcPr>
            <w:tcW w:w="1850" w:type="dxa"/>
            <w:vAlign w:val="center"/>
          </w:tcPr>
          <w:p w14:paraId="294EFF87">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用地（用海）面积（㎡）</w:t>
            </w:r>
          </w:p>
        </w:tc>
        <w:tc>
          <w:tcPr>
            <w:tcW w:w="3332" w:type="dxa"/>
            <w:vAlign w:val="center"/>
          </w:tcPr>
          <w:p w14:paraId="03A8775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highlight w:val="none"/>
              </w:rPr>
            </w:pPr>
            <w:r>
              <w:rPr>
                <w:rFonts w:hint="eastAsia" w:eastAsia="宋体" w:cs="宋体"/>
                <w:color w:val="auto"/>
                <w:sz w:val="24"/>
                <w:highlight w:val="none"/>
                <w:lang w:val="en-US" w:eastAsia="zh-CN"/>
              </w:rPr>
              <w:t>32122</w:t>
            </w:r>
            <w:r>
              <w:rPr>
                <w:rFonts w:hint="eastAsia" w:ascii="宋体" w:hAnsi="宋体" w:eastAsia="宋体" w:cs="宋体"/>
                <w:color w:val="auto"/>
                <w:sz w:val="24"/>
                <w:highlight w:val="none"/>
              </w:rPr>
              <w:t>（厂区</w:t>
            </w:r>
            <w:r>
              <w:rPr>
                <w:rFonts w:hint="eastAsia" w:ascii="宋体" w:hAnsi="宋体" w:eastAsia="宋体" w:cs="宋体"/>
                <w:color w:val="auto"/>
                <w:sz w:val="24"/>
                <w:highlight w:val="none"/>
                <w:lang w:eastAsia="zh-CN"/>
              </w:rPr>
              <w:t>总</w:t>
            </w:r>
            <w:r>
              <w:rPr>
                <w:rFonts w:hint="eastAsia" w:ascii="宋体" w:hAnsi="宋体" w:eastAsia="宋体" w:cs="宋体"/>
                <w:color w:val="auto"/>
                <w:sz w:val="24"/>
                <w:highlight w:val="none"/>
              </w:rPr>
              <w:t>占地面积，本次</w:t>
            </w:r>
            <w:r>
              <w:rPr>
                <w:rFonts w:hint="eastAsia" w:ascii="宋体" w:hAnsi="宋体" w:eastAsia="宋体" w:cs="宋体"/>
                <w:color w:val="auto"/>
                <w:sz w:val="24"/>
                <w:highlight w:val="none"/>
                <w:lang w:eastAsia="zh-CN"/>
              </w:rPr>
              <w:t>技改</w:t>
            </w:r>
            <w:r>
              <w:rPr>
                <w:rFonts w:hint="eastAsia" w:ascii="宋体" w:hAnsi="宋体" w:eastAsia="宋体" w:cs="宋体"/>
                <w:color w:val="auto"/>
                <w:sz w:val="24"/>
                <w:highlight w:val="none"/>
              </w:rPr>
              <w:t>不新增占地）</w:t>
            </w:r>
          </w:p>
        </w:tc>
      </w:tr>
      <w:tr w14:paraId="77638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4B1C8D7F">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专项评价设置情况</w:t>
            </w:r>
          </w:p>
        </w:tc>
        <w:tc>
          <w:tcPr>
            <w:tcW w:w="7187" w:type="dxa"/>
            <w:gridSpan w:val="3"/>
            <w:vAlign w:val="center"/>
          </w:tcPr>
          <w:p w14:paraId="5BBB3118">
            <w:pPr>
              <w:keepNext w:val="0"/>
              <w:keepLines w:val="0"/>
              <w:widowControl/>
              <w:suppressLineNumbers w:val="0"/>
              <w:autoSpaceDE w:val="0"/>
              <w:autoSpaceDN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rPr>
            </w:pPr>
            <w:r>
              <w:rPr>
                <w:rFonts w:hint="eastAsia" w:ascii="宋体" w:hAnsi="宋体" w:eastAsia="宋体" w:cs="宋体"/>
                <w:color w:val="auto"/>
                <w:sz w:val="24"/>
              </w:rPr>
              <w:t>根据《建设项目环境影响报告表编制技术指南（污染影响类）》（试行）中表1专项评价设置原则表，</w:t>
            </w:r>
            <w:r>
              <w:rPr>
                <w:rFonts w:hint="eastAsia" w:ascii="宋体" w:hAnsi="宋体" w:eastAsia="宋体" w:cs="宋体"/>
                <w:color w:val="auto"/>
                <w:kern w:val="0"/>
                <w:sz w:val="24"/>
              </w:rPr>
              <w:t>本项目专项评价判定情况详见下表1-1：</w:t>
            </w:r>
          </w:p>
          <w:p w14:paraId="4C3327C8">
            <w:pPr>
              <w:keepNext w:val="0"/>
              <w:keepLines w:val="0"/>
              <w:widowControl/>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b/>
                <w:bCs/>
                <w:color w:val="auto"/>
                <w:kern w:val="0"/>
                <w:sz w:val="24"/>
              </w:rPr>
            </w:pPr>
          </w:p>
          <w:p w14:paraId="46C4A697">
            <w:pPr>
              <w:keepNext w:val="0"/>
              <w:keepLines w:val="0"/>
              <w:widowControl/>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b/>
                <w:bCs/>
                <w:color w:val="auto"/>
                <w:kern w:val="0"/>
                <w:sz w:val="24"/>
              </w:rPr>
            </w:pPr>
          </w:p>
          <w:p w14:paraId="6B83A715">
            <w:pPr>
              <w:keepNext w:val="0"/>
              <w:keepLines w:val="0"/>
              <w:widowControl/>
              <w:suppressLineNumbers w:val="0"/>
              <w:autoSpaceDE w:val="0"/>
              <w:autoSpaceDN w:val="0"/>
              <w:adjustRightInd w:val="0"/>
              <w:snapToGrid w:val="0"/>
              <w:spacing w:before="0" w:beforeAutospacing="0" w:after="0" w:afterAutospacing="0"/>
              <w:ind w:left="0" w:right="0"/>
              <w:jc w:val="center"/>
              <w:rPr>
                <w:rFonts w:hint="eastAsia" w:ascii="宋体" w:hAnsi="宋体" w:eastAsia="宋体" w:cs="宋体"/>
                <w:b/>
                <w:bCs/>
                <w:color w:val="auto"/>
                <w:kern w:val="0"/>
                <w:sz w:val="24"/>
              </w:rPr>
            </w:pPr>
            <w:r>
              <w:rPr>
                <w:rFonts w:hint="eastAsia" w:ascii="宋体" w:hAnsi="宋体" w:eastAsia="宋体" w:cs="宋体"/>
                <w:b/>
                <w:bCs/>
                <w:color w:val="auto"/>
                <w:kern w:val="0"/>
                <w:sz w:val="24"/>
              </w:rPr>
              <w:t>表1-1 专项评价设置判定情况一览表</w:t>
            </w:r>
          </w:p>
          <w:tbl>
            <w:tblPr>
              <w:tblStyle w:val="26"/>
              <w:tblW w:w="6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2134"/>
              <w:gridCol w:w="2345"/>
              <w:gridCol w:w="1118"/>
            </w:tblGrid>
            <w:tr w14:paraId="0DE19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1383" w:type="dxa"/>
                  <w:noWrap w:val="0"/>
                  <w:vAlign w:val="center"/>
                </w:tcPr>
                <w:p w14:paraId="3A487084">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专项评价的类别</w:t>
                  </w:r>
                </w:p>
              </w:tc>
              <w:tc>
                <w:tcPr>
                  <w:tcW w:w="2134" w:type="dxa"/>
                  <w:noWrap w:val="0"/>
                  <w:vAlign w:val="center"/>
                </w:tcPr>
                <w:p w14:paraId="1410017D">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设置原则</w:t>
                  </w:r>
                </w:p>
              </w:tc>
              <w:tc>
                <w:tcPr>
                  <w:tcW w:w="2345" w:type="dxa"/>
                  <w:noWrap w:val="0"/>
                  <w:vAlign w:val="center"/>
                </w:tcPr>
                <w:p w14:paraId="1205539C">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本项目情况</w:t>
                  </w:r>
                </w:p>
              </w:tc>
              <w:tc>
                <w:tcPr>
                  <w:tcW w:w="1118" w:type="dxa"/>
                  <w:noWrap w:val="0"/>
                  <w:vAlign w:val="center"/>
                </w:tcPr>
                <w:p w14:paraId="5982DD3B">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是否设置专项评价</w:t>
                  </w:r>
                </w:p>
              </w:tc>
            </w:tr>
            <w:tr w14:paraId="2CC42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6" w:hRule="atLeast"/>
                <w:jc w:val="center"/>
              </w:trPr>
              <w:tc>
                <w:tcPr>
                  <w:tcW w:w="1383" w:type="dxa"/>
                  <w:noWrap w:val="0"/>
                  <w:vAlign w:val="center"/>
                </w:tcPr>
                <w:p w14:paraId="7F48D29A">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废气</w:t>
                  </w:r>
                </w:p>
              </w:tc>
              <w:tc>
                <w:tcPr>
                  <w:tcW w:w="2134" w:type="dxa"/>
                  <w:noWrap w:val="0"/>
                  <w:vAlign w:val="center"/>
                </w:tcPr>
                <w:p w14:paraId="2A698EEC">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排放废气含有毒有害污染物、二噁英、苯并[ a ]芘、氰化物、氯气且厂界外500 米范围内有环境空气保护目标的建设项目</w:t>
                  </w:r>
                </w:p>
              </w:tc>
              <w:tc>
                <w:tcPr>
                  <w:tcW w:w="2345" w:type="dxa"/>
                  <w:noWrap w:val="0"/>
                  <w:vAlign w:val="center"/>
                </w:tcPr>
                <w:p w14:paraId="1466467A">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本项目不涉及排放有毒有害污染物、二噁英、苯并[ a ]芘、氰化物、氯气</w:t>
                  </w:r>
                </w:p>
              </w:tc>
              <w:tc>
                <w:tcPr>
                  <w:tcW w:w="1118" w:type="dxa"/>
                  <w:noWrap w:val="0"/>
                  <w:vAlign w:val="center"/>
                </w:tcPr>
                <w:p w14:paraId="09897E49">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否</w:t>
                  </w:r>
                </w:p>
              </w:tc>
            </w:tr>
            <w:tr w14:paraId="62D6A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1" w:hRule="atLeast"/>
                <w:jc w:val="center"/>
              </w:trPr>
              <w:tc>
                <w:tcPr>
                  <w:tcW w:w="1383" w:type="dxa"/>
                  <w:noWrap w:val="0"/>
                  <w:vAlign w:val="center"/>
                </w:tcPr>
                <w:p w14:paraId="64C8D0DB">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地表水</w:t>
                  </w:r>
                </w:p>
              </w:tc>
              <w:tc>
                <w:tcPr>
                  <w:tcW w:w="2134" w:type="dxa"/>
                  <w:noWrap w:val="0"/>
                  <w:vAlign w:val="center"/>
                </w:tcPr>
                <w:p w14:paraId="140D610C">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新增工业废水直排建设项目（槽罐车外送污水处理厂的除外）；</w:t>
                  </w:r>
                </w:p>
                <w:p w14:paraId="3FE91DED">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新增废水直排的污水集中处理厂</w:t>
                  </w:r>
                </w:p>
              </w:tc>
              <w:tc>
                <w:tcPr>
                  <w:tcW w:w="2345" w:type="dxa"/>
                  <w:noWrap w:val="0"/>
                  <w:vAlign w:val="center"/>
                </w:tcPr>
                <w:p w14:paraId="453241C7">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本项目无工业废水直接排放</w:t>
                  </w:r>
                </w:p>
              </w:tc>
              <w:tc>
                <w:tcPr>
                  <w:tcW w:w="1118" w:type="dxa"/>
                  <w:noWrap w:val="0"/>
                  <w:vAlign w:val="center"/>
                </w:tcPr>
                <w:p w14:paraId="2EA54567">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否</w:t>
                  </w:r>
                </w:p>
              </w:tc>
            </w:tr>
            <w:tr w14:paraId="1EBC3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4" w:hRule="atLeast"/>
                <w:jc w:val="center"/>
              </w:trPr>
              <w:tc>
                <w:tcPr>
                  <w:tcW w:w="1383" w:type="dxa"/>
                  <w:noWrap w:val="0"/>
                  <w:vAlign w:val="center"/>
                </w:tcPr>
                <w:p w14:paraId="402B6BD6">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环境风险</w:t>
                  </w:r>
                </w:p>
              </w:tc>
              <w:tc>
                <w:tcPr>
                  <w:tcW w:w="2134" w:type="dxa"/>
                  <w:noWrap w:val="0"/>
                  <w:vAlign w:val="center"/>
                </w:tcPr>
                <w:p w14:paraId="7FDE3CC7">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有毒有害和易燃易爆危险物质存储量超过临界量的建设项目</w:t>
                  </w:r>
                </w:p>
              </w:tc>
              <w:tc>
                <w:tcPr>
                  <w:tcW w:w="2345" w:type="dxa"/>
                  <w:noWrap w:val="0"/>
                  <w:vAlign w:val="center"/>
                </w:tcPr>
                <w:p w14:paraId="6E31379C">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default" w:ascii="宋体" w:hAnsi="宋体" w:eastAsia="宋体" w:cs="宋体"/>
                      <w:color w:val="auto"/>
                      <w:kern w:val="0"/>
                      <w:szCs w:val="21"/>
                      <w:lang w:val="en-US" w:eastAsia="zh-CN"/>
                    </w:rPr>
                  </w:pPr>
                  <w:r>
                    <w:rPr>
                      <w:rFonts w:hint="eastAsia" w:ascii="宋体" w:hAnsi="宋体" w:eastAsia="宋体" w:cs="宋体"/>
                      <w:color w:val="auto"/>
                      <w:kern w:val="0"/>
                      <w:szCs w:val="21"/>
                      <w:highlight w:val="none"/>
                      <w:lang w:val="en-US" w:eastAsia="zh-CN"/>
                    </w:rPr>
                    <w:t>技改项目</w:t>
                  </w:r>
                  <w:r>
                    <w:rPr>
                      <w:rFonts w:hint="eastAsia" w:ascii="宋体" w:hAnsi="宋体" w:eastAsia="宋体" w:cs="宋体"/>
                      <w:color w:val="auto"/>
                      <w:kern w:val="0"/>
                      <w:szCs w:val="21"/>
                      <w:highlight w:val="none"/>
                    </w:rPr>
                    <w:t>涉及《建设项目环境风险评价技术导则》（HJ169-2018）附录B表B.1中风险物质为</w:t>
                  </w:r>
                  <w:r>
                    <w:rPr>
                      <w:rFonts w:hint="eastAsia" w:ascii="宋体" w:hAnsi="宋体" w:eastAsia="宋体" w:cs="宋体"/>
                      <w:color w:val="auto"/>
                      <w:kern w:val="0"/>
                      <w:szCs w:val="21"/>
                      <w:highlight w:val="none"/>
                      <w:lang w:val="en-US" w:eastAsia="zh-CN"/>
                    </w:rPr>
                    <w:t>油类物质（柴油）</w:t>
                  </w:r>
                  <w:r>
                    <w:rPr>
                      <w:rFonts w:hint="eastAsia" w:ascii="宋体" w:hAnsi="宋体" w:eastAsia="宋体" w:cs="宋体"/>
                      <w:color w:val="auto"/>
                      <w:kern w:val="0"/>
                      <w:szCs w:val="21"/>
                      <w:highlight w:val="none"/>
                    </w:rPr>
                    <w:t>，</w:t>
                  </w:r>
                  <w:r>
                    <w:rPr>
                      <w:rFonts w:hint="eastAsia" w:eastAsia="宋体" w:cs="宋体"/>
                      <w:kern w:val="0"/>
                      <w:szCs w:val="21"/>
                    </w:rPr>
                    <w:t>依托厂区现有柴油罐储存，不增加存储量</w:t>
                  </w:r>
                  <w:r>
                    <w:rPr>
                      <w:rFonts w:hint="eastAsia" w:eastAsia="宋体" w:cs="宋体"/>
                      <w:kern w:val="0"/>
                      <w:szCs w:val="21"/>
                      <w:lang w:eastAsia="zh-CN"/>
                    </w:rPr>
                    <w:t>，</w:t>
                  </w:r>
                  <w:r>
                    <w:rPr>
                      <w:rFonts w:hint="eastAsia" w:eastAsia="宋体" w:cs="宋体"/>
                      <w:kern w:val="0"/>
                      <w:szCs w:val="21"/>
                      <w:lang w:val="en-US" w:eastAsia="zh-CN"/>
                    </w:rPr>
                    <w:t>不改变全厂危险物质数量与临界量的比值（Q）</w:t>
                  </w:r>
                </w:p>
              </w:tc>
              <w:tc>
                <w:tcPr>
                  <w:tcW w:w="1118" w:type="dxa"/>
                  <w:noWrap w:val="0"/>
                  <w:vAlign w:val="center"/>
                </w:tcPr>
                <w:p w14:paraId="5F6970C2">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lang w:eastAsia="zh-CN"/>
                    </w:rPr>
                  </w:pPr>
                  <w:r>
                    <w:rPr>
                      <w:rFonts w:hint="eastAsia" w:ascii="宋体" w:hAnsi="宋体" w:eastAsia="宋体" w:cs="宋体"/>
                      <w:color w:val="auto"/>
                      <w:kern w:val="0"/>
                      <w:szCs w:val="21"/>
                      <w:lang w:val="en-US" w:eastAsia="zh-CN"/>
                    </w:rPr>
                    <w:t>否</w:t>
                  </w:r>
                </w:p>
              </w:tc>
            </w:tr>
            <w:tr w14:paraId="2586F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6" w:hRule="atLeast"/>
                <w:jc w:val="center"/>
              </w:trPr>
              <w:tc>
                <w:tcPr>
                  <w:tcW w:w="1383" w:type="dxa"/>
                  <w:noWrap w:val="0"/>
                  <w:vAlign w:val="center"/>
                </w:tcPr>
                <w:p w14:paraId="4153357D">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生态</w:t>
                  </w:r>
                </w:p>
              </w:tc>
              <w:tc>
                <w:tcPr>
                  <w:tcW w:w="2134" w:type="dxa"/>
                  <w:noWrap w:val="0"/>
                  <w:vAlign w:val="center"/>
                </w:tcPr>
                <w:p w14:paraId="5D3D1545">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取水口下游 500 米范围内有重要水生生物的自然产卵场、索饵场、越冬场和洄游通道的新增河道取水的污染类建设项目</w:t>
                  </w:r>
                </w:p>
              </w:tc>
              <w:tc>
                <w:tcPr>
                  <w:tcW w:w="2345" w:type="dxa"/>
                  <w:noWrap w:val="0"/>
                  <w:vAlign w:val="center"/>
                </w:tcPr>
                <w:p w14:paraId="013C1F9A">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本项目不涉及地表水取水口，且用地范围内无重要物种、生态敏感区以及其他需要保护的物种种群、生物群落及生态空间等生态保护目标</w:t>
                  </w:r>
                </w:p>
              </w:tc>
              <w:tc>
                <w:tcPr>
                  <w:tcW w:w="1118" w:type="dxa"/>
                  <w:noWrap w:val="0"/>
                  <w:vAlign w:val="center"/>
                </w:tcPr>
                <w:p w14:paraId="63F7D5E8">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否</w:t>
                  </w:r>
                </w:p>
              </w:tc>
            </w:tr>
            <w:tr w14:paraId="124A5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383" w:type="dxa"/>
                  <w:noWrap w:val="0"/>
                  <w:vAlign w:val="center"/>
                </w:tcPr>
                <w:p w14:paraId="61DAB09D">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海洋</w:t>
                  </w:r>
                </w:p>
              </w:tc>
              <w:tc>
                <w:tcPr>
                  <w:tcW w:w="2134" w:type="dxa"/>
                  <w:noWrap w:val="0"/>
                  <w:vAlign w:val="center"/>
                </w:tcPr>
                <w:p w14:paraId="126B73A7">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直接向海排放污染物的海洋工程建设项目</w:t>
                  </w:r>
                </w:p>
              </w:tc>
              <w:tc>
                <w:tcPr>
                  <w:tcW w:w="2345" w:type="dxa"/>
                  <w:noWrap w:val="0"/>
                  <w:vAlign w:val="center"/>
                </w:tcPr>
                <w:p w14:paraId="75C51A9B">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本项目不属于海洋工程建设项目</w:t>
                  </w:r>
                </w:p>
              </w:tc>
              <w:tc>
                <w:tcPr>
                  <w:tcW w:w="1118" w:type="dxa"/>
                  <w:noWrap w:val="0"/>
                  <w:vAlign w:val="center"/>
                </w:tcPr>
                <w:p w14:paraId="0A0736B2">
                  <w:pPr>
                    <w:keepNext w:val="0"/>
                    <w:keepLines w:val="0"/>
                    <w:widowControl/>
                    <w:suppressLineNumbers w:val="0"/>
                    <w:autoSpaceDE w:val="0"/>
                    <w:autoSpaceDN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color w:val="auto"/>
                      <w:kern w:val="0"/>
                      <w:szCs w:val="21"/>
                    </w:rPr>
                    <w:t>否</w:t>
                  </w:r>
                </w:p>
              </w:tc>
            </w:tr>
          </w:tbl>
          <w:p w14:paraId="2658AC12">
            <w:pPr>
              <w:keepNext w:val="0"/>
              <w:keepLines w:val="0"/>
              <w:suppressLineNumbers w:val="0"/>
              <w:spacing w:before="0" w:beforeAutospacing="0" w:after="0" w:afterAutospacing="0" w:line="360" w:lineRule="exact"/>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根据上表判定结果，本项目不涉及表中所列情形，因此不设置专项评价。</w:t>
            </w:r>
          </w:p>
        </w:tc>
      </w:tr>
      <w:tr w14:paraId="0BBA9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039C001A">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规划情况</w:t>
            </w:r>
          </w:p>
        </w:tc>
        <w:tc>
          <w:tcPr>
            <w:tcW w:w="7187" w:type="dxa"/>
            <w:gridSpan w:val="3"/>
            <w:vAlign w:val="center"/>
          </w:tcPr>
          <w:p w14:paraId="1EB5ACB0">
            <w:pPr>
              <w:keepNext w:val="0"/>
              <w:keepLines w:val="0"/>
              <w:suppressLineNumbers w:val="0"/>
              <w:spacing w:before="0" w:beforeAutospacing="0" w:after="0" w:afterAutospacing="0" w:line="360" w:lineRule="exact"/>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无。</w:t>
            </w:r>
          </w:p>
        </w:tc>
      </w:tr>
      <w:tr w14:paraId="218D6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03A78AE4">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规划环境影响评价情况</w:t>
            </w:r>
          </w:p>
        </w:tc>
        <w:tc>
          <w:tcPr>
            <w:tcW w:w="7187" w:type="dxa"/>
            <w:gridSpan w:val="3"/>
            <w:vAlign w:val="center"/>
          </w:tcPr>
          <w:p w14:paraId="7383193E">
            <w:pPr>
              <w:keepNext w:val="0"/>
              <w:keepLines w:val="0"/>
              <w:suppressLineNumbers w:val="0"/>
              <w:spacing w:before="0" w:beforeAutospacing="0" w:after="0" w:afterAutospacing="0" w:line="360" w:lineRule="exact"/>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无。</w:t>
            </w:r>
          </w:p>
        </w:tc>
      </w:tr>
      <w:tr w14:paraId="4853D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09" w:type="dxa"/>
            <w:vAlign w:val="center"/>
          </w:tcPr>
          <w:p w14:paraId="112A89A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4"/>
              </w:rPr>
            </w:pPr>
            <w:r>
              <w:rPr>
                <w:rFonts w:hint="eastAsia" w:ascii="宋体" w:hAnsi="宋体" w:eastAsia="宋体" w:cs="宋体"/>
                <w:b/>
                <w:bCs/>
                <w:color w:val="auto"/>
                <w:sz w:val="24"/>
              </w:rPr>
              <w:t>规划及规划环境影响评价符合性分析</w:t>
            </w:r>
          </w:p>
        </w:tc>
        <w:tc>
          <w:tcPr>
            <w:tcW w:w="7187" w:type="dxa"/>
            <w:gridSpan w:val="3"/>
            <w:vAlign w:val="center"/>
          </w:tcPr>
          <w:p w14:paraId="02632EBD">
            <w:pPr>
              <w:keepNext w:val="0"/>
              <w:keepLines w:val="0"/>
              <w:suppressLineNumbers w:val="0"/>
              <w:spacing w:before="0" w:beforeAutospacing="0" w:after="0" w:afterAutospacing="0" w:line="360" w:lineRule="exact"/>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无。</w:t>
            </w:r>
          </w:p>
        </w:tc>
      </w:tr>
      <w:tr w14:paraId="1D217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09" w:type="dxa"/>
            <w:vAlign w:val="center"/>
          </w:tcPr>
          <w:p w14:paraId="384D26CF">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r>
              <w:rPr>
                <w:rFonts w:hint="eastAsia" w:ascii="宋体" w:hAnsi="宋体" w:eastAsia="宋体" w:cs="宋体"/>
                <w:b/>
                <w:bCs/>
                <w:color w:val="auto"/>
                <w:sz w:val="24"/>
              </w:rPr>
              <w:t>其他符合性分析</w:t>
            </w:r>
          </w:p>
        </w:tc>
        <w:tc>
          <w:tcPr>
            <w:tcW w:w="7187" w:type="dxa"/>
            <w:gridSpan w:val="3"/>
            <w:vAlign w:val="center"/>
          </w:tcPr>
          <w:p w14:paraId="20E45BB1">
            <w:pPr>
              <w:keepNext w:val="0"/>
              <w:keepLines w:val="0"/>
              <w:suppressLineNumbers w:val="0"/>
              <w:spacing w:before="0" w:beforeAutospacing="0" w:after="0" w:afterAutospacing="0" w:line="360" w:lineRule="auto"/>
              <w:ind w:left="0" w:right="0"/>
              <w:rPr>
                <w:rFonts w:hint="eastAsia" w:ascii="宋体" w:hAnsi="宋体" w:eastAsia="宋体" w:cs="宋体"/>
                <w:b w:val="0"/>
                <w:bCs/>
                <w:color w:val="auto"/>
                <w:sz w:val="28"/>
                <w:szCs w:val="28"/>
              </w:rPr>
            </w:pPr>
            <w:r>
              <w:rPr>
                <w:rFonts w:hint="eastAsia" w:ascii="宋体" w:hAnsi="宋体" w:eastAsia="宋体" w:cs="宋体"/>
                <w:b w:val="0"/>
                <w:bCs/>
                <w:color w:val="auto"/>
                <w:sz w:val="28"/>
                <w:szCs w:val="28"/>
              </w:rPr>
              <w:t>1、产业政策符合性</w:t>
            </w:r>
          </w:p>
          <w:p w14:paraId="74AD3BB0">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szCs w:val="24"/>
                <w:lang w:val="en-US" w:eastAsia="zh-CN"/>
              </w:rPr>
            </w:pPr>
            <w:r>
              <w:rPr>
                <w:rFonts w:hint="eastAsia" w:ascii="宋体" w:hAnsi="宋体" w:eastAsia="宋体" w:cs="宋体"/>
                <w:color w:val="auto"/>
                <w:sz w:val="24"/>
                <w:szCs w:val="24"/>
              </w:rPr>
              <w:t>本项目为</w:t>
            </w:r>
            <w:r>
              <w:rPr>
                <w:rFonts w:hint="eastAsia" w:ascii="宋体" w:hAnsi="宋体" w:eastAsia="宋体" w:cs="宋体"/>
                <w:color w:val="auto"/>
                <w:sz w:val="24"/>
                <w:szCs w:val="24"/>
                <w:lang w:eastAsia="zh-CN"/>
              </w:rPr>
              <w:t>锅炉技术改造项目，拆除现有的</w:t>
            </w:r>
            <w:r>
              <w:rPr>
                <w:rFonts w:hint="eastAsia" w:ascii="宋体" w:hAnsi="宋体" w:eastAsia="宋体" w:cs="宋体"/>
                <w:color w:val="auto"/>
                <w:sz w:val="24"/>
                <w:szCs w:val="24"/>
                <w:lang w:val="en-US" w:eastAsia="zh-CN"/>
              </w:rPr>
              <w:t>1台2t/h燃煤蒸汽锅炉，新建1台</w:t>
            </w:r>
            <w:r>
              <w:rPr>
                <w:rFonts w:hint="eastAsia" w:eastAsia="宋体" w:cs="宋体"/>
                <w:color w:val="auto"/>
                <w:sz w:val="24"/>
                <w:szCs w:val="24"/>
                <w:lang w:val="en-US" w:eastAsia="zh-CN"/>
              </w:rPr>
              <w:t>1</w:t>
            </w:r>
            <w:r>
              <w:rPr>
                <w:rFonts w:hint="eastAsia" w:ascii="宋体" w:hAnsi="宋体" w:eastAsia="宋体" w:cs="宋体"/>
                <w:color w:val="auto"/>
                <w:sz w:val="24"/>
                <w:szCs w:val="24"/>
                <w:lang w:val="en-US" w:eastAsia="zh-CN"/>
              </w:rPr>
              <w:t>t/h燃油蒸汽锅炉和1台1t/h燃油蒸汽发生器（备用），不属于</w:t>
            </w:r>
            <w:r>
              <w:rPr>
                <w:rFonts w:hint="eastAsia" w:ascii="宋体" w:hAnsi="宋体" w:eastAsia="宋体" w:cs="宋体"/>
                <w:color w:val="auto"/>
                <w:sz w:val="24"/>
                <w:szCs w:val="24"/>
              </w:rPr>
              <w:t>《产业结构调整指导目录（202</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年本）》</w:t>
            </w:r>
            <w:r>
              <w:rPr>
                <w:rFonts w:hint="eastAsia" w:ascii="宋体" w:hAnsi="宋体" w:eastAsia="宋体" w:cs="宋体"/>
                <w:color w:val="auto"/>
                <w:sz w:val="24"/>
                <w:szCs w:val="24"/>
                <w:lang w:eastAsia="zh-CN"/>
              </w:rPr>
              <w:t>中</w:t>
            </w:r>
            <w:r>
              <w:rPr>
                <w:rFonts w:hint="eastAsia" w:ascii="宋体" w:hAnsi="宋体" w:eastAsia="宋体" w:cs="宋体"/>
                <w:color w:val="auto"/>
                <w:sz w:val="24"/>
                <w:szCs w:val="24"/>
              </w:rPr>
              <w:t>“鼓励类”</w:t>
            </w:r>
            <w:r>
              <w:rPr>
                <w:rFonts w:hint="eastAsia" w:ascii="宋体" w:hAnsi="宋体" w:eastAsia="宋体" w:cs="宋体"/>
                <w:color w:val="auto"/>
                <w:sz w:val="24"/>
                <w:szCs w:val="24"/>
                <w:lang w:eastAsia="zh-CN"/>
              </w:rPr>
              <w:t>、“限制类”和“淘汰类”，为允许建设项目</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szCs w:val="24"/>
              </w:rPr>
              <w:t>符合国家产业政策。</w:t>
            </w:r>
          </w:p>
          <w:p w14:paraId="100550E8">
            <w:pPr>
              <w:keepNext w:val="0"/>
              <w:keepLines w:val="0"/>
              <w:suppressLineNumbers w:val="0"/>
              <w:spacing w:before="0" w:beforeAutospacing="0" w:after="0" w:afterAutospacing="0" w:line="360" w:lineRule="auto"/>
              <w:ind w:left="0" w:right="0"/>
              <w:rPr>
                <w:rFonts w:hint="eastAsia" w:ascii="宋体" w:hAnsi="宋体" w:eastAsia="宋体" w:cs="宋体"/>
                <w:b w:val="0"/>
                <w:bCs/>
                <w:color w:val="auto"/>
                <w:sz w:val="28"/>
                <w:szCs w:val="28"/>
              </w:rPr>
            </w:pPr>
            <w:r>
              <w:rPr>
                <w:rFonts w:hint="eastAsia" w:ascii="宋体" w:hAnsi="宋体" w:eastAsia="宋体" w:cs="宋体"/>
                <w:b w:val="0"/>
                <w:bCs/>
                <w:color w:val="auto"/>
                <w:sz w:val="28"/>
                <w:szCs w:val="28"/>
              </w:rPr>
              <w:t>2、选址合理性</w:t>
            </w:r>
          </w:p>
          <w:p w14:paraId="41D929C2">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本项目建设地点位于</w:t>
            </w:r>
            <w:r>
              <w:rPr>
                <w:rFonts w:hint="eastAsia" w:ascii="宋体" w:hAnsi="宋体" w:eastAsia="宋体" w:cs="宋体"/>
                <w:b w:val="0"/>
                <w:bCs/>
                <w:color w:val="auto"/>
                <w:sz w:val="24"/>
                <w:lang w:val="en-US" w:eastAsia="zh-CN"/>
              </w:rPr>
              <w:t>乌拉特中旗新忽热苏木长山壕金矿内蒙古太平矿业已弃用闲置的危险品总仓库区</w:t>
            </w:r>
            <w:r>
              <w:rPr>
                <w:rFonts w:hint="eastAsia" w:ascii="宋体" w:hAnsi="宋体" w:eastAsia="宋体" w:cs="宋体"/>
                <w:b w:val="0"/>
                <w:bCs/>
                <w:color w:val="auto"/>
                <w:sz w:val="24"/>
              </w:rPr>
              <w:t>，不新增占地，</w:t>
            </w:r>
            <w:r>
              <w:rPr>
                <w:rFonts w:hint="eastAsia" w:ascii="宋体" w:hAnsi="宋体" w:eastAsia="宋体" w:cs="宋体"/>
                <w:b w:val="0"/>
                <w:bCs/>
                <w:color w:val="auto"/>
                <w:sz w:val="24"/>
                <w:highlight w:val="none"/>
              </w:rPr>
              <w:t>厂</w:t>
            </w:r>
            <w:r>
              <w:rPr>
                <w:rFonts w:hint="eastAsia" w:ascii="宋体" w:hAnsi="宋体" w:eastAsia="宋体" w:cs="宋体"/>
                <w:b w:val="0"/>
                <w:bCs/>
                <w:color w:val="auto"/>
                <w:sz w:val="24"/>
                <w:highlight w:val="none"/>
                <w:lang w:val="en-US" w:eastAsia="zh-CN"/>
              </w:rPr>
              <w:t>界四周均为</w:t>
            </w:r>
            <w:r>
              <w:rPr>
                <w:rFonts w:hint="eastAsia" w:ascii="宋体" w:hAnsi="宋体" w:eastAsia="宋体" w:cs="宋体"/>
                <w:b w:val="0"/>
                <w:bCs/>
                <w:color w:val="auto"/>
                <w:sz w:val="24"/>
                <w:lang w:val="en-US" w:eastAsia="zh-CN"/>
              </w:rPr>
              <w:t>内蒙古太平矿业矿区占地范围</w:t>
            </w:r>
            <w:r>
              <w:rPr>
                <w:rFonts w:hint="eastAsia" w:ascii="宋体" w:hAnsi="宋体" w:eastAsia="宋体" w:cs="宋体"/>
                <w:b w:val="0"/>
                <w:bCs/>
                <w:color w:val="auto"/>
                <w:sz w:val="24"/>
              </w:rPr>
              <w:t>。本项目</w:t>
            </w:r>
            <w:r>
              <w:rPr>
                <w:rFonts w:hint="eastAsia" w:ascii="宋体" w:hAnsi="宋体" w:eastAsia="宋体" w:cs="宋体"/>
                <w:b w:val="0"/>
                <w:bCs/>
                <w:color w:val="auto"/>
                <w:sz w:val="24"/>
                <w:lang w:val="en-US" w:eastAsia="zh-CN"/>
              </w:rPr>
              <w:t>在现有厂区内对锅炉实施技术改造，不新增占地，</w:t>
            </w:r>
            <w:r>
              <w:rPr>
                <w:rFonts w:hint="eastAsia" w:ascii="宋体" w:hAnsi="宋体" w:eastAsia="宋体" w:cs="宋体"/>
                <w:b w:val="0"/>
                <w:bCs/>
                <w:color w:val="auto"/>
                <w:sz w:val="24"/>
              </w:rPr>
              <w:t>不占用耕地和基本农田等，符合</w:t>
            </w:r>
            <w:r>
              <w:rPr>
                <w:rFonts w:hint="eastAsia" w:ascii="宋体" w:hAnsi="宋体" w:eastAsia="宋体" w:cs="宋体"/>
                <w:b w:val="0"/>
                <w:bCs/>
                <w:color w:val="auto"/>
                <w:sz w:val="24"/>
                <w:lang w:val="en-US" w:eastAsia="zh-CN"/>
              </w:rPr>
              <w:t>乌拉特中旗国土空间总体</w:t>
            </w:r>
            <w:r>
              <w:rPr>
                <w:rFonts w:hint="eastAsia" w:ascii="宋体" w:hAnsi="宋体" w:eastAsia="宋体" w:cs="宋体"/>
                <w:b w:val="0"/>
                <w:bCs/>
                <w:color w:val="auto"/>
                <w:sz w:val="24"/>
              </w:rPr>
              <w:t>规划；项目不位于各级自然保护区范围内、</w:t>
            </w:r>
            <w:r>
              <w:rPr>
                <w:rFonts w:hint="eastAsia" w:ascii="宋体" w:hAnsi="宋体" w:eastAsia="宋体" w:cs="宋体"/>
                <w:b w:val="0"/>
                <w:bCs/>
                <w:color w:val="auto"/>
                <w:sz w:val="24"/>
                <w:lang w:val="en-US" w:eastAsia="zh-CN"/>
              </w:rPr>
              <w:t>乌拉特中旗</w:t>
            </w:r>
            <w:r>
              <w:rPr>
                <w:rFonts w:hint="eastAsia" w:ascii="宋体" w:hAnsi="宋体" w:eastAsia="宋体" w:cs="宋体"/>
                <w:b w:val="0"/>
                <w:bCs/>
                <w:color w:val="auto"/>
                <w:sz w:val="24"/>
              </w:rPr>
              <w:t>的生态保护红线范围内、水源地保护区范围内和草原保护核心区范围内，项目周边无风景名胜区及其它需要特别保护的区域，无重大的环境制约因素。本项目产生的污染物均采取有效的处理和处置措施，经分析项目运营期对周围环境影响较小。</w:t>
            </w:r>
          </w:p>
          <w:p w14:paraId="70383FDF">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因此，</w:t>
            </w:r>
            <w:r>
              <w:rPr>
                <w:rFonts w:hint="eastAsia" w:ascii="宋体" w:hAnsi="宋体" w:eastAsia="宋体" w:cs="宋体"/>
                <w:b w:val="0"/>
                <w:bCs/>
                <w:color w:val="auto"/>
                <w:sz w:val="24"/>
                <w:lang w:eastAsia="zh-CN"/>
              </w:rPr>
              <w:t>从环境保护角度分析，</w:t>
            </w:r>
            <w:r>
              <w:rPr>
                <w:rFonts w:hint="eastAsia" w:ascii="宋体" w:hAnsi="宋体" w:eastAsia="宋体" w:cs="宋体"/>
                <w:b w:val="0"/>
                <w:bCs/>
                <w:color w:val="auto"/>
                <w:sz w:val="24"/>
              </w:rPr>
              <w:t>本项目选址合理。</w:t>
            </w:r>
          </w:p>
          <w:p w14:paraId="0D0234E5">
            <w:pPr>
              <w:keepNext w:val="0"/>
              <w:keepLines w:val="0"/>
              <w:suppressLineNumbers w:val="0"/>
              <w:spacing w:before="0" w:beforeAutospacing="0" w:after="0" w:afterAutospacing="0" w:line="360" w:lineRule="auto"/>
              <w:ind w:left="0" w:right="0"/>
              <w:rPr>
                <w:rFonts w:hint="eastAsia" w:ascii="宋体" w:hAnsi="宋体" w:eastAsia="宋体" w:cs="宋体"/>
                <w:b w:val="0"/>
                <w:bCs/>
                <w:color w:val="auto"/>
                <w:sz w:val="28"/>
                <w:szCs w:val="28"/>
              </w:rPr>
            </w:pPr>
            <w:r>
              <w:rPr>
                <w:rFonts w:hint="eastAsia" w:ascii="宋体" w:hAnsi="宋体" w:eastAsia="宋体" w:cs="宋体"/>
                <w:b w:val="0"/>
                <w:bCs/>
                <w:color w:val="auto"/>
                <w:sz w:val="28"/>
                <w:szCs w:val="28"/>
              </w:rPr>
              <w:t>3、</w:t>
            </w:r>
            <w:r>
              <w:rPr>
                <w:rFonts w:hint="eastAsia" w:ascii="宋体" w:hAnsi="宋体" w:eastAsia="宋体" w:cs="宋体"/>
                <w:b w:val="0"/>
                <w:bCs/>
                <w:color w:val="auto"/>
                <w:sz w:val="28"/>
                <w:szCs w:val="28"/>
                <w:lang w:eastAsia="zh-CN"/>
              </w:rPr>
              <w:t>生态环境分区管控</w:t>
            </w:r>
            <w:r>
              <w:rPr>
                <w:rFonts w:hint="eastAsia" w:ascii="宋体" w:hAnsi="宋体" w:eastAsia="宋体" w:cs="宋体"/>
                <w:b w:val="0"/>
                <w:bCs/>
                <w:color w:val="auto"/>
                <w:sz w:val="28"/>
                <w:szCs w:val="28"/>
              </w:rPr>
              <w:t>符合性分析</w:t>
            </w:r>
          </w:p>
          <w:p w14:paraId="382631B5">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（1）生态保护红线</w:t>
            </w:r>
          </w:p>
          <w:p w14:paraId="6D53B060">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根</w:t>
            </w:r>
            <w:r>
              <w:rPr>
                <w:rFonts w:hint="eastAsia" w:ascii="宋体" w:hAnsi="宋体" w:eastAsia="宋体" w:cs="宋体"/>
                <w:color w:val="auto"/>
                <w:sz w:val="24"/>
                <w:szCs w:val="24"/>
              </w:rPr>
              <w:t>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14:paraId="53DCAEF4">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bidi="ar"/>
              </w:rPr>
              <w:t>本项目选址位于</w:t>
            </w:r>
            <w:r>
              <w:rPr>
                <w:rFonts w:hint="eastAsia" w:ascii="宋体" w:hAnsi="宋体" w:eastAsia="宋体" w:cs="宋体"/>
                <w:color w:val="auto"/>
                <w:sz w:val="24"/>
                <w:lang w:val="en-US" w:eastAsia="zh-CN"/>
              </w:rPr>
              <w:t>乌拉特中旗新忽热苏木长山壕金矿内蒙古太平矿业已弃用闲置的危险品总仓库区</w:t>
            </w:r>
            <w:r>
              <w:rPr>
                <w:rFonts w:hint="eastAsia" w:ascii="宋体" w:hAnsi="宋体" w:eastAsia="宋体" w:cs="宋体"/>
                <w:color w:val="auto"/>
                <w:sz w:val="24"/>
                <w:szCs w:val="24"/>
                <w:highlight w:val="none"/>
                <w:lang w:bidi="ar"/>
              </w:rPr>
              <w:t>，</w:t>
            </w:r>
            <w:r>
              <w:rPr>
                <w:rFonts w:hint="eastAsia" w:ascii="宋体" w:hAnsi="宋体" w:eastAsia="宋体" w:cs="宋体"/>
                <w:color w:val="auto"/>
                <w:sz w:val="24"/>
                <w:lang w:val="en-US" w:eastAsia="zh-CN"/>
              </w:rPr>
              <w:t>在现有厂区内实施技改，不新增占地，</w:t>
            </w:r>
            <w:r>
              <w:rPr>
                <w:rFonts w:hint="eastAsia" w:ascii="宋体" w:hAnsi="宋体" w:eastAsia="宋体" w:cs="宋体"/>
                <w:color w:val="auto"/>
                <w:sz w:val="24"/>
                <w:szCs w:val="24"/>
              </w:rPr>
              <w:t>项目评价范围内无饮用水水源地、自然保护区、风景名胜区等特殊环境敏感区。项目所在区域属于重点管控单元，项目采取完善的污染防治措施，可确保污染物达标排放。</w:t>
            </w:r>
            <w:r>
              <w:rPr>
                <w:rFonts w:hint="eastAsia" w:ascii="宋体" w:hAnsi="宋体" w:eastAsia="宋体" w:cs="宋体"/>
                <w:color w:val="auto"/>
                <w:sz w:val="24"/>
                <w:szCs w:val="24"/>
                <w:lang w:eastAsia="zh-CN"/>
              </w:rPr>
              <w:t>技改项目</w:t>
            </w:r>
            <w:r>
              <w:rPr>
                <w:rFonts w:hint="eastAsia" w:ascii="宋体" w:hAnsi="宋体" w:eastAsia="宋体" w:cs="宋体"/>
                <w:color w:val="auto"/>
                <w:sz w:val="24"/>
                <w:szCs w:val="24"/>
              </w:rPr>
              <w:t>不涉及</w:t>
            </w:r>
            <w:r>
              <w:rPr>
                <w:rFonts w:hint="eastAsia" w:ascii="宋体" w:hAnsi="宋体" w:eastAsia="宋体" w:cs="宋体"/>
                <w:color w:val="auto"/>
                <w:sz w:val="24"/>
                <w:szCs w:val="24"/>
                <w:lang w:val="en-US" w:eastAsia="zh-CN"/>
              </w:rPr>
              <w:t>乌拉特中旗</w:t>
            </w:r>
            <w:r>
              <w:rPr>
                <w:rFonts w:hint="eastAsia" w:ascii="宋体" w:hAnsi="宋体" w:eastAsia="宋体" w:cs="宋体"/>
                <w:color w:val="auto"/>
                <w:sz w:val="24"/>
                <w:szCs w:val="24"/>
              </w:rPr>
              <w:t>生态保护红线范围。</w:t>
            </w:r>
          </w:p>
          <w:p w14:paraId="4082628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（2）环境质量底线</w:t>
            </w:r>
          </w:p>
          <w:p w14:paraId="78AC598F">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highlight w:val="none"/>
                <w:lang w:eastAsia="zh-CN" w:bidi="ar"/>
              </w:rPr>
            </w:pPr>
            <w:r>
              <w:rPr>
                <w:rFonts w:hint="eastAsia" w:ascii="宋体" w:hAnsi="宋体" w:eastAsia="宋体" w:cs="宋体"/>
                <w:color w:val="auto"/>
                <w:sz w:val="24"/>
                <w:szCs w:val="24"/>
                <w:lang w:bidi="ar"/>
              </w:rPr>
              <w:t>根据《巴彦淖尔市环境质量状况公报（202</w:t>
            </w:r>
            <w:r>
              <w:rPr>
                <w:rFonts w:hint="eastAsia" w:eastAsia="宋体" w:cs="宋体"/>
                <w:color w:val="auto"/>
                <w:sz w:val="24"/>
                <w:szCs w:val="24"/>
                <w:lang w:val="en-US" w:eastAsia="zh-CN" w:bidi="ar"/>
              </w:rPr>
              <w:t>4</w:t>
            </w:r>
            <w:r>
              <w:rPr>
                <w:rFonts w:hint="eastAsia" w:ascii="宋体" w:hAnsi="宋体" w:eastAsia="宋体" w:cs="宋体"/>
                <w:color w:val="auto"/>
                <w:sz w:val="24"/>
                <w:szCs w:val="24"/>
                <w:lang w:bidi="ar"/>
              </w:rPr>
              <w:t>年）》，</w:t>
            </w:r>
            <w:r>
              <w:rPr>
                <w:rFonts w:hint="eastAsia" w:ascii="宋体" w:hAnsi="宋体" w:eastAsia="宋体" w:cs="宋体"/>
                <w:color w:val="auto"/>
                <w:sz w:val="24"/>
                <w:szCs w:val="24"/>
                <w:lang w:eastAsia="zh-CN" w:bidi="ar"/>
              </w:rPr>
              <w:t>技改项目</w:t>
            </w:r>
            <w:r>
              <w:rPr>
                <w:rFonts w:hint="eastAsia" w:ascii="宋体" w:hAnsi="宋体" w:eastAsia="宋体" w:cs="宋体"/>
                <w:color w:val="auto"/>
                <w:sz w:val="24"/>
                <w:szCs w:val="24"/>
                <w:lang w:bidi="ar"/>
              </w:rPr>
              <w:t>所在地巴彦淖尔市</w:t>
            </w:r>
            <w:r>
              <w:rPr>
                <w:rFonts w:hint="eastAsia" w:ascii="宋体" w:hAnsi="宋体" w:eastAsia="宋体" w:cs="宋体"/>
                <w:color w:val="auto"/>
                <w:sz w:val="24"/>
                <w:szCs w:val="24"/>
                <w:lang w:val="en-US" w:eastAsia="zh-CN" w:bidi="ar"/>
              </w:rPr>
              <w:t>乌拉特中旗</w:t>
            </w:r>
            <w:r>
              <w:rPr>
                <w:rFonts w:hint="eastAsia" w:ascii="宋体" w:hAnsi="宋体" w:eastAsia="宋体" w:cs="宋体"/>
                <w:color w:val="auto"/>
                <w:sz w:val="24"/>
                <w:szCs w:val="24"/>
                <w:lang w:bidi="ar"/>
              </w:rPr>
              <w:t>202</w:t>
            </w:r>
            <w:r>
              <w:rPr>
                <w:rFonts w:hint="eastAsia" w:eastAsia="宋体" w:cs="宋体"/>
                <w:color w:val="auto"/>
                <w:sz w:val="24"/>
                <w:szCs w:val="24"/>
                <w:lang w:val="en-US" w:eastAsia="zh-CN" w:bidi="ar"/>
              </w:rPr>
              <w:t>4</w:t>
            </w:r>
            <w:r>
              <w:rPr>
                <w:rFonts w:hint="eastAsia" w:ascii="宋体" w:hAnsi="宋体" w:eastAsia="宋体" w:cs="宋体"/>
                <w:color w:val="auto"/>
                <w:sz w:val="24"/>
                <w:szCs w:val="24"/>
                <w:lang w:bidi="ar"/>
              </w:rPr>
              <w:t>年大气环境中6项污染物SO</w:t>
            </w:r>
            <w:r>
              <w:rPr>
                <w:rFonts w:hint="eastAsia" w:ascii="宋体" w:hAnsi="宋体" w:eastAsia="宋体" w:cs="宋体"/>
                <w:color w:val="auto"/>
                <w:sz w:val="24"/>
                <w:szCs w:val="24"/>
                <w:vertAlign w:val="subscript"/>
                <w:lang w:bidi="ar"/>
              </w:rPr>
              <w:t>2</w:t>
            </w:r>
            <w:r>
              <w:rPr>
                <w:rFonts w:hint="eastAsia" w:ascii="宋体" w:hAnsi="宋体" w:eastAsia="宋体" w:cs="宋体"/>
                <w:color w:val="auto"/>
                <w:sz w:val="24"/>
                <w:szCs w:val="24"/>
                <w:lang w:bidi="ar"/>
              </w:rPr>
              <w:t>、NO</w:t>
            </w:r>
            <w:r>
              <w:rPr>
                <w:rFonts w:hint="eastAsia" w:ascii="宋体" w:hAnsi="宋体" w:eastAsia="宋体" w:cs="宋体"/>
                <w:color w:val="auto"/>
                <w:sz w:val="24"/>
                <w:szCs w:val="24"/>
                <w:vertAlign w:val="subscript"/>
                <w:lang w:bidi="ar"/>
              </w:rPr>
              <w:t>2</w:t>
            </w:r>
            <w:r>
              <w:rPr>
                <w:rFonts w:hint="eastAsia" w:ascii="宋体" w:hAnsi="宋体" w:eastAsia="宋体" w:cs="宋体"/>
                <w:color w:val="auto"/>
                <w:sz w:val="24"/>
                <w:szCs w:val="24"/>
                <w:lang w:bidi="ar"/>
              </w:rPr>
              <w:t>、PM</w:t>
            </w:r>
            <w:r>
              <w:rPr>
                <w:rFonts w:hint="eastAsia" w:ascii="宋体" w:hAnsi="宋体" w:eastAsia="宋体" w:cs="宋体"/>
                <w:color w:val="auto"/>
                <w:sz w:val="24"/>
                <w:szCs w:val="24"/>
                <w:vertAlign w:val="subscript"/>
                <w:lang w:bidi="ar"/>
              </w:rPr>
              <w:t>10</w:t>
            </w:r>
            <w:r>
              <w:rPr>
                <w:rFonts w:hint="eastAsia" w:ascii="宋体" w:hAnsi="宋体" w:eastAsia="宋体" w:cs="宋体"/>
                <w:color w:val="auto"/>
                <w:sz w:val="24"/>
                <w:szCs w:val="24"/>
                <w:lang w:bidi="ar"/>
              </w:rPr>
              <w:t>、PM</w:t>
            </w:r>
            <w:r>
              <w:rPr>
                <w:rFonts w:hint="eastAsia" w:ascii="宋体" w:hAnsi="宋体" w:eastAsia="宋体" w:cs="宋体"/>
                <w:color w:val="auto"/>
                <w:sz w:val="24"/>
                <w:szCs w:val="24"/>
                <w:vertAlign w:val="subscript"/>
                <w:lang w:bidi="ar"/>
              </w:rPr>
              <w:t>2.5</w:t>
            </w:r>
            <w:r>
              <w:rPr>
                <w:rFonts w:hint="eastAsia" w:ascii="宋体" w:hAnsi="宋体" w:eastAsia="宋体" w:cs="宋体"/>
                <w:color w:val="auto"/>
                <w:sz w:val="24"/>
                <w:szCs w:val="24"/>
                <w:lang w:bidi="ar"/>
              </w:rPr>
              <w:t>、CO和O</w:t>
            </w:r>
            <w:r>
              <w:rPr>
                <w:rFonts w:hint="eastAsia" w:ascii="宋体" w:hAnsi="宋体" w:eastAsia="宋体" w:cs="宋体"/>
                <w:color w:val="auto"/>
                <w:sz w:val="24"/>
                <w:szCs w:val="24"/>
                <w:vertAlign w:val="subscript"/>
                <w:lang w:bidi="ar"/>
              </w:rPr>
              <w:t>3</w:t>
            </w:r>
            <w:r>
              <w:rPr>
                <w:rFonts w:hint="eastAsia" w:ascii="宋体" w:hAnsi="宋体" w:eastAsia="宋体" w:cs="宋体"/>
                <w:color w:val="auto"/>
                <w:sz w:val="24"/>
                <w:szCs w:val="24"/>
                <w:lang w:bidi="ar"/>
              </w:rPr>
              <w:t>质量浓度均满足《环境空气质量标准》（GB3095-2012）二级标准限值，由此可判断</w:t>
            </w:r>
            <w:r>
              <w:rPr>
                <w:rFonts w:hint="eastAsia" w:ascii="宋体" w:hAnsi="宋体" w:eastAsia="宋体" w:cs="宋体"/>
                <w:color w:val="auto"/>
                <w:sz w:val="24"/>
                <w:szCs w:val="24"/>
                <w:lang w:val="en-US" w:eastAsia="zh-CN" w:bidi="ar"/>
              </w:rPr>
              <w:t>乌拉特中旗</w:t>
            </w:r>
            <w:r>
              <w:rPr>
                <w:rFonts w:hint="eastAsia" w:ascii="宋体" w:hAnsi="宋体" w:eastAsia="宋体" w:cs="宋体"/>
                <w:color w:val="auto"/>
                <w:sz w:val="24"/>
                <w:szCs w:val="24"/>
                <w:lang w:bidi="ar"/>
              </w:rPr>
              <w:t>属达标区。</w:t>
            </w:r>
            <w:r>
              <w:rPr>
                <w:rFonts w:hint="eastAsia" w:ascii="宋体" w:hAnsi="宋体" w:eastAsia="宋体" w:cs="宋体"/>
                <w:color w:val="auto"/>
                <w:sz w:val="24"/>
                <w:szCs w:val="24"/>
                <w:lang w:val="en-US" w:eastAsia="zh-CN"/>
              </w:rPr>
              <w:t>非甲烷总烃现状浓度</w:t>
            </w:r>
            <w:r>
              <w:rPr>
                <w:rFonts w:hint="eastAsia" w:ascii="宋体" w:hAnsi="宋体" w:eastAsia="宋体" w:cs="宋体"/>
                <w:color w:val="auto"/>
                <w:sz w:val="24"/>
                <w:szCs w:val="24"/>
              </w:rPr>
              <w:t>满足河北省地方标准《环境空气质量非甲烷总烃限值》（DB131577-2012</w:t>
            </w:r>
            <w:r>
              <w:rPr>
                <w:rFonts w:hint="eastAsia" w:ascii="宋体" w:hAnsi="宋体" w:eastAsia="宋体" w:cs="宋体"/>
                <w:color w:val="auto"/>
                <w:sz w:val="24"/>
                <w:szCs w:val="24"/>
                <w:highlight w:val="none"/>
              </w:rPr>
              <w:t>）中二级标准</w:t>
            </w:r>
            <w:r>
              <w:rPr>
                <w:rFonts w:hint="eastAsia" w:ascii="宋体" w:hAnsi="宋体" w:eastAsia="宋体" w:cs="宋体"/>
                <w:color w:val="auto"/>
                <w:kern w:val="2"/>
                <w:sz w:val="24"/>
                <w:szCs w:val="21"/>
                <w:highlight w:val="none"/>
                <w:lang w:val="en-US" w:eastAsia="zh-CN" w:bidi="ar-SA"/>
              </w:rPr>
              <w:t>，</w:t>
            </w:r>
            <w:r>
              <w:rPr>
                <w:rFonts w:hint="eastAsia" w:ascii="宋体" w:hAnsi="宋体" w:eastAsia="宋体" w:cs="宋体"/>
                <w:color w:val="auto"/>
                <w:sz w:val="24"/>
                <w:szCs w:val="24"/>
                <w:highlight w:val="none"/>
              </w:rPr>
              <w:t>评价区环境空气质量较好</w:t>
            </w:r>
            <w:r>
              <w:rPr>
                <w:rFonts w:hint="eastAsia" w:ascii="宋体" w:hAnsi="宋体" w:eastAsia="宋体" w:cs="宋体"/>
                <w:color w:val="auto"/>
                <w:sz w:val="24"/>
                <w:szCs w:val="24"/>
                <w:highlight w:val="none"/>
                <w:lang w:eastAsia="zh-CN"/>
              </w:rPr>
              <w:t>。</w:t>
            </w:r>
          </w:p>
          <w:p w14:paraId="5645A3D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bidi="ar"/>
              </w:rPr>
              <w:t>项目运营后会产生一定的污染物，但在采取相应的污染防治措施后可以达标排放，各类污染物的排放对周边环境的影响处于可接受水平，不会改变区域环境功能区质量要求，满足环境质量底线要求。</w:t>
            </w:r>
          </w:p>
          <w:p w14:paraId="71F7B363">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（3）资源利用上线</w:t>
            </w:r>
          </w:p>
          <w:p w14:paraId="3B0460AA">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val="en-US" w:eastAsia="zh-CN"/>
              </w:rPr>
              <w:t>本</w:t>
            </w:r>
            <w:r>
              <w:rPr>
                <w:rFonts w:hint="eastAsia" w:ascii="宋体" w:hAnsi="宋体" w:eastAsia="宋体" w:cs="宋体"/>
                <w:color w:val="auto"/>
                <w:sz w:val="24"/>
                <w:lang w:eastAsia="zh-CN"/>
              </w:rPr>
              <w:t>项目</w:t>
            </w:r>
            <w:r>
              <w:rPr>
                <w:rFonts w:hint="eastAsia" w:ascii="宋体" w:hAnsi="宋体" w:eastAsia="宋体" w:cs="宋体"/>
                <w:color w:val="auto"/>
                <w:sz w:val="24"/>
              </w:rPr>
              <w:t>运行</w:t>
            </w:r>
            <w:r>
              <w:rPr>
                <w:rFonts w:hint="eastAsia" w:ascii="宋体" w:hAnsi="宋体" w:eastAsia="宋体" w:cs="宋体"/>
                <w:color w:val="auto"/>
                <w:sz w:val="24"/>
                <w:lang w:val="en-US" w:eastAsia="zh-CN"/>
              </w:rPr>
              <w:t>过程中</w:t>
            </w:r>
            <w:r>
              <w:rPr>
                <w:rFonts w:hint="eastAsia" w:ascii="宋体" w:hAnsi="宋体" w:eastAsia="宋体" w:cs="宋体"/>
                <w:color w:val="auto"/>
                <w:sz w:val="24"/>
              </w:rPr>
              <w:t>消耗一定量</w:t>
            </w:r>
            <w:r>
              <w:rPr>
                <w:rFonts w:hint="eastAsia" w:ascii="宋体" w:hAnsi="宋体" w:eastAsia="宋体" w:cs="宋体"/>
                <w:color w:val="auto"/>
                <w:sz w:val="24"/>
                <w:lang w:eastAsia="zh-CN"/>
              </w:rPr>
              <w:t>水资源、</w:t>
            </w:r>
            <w:r>
              <w:rPr>
                <w:rFonts w:hint="eastAsia" w:ascii="宋体" w:hAnsi="宋体" w:eastAsia="宋体" w:cs="宋体"/>
                <w:color w:val="auto"/>
                <w:sz w:val="24"/>
              </w:rPr>
              <w:t>电能，</w:t>
            </w:r>
            <w:r>
              <w:rPr>
                <w:rFonts w:hint="eastAsia" w:ascii="宋体" w:hAnsi="宋体" w:eastAsia="宋体" w:cs="宋体"/>
                <w:color w:val="auto"/>
                <w:sz w:val="24"/>
                <w:lang w:eastAsia="zh-CN" w:bidi="ar"/>
              </w:rPr>
              <w:t>通过</w:t>
            </w:r>
            <w:r>
              <w:rPr>
                <w:rFonts w:hint="eastAsia" w:ascii="宋体" w:hAnsi="宋体" w:eastAsia="宋体" w:cs="宋体"/>
                <w:color w:val="auto"/>
                <w:sz w:val="24"/>
                <w:szCs w:val="24"/>
                <w:lang w:eastAsia="zh-CN"/>
              </w:rPr>
              <w:t>采用先进的生产工艺和生产设备，</w:t>
            </w:r>
            <w:r>
              <w:rPr>
                <w:rFonts w:hint="eastAsia" w:ascii="宋体" w:hAnsi="宋体" w:eastAsia="宋体" w:cs="宋体"/>
                <w:color w:val="auto"/>
                <w:sz w:val="24"/>
                <w:szCs w:val="24"/>
              </w:rPr>
              <w:t>运行过程中通过</w:t>
            </w:r>
            <w:r>
              <w:rPr>
                <w:rFonts w:hint="eastAsia" w:ascii="宋体" w:hAnsi="宋体" w:eastAsia="宋体" w:cs="宋体"/>
                <w:color w:val="auto"/>
                <w:sz w:val="24"/>
                <w:szCs w:val="24"/>
                <w:lang w:eastAsia="zh-CN"/>
              </w:rPr>
              <w:t>加强</w:t>
            </w:r>
            <w:r>
              <w:rPr>
                <w:rFonts w:hint="eastAsia" w:ascii="宋体" w:hAnsi="宋体" w:eastAsia="宋体" w:cs="宋体"/>
                <w:color w:val="auto"/>
                <w:sz w:val="24"/>
                <w:szCs w:val="24"/>
              </w:rPr>
              <w:t>管理、</w:t>
            </w:r>
            <w:r>
              <w:rPr>
                <w:rFonts w:hint="eastAsia" w:ascii="宋体" w:hAnsi="宋体" w:eastAsia="宋体" w:cs="宋体"/>
                <w:color w:val="auto"/>
                <w:sz w:val="24"/>
                <w:szCs w:val="24"/>
                <w:lang w:eastAsia="zh-CN"/>
              </w:rPr>
              <w:t>废水综合利用、</w:t>
            </w:r>
            <w:r>
              <w:rPr>
                <w:rFonts w:hint="eastAsia" w:ascii="宋体" w:hAnsi="宋体" w:eastAsia="宋体" w:cs="宋体"/>
                <w:color w:val="auto"/>
                <w:sz w:val="24"/>
                <w:szCs w:val="24"/>
              </w:rPr>
              <w:t>污染治理等多方面采取可行的防治措施，以“节能、降耗、减污”为目标，可有效的</w:t>
            </w:r>
            <w:r>
              <w:rPr>
                <w:rFonts w:hint="eastAsia" w:ascii="宋体" w:hAnsi="宋体" w:eastAsia="宋体" w:cs="宋体"/>
                <w:color w:val="auto"/>
                <w:sz w:val="24"/>
                <w:szCs w:val="24"/>
                <w:lang w:eastAsia="zh-CN"/>
              </w:rPr>
              <w:t>节约资源，</w:t>
            </w:r>
            <w:r>
              <w:rPr>
                <w:rFonts w:hint="eastAsia" w:ascii="宋体" w:hAnsi="宋体" w:eastAsia="宋体" w:cs="宋体"/>
                <w:color w:val="auto"/>
                <w:sz w:val="24"/>
                <w:szCs w:val="24"/>
              </w:rPr>
              <w:t>符合资源利用上</w:t>
            </w:r>
            <w:r>
              <w:rPr>
                <w:rFonts w:hint="eastAsia" w:ascii="宋体" w:hAnsi="宋体" w:eastAsia="宋体" w:cs="宋体"/>
                <w:color w:val="auto"/>
                <w:sz w:val="24"/>
                <w:szCs w:val="24"/>
                <w:highlight w:val="none"/>
                <w:lang w:val="en-US" w:eastAsia="zh-CN"/>
              </w:rPr>
              <w:t>线</w:t>
            </w:r>
            <w:r>
              <w:rPr>
                <w:rFonts w:hint="eastAsia" w:ascii="宋体" w:hAnsi="宋体" w:eastAsia="宋体" w:cs="宋体"/>
                <w:color w:val="auto"/>
                <w:sz w:val="24"/>
                <w:szCs w:val="24"/>
              </w:rPr>
              <w:t>要求</w:t>
            </w:r>
            <w:r>
              <w:rPr>
                <w:rFonts w:hint="eastAsia" w:ascii="宋体" w:hAnsi="宋体" w:eastAsia="宋体" w:cs="宋体"/>
                <w:color w:val="auto"/>
                <w:sz w:val="24"/>
              </w:rPr>
              <w:t>。</w:t>
            </w:r>
          </w:p>
          <w:p w14:paraId="700FF498">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（4）生态环境准入清单</w:t>
            </w:r>
          </w:p>
          <w:p w14:paraId="76763227">
            <w:pPr>
              <w:pStyle w:val="9"/>
              <w:keepNext w:val="0"/>
              <w:keepLines w:val="0"/>
              <w:suppressLineNumbers w:val="0"/>
              <w:spacing w:before="0" w:beforeAutospacing="0" w:after="0" w:afterAutospacing="0" w:line="360" w:lineRule="auto"/>
              <w:ind w:left="0" w:right="0" w:firstLine="480"/>
              <w:rPr>
                <w:rFonts w:hint="eastAsia" w:ascii="宋体" w:hAnsi="宋体" w:eastAsia="宋体" w:cs="宋体"/>
                <w:color w:val="auto"/>
                <w:sz w:val="24"/>
              </w:rPr>
            </w:pPr>
            <w:r>
              <w:rPr>
                <w:rFonts w:hint="eastAsia" w:ascii="宋体" w:hAnsi="宋体" w:eastAsia="宋体" w:cs="宋体"/>
                <w:color w:val="auto"/>
                <w:sz w:val="24"/>
                <w:lang w:val="en-US" w:eastAsia="zh-CN"/>
              </w:rPr>
              <w:t>本</w:t>
            </w:r>
            <w:r>
              <w:rPr>
                <w:rFonts w:hint="eastAsia" w:ascii="宋体" w:hAnsi="宋体" w:eastAsia="宋体" w:cs="宋体"/>
                <w:color w:val="auto"/>
                <w:sz w:val="24"/>
                <w:lang w:eastAsia="zh-CN"/>
              </w:rPr>
              <w:t>项目</w:t>
            </w:r>
            <w:r>
              <w:rPr>
                <w:rFonts w:hint="eastAsia" w:ascii="宋体" w:hAnsi="宋体" w:eastAsia="宋体" w:cs="宋体"/>
                <w:color w:val="auto"/>
                <w:sz w:val="24"/>
              </w:rPr>
              <w:t>位于</w:t>
            </w:r>
            <w:r>
              <w:rPr>
                <w:rFonts w:hint="eastAsia" w:ascii="宋体" w:hAnsi="宋体" w:eastAsia="宋体" w:cs="宋体"/>
                <w:color w:val="auto"/>
                <w:sz w:val="24"/>
                <w:lang w:val="en-US" w:eastAsia="zh-CN"/>
              </w:rPr>
              <w:t>乌拉特中旗新忽热苏木长山壕金矿内蒙古太平矿业已弃用闲置的危险品总仓库区</w:t>
            </w:r>
            <w:r>
              <w:rPr>
                <w:rFonts w:hint="eastAsia" w:ascii="宋体" w:hAnsi="宋体" w:eastAsia="宋体" w:cs="宋体"/>
                <w:color w:val="auto"/>
                <w:sz w:val="24"/>
              </w:rPr>
              <w:t>，</w:t>
            </w:r>
            <w:r>
              <w:rPr>
                <w:rFonts w:hint="eastAsia" w:ascii="宋体" w:hAnsi="宋体" w:eastAsia="宋体" w:cs="宋体"/>
                <w:color w:val="auto"/>
                <w:sz w:val="24"/>
                <w:lang w:eastAsia="zh-CN"/>
              </w:rPr>
              <w:t>根据查询结果，项目区属于</w:t>
            </w:r>
            <w:r>
              <w:rPr>
                <w:rFonts w:hint="eastAsia" w:ascii="宋体" w:hAnsi="宋体" w:eastAsia="宋体" w:cs="宋体"/>
                <w:color w:val="auto"/>
                <w:sz w:val="24"/>
              </w:rPr>
              <w:t>《巴彦淖尔市生态环境准入清单</w:t>
            </w:r>
            <w:r>
              <w:rPr>
                <w:rFonts w:hint="eastAsia" w:ascii="宋体" w:hAnsi="宋体" w:eastAsia="宋体" w:cs="宋体"/>
                <w:color w:val="auto"/>
                <w:sz w:val="24"/>
                <w:szCs w:val="24"/>
                <w:lang w:bidi="ar"/>
              </w:rPr>
              <w:t>（202</w:t>
            </w:r>
            <w:r>
              <w:rPr>
                <w:rFonts w:hint="eastAsia" w:ascii="宋体" w:hAnsi="宋体" w:eastAsia="宋体" w:cs="宋体"/>
                <w:color w:val="auto"/>
                <w:sz w:val="24"/>
                <w:szCs w:val="24"/>
                <w:lang w:val="en-US" w:eastAsia="zh-CN" w:bidi="ar"/>
              </w:rPr>
              <w:t>3</w:t>
            </w:r>
            <w:r>
              <w:rPr>
                <w:rFonts w:hint="eastAsia" w:ascii="宋体" w:hAnsi="宋体" w:eastAsia="宋体" w:cs="宋体"/>
                <w:color w:val="auto"/>
                <w:sz w:val="24"/>
                <w:szCs w:val="24"/>
                <w:lang w:bidi="ar"/>
              </w:rPr>
              <w:t>年）</w:t>
            </w:r>
            <w:r>
              <w:rPr>
                <w:rFonts w:hint="eastAsia" w:ascii="宋体" w:hAnsi="宋体" w:eastAsia="宋体" w:cs="宋体"/>
                <w:color w:val="auto"/>
                <w:sz w:val="24"/>
              </w:rPr>
              <w:t>》</w:t>
            </w:r>
            <w:r>
              <w:rPr>
                <w:rFonts w:hint="eastAsia" w:ascii="宋体" w:hAnsi="宋体" w:eastAsia="宋体" w:cs="宋体"/>
                <w:color w:val="auto"/>
                <w:sz w:val="24"/>
                <w:lang w:eastAsia="zh-CN"/>
              </w:rPr>
              <w:t>中的新忽热苏木采矿用地管控单元</w:t>
            </w:r>
            <w:r>
              <w:rPr>
                <w:rFonts w:hint="eastAsia" w:ascii="宋体" w:hAnsi="宋体" w:eastAsia="宋体" w:cs="宋体"/>
                <w:color w:val="auto"/>
                <w:sz w:val="24"/>
              </w:rPr>
              <w:t>，环境管控单元编</w:t>
            </w:r>
            <w:r>
              <w:rPr>
                <w:rFonts w:hint="eastAsia" w:ascii="宋体" w:hAnsi="宋体" w:eastAsia="宋体" w:cs="宋体"/>
                <w:color w:val="auto"/>
                <w:sz w:val="24"/>
                <w:highlight w:val="none"/>
              </w:rPr>
              <w:t>码ZH15082420019</w:t>
            </w:r>
            <w:r>
              <w:rPr>
                <w:rFonts w:hint="eastAsia" w:ascii="宋体" w:hAnsi="宋体" w:eastAsia="宋体" w:cs="宋体"/>
                <w:color w:val="auto"/>
                <w:sz w:val="24"/>
                <w:lang w:eastAsia="zh-CN"/>
              </w:rPr>
              <w:t>，</w:t>
            </w:r>
            <w:r>
              <w:rPr>
                <w:rFonts w:hint="eastAsia" w:ascii="宋体" w:hAnsi="宋体" w:eastAsia="宋体" w:cs="宋体"/>
                <w:color w:val="auto"/>
                <w:sz w:val="24"/>
              </w:rPr>
              <w:t>属于重点管控单元</w:t>
            </w:r>
            <w:r>
              <w:rPr>
                <w:rFonts w:hint="eastAsia" w:ascii="宋体" w:hAnsi="宋体" w:eastAsia="宋体" w:cs="宋体"/>
                <w:color w:val="auto"/>
                <w:sz w:val="24"/>
                <w:lang w:eastAsia="zh-CN"/>
              </w:rPr>
              <w:t>，为生态用水补给区、土地资源重点管控区。</w:t>
            </w:r>
            <w:r>
              <w:rPr>
                <w:rFonts w:hint="eastAsia" w:ascii="宋体" w:hAnsi="宋体" w:eastAsia="宋体" w:cs="宋体"/>
                <w:color w:val="auto"/>
                <w:sz w:val="24"/>
                <w:lang w:val="en-US" w:eastAsia="zh-CN"/>
              </w:rPr>
              <w:t>环境管控单元查询结果见附图。</w:t>
            </w:r>
          </w:p>
          <w:p w14:paraId="14756C4A">
            <w:pPr>
              <w:pStyle w:val="9"/>
              <w:keepNext w:val="0"/>
              <w:keepLines w:val="0"/>
              <w:suppressLineNumbers w:val="0"/>
              <w:spacing w:before="0" w:beforeAutospacing="0" w:after="0" w:afterAutospacing="0" w:line="360" w:lineRule="auto"/>
              <w:ind w:left="0" w:right="0" w:firstLine="480"/>
              <w:rPr>
                <w:rFonts w:hint="eastAsia" w:ascii="宋体" w:hAnsi="宋体" w:eastAsia="宋体" w:cs="宋体"/>
                <w:color w:val="auto"/>
                <w:sz w:val="24"/>
              </w:rPr>
            </w:pPr>
            <w:r>
              <w:rPr>
                <w:rFonts w:hint="eastAsia" w:ascii="宋体" w:hAnsi="宋体" w:eastAsia="宋体" w:cs="宋体"/>
                <w:color w:val="auto"/>
                <w:sz w:val="24"/>
              </w:rPr>
              <w:t>本项目与《巴彦淖尔市生态环境准入清单</w:t>
            </w:r>
            <w:r>
              <w:rPr>
                <w:rFonts w:hint="eastAsia" w:ascii="宋体" w:hAnsi="宋体" w:eastAsia="宋体" w:cs="宋体"/>
                <w:color w:val="auto"/>
                <w:sz w:val="24"/>
                <w:szCs w:val="24"/>
                <w:lang w:bidi="ar"/>
              </w:rPr>
              <w:t>（202</w:t>
            </w:r>
            <w:r>
              <w:rPr>
                <w:rFonts w:hint="eastAsia" w:ascii="宋体" w:hAnsi="宋体" w:eastAsia="宋体" w:cs="宋体"/>
                <w:color w:val="auto"/>
                <w:sz w:val="24"/>
                <w:szCs w:val="24"/>
                <w:lang w:val="en-US" w:eastAsia="zh-CN" w:bidi="ar"/>
              </w:rPr>
              <w:t>3</w:t>
            </w:r>
            <w:r>
              <w:rPr>
                <w:rFonts w:hint="eastAsia" w:ascii="宋体" w:hAnsi="宋体" w:eastAsia="宋体" w:cs="宋体"/>
                <w:color w:val="auto"/>
                <w:sz w:val="24"/>
                <w:szCs w:val="24"/>
                <w:lang w:bidi="ar"/>
              </w:rPr>
              <w:t>年）</w:t>
            </w:r>
            <w:r>
              <w:rPr>
                <w:rFonts w:hint="eastAsia" w:ascii="宋体" w:hAnsi="宋体" w:eastAsia="宋体" w:cs="宋体"/>
                <w:color w:val="auto"/>
                <w:sz w:val="24"/>
              </w:rPr>
              <w:t>》符合性分析见表1</w:t>
            </w:r>
            <w:r>
              <w:rPr>
                <w:rFonts w:hint="eastAsia" w:ascii="宋体" w:hAnsi="宋体" w:eastAsia="宋体" w:cs="宋体"/>
                <w:color w:val="auto"/>
                <w:sz w:val="24"/>
                <w:lang w:val="en-US" w:eastAsia="zh-CN"/>
              </w:rPr>
              <w:t>-2</w:t>
            </w:r>
            <w:r>
              <w:rPr>
                <w:rFonts w:hint="eastAsia" w:ascii="宋体" w:hAnsi="宋体" w:eastAsia="宋体" w:cs="宋体"/>
                <w:color w:val="auto"/>
                <w:sz w:val="24"/>
              </w:rPr>
              <w:t>。</w:t>
            </w:r>
          </w:p>
          <w:p w14:paraId="03723997">
            <w:pPr>
              <w:pStyle w:val="24"/>
              <w:keepNext w:val="0"/>
              <w:keepLines w:val="0"/>
              <w:widowControl w:val="0"/>
              <w:suppressLineNumbers w:val="0"/>
              <w:autoSpaceDE w:val="0"/>
              <w:spacing w:before="0" w:beforeAutospacing="0" w:after="0" w:afterAutospacing="0"/>
              <w:ind w:left="0" w:right="0"/>
              <w:jc w:val="center"/>
              <w:rPr>
                <w:rFonts w:hint="eastAsia" w:ascii="宋体" w:hAnsi="宋体" w:eastAsia="宋体" w:cs="宋体"/>
                <w:color w:val="auto"/>
                <w:kern w:val="2"/>
                <w:szCs w:val="21"/>
              </w:rPr>
            </w:pPr>
            <w:r>
              <w:rPr>
                <w:rFonts w:hint="eastAsia" w:ascii="宋体" w:hAnsi="宋体" w:eastAsia="宋体" w:cs="宋体"/>
                <w:b/>
                <w:bCs/>
                <w:color w:val="auto"/>
                <w:kern w:val="2"/>
                <w:lang w:bidi="ar"/>
              </w:rPr>
              <w:t>表1</w:t>
            </w:r>
            <w:r>
              <w:rPr>
                <w:rFonts w:hint="eastAsia" w:ascii="宋体" w:hAnsi="宋体" w:eastAsia="宋体" w:cs="宋体"/>
                <w:b/>
                <w:bCs/>
                <w:color w:val="auto"/>
                <w:kern w:val="2"/>
                <w:lang w:val="en-US" w:eastAsia="zh-CN" w:bidi="ar"/>
              </w:rPr>
              <w:t>-2</w:t>
            </w:r>
            <w:r>
              <w:rPr>
                <w:rFonts w:hint="eastAsia" w:ascii="宋体" w:hAnsi="宋体" w:eastAsia="宋体" w:cs="宋体"/>
                <w:b/>
                <w:bCs/>
                <w:color w:val="auto"/>
                <w:kern w:val="2"/>
                <w:lang w:bidi="ar"/>
              </w:rPr>
              <w:t xml:space="preserve"> 本项目与</w:t>
            </w:r>
            <w:r>
              <w:rPr>
                <w:rFonts w:hint="eastAsia" w:ascii="宋体" w:hAnsi="宋体" w:eastAsia="宋体" w:cs="宋体"/>
                <w:b/>
                <w:bCs/>
                <w:color w:val="auto"/>
                <w:kern w:val="2"/>
                <w:lang w:val="en-US" w:eastAsia="zh-CN" w:bidi="ar"/>
              </w:rPr>
              <w:t>管控要求</w:t>
            </w:r>
            <w:r>
              <w:rPr>
                <w:rFonts w:hint="eastAsia" w:ascii="宋体" w:hAnsi="宋体" w:eastAsia="宋体" w:cs="宋体"/>
                <w:b/>
                <w:bCs/>
                <w:color w:val="auto"/>
                <w:kern w:val="2"/>
                <w:lang w:bidi="ar"/>
              </w:rPr>
              <w:t>符合性分析</w:t>
            </w:r>
          </w:p>
          <w:tbl>
            <w:tblPr>
              <w:tblStyle w:val="26"/>
              <w:tblW w:w="70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464"/>
              <w:gridCol w:w="3625"/>
              <w:gridCol w:w="1846"/>
              <w:gridCol w:w="435"/>
            </w:tblGrid>
            <w:tr w14:paraId="3C093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3" w:hRule="atLeast"/>
                <w:jc w:val="center"/>
              </w:trPr>
              <w:tc>
                <w:tcPr>
                  <w:tcW w:w="649" w:type="dxa"/>
                  <w:tcBorders>
                    <w:top w:val="single" w:color="auto" w:sz="4" w:space="0"/>
                    <w:left w:val="single" w:color="auto" w:sz="4" w:space="0"/>
                    <w:bottom w:val="single" w:color="auto" w:sz="4" w:space="0"/>
                    <w:right w:val="single" w:color="auto" w:sz="4" w:space="0"/>
                  </w:tcBorders>
                  <w:noWrap w:val="0"/>
                  <w:vAlign w:val="center"/>
                </w:tcPr>
                <w:p w14:paraId="51C841D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环境管控单元名称</w:t>
                  </w: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5F9F029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管控要求</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16D48C8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拟建项目情况</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5D033A5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是否</w:t>
                  </w:r>
                </w:p>
                <w:p w14:paraId="7A1F545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195BD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9" w:type="dxa"/>
                  <w:vMerge w:val="restart"/>
                  <w:tcBorders>
                    <w:top w:val="nil"/>
                    <w:left w:val="single" w:color="auto" w:sz="4" w:space="0"/>
                    <w:bottom w:val="single" w:color="auto" w:sz="4" w:space="0"/>
                    <w:right w:val="single" w:color="auto" w:sz="4" w:space="0"/>
                  </w:tcBorders>
                  <w:noWrap w:val="0"/>
                  <w:vAlign w:val="center"/>
                </w:tcPr>
                <w:p w14:paraId="0F0531B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巴彦</w:t>
                  </w:r>
                </w:p>
                <w:p w14:paraId="0509DE7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淖尔</w:t>
                  </w:r>
                </w:p>
                <w:p w14:paraId="7FF6813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市总</w:t>
                  </w:r>
                </w:p>
                <w:p w14:paraId="33AB057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体准</w:t>
                  </w:r>
                </w:p>
                <w:p w14:paraId="7BE7B86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入要</w:t>
                  </w:r>
                </w:p>
                <w:p w14:paraId="2538949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求</w:t>
                  </w: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36B86E5C">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1、根据《内蒙古自治区进一步规范化工行业项目建设的若干规定》，现有园区扩大面积的，要与黄河中上游流域巴彦淖尔段及主要支流岸线至少保持1公里距离。</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6D0626BF">
                  <w:pPr>
                    <w:keepNext w:val="0"/>
                    <w:keepLines w:val="0"/>
                    <w:widowControl/>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lang w:bidi="ar"/>
                    </w:rPr>
                    <w:t>本项目</w:t>
                  </w:r>
                  <w:r>
                    <w:rPr>
                      <w:rFonts w:hint="eastAsia" w:ascii="宋体" w:hAnsi="宋体" w:eastAsia="宋体" w:cs="宋体"/>
                      <w:color w:val="auto"/>
                      <w:lang w:eastAsia="zh-CN" w:bidi="ar"/>
                    </w:rPr>
                    <w:t>为锅炉技术改造项目</w:t>
                  </w:r>
                  <w:r>
                    <w:rPr>
                      <w:rFonts w:hint="eastAsia" w:ascii="宋体" w:hAnsi="宋体" w:eastAsia="宋体" w:cs="宋体"/>
                      <w:color w:val="auto"/>
                      <w:kern w:val="0"/>
                      <w:szCs w:val="21"/>
                      <w:lang w:eastAsia="zh-CN"/>
                    </w:rPr>
                    <w:t>，</w:t>
                  </w:r>
                  <w:r>
                    <w:rPr>
                      <w:rFonts w:hint="eastAsia" w:ascii="宋体" w:hAnsi="宋体" w:eastAsia="宋体" w:cs="宋体"/>
                      <w:color w:val="auto"/>
                      <w:kern w:val="0"/>
                      <w:szCs w:val="21"/>
                    </w:rPr>
                    <w:t>不</w:t>
                  </w:r>
                  <w:r>
                    <w:rPr>
                      <w:rFonts w:hint="eastAsia" w:eastAsia="宋体" w:cs="宋体"/>
                      <w:color w:val="auto"/>
                      <w:kern w:val="0"/>
                      <w:szCs w:val="21"/>
                      <w:lang w:val="en-US" w:eastAsia="zh-CN"/>
                    </w:rPr>
                    <w:t>属于化工项目，不</w:t>
                  </w:r>
                  <w:r>
                    <w:rPr>
                      <w:rFonts w:hint="eastAsia" w:ascii="宋体" w:hAnsi="宋体" w:eastAsia="宋体" w:cs="宋体"/>
                      <w:color w:val="auto"/>
                      <w:kern w:val="0"/>
                      <w:szCs w:val="21"/>
                    </w:rPr>
                    <w:t>涉及新化工园区的布局。</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47D5FE9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1D6E3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0" w:hRule="atLeast"/>
                <w:jc w:val="center"/>
              </w:trPr>
              <w:tc>
                <w:tcPr>
                  <w:tcW w:w="649" w:type="dxa"/>
                  <w:vMerge w:val="continue"/>
                  <w:tcBorders>
                    <w:top w:val="nil"/>
                    <w:left w:val="single" w:color="auto" w:sz="4" w:space="0"/>
                    <w:bottom w:val="single" w:color="auto" w:sz="4" w:space="0"/>
                    <w:right w:val="single" w:color="auto" w:sz="4" w:space="0"/>
                  </w:tcBorders>
                  <w:noWrap w:val="0"/>
                  <w:vAlign w:val="center"/>
                </w:tcPr>
                <w:p w14:paraId="025D0CB4">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40C62012">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2、</w:t>
                  </w:r>
                  <w:r>
                    <w:rPr>
                      <w:rFonts w:hint="eastAsia" w:ascii="宋体" w:hAnsi="宋体" w:eastAsia="宋体" w:cs="宋体"/>
                      <w:color w:val="auto"/>
                      <w:szCs w:val="21"/>
                    </w:rPr>
                    <w:t>新建、改建、扩建“两高”项目须符合生态环境保护法律法规和相关法定规划，满足重点污染物排放总量控制、碳排放达峰目标、生态环境准入清单、相关规划环评和相应行业建设项目</w:t>
                  </w:r>
                  <w:bookmarkStart w:id="18" w:name="_GoBack"/>
                  <w:bookmarkEnd w:id="18"/>
                  <w:r>
                    <w:rPr>
                      <w:rFonts w:hint="eastAsia" w:ascii="宋体" w:hAnsi="宋体" w:eastAsia="宋体" w:cs="宋体"/>
                      <w:color w:val="auto"/>
                      <w:szCs w:val="21"/>
                    </w:rPr>
                    <w:t>环境准入条件、环评文件审批要求。新建、扩建石化、化工、焦化、有色金属冶炼、平板玻璃项目应布设在依法合规设立并经规划环评的产业园区。化工园区（集中区）外已认定为化工重点监控点的企业，在项目审批、建设和管理方面参照化工园区内企业执行。企业可按照化工项目建设管理有关规定，依法依规在厂区内或紧邻厂区新建、改扩建现有装备同类产品、产业链延链补链、循环经济利用、安全环保节能项目，但原则上不能新建上游产业</w:t>
                  </w:r>
                  <w:r>
                    <w:rPr>
                      <w:rFonts w:hint="eastAsia" w:ascii="宋体" w:hAnsi="宋体" w:eastAsia="宋体" w:cs="宋体"/>
                      <w:color w:val="auto"/>
                      <w:kern w:val="0"/>
                      <w:szCs w:val="21"/>
                      <w:lang w:bidi="ar"/>
                    </w:rPr>
                    <w:t>。</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6033EB92">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lang w:bidi="ar"/>
                    </w:rPr>
                    <w:t>本项目不属于“两高”项目。</w:t>
                  </w:r>
                  <w:r>
                    <w:rPr>
                      <w:rFonts w:hint="eastAsia" w:ascii="宋体" w:hAnsi="宋体" w:eastAsia="宋体" w:cs="宋体"/>
                      <w:color w:val="auto"/>
                      <w:lang w:eastAsia="zh-CN" w:bidi="ar"/>
                    </w:rPr>
                    <w:t>项目拆除现有的</w:t>
                  </w:r>
                  <w:r>
                    <w:rPr>
                      <w:rFonts w:hint="eastAsia" w:ascii="宋体" w:hAnsi="宋体" w:eastAsia="宋体" w:cs="宋体"/>
                      <w:color w:val="auto"/>
                      <w:lang w:val="en-US" w:eastAsia="zh-CN" w:bidi="ar"/>
                    </w:rPr>
                    <w:t>1台2t/h燃煤蒸汽锅炉，新建1台</w:t>
                  </w:r>
                  <w:r>
                    <w:rPr>
                      <w:rFonts w:hint="eastAsia" w:eastAsia="宋体" w:cs="宋体"/>
                      <w:color w:val="auto"/>
                      <w:lang w:val="en-US" w:eastAsia="zh-CN" w:bidi="ar"/>
                    </w:rPr>
                    <w:t>1</w:t>
                  </w:r>
                  <w:r>
                    <w:rPr>
                      <w:rFonts w:hint="eastAsia" w:ascii="宋体" w:hAnsi="宋体" w:eastAsia="宋体" w:cs="宋体"/>
                      <w:color w:val="auto"/>
                      <w:lang w:val="en-US" w:eastAsia="zh-CN" w:bidi="ar"/>
                    </w:rPr>
                    <w:t>t/h燃油蒸汽锅炉和1台1t/h燃油蒸汽发生器（备用）</w:t>
                  </w:r>
                  <w:r>
                    <w:rPr>
                      <w:rFonts w:hint="eastAsia" w:ascii="宋体" w:hAnsi="宋体" w:eastAsia="宋体" w:cs="宋体"/>
                      <w:color w:val="auto"/>
                      <w:lang w:eastAsia="zh-CN" w:bidi="ar"/>
                    </w:rPr>
                    <w:t>，采取污染防治措施后污染物排放量较小，对环境影响较小。</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1DB44E4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58CFD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9" w:type="dxa"/>
                  <w:vMerge w:val="continue"/>
                  <w:tcBorders>
                    <w:top w:val="nil"/>
                    <w:left w:val="single" w:color="auto" w:sz="4" w:space="0"/>
                    <w:bottom w:val="single" w:color="auto" w:sz="4" w:space="0"/>
                    <w:right w:val="single" w:color="auto" w:sz="4" w:space="0"/>
                  </w:tcBorders>
                  <w:noWrap w:val="0"/>
                  <w:vAlign w:val="center"/>
                </w:tcPr>
                <w:p w14:paraId="0019F205">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6073CBE3">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3、为改善区域环境质量，严格控制“两高”项目新增主要污染物排放，确保环境影响报告书及其批复文件要求的主要污染物排放量区域削减措施落实到位。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16A7EA76">
                  <w:pPr>
                    <w:keepNext w:val="0"/>
                    <w:keepLines w:val="0"/>
                    <w:widowControl/>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rPr>
                    <w:t>本项目所在地巴彦淖尔市</w:t>
                  </w:r>
                  <w:r>
                    <w:rPr>
                      <w:rFonts w:hint="eastAsia" w:ascii="宋体" w:hAnsi="宋体" w:eastAsia="宋体" w:cs="宋体"/>
                      <w:color w:val="auto"/>
                      <w:kern w:val="0"/>
                      <w:szCs w:val="21"/>
                      <w:lang w:eastAsia="zh-CN"/>
                    </w:rPr>
                    <w:t>乌拉特中旗</w:t>
                  </w:r>
                  <w:r>
                    <w:rPr>
                      <w:rFonts w:hint="eastAsia" w:ascii="宋体" w:hAnsi="宋体" w:eastAsia="宋体" w:cs="宋体"/>
                      <w:color w:val="auto"/>
                      <w:kern w:val="0"/>
                      <w:szCs w:val="21"/>
                    </w:rPr>
                    <w:t>属于达标区；项目各污染物排放量较小，采取相应污染防治措施后，各污染物均可达标排放，不会造成区域环境质量恶化。</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42B218D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279D3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2" w:hRule="atLeast"/>
                <w:jc w:val="center"/>
              </w:trPr>
              <w:tc>
                <w:tcPr>
                  <w:tcW w:w="649" w:type="dxa"/>
                  <w:vMerge w:val="continue"/>
                  <w:tcBorders>
                    <w:top w:val="nil"/>
                    <w:left w:val="single" w:color="auto" w:sz="4" w:space="0"/>
                    <w:bottom w:val="single" w:color="auto" w:sz="4" w:space="0"/>
                    <w:right w:val="single" w:color="auto" w:sz="4" w:space="0"/>
                  </w:tcBorders>
                  <w:noWrap w:val="0"/>
                  <w:vAlign w:val="center"/>
                </w:tcPr>
                <w:p w14:paraId="3288965E">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2469E75C">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4、各类园区及建设项目选址应当符合当地国土空间规划。</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5E88DFE3">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lang w:bidi="ar"/>
                    </w:rPr>
                    <w:t>本项目</w:t>
                  </w:r>
                  <w:r>
                    <w:rPr>
                      <w:rFonts w:hint="eastAsia" w:ascii="宋体" w:hAnsi="宋体" w:eastAsia="宋体" w:cs="宋体"/>
                      <w:color w:val="auto"/>
                      <w:lang w:val="en-US" w:eastAsia="zh-CN" w:bidi="ar"/>
                    </w:rPr>
                    <w:t>在现有厂区内实施技术改造，不新增占地，</w:t>
                  </w:r>
                  <w:r>
                    <w:rPr>
                      <w:rFonts w:hint="eastAsia" w:ascii="宋体" w:hAnsi="宋体" w:eastAsia="宋体" w:cs="宋体"/>
                      <w:color w:val="auto"/>
                      <w:lang w:bidi="ar"/>
                    </w:rPr>
                    <w:t>不占用耕地和基本农田等，符合</w:t>
                  </w:r>
                  <w:r>
                    <w:rPr>
                      <w:rFonts w:hint="eastAsia" w:ascii="宋体" w:hAnsi="宋体" w:eastAsia="宋体" w:cs="宋体"/>
                      <w:color w:val="auto"/>
                      <w:lang w:val="en-US" w:eastAsia="zh-CN" w:bidi="ar"/>
                    </w:rPr>
                    <w:t>乌拉特中旗国土空间总体</w:t>
                  </w:r>
                  <w:r>
                    <w:rPr>
                      <w:rFonts w:hint="eastAsia" w:ascii="宋体" w:hAnsi="宋体" w:eastAsia="宋体" w:cs="宋体"/>
                      <w:color w:val="auto"/>
                      <w:lang w:bidi="ar"/>
                    </w:rPr>
                    <w:t>规划。</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05EAC3D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1BB61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7" w:hRule="atLeast"/>
                <w:jc w:val="center"/>
              </w:trPr>
              <w:tc>
                <w:tcPr>
                  <w:tcW w:w="649" w:type="dxa"/>
                  <w:vMerge w:val="continue"/>
                  <w:tcBorders>
                    <w:top w:val="nil"/>
                    <w:left w:val="single" w:color="auto" w:sz="4" w:space="0"/>
                    <w:bottom w:val="single" w:color="auto" w:sz="4" w:space="0"/>
                    <w:right w:val="single" w:color="auto" w:sz="4" w:space="0"/>
                  </w:tcBorders>
                  <w:noWrap w:val="0"/>
                  <w:vAlign w:val="center"/>
                </w:tcPr>
                <w:p w14:paraId="32A033C2">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3D554FF9">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5、</w:t>
                  </w:r>
                  <w:r>
                    <w:rPr>
                      <w:rFonts w:hint="eastAsia" w:ascii="宋体" w:hAnsi="宋体" w:eastAsia="宋体" w:cs="宋体"/>
                      <w:color w:val="auto"/>
                      <w:szCs w:val="21"/>
                    </w:rPr>
                    <w:t>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的限值要求，并符合污染物排放总量控制要求。禁养区范围内的已建成的畜禽养殖场（小区）和养殖专业户，由所在地人民政府负责责令限期搬迁、关闭或取缔</w:t>
                  </w:r>
                  <w:r>
                    <w:rPr>
                      <w:rFonts w:hint="eastAsia" w:ascii="宋体" w:hAnsi="宋体" w:eastAsia="宋体" w:cs="宋体"/>
                      <w:color w:val="auto"/>
                      <w:kern w:val="0"/>
                      <w:szCs w:val="21"/>
                      <w:lang w:bidi="ar"/>
                    </w:rPr>
                    <w:t>。</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5A04B086">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lang w:bidi="ar"/>
                    </w:rPr>
                    <w:t>本项目不属于</w:t>
                  </w:r>
                  <w:r>
                    <w:rPr>
                      <w:rFonts w:hint="eastAsia" w:ascii="宋体" w:hAnsi="宋体" w:eastAsia="宋体" w:cs="宋体"/>
                      <w:color w:val="auto"/>
                      <w:lang w:eastAsia="zh-CN" w:bidi="ar"/>
                    </w:rPr>
                    <w:t>畜禽养殖</w:t>
                  </w:r>
                  <w:r>
                    <w:rPr>
                      <w:rFonts w:hint="eastAsia" w:ascii="宋体" w:hAnsi="宋体" w:eastAsia="宋体" w:cs="宋体"/>
                      <w:color w:val="auto"/>
                      <w:lang w:bidi="ar"/>
                    </w:rPr>
                    <w:t>项目。</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61D29F4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065C5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49" w:type="dxa"/>
                  <w:vMerge w:val="continue"/>
                  <w:tcBorders>
                    <w:top w:val="nil"/>
                    <w:left w:val="single" w:color="auto" w:sz="4" w:space="0"/>
                    <w:bottom w:val="single" w:color="auto" w:sz="4" w:space="0"/>
                    <w:right w:val="single" w:color="auto" w:sz="4" w:space="0"/>
                  </w:tcBorders>
                  <w:noWrap w:val="0"/>
                  <w:vAlign w:val="center"/>
                </w:tcPr>
                <w:p w14:paraId="09857D31">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7C5EB2FE">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6、</w:t>
                  </w:r>
                  <w:r>
                    <w:rPr>
                      <w:rFonts w:hint="eastAsia" w:ascii="宋体" w:hAnsi="宋体" w:eastAsia="宋体" w:cs="宋体"/>
                      <w:color w:val="auto"/>
                      <w:szCs w:val="21"/>
                    </w:rPr>
                    <w:t>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r>
                    <w:rPr>
                      <w:rFonts w:hint="eastAsia" w:ascii="宋体" w:hAnsi="宋体" w:eastAsia="宋体" w:cs="宋体"/>
                      <w:color w:val="auto"/>
                      <w:kern w:val="0"/>
                      <w:szCs w:val="21"/>
                      <w:lang w:bidi="ar"/>
                    </w:rPr>
                    <w:t>。</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61CE80A8">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szCs w:val="21"/>
                    </w:rPr>
                    <w:t>根据《建设项目环境影响评价分类管理名录》（2021年版），本项目应编制环境影响报告表</w:t>
                  </w:r>
                  <w:r>
                    <w:rPr>
                      <w:rFonts w:hint="eastAsia" w:ascii="宋体" w:hAnsi="宋体" w:eastAsia="宋体" w:cs="宋体"/>
                      <w:szCs w:val="21"/>
                      <w:lang w:eastAsia="zh-CN"/>
                    </w:rPr>
                    <w:t>，</w:t>
                  </w:r>
                  <w:r>
                    <w:rPr>
                      <w:rFonts w:hint="eastAsia" w:ascii="宋体" w:hAnsi="宋体" w:eastAsia="宋体" w:cs="宋体"/>
                      <w:szCs w:val="21"/>
                      <w:lang w:val="en-US" w:eastAsia="zh-CN"/>
                    </w:rPr>
                    <w:t>项目已开展环评影响评价</w:t>
                  </w:r>
                  <w:r>
                    <w:rPr>
                      <w:rFonts w:hint="eastAsia" w:ascii="宋体" w:hAnsi="宋体" w:eastAsia="宋体" w:cs="宋体"/>
                      <w:kern w:val="0"/>
                      <w:szCs w:val="21"/>
                      <w:lang w:bidi="ar"/>
                    </w:rPr>
                    <w:t>。项目建成正式排污前，将按要求申请排污许可证，按排污许可证要求排污</w:t>
                  </w:r>
                  <w:r>
                    <w:rPr>
                      <w:rFonts w:hint="eastAsia" w:ascii="宋体" w:hAnsi="宋体" w:eastAsia="宋体" w:cs="宋体"/>
                      <w:color w:val="auto"/>
                      <w:kern w:val="0"/>
                      <w:szCs w:val="21"/>
                      <w:lang w:eastAsia="zh-CN" w:bidi="ar"/>
                    </w:rPr>
                    <w:t>。</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6AF4298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47C5E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7" w:hRule="atLeast"/>
                <w:jc w:val="center"/>
              </w:trPr>
              <w:tc>
                <w:tcPr>
                  <w:tcW w:w="649" w:type="dxa"/>
                  <w:vMerge w:val="continue"/>
                  <w:tcBorders>
                    <w:top w:val="nil"/>
                    <w:left w:val="single" w:color="auto" w:sz="4" w:space="0"/>
                    <w:bottom w:val="single" w:color="auto" w:sz="4" w:space="0"/>
                    <w:right w:val="single" w:color="auto" w:sz="4" w:space="0"/>
                  </w:tcBorders>
                  <w:noWrap w:val="0"/>
                  <w:vAlign w:val="center"/>
                </w:tcPr>
                <w:p w14:paraId="6CE7049F">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089" w:type="dxa"/>
                  <w:gridSpan w:val="2"/>
                  <w:tcBorders>
                    <w:top w:val="single" w:color="auto" w:sz="4" w:space="0"/>
                    <w:left w:val="single" w:color="auto" w:sz="4" w:space="0"/>
                    <w:bottom w:val="single" w:color="auto" w:sz="4" w:space="0"/>
                    <w:right w:val="single" w:color="auto" w:sz="4" w:space="0"/>
                  </w:tcBorders>
                  <w:noWrap w:val="0"/>
                  <w:vAlign w:val="center"/>
                </w:tcPr>
                <w:p w14:paraId="3177D332">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kern w:val="0"/>
                      <w:szCs w:val="21"/>
                      <w:lang w:bidi="ar"/>
                    </w:rPr>
                    <w:t>7、入园项目需符合园区产业定位、布局、规划环评等；根据《内蒙古自治区“十四五”危险废物集中处置设施建设规划》，原则上限制新建、扩建危险废物焚烧、填埋、水泥窑协同等集中处置设施。</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58F22B52">
                  <w:pPr>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lang w:bidi="ar"/>
                    </w:rPr>
                    <w:t>本项目</w:t>
                  </w:r>
                  <w:r>
                    <w:rPr>
                      <w:rFonts w:hint="eastAsia" w:ascii="宋体" w:hAnsi="宋体" w:eastAsia="宋体" w:cs="宋体"/>
                      <w:color w:val="auto"/>
                      <w:lang w:eastAsia="zh-CN" w:bidi="ar"/>
                    </w:rPr>
                    <w:t>在现有厂区内实施技改，</w:t>
                  </w:r>
                  <w:r>
                    <w:rPr>
                      <w:rFonts w:hint="eastAsia" w:ascii="宋体" w:hAnsi="宋体" w:eastAsia="宋体" w:cs="宋体"/>
                      <w:color w:val="auto"/>
                      <w:lang w:bidi="ar"/>
                    </w:rPr>
                    <w:t>不</w:t>
                  </w:r>
                  <w:r>
                    <w:rPr>
                      <w:rFonts w:hint="eastAsia" w:ascii="宋体" w:hAnsi="宋体" w:eastAsia="宋体" w:cs="宋体"/>
                      <w:color w:val="auto"/>
                      <w:lang w:eastAsia="zh-CN" w:bidi="ar"/>
                    </w:rPr>
                    <w:t>在工业园区内</w:t>
                  </w:r>
                  <w:r>
                    <w:rPr>
                      <w:rFonts w:hint="eastAsia" w:ascii="宋体" w:hAnsi="宋体" w:eastAsia="宋体" w:cs="宋体"/>
                      <w:color w:val="auto"/>
                      <w:lang w:bidi="ar"/>
                    </w:rPr>
                    <w:t>。</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05CD5D4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rPr>
                  </w:pPr>
                  <w:r>
                    <w:rPr>
                      <w:rFonts w:hint="eastAsia" w:ascii="宋体" w:hAnsi="宋体" w:eastAsia="宋体" w:cs="宋体"/>
                      <w:color w:val="auto"/>
                      <w:lang w:bidi="ar"/>
                    </w:rPr>
                    <w:t>符合</w:t>
                  </w:r>
                </w:p>
              </w:tc>
            </w:tr>
            <w:tr w14:paraId="4A2F9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649" w:type="dxa"/>
                  <w:vMerge w:val="restart"/>
                  <w:tcBorders>
                    <w:top w:val="nil"/>
                    <w:left w:val="single" w:color="auto" w:sz="4" w:space="0"/>
                    <w:right w:val="single" w:color="auto" w:sz="4" w:space="0"/>
                  </w:tcBorders>
                  <w:noWrap w:val="0"/>
                  <w:vAlign w:val="center"/>
                </w:tcPr>
                <w:p w14:paraId="4DECF04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000000" w:themeColor="text1"/>
                      <w:szCs w:val="21"/>
                      <w14:textFill>
                        <w14:solidFill>
                          <w14:schemeClr w14:val="tx1"/>
                        </w14:solidFill>
                      </w14:textFill>
                    </w:rPr>
                    <w:t>新忽热苏木采矿用地</w:t>
                  </w:r>
                  <w:r>
                    <w:rPr>
                      <w:rFonts w:hint="eastAsia" w:ascii="宋体" w:hAnsi="宋体" w:eastAsia="宋体" w:cs="宋体"/>
                      <w:color w:val="auto"/>
                      <w:szCs w:val="21"/>
                      <w:lang w:eastAsia="zh-CN"/>
                    </w:rPr>
                    <w:t>（ZH15082420019）</w:t>
                  </w:r>
                </w:p>
              </w:tc>
              <w:tc>
                <w:tcPr>
                  <w:tcW w:w="464" w:type="dxa"/>
                  <w:tcBorders>
                    <w:top w:val="single" w:color="auto" w:sz="4" w:space="0"/>
                    <w:left w:val="single" w:color="auto" w:sz="4" w:space="0"/>
                    <w:bottom w:val="single" w:color="auto" w:sz="4" w:space="0"/>
                    <w:right w:val="single" w:color="auto" w:sz="4" w:space="0"/>
                  </w:tcBorders>
                  <w:noWrap w:val="0"/>
                  <w:vAlign w:val="center"/>
                </w:tcPr>
                <w:p w14:paraId="75F28EA2">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空间布局约束</w:t>
                  </w:r>
                </w:p>
              </w:tc>
              <w:tc>
                <w:tcPr>
                  <w:tcW w:w="3625" w:type="dxa"/>
                  <w:tcBorders>
                    <w:top w:val="single" w:color="auto" w:sz="4" w:space="0"/>
                    <w:left w:val="single" w:color="auto" w:sz="4" w:space="0"/>
                    <w:bottom w:val="single" w:color="auto" w:sz="4" w:space="0"/>
                    <w:right w:val="single" w:color="auto" w:sz="4" w:space="0"/>
                  </w:tcBorders>
                  <w:noWrap w:val="0"/>
                  <w:vAlign w:val="center"/>
                </w:tcPr>
                <w:p w14:paraId="031AA163">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1、执行全市总体准入要求中关于空间布局约束的准入要求。</w:t>
                  </w:r>
                </w:p>
                <w:p w14:paraId="4B5B6F40">
                  <w:pPr>
                    <w:keepNext w:val="0"/>
                    <w:keepLines w:val="0"/>
                    <w:pageBreakBefore w:val="0"/>
                    <w:widowControl w:val="0"/>
                    <w:suppressLineNumbers w:val="0"/>
                    <w:tabs>
                      <w:tab w:val="left" w:pos="312"/>
                    </w:tabs>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kern w:val="0"/>
                      <w:szCs w:val="21"/>
                    </w:rPr>
                  </w:pPr>
                  <w:r>
                    <w:rPr>
                      <w:rFonts w:hint="eastAsia" w:ascii="宋体" w:hAnsi="宋体" w:eastAsia="宋体" w:cs="宋体"/>
                      <w:color w:val="auto"/>
                      <w:kern w:val="0"/>
                      <w:szCs w:val="21"/>
                    </w:rPr>
                    <w:t>2、非经国务院授权的有关主管部门同意，不得在以下地区开采矿产资源：（1）机场、国防工程建设设施圈定地区以内；（2）重要工业区、大型水利工程设施、城镇市政工程设施附近一定距离以内；（3）铁路、重要公路两侧一定距离以内；（4）重要河流、堤坝两侧一定距离以内；（5）国家划定的自然保护区、重要风景名胜区，国家重点保护的不能移动的历史文物和名胜古迹所在地；（6）国家规定不得开采矿产资源的其他地区。</w:t>
                  </w:r>
                </w:p>
                <w:p w14:paraId="0FD01B35">
                  <w:pPr>
                    <w:pStyle w:val="9"/>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firstLine="0" w:firstLineChars="0"/>
                    <w:textAlignment w:val="auto"/>
                    <w:rPr>
                      <w:rFonts w:hint="eastAsia" w:ascii="宋体" w:hAnsi="宋体" w:eastAsia="宋体" w:cs="宋体"/>
                      <w:strike/>
                      <w:color w:val="auto"/>
                      <w:kern w:val="0"/>
                      <w:szCs w:val="21"/>
                    </w:rPr>
                  </w:pPr>
                  <w:r>
                    <w:rPr>
                      <w:rFonts w:hint="eastAsia" w:ascii="宋体" w:hAnsi="宋体" w:eastAsia="宋体" w:cs="宋体"/>
                      <w:color w:val="auto"/>
                      <w:kern w:val="0"/>
                      <w:szCs w:val="21"/>
                    </w:rPr>
                    <w:t>3、矿产资源开发布局应符合矿产资源总体规划要求。严格限制矿产资源开发项目，确需开采的矿产资源及必须就地开展矿产加工的新建、改建、扩建项目，应严格控制区域开发规模。</w:t>
                  </w:r>
                </w:p>
                <w:p w14:paraId="400C1E44">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rPr>
                  </w:pPr>
                  <w:r>
                    <w:rPr>
                      <w:rFonts w:hint="eastAsia" w:ascii="宋体" w:hAnsi="宋体" w:eastAsia="宋体" w:cs="宋体"/>
                      <w:color w:val="auto"/>
                      <w:kern w:val="0"/>
                      <w:szCs w:val="21"/>
                    </w:rPr>
                    <w:t>4、全面推进绿色矿山建设，新建矿山全部按照绿色矿山建设标准建设，加强生产矿山地质环境治理，督促矿山做到边生产、边治理、边复垦，按绿色矿山建设标准改造升级，加强矿产资源开发利用全过程地质环境保护的监督管理。新建矿山生产规模应达到最低开采规模要求。</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269F185F">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1、本项目满足全市总体准入要求中关于空间布局约束的准入要求。</w:t>
                  </w:r>
                </w:p>
                <w:p w14:paraId="07DA9F2F">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2~4、本项目为锅炉技术改造项目，不涉及不涉及矿产资源开采和开发。</w:t>
                  </w:r>
                </w:p>
                <w:p w14:paraId="05EB357E">
                  <w:pPr>
                    <w:keepNext w:val="0"/>
                    <w:keepLines w:val="0"/>
                    <w:widowControl w:val="0"/>
                    <w:suppressLineNumbers w:val="0"/>
                    <w:autoSpaceDE w:val="0"/>
                    <w:autoSpaceDN w:val="0"/>
                    <w:spacing w:before="0" w:beforeAutospacing="0" w:after="0" w:afterAutospacing="0" w:line="360" w:lineRule="exact"/>
                    <w:ind w:left="0" w:leftChars="0" w:right="0" w:rightChars="0"/>
                    <w:jc w:val="both"/>
                    <w:rPr>
                      <w:rFonts w:hint="eastAsia" w:ascii="宋体" w:hAnsi="宋体" w:eastAsia="宋体" w:cs="宋体"/>
                      <w:color w:val="auto"/>
                      <w:lang w:val="en-US" w:eastAsia="zh-CN" w:bidi="ar"/>
                    </w:rPr>
                  </w:pPr>
                </w:p>
              </w:tc>
              <w:tc>
                <w:tcPr>
                  <w:tcW w:w="435" w:type="dxa"/>
                  <w:tcBorders>
                    <w:top w:val="single" w:color="auto" w:sz="4" w:space="0"/>
                    <w:left w:val="single" w:color="auto" w:sz="4" w:space="0"/>
                    <w:bottom w:val="single" w:color="auto" w:sz="4" w:space="0"/>
                    <w:right w:val="single" w:color="auto" w:sz="4" w:space="0"/>
                  </w:tcBorders>
                  <w:noWrap w:val="0"/>
                  <w:vAlign w:val="center"/>
                </w:tcPr>
                <w:p w14:paraId="7145F88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lang w:bidi="ar"/>
                    </w:rPr>
                  </w:pPr>
                  <w:r>
                    <w:rPr>
                      <w:rFonts w:hint="eastAsia" w:ascii="宋体" w:hAnsi="宋体" w:eastAsia="宋体" w:cs="宋体"/>
                      <w:color w:val="auto"/>
                      <w:lang w:bidi="ar"/>
                    </w:rPr>
                    <w:t>符合</w:t>
                  </w:r>
                </w:p>
              </w:tc>
            </w:tr>
            <w:tr w14:paraId="7C3D7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7" w:hRule="atLeast"/>
                <w:jc w:val="center"/>
              </w:trPr>
              <w:tc>
                <w:tcPr>
                  <w:tcW w:w="649" w:type="dxa"/>
                  <w:vMerge w:val="continue"/>
                  <w:tcBorders>
                    <w:left w:val="single" w:color="auto" w:sz="4" w:space="0"/>
                    <w:right w:val="single" w:color="auto" w:sz="4" w:space="0"/>
                  </w:tcBorders>
                  <w:noWrap w:val="0"/>
                  <w:vAlign w:val="center"/>
                </w:tcPr>
                <w:p w14:paraId="3FC73AA1">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64" w:type="dxa"/>
                  <w:tcBorders>
                    <w:top w:val="single" w:color="auto" w:sz="4" w:space="0"/>
                    <w:left w:val="single" w:color="auto" w:sz="4" w:space="0"/>
                    <w:bottom w:val="single" w:color="auto" w:sz="4" w:space="0"/>
                    <w:right w:val="single" w:color="auto" w:sz="4" w:space="0"/>
                  </w:tcBorders>
                  <w:noWrap w:val="0"/>
                  <w:vAlign w:val="center"/>
                </w:tcPr>
                <w:p w14:paraId="39E8BF9D">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污染</w:t>
                  </w:r>
                </w:p>
                <w:p w14:paraId="53A565DA">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物排</w:t>
                  </w:r>
                </w:p>
                <w:p w14:paraId="360790BD">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放管</w:t>
                  </w:r>
                </w:p>
                <w:p w14:paraId="270A0694">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控</w:t>
                  </w:r>
                </w:p>
              </w:tc>
              <w:tc>
                <w:tcPr>
                  <w:tcW w:w="3625" w:type="dxa"/>
                  <w:tcBorders>
                    <w:top w:val="single" w:color="auto" w:sz="4" w:space="0"/>
                    <w:left w:val="single" w:color="auto" w:sz="4" w:space="0"/>
                    <w:bottom w:val="single" w:color="auto" w:sz="4" w:space="0"/>
                    <w:right w:val="single" w:color="auto" w:sz="4" w:space="0"/>
                  </w:tcBorders>
                  <w:noWrap w:val="0"/>
                  <w:vAlign w:val="center"/>
                </w:tcPr>
                <w:p w14:paraId="1FC83DF0">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1、矿产资源勘查以及采选过程中排土场、露天采场、尾矿库、矿区专用道路、矿山工业场地、沉陷区、矸石场、矿山污染场地等的生态环境保护与治理恢复工作须满足《矿山生态环境保护与治理恢复技术规范（试行）》（HJ651-2013）要求。</w:t>
                  </w:r>
                </w:p>
                <w:p w14:paraId="2DFCD681">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2、落实边开采、边治理要求，要求新建、在建矿山损毁土地严格按照《矿山地质环境保护与土地复垦方案》做到应治尽治。</w:t>
                  </w:r>
                </w:p>
                <w:p w14:paraId="2EE5E2BA">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3、禁止采用污染和破坏矿山环境的方法开采矿产资源。矿山“三废”得到有效处理，污染物排放达标。矿山服务到期闭坑前，要按方案要求对矿区内破坏单元进行相应治理，加强矿山环境监测。</w:t>
                  </w:r>
                </w:p>
                <w:p w14:paraId="79EFD284">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4、新建、改建、扩建重点行业建设项目遵循重点重金属污染物排放“等量替代”原则。建设单位在提交环境影响评价文件时应明确重点重金属污染物排放总量及来源。无明确具体总量来源的，各级生态环境部门不得批准相关环境影响评价文件。禁止新建用汞的电石法（聚）氯乙烯生产工艺项目。新建、扩建的重有色金属冶炼、电镀、制革企业优先布设在依法合规设立并经规划环评的产业园区。</w:t>
                  </w:r>
                </w:p>
                <w:p w14:paraId="070F2074">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rPr>
                  </w:pPr>
                  <w:r>
                    <w:rPr>
                      <w:rFonts w:hint="eastAsia" w:ascii="宋体" w:hAnsi="宋体" w:eastAsia="宋体" w:cs="宋体"/>
                      <w:color w:val="auto"/>
                      <w:szCs w:val="21"/>
                    </w:rPr>
                    <w:t>5、重点重金属污染物包括铅、汞、镉、铬、砷、铊和锑，其中对铅、汞、镉、铬、砷五种重金属污染物排放量实施总量控制。</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5701F32E">
                  <w:pPr>
                    <w:keepNext w:val="0"/>
                    <w:keepLines w:val="0"/>
                    <w:widowControl w:val="0"/>
                    <w:suppressLineNumbers w:val="0"/>
                    <w:autoSpaceDE w:val="0"/>
                    <w:autoSpaceDN w:val="0"/>
                    <w:spacing w:before="0" w:beforeAutospacing="0" w:after="0" w:afterAutospacing="0" w:line="360" w:lineRule="exact"/>
                    <w:ind w:left="0" w:leftChars="0" w:right="0" w:rightChars="0"/>
                    <w:jc w:val="both"/>
                    <w:rPr>
                      <w:rFonts w:hint="eastAsia" w:ascii="宋体" w:hAnsi="宋体" w:eastAsia="宋体" w:cs="宋体"/>
                      <w:color w:val="auto"/>
                      <w:szCs w:val="21"/>
                    </w:rPr>
                  </w:pPr>
                  <w:r>
                    <w:rPr>
                      <w:rFonts w:hint="eastAsia" w:ascii="宋体" w:hAnsi="宋体" w:eastAsia="宋体" w:cs="宋体"/>
                      <w:color w:val="auto"/>
                      <w:szCs w:val="21"/>
                    </w:rPr>
                    <w:t>本项目不属于</w:t>
                  </w:r>
                  <w:r>
                    <w:rPr>
                      <w:rFonts w:hint="eastAsia" w:ascii="宋体" w:hAnsi="宋体" w:eastAsia="宋体" w:cs="宋体"/>
                      <w:color w:val="auto"/>
                      <w:szCs w:val="21"/>
                      <w:lang w:eastAsia="zh-CN"/>
                    </w:rPr>
                    <w:t>采矿项目</w:t>
                  </w:r>
                  <w:r>
                    <w:rPr>
                      <w:rFonts w:hint="eastAsia" w:ascii="宋体" w:hAnsi="宋体" w:eastAsia="宋体" w:cs="宋体"/>
                      <w:color w:val="auto"/>
                      <w:szCs w:val="21"/>
                    </w:rPr>
                    <w:t>，项目各污染物排放量较小，采取相应污染防治措施后，各污染物均可达标排放，不会造成区域环境质量恶化。</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706677A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lang w:bidi="ar"/>
                    </w:rPr>
                  </w:pPr>
                  <w:r>
                    <w:rPr>
                      <w:rFonts w:hint="eastAsia" w:ascii="宋体" w:hAnsi="宋体" w:eastAsia="宋体" w:cs="宋体"/>
                      <w:color w:val="auto"/>
                      <w:lang w:bidi="ar"/>
                    </w:rPr>
                    <w:t>符合</w:t>
                  </w:r>
                </w:p>
              </w:tc>
            </w:tr>
            <w:tr w14:paraId="18F84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649" w:type="dxa"/>
                  <w:vMerge w:val="continue"/>
                  <w:tcBorders>
                    <w:left w:val="single" w:color="auto" w:sz="4" w:space="0"/>
                    <w:right w:val="single" w:color="auto" w:sz="4" w:space="0"/>
                  </w:tcBorders>
                  <w:noWrap w:val="0"/>
                  <w:vAlign w:val="center"/>
                </w:tcPr>
                <w:p w14:paraId="72E189A9">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64" w:type="dxa"/>
                  <w:tcBorders>
                    <w:top w:val="single" w:color="auto" w:sz="4" w:space="0"/>
                    <w:left w:val="single" w:color="auto" w:sz="4" w:space="0"/>
                    <w:bottom w:val="single" w:color="auto" w:sz="4" w:space="0"/>
                    <w:right w:val="single" w:color="auto" w:sz="4" w:space="0"/>
                  </w:tcBorders>
                  <w:noWrap w:val="0"/>
                  <w:vAlign w:val="center"/>
                </w:tcPr>
                <w:p w14:paraId="4D247470">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环境</w:t>
                  </w:r>
                </w:p>
                <w:p w14:paraId="7920C92A">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风险</w:t>
                  </w:r>
                </w:p>
                <w:p w14:paraId="02E1547F">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防控</w:t>
                  </w:r>
                </w:p>
              </w:tc>
              <w:tc>
                <w:tcPr>
                  <w:tcW w:w="3625" w:type="dxa"/>
                  <w:tcBorders>
                    <w:top w:val="single" w:color="auto" w:sz="4" w:space="0"/>
                    <w:left w:val="single" w:color="auto" w:sz="4" w:space="0"/>
                    <w:bottom w:val="single" w:color="auto" w:sz="4" w:space="0"/>
                    <w:right w:val="single" w:color="auto" w:sz="4" w:space="0"/>
                  </w:tcBorders>
                  <w:noWrap w:val="0"/>
                  <w:vAlign w:val="center"/>
                </w:tcPr>
                <w:p w14:paraId="5D47298B">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1、执行全市总体准入要求中关于环境风险防控的准入要求。</w:t>
                  </w:r>
                </w:p>
                <w:p w14:paraId="4F3EB7D0">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2、企业制定突发环境事件应急预案并备案，应当储备必要的环境应急装备和物资，定期进行应急演练。环境应急预案每三年至少修订一次。</w:t>
                  </w:r>
                </w:p>
                <w:p w14:paraId="4C083A5C">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3、全面落实《土壤污染防治行动计划》内相关要求。</w:t>
                  </w:r>
                </w:p>
                <w:p w14:paraId="7452BAEA">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rPr>
                  </w:pPr>
                  <w:r>
                    <w:rPr>
                      <w:rFonts w:hint="eastAsia" w:ascii="宋体" w:hAnsi="宋体" w:eastAsia="宋体" w:cs="宋体"/>
                      <w:color w:val="auto"/>
                      <w:szCs w:val="21"/>
                    </w:rPr>
                    <w:t>4、禁止在行洪的河床、滩地和岸坡堆放贮存矿石、废渣或者尾矿，防止造成行洪不畅或者堤岸破坏。边坡的开挖和矿石、废渣的堆放，应当符合边坡稳定的要求。禁止开采或者毁坏预留安全矿柱或者岩柱，防止造成滑坡、崩塌、泥石流以及地面开裂、塌陷、沉降等地质灾害。</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1E3F161B">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1、本项目符合全市总体准入要求中关于风险防控的要求。</w:t>
                  </w:r>
                </w:p>
                <w:p w14:paraId="47471D20">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2、本项目建成运行前，建设单位将按要求修订突发环境事件应急预案，储备必要的环境应急装备和物资，并定期组织应急演练。</w:t>
                  </w:r>
                </w:p>
                <w:p w14:paraId="3BA8EC84">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3、本项目锅炉及软水装置排污水用</w:t>
                  </w:r>
                  <w:r>
                    <w:rPr>
                      <w:rFonts w:hint="eastAsia" w:ascii="宋体" w:hAnsi="宋体" w:eastAsia="宋体" w:cs="宋体"/>
                      <w:kern w:val="0"/>
                      <w:sz w:val="21"/>
                      <w:szCs w:val="21"/>
                      <w:highlight w:val="none"/>
                      <w:lang w:val="en-US" w:eastAsia="zh-CN" w:bidi="ar"/>
                    </w:rPr>
                    <w:t>于水相在线配制，不外排</w:t>
                  </w:r>
                  <w:r>
                    <w:rPr>
                      <w:rFonts w:hint="eastAsia" w:ascii="宋体" w:hAnsi="宋体" w:eastAsia="宋体" w:cs="宋体"/>
                      <w:kern w:val="0"/>
                      <w:sz w:val="21"/>
                      <w:szCs w:val="21"/>
                      <w:lang w:val="en-US" w:eastAsia="zh-CN" w:bidi="ar"/>
                    </w:rPr>
                    <w:t>；项目不涉及有毒有害大气污染物；固体废物均合理处置，不排入外环境，不会污染土壤和地下水。</w:t>
                  </w:r>
                </w:p>
                <w:p w14:paraId="6DC13336">
                  <w:pPr>
                    <w:keepNext w:val="0"/>
                    <w:keepLines w:val="0"/>
                    <w:widowControl w:val="0"/>
                    <w:suppressLineNumbers w:val="0"/>
                    <w:autoSpaceDE w:val="0"/>
                    <w:autoSpaceDN w:val="0"/>
                    <w:spacing w:before="0" w:beforeAutospacing="0" w:after="0" w:afterAutospacing="0" w:line="360" w:lineRule="exact"/>
                    <w:ind w:left="0" w:leftChars="0" w:right="0" w:rightChars="0"/>
                    <w:jc w:val="both"/>
                    <w:rPr>
                      <w:rFonts w:hint="eastAsia" w:ascii="宋体" w:hAnsi="宋体" w:eastAsia="宋体" w:cs="宋体"/>
                      <w:color w:val="auto"/>
                      <w:lang w:bidi="ar"/>
                    </w:rPr>
                  </w:pPr>
                  <w:r>
                    <w:rPr>
                      <w:rFonts w:hint="eastAsia" w:ascii="宋体" w:hAnsi="宋体" w:eastAsia="宋体" w:cs="宋体"/>
                      <w:kern w:val="0"/>
                      <w:sz w:val="21"/>
                      <w:szCs w:val="21"/>
                      <w:lang w:val="en-US" w:eastAsia="zh-CN" w:bidi="ar"/>
                    </w:rPr>
                    <w:t>4、本项目生产过程</w:t>
                  </w:r>
                  <w:r>
                    <w:rPr>
                      <w:rFonts w:hint="eastAsia" w:ascii="宋体" w:hAnsi="宋体" w:eastAsia="宋体" w:cs="宋体"/>
                      <w:kern w:val="0"/>
                      <w:sz w:val="21"/>
                      <w:szCs w:val="21"/>
                      <w:highlight w:val="none"/>
                      <w:lang w:val="en-US" w:eastAsia="zh-CN" w:bidi="ar"/>
                    </w:rPr>
                    <w:t>中产生的固体废物均合理处置，不外排，不涉及在行洪的河床、</w:t>
                  </w:r>
                  <w:r>
                    <w:rPr>
                      <w:rFonts w:hint="eastAsia" w:ascii="宋体" w:hAnsi="宋体" w:eastAsia="宋体" w:cs="宋体"/>
                      <w:kern w:val="0"/>
                      <w:sz w:val="21"/>
                      <w:szCs w:val="21"/>
                      <w:lang w:val="en-US" w:eastAsia="zh-CN" w:bidi="ar"/>
                    </w:rPr>
                    <w:t>滩地和岸坡堆放贮存固体废物。</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5D65D50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lang w:bidi="ar"/>
                    </w:rPr>
                  </w:pPr>
                  <w:r>
                    <w:rPr>
                      <w:rFonts w:hint="eastAsia" w:ascii="宋体" w:hAnsi="宋体" w:eastAsia="宋体" w:cs="宋体"/>
                      <w:color w:val="auto"/>
                      <w:lang w:bidi="ar"/>
                    </w:rPr>
                    <w:t>符合</w:t>
                  </w:r>
                </w:p>
              </w:tc>
            </w:tr>
            <w:tr w14:paraId="6984C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2" w:hRule="atLeast"/>
                <w:jc w:val="center"/>
              </w:trPr>
              <w:tc>
                <w:tcPr>
                  <w:tcW w:w="649" w:type="dxa"/>
                  <w:vMerge w:val="continue"/>
                  <w:tcBorders>
                    <w:left w:val="single" w:color="auto" w:sz="4" w:space="0"/>
                    <w:bottom w:val="single" w:color="auto" w:sz="4" w:space="0"/>
                    <w:right w:val="single" w:color="auto" w:sz="4" w:space="0"/>
                  </w:tcBorders>
                  <w:noWrap w:val="0"/>
                  <w:vAlign w:val="center"/>
                </w:tcPr>
                <w:p w14:paraId="4B75EB3C">
                  <w:pPr>
                    <w:keepNext w:val="0"/>
                    <w:keepLines w:val="0"/>
                    <w:suppressLineNumbers w:val="0"/>
                    <w:spacing w:before="0" w:beforeAutospacing="0" w:after="0" w:afterAutospacing="0" w:line="360" w:lineRule="exact"/>
                    <w:ind w:left="0" w:right="0"/>
                    <w:rPr>
                      <w:rFonts w:hint="eastAsia" w:ascii="宋体" w:hAnsi="宋体" w:eastAsia="宋体" w:cs="宋体"/>
                      <w:color w:val="auto"/>
                      <w:sz w:val="20"/>
                      <w:szCs w:val="20"/>
                    </w:rPr>
                  </w:pPr>
                </w:p>
              </w:tc>
              <w:tc>
                <w:tcPr>
                  <w:tcW w:w="464" w:type="dxa"/>
                  <w:tcBorders>
                    <w:top w:val="single" w:color="auto" w:sz="4" w:space="0"/>
                    <w:left w:val="single" w:color="auto" w:sz="4" w:space="0"/>
                    <w:bottom w:val="single" w:color="auto" w:sz="4" w:space="0"/>
                    <w:right w:val="single" w:color="auto" w:sz="4" w:space="0"/>
                  </w:tcBorders>
                  <w:noWrap w:val="0"/>
                  <w:vAlign w:val="center"/>
                </w:tcPr>
                <w:p w14:paraId="53F7EBB2">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资源</w:t>
                  </w:r>
                </w:p>
                <w:p w14:paraId="4E76E46C">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利用</w:t>
                  </w:r>
                </w:p>
                <w:p w14:paraId="59290D5E">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效率</w:t>
                  </w:r>
                </w:p>
                <w:p w14:paraId="374F5D71">
                  <w:pPr>
                    <w:pStyle w:val="80"/>
                    <w:keepNext w:val="0"/>
                    <w:keepLines w:val="0"/>
                    <w:suppressLineNumbers w:val="0"/>
                    <w:spacing w:before="0" w:beforeAutospacing="0" w:after="0" w:afterAutospacing="0"/>
                    <w:ind w:left="0" w:right="0"/>
                    <w:rPr>
                      <w:rFonts w:hint="eastAsia" w:ascii="宋体" w:hAnsi="宋体" w:eastAsia="宋体" w:cs="宋体"/>
                      <w:color w:val="auto"/>
                    </w:rPr>
                  </w:pPr>
                  <w:r>
                    <w:rPr>
                      <w:rFonts w:hint="eastAsia" w:ascii="宋体" w:hAnsi="宋体" w:eastAsia="宋体" w:cs="宋体"/>
                      <w:color w:val="auto"/>
                    </w:rPr>
                    <w:t>要求</w:t>
                  </w:r>
                </w:p>
              </w:tc>
              <w:tc>
                <w:tcPr>
                  <w:tcW w:w="3625" w:type="dxa"/>
                  <w:tcBorders>
                    <w:top w:val="single" w:color="auto" w:sz="4" w:space="0"/>
                    <w:left w:val="single" w:color="auto" w:sz="4" w:space="0"/>
                    <w:bottom w:val="single" w:color="auto" w:sz="4" w:space="0"/>
                    <w:right w:val="single" w:color="auto" w:sz="4" w:space="0"/>
                  </w:tcBorders>
                  <w:noWrap w:val="0"/>
                  <w:vAlign w:val="center"/>
                </w:tcPr>
                <w:p w14:paraId="1EDBAB7C">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1、矿山“三率”水平达到国家要求。</w:t>
                  </w:r>
                </w:p>
                <w:p w14:paraId="098F6A85">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2、禁止新建对生态环境产生不可恢复利用的、产生破坏性影响的矿产资源开发项目。</w:t>
                  </w:r>
                </w:p>
                <w:p w14:paraId="1F58F7F5">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3、严控地下水超采。禁止私自开采地下水。新建、改建、扩建工业项目，禁止擅自使用地下水。食品、制药等项目取用地下水，须经有管理权限的水行政主管部门批准。</w:t>
                  </w:r>
                </w:p>
                <w:p w14:paraId="787A6665">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4、提高工业企业用水、用能效率。</w:t>
                  </w:r>
                  <w:r>
                    <w:rPr>
                      <w:rFonts w:hint="eastAsia" w:ascii="宋体" w:hAnsi="宋体" w:eastAsia="宋体" w:cs="宋体"/>
                      <w:color w:val="auto"/>
                      <w:kern w:val="0"/>
                      <w:szCs w:val="21"/>
                      <w:lang w:bidi="ar"/>
                    </w:rPr>
                    <w:t>新建、改建、扩建项目用水要达到行业先进水平，节水设施应与主体工程同时设计、同时施工、同时投运。</w:t>
                  </w:r>
                </w:p>
                <w:p w14:paraId="4CAECB58">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szCs w:val="21"/>
                    </w:rPr>
                  </w:pPr>
                  <w:r>
                    <w:rPr>
                      <w:rFonts w:hint="eastAsia" w:ascii="宋体" w:hAnsi="宋体" w:eastAsia="宋体" w:cs="宋体"/>
                      <w:color w:val="auto"/>
                      <w:szCs w:val="21"/>
                    </w:rPr>
                    <w:t>5、矿山企业要严格落实矿产资源开发利用方案、环境影响评价文件，水土保持方案、矿山地质环境保护与土地复垦方案等要求，提高资源利用效率水平。</w:t>
                  </w:r>
                </w:p>
                <w:p w14:paraId="6B030741">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exact"/>
                    <w:ind w:left="0" w:leftChars="0" w:right="0" w:rightChars="0"/>
                    <w:textAlignment w:val="auto"/>
                    <w:rPr>
                      <w:rFonts w:hint="eastAsia" w:ascii="宋体" w:hAnsi="宋体" w:eastAsia="宋体" w:cs="宋体"/>
                      <w:color w:val="auto"/>
                    </w:rPr>
                  </w:pPr>
                  <w:r>
                    <w:rPr>
                      <w:rFonts w:hint="eastAsia" w:ascii="宋体" w:hAnsi="宋体" w:eastAsia="宋体" w:cs="宋体"/>
                      <w:color w:val="auto"/>
                      <w:szCs w:val="21"/>
                    </w:rPr>
                    <w:t>6、新建有色金属、非金属矿采选业项目生产工艺应达到国内先进水平，清洁生产水平应达到《清洁生产审核办法》规定范围之内，水耗控制在《内蒙古自治区地方标准行业用水定额》（DB15/T385-2020）规定范围之内；现有企业3年内生产工艺应进行改造升级，清洁生产必须按照《清洁生产审核办法》进行审核，水耗控制在《内蒙古自治区地方标准行业用水定额》（DB15/T385-2020）规定范围之内。</w:t>
                  </w:r>
                </w:p>
              </w:tc>
              <w:tc>
                <w:tcPr>
                  <w:tcW w:w="1846" w:type="dxa"/>
                  <w:tcBorders>
                    <w:top w:val="single" w:color="auto" w:sz="4" w:space="0"/>
                    <w:left w:val="single" w:color="auto" w:sz="4" w:space="0"/>
                    <w:bottom w:val="single" w:color="auto" w:sz="4" w:space="0"/>
                    <w:right w:val="single" w:color="auto" w:sz="4" w:space="0"/>
                  </w:tcBorders>
                  <w:noWrap w:val="0"/>
                  <w:vAlign w:val="center"/>
                </w:tcPr>
                <w:p w14:paraId="40AF63C4">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1、本项目不涉及矿山“三率”。</w:t>
                  </w:r>
                </w:p>
                <w:p w14:paraId="5594A345">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2、本项目属于锅炉技术改造项目，不属于矿产资源开发项目，在现有厂区内实施技改，不涉及土建施工，对生态环境影响较小。</w:t>
                  </w:r>
                </w:p>
                <w:p w14:paraId="5FD6D8E2">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lang w:val="en-US" w:eastAsia="zh-CN" w:bidi="ar"/>
                    </w:rPr>
                    <w:t>3、本项目锅炉用水量较小，依托太平矿业自备水井供水</w:t>
                  </w:r>
                  <w:r>
                    <w:rPr>
                      <w:rFonts w:hint="eastAsia" w:ascii="宋体" w:hAnsi="宋体" w:eastAsia="宋体" w:cs="宋体"/>
                      <w:kern w:val="0"/>
                      <w:sz w:val="21"/>
                      <w:szCs w:val="21"/>
                      <w:highlight w:val="none"/>
                      <w:lang w:val="en-US" w:eastAsia="zh-CN" w:bidi="ar"/>
                    </w:rPr>
                    <w:t>，已取得取水许可证（见附件）。</w:t>
                  </w:r>
                </w:p>
                <w:p w14:paraId="6AA184CA">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4、本项目生产用水量较小，锅炉及软水装置排污水收集后</w:t>
                  </w:r>
                  <w:r>
                    <w:rPr>
                      <w:rFonts w:hint="eastAsia" w:eastAsia="宋体" w:cs="宋体"/>
                      <w:kern w:val="0"/>
                      <w:sz w:val="21"/>
                      <w:szCs w:val="21"/>
                      <w:lang w:val="en-US" w:eastAsia="zh-CN" w:bidi="ar"/>
                    </w:rPr>
                    <w:t>回用于生产系统水相、柠檬酸钠溶液、敏化剂配制</w:t>
                  </w:r>
                  <w:r>
                    <w:rPr>
                      <w:rFonts w:hint="eastAsia" w:ascii="宋体" w:hAnsi="宋体" w:eastAsia="宋体" w:cs="宋体"/>
                      <w:kern w:val="0"/>
                      <w:sz w:val="21"/>
                      <w:szCs w:val="21"/>
                      <w:lang w:val="en-US" w:eastAsia="zh-CN" w:bidi="ar"/>
                    </w:rPr>
                    <w:t>。</w:t>
                  </w:r>
                </w:p>
                <w:p w14:paraId="1EC186B3">
                  <w:pPr>
                    <w:keepNext w:val="0"/>
                    <w:keepLines w:val="0"/>
                    <w:widowControl w:val="0"/>
                    <w:suppressLineNumbers w:val="0"/>
                    <w:autoSpaceDE w:val="0"/>
                    <w:autoSpaceDN w:val="0"/>
                    <w:spacing w:before="0" w:beforeAutospacing="0" w:after="0" w:afterAutospacing="0" w:line="360" w:lineRule="exact"/>
                    <w:ind w:left="0" w:right="0"/>
                    <w:jc w:val="both"/>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5、本项目为锅炉技术改造项目，不属于矿山企业。</w:t>
                  </w:r>
                </w:p>
                <w:p w14:paraId="743C4FFE">
                  <w:pPr>
                    <w:keepNext w:val="0"/>
                    <w:keepLines w:val="0"/>
                    <w:widowControl w:val="0"/>
                    <w:suppressLineNumbers w:val="0"/>
                    <w:autoSpaceDE w:val="0"/>
                    <w:autoSpaceDN w:val="0"/>
                    <w:spacing w:before="0" w:beforeAutospacing="0" w:after="0" w:afterAutospacing="0" w:line="360" w:lineRule="exact"/>
                    <w:ind w:left="0" w:leftChars="0" w:right="0" w:rightChars="0"/>
                    <w:jc w:val="both"/>
                    <w:rPr>
                      <w:rFonts w:hint="eastAsia" w:ascii="宋体" w:hAnsi="宋体" w:eastAsia="宋体" w:cs="宋体"/>
                      <w:color w:val="auto"/>
                    </w:rPr>
                  </w:pPr>
                  <w:r>
                    <w:rPr>
                      <w:rFonts w:hint="eastAsia" w:ascii="宋体" w:hAnsi="宋体" w:eastAsia="宋体" w:cs="宋体"/>
                      <w:kern w:val="0"/>
                      <w:sz w:val="21"/>
                      <w:szCs w:val="21"/>
                      <w:lang w:val="en-US" w:eastAsia="zh-CN" w:bidi="ar"/>
                    </w:rPr>
                    <w:t>6、本项目为锅炉技术改造项目，不属于</w:t>
                  </w:r>
                  <w:r>
                    <w:rPr>
                      <w:rFonts w:hint="eastAsia" w:ascii="宋体" w:hAnsi="宋体" w:eastAsia="宋体" w:cs="宋体"/>
                      <w:color w:val="auto"/>
                      <w:szCs w:val="21"/>
                    </w:rPr>
                    <w:t>有色金属、非金属矿采选业项目</w:t>
                  </w:r>
                  <w:r>
                    <w:rPr>
                      <w:rFonts w:hint="eastAsia" w:ascii="宋体" w:hAnsi="宋体" w:eastAsia="宋体" w:cs="宋体"/>
                      <w:kern w:val="0"/>
                      <w:sz w:val="21"/>
                      <w:szCs w:val="21"/>
                      <w:lang w:val="en-US" w:eastAsia="zh-CN" w:bidi="ar"/>
                    </w:rPr>
                    <w:t>。</w:t>
                  </w:r>
                </w:p>
              </w:tc>
              <w:tc>
                <w:tcPr>
                  <w:tcW w:w="435" w:type="dxa"/>
                  <w:tcBorders>
                    <w:top w:val="single" w:color="auto" w:sz="4" w:space="0"/>
                    <w:left w:val="single" w:color="auto" w:sz="4" w:space="0"/>
                    <w:bottom w:val="single" w:color="auto" w:sz="4" w:space="0"/>
                    <w:right w:val="single" w:color="auto" w:sz="4" w:space="0"/>
                  </w:tcBorders>
                  <w:noWrap w:val="0"/>
                  <w:vAlign w:val="center"/>
                </w:tcPr>
                <w:p w14:paraId="4A997E8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lang w:bidi="ar"/>
                    </w:rPr>
                  </w:pPr>
                  <w:r>
                    <w:rPr>
                      <w:rFonts w:hint="eastAsia" w:ascii="宋体" w:hAnsi="宋体" w:eastAsia="宋体" w:cs="宋体"/>
                      <w:color w:val="auto"/>
                      <w:lang w:bidi="ar"/>
                    </w:rPr>
                    <w:t>符合</w:t>
                  </w:r>
                </w:p>
              </w:tc>
            </w:tr>
          </w:tbl>
          <w:p w14:paraId="7C361927">
            <w:pPr>
              <w:pStyle w:val="9"/>
              <w:keepNext w:val="0"/>
              <w:keepLines w:val="0"/>
              <w:suppressLineNumbers w:val="0"/>
              <w:spacing w:before="0" w:beforeAutospacing="0" w:after="0" w:afterAutospacing="0" w:line="360" w:lineRule="auto"/>
              <w:ind w:left="0" w:right="0" w:firstLine="480"/>
              <w:rPr>
                <w:rFonts w:hint="eastAsia" w:ascii="宋体" w:hAnsi="宋体" w:eastAsia="宋体" w:cs="宋体"/>
                <w:color w:val="auto"/>
                <w:sz w:val="24"/>
              </w:rPr>
            </w:pPr>
            <w:r>
              <w:rPr>
                <w:rFonts w:hint="eastAsia" w:ascii="宋体" w:hAnsi="宋体" w:eastAsia="宋体" w:cs="宋体"/>
                <w:color w:val="auto"/>
                <w:sz w:val="24"/>
              </w:rPr>
              <w:t>综合以上分析，</w:t>
            </w:r>
            <w:r>
              <w:rPr>
                <w:rFonts w:hint="eastAsia" w:ascii="宋体" w:hAnsi="宋体" w:eastAsia="宋体" w:cs="宋体"/>
                <w:color w:val="auto"/>
                <w:sz w:val="24"/>
                <w:lang w:eastAsia="zh-CN"/>
              </w:rPr>
              <w:t>本</w:t>
            </w:r>
            <w:r>
              <w:rPr>
                <w:rFonts w:hint="eastAsia" w:ascii="宋体" w:hAnsi="宋体" w:eastAsia="宋体" w:cs="宋体"/>
                <w:color w:val="auto"/>
                <w:sz w:val="24"/>
              </w:rPr>
              <w:t>项目</w:t>
            </w:r>
            <w:r>
              <w:rPr>
                <w:rFonts w:hint="eastAsia" w:ascii="宋体" w:hAnsi="宋体" w:eastAsia="宋体" w:cs="宋体"/>
                <w:color w:val="auto"/>
                <w:sz w:val="24"/>
                <w:lang w:eastAsia="zh-CN"/>
              </w:rPr>
              <w:t>建设</w:t>
            </w:r>
            <w:r>
              <w:rPr>
                <w:rFonts w:hint="eastAsia" w:ascii="宋体" w:hAnsi="宋体" w:eastAsia="宋体" w:cs="宋体"/>
                <w:color w:val="auto"/>
                <w:sz w:val="24"/>
              </w:rPr>
              <w:t>符合</w:t>
            </w:r>
            <w:r>
              <w:rPr>
                <w:rFonts w:hint="eastAsia" w:ascii="宋体" w:hAnsi="宋体" w:eastAsia="宋体" w:cs="宋体"/>
                <w:color w:val="auto"/>
                <w:sz w:val="24"/>
                <w:lang w:eastAsia="zh-CN"/>
              </w:rPr>
              <w:t>生态环境分区管控要求</w:t>
            </w:r>
            <w:r>
              <w:rPr>
                <w:rFonts w:hint="eastAsia" w:ascii="宋体" w:hAnsi="宋体" w:eastAsia="宋体" w:cs="宋体"/>
                <w:color w:val="auto"/>
                <w:sz w:val="24"/>
              </w:rPr>
              <w:t>。</w:t>
            </w:r>
          </w:p>
        </w:tc>
      </w:tr>
    </w:tbl>
    <w:p w14:paraId="01E7DFE7">
      <w:pPr>
        <w:pStyle w:val="24"/>
        <w:ind w:firstLine="600"/>
        <w:jc w:val="center"/>
        <w:outlineLvl w:val="0"/>
        <w:rPr>
          <w:rFonts w:hint="eastAsia" w:ascii="宋体" w:hAnsi="宋体" w:eastAsia="宋体" w:cs="宋体"/>
          <w:snapToGrid w:val="0"/>
          <w:color w:val="auto"/>
          <w:sz w:val="30"/>
          <w:szCs w:val="30"/>
        </w:rPr>
        <w:sectPr>
          <w:footerReference r:id="rId5" w:type="default"/>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4DD328DC">
      <w:pPr>
        <w:pStyle w:val="24"/>
        <w:ind w:firstLine="600"/>
        <w:jc w:val="center"/>
        <w:outlineLvl w:val="0"/>
        <w:rPr>
          <w:rFonts w:hint="eastAsia" w:ascii="宋体" w:hAnsi="宋体" w:eastAsia="宋体" w:cs="宋体"/>
          <w:snapToGrid w:val="0"/>
          <w:color w:val="auto"/>
          <w:sz w:val="30"/>
          <w:szCs w:val="30"/>
        </w:rPr>
      </w:pPr>
      <w:r>
        <w:rPr>
          <w:rFonts w:hint="eastAsia" w:ascii="宋体" w:hAnsi="宋体" w:eastAsia="宋体" w:cs="宋体"/>
          <w:snapToGrid w:val="0"/>
          <w:color w:val="auto"/>
          <w:sz w:val="30"/>
          <w:szCs w:val="30"/>
        </w:rPr>
        <w:t>二、建设项目工程分析</w:t>
      </w:r>
    </w:p>
    <w:tbl>
      <w:tblPr>
        <w:tblStyle w:val="27"/>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450"/>
      </w:tblGrid>
      <w:tr w14:paraId="4A837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47B65A82">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建设内容</w:t>
            </w:r>
          </w:p>
        </w:tc>
        <w:tc>
          <w:tcPr>
            <w:tcW w:w="8450" w:type="dxa"/>
            <w:vAlign w:val="center"/>
          </w:tcPr>
          <w:p w14:paraId="3EB3265F">
            <w:pPr>
              <w:keepNext w:val="0"/>
              <w:keepLines w:val="0"/>
              <w:suppressLineNumbers w:val="0"/>
              <w:spacing w:before="0" w:beforeAutospacing="0" w:after="0" w:afterAutospacing="0" w:line="360" w:lineRule="auto"/>
              <w:ind w:left="0" w:right="0"/>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rPr>
              <w:t>1、项目由来</w:t>
            </w:r>
          </w:p>
          <w:p w14:paraId="6261DA06">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eastAsia="宋体" w:cs="宋体"/>
                <w:color w:val="auto"/>
                <w:sz w:val="24"/>
                <w:lang w:val="en-US" w:eastAsia="zh-CN"/>
              </w:rPr>
            </w:pPr>
            <w:r>
              <w:rPr>
                <w:rFonts w:hint="eastAsia" w:ascii="宋体" w:hAnsi="宋体" w:eastAsia="宋体" w:cs="宋体"/>
                <w:color w:val="auto"/>
                <w:sz w:val="24"/>
                <w:lang w:eastAsia="zh-CN"/>
              </w:rPr>
              <w:t>巴彦淖尔盛安化工有限责任公司乌拉特中旗分公司成立于2012年7月，是内蒙古盛安化工有限责任公司所属子公司。公司于</w:t>
            </w:r>
            <w:r>
              <w:rPr>
                <w:rFonts w:hint="eastAsia" w:ascii="宋体" w:hAnsi="宋体" w:eastAsia="宋体" w:cs="宋体"/>
                <w:color w:val="auto"/>
                <w:sz w:val="24"/>
                <w:lang w:val="en-US" w:eastAsia="zh-CN"/>
              </w:rPr>
              <w:t>2013年在</w:t>
            </w:r>
            <w:r>
              <w:rPr>
                <w:rFonts w:hint="eastAsia" w:ascii="宋体" w:hAnsi="宋体" w:eastAsia="宋体" w:cs="宋体"/>
                <w:color w:val="auto"/>
                <w:sz w:val="24"/>
                <w:lang w:eastAsia="zh-CN"/>
              </w:rPr>
              <w:t>巴彦淖尔市乌拉特中旗新忽热苏木长山壕金矿内蒙古太平矿业已弃用闲置的危险品总仓库区建成年产5000t移动式乳化炸药地面站建设项目，采用北京北矿亿博科技有限责任公司提供的MEF型移动式乳化基质制备站</w:t>
            </w:r>
            <w:r>
              <w:rPr>
                <w:rFonts w:hint="eastAsia" w:eastAsia="宋体" w:cs="宋体"/>
                <w:color w:val="auto"/>
                <w:sz w:val="24"/>
                <w:lang w:eastAsia="zh-CN"/>
              </w:rPr>
              <w:t>。</w:t>
            </w:r>
            <w:r>
              <w:rPr>
                <w:rFonts w:hint="eastAsia" w:ascii="宋体" w:hAnsi="宋体" w:eastAsia="宋体" w:cs="宋体"/>
                <w:color w:val="auto"/>
                <w:sz w:val="24"/>
                <w:lang w:val="en-US" w:eastAsia="zh-CN"/>
              </w:rPr>
              <w:t>中</w:t>
            </w:r>
            <w:r>
              <w:rPr>
                <w:rFonts w:hint="eastAsia" w:eastAsia="宋体" w:cs="宋体"/>
                <w:color w:val="auto"/>
                <w:sz w:val="24"/>
                <w:lang w:val="en-US" w:eastAsia="zh-CN"/>
              </w:rPr>
              <w:t>华</w:t>
            </w:r>
            <w:r>
              <w:rPr>
                <w:rFonts w:hint="eastAsia" w:ascii="宋体" w:hAnsi="宋体" w:eastAsia="宋体" w:cs="宋体"/>
                <w:color w:val="auto"/>
                <w:sz w:val="24"/>
                <w:lang w:val="en-US" w:eastAsia="zh-CN"/>
              </w:rPr>
              <w:t>人民共和国工业和信息化部根据内蒙古盛安化工有限责任公司各分公司服务矿山的产能情况核发各分公司的生产许可证，产能根据配给进行调整。</w:t>
            </w:r>
            <w:r>
              <w:rPr>
                <w:rFonts w:hint="eastAsia" w:eastAsia="宋体" w:cs="宋体"/>
                <w:color w:val="auto"/>
                <w:sz w:val="24"/>
                <w:lang w:val="en-US" w:eastAsia="zh-CN"/>
              </w:rPr>
              <w:t>该地面站2013年现场混装炸药产能为5000t/a，许可现场混装车1台；2016年，该地面站扩能至20000t/a，许可现场乳化炸药混装车3台；2020年，地面站产能调整为15000t/a，许可现场乳化炸药混装车3台；2021年产能又调整为7000t/a,许可现场乳化炸药混装车3台,企业现有现场混装乳化炸药车2台。</w:t>
            </w:r>
          </w:p>
          <w:p w14:paraId="46EEF3DB">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lang w:eastAsia="zh-CN"/>
              </w:rPr>
              <w:t>巴彦淖尔盛安化工有限责任公司乌拉特中旗分公司移动式乳化炸药地面站现有</w:t>
            </w:r>
            <w:r>
              <w:rPr>
                <w:rFonts w:hint="eastAsia" w:ascii="宋体" w:hAnsi="宋体" w:eastAsia="宋体" w:cs="宋体"/>
                <w:color w:val="auto"/>
                <w:sz w:val="24"/>
                <w:lang w:val="en-US" w:eastAsia="zh-CN"/>
              </w:rPr>
              <w:t>1条</w:t>
            </w:r>
            <w:r>
              <w:rPr>
                <w:rFonts w:hint="eastAsia" w:ascii="宋体" w:hAnsi="宋体" w:eastAsia="宋体" w:cs="宋体"/>
                <w:color w:val="auto"/>
                <w:sz w:val="24"/>
                <w:lang w:eastAsia="zh-CN"/>
              </w:rPr>
              <w:t>智能化现场混装乳化炸药生产系统，全部使用硝酸铵溶液和一体化油相，并采用油水相在线智能制备技术、油水相循环和预乳循环等工艺装备实现乳化基质的智能制备和智能装车，在硝酸铵溶液储罐间设置了热水系统，利用物联网、云计算等技术实现乳化基质制备远程控制及组态、视频等云监控，实现混装车与地面站间的信息互联互通，智能化水平高。现有</w:t>
            </w:r>
            <w:r>
              <w:rPr>
                <w:rFonts w:hint="eastAsia" w:eastAsia="宋体" w:cs="宋体"/>
                <w:color w:val="auto"/>
                <w:sz w:val="24"/>
                <w:lang w:val="en-US" w:eastAsia="zh-CN"/>
              </w:rPr>
              <w:t>项目的</w:t>
            </w:r>
            <w:r>
              <w:rPr>
                <w:rFonts w:hint="eastAsia" w:ascii="宋体" w:hAnsi="宋体" w:eastAsia="宋体" w:cs="宋体"/>
                <w:color w:val="auto"/>
                <w:sz w:val="24"/>
                <w:lang w:eastAsia="zh-CN"/>
              </w:rPr>
              <w:t>混装乳化炸药生产系统每小时设计产能为</w:t>
            </w:r>
            <w:r>
              <w:rPr>
                <w:rFonts w:hint="eastAsia" w:ascii="宋体" w:hAnsi="宋体" w:eastAsia="宋体" w:cs="宋体"/>
                <w:color w:val="auto"/>
                <w:sz w:val="24"/>
                <w:lang w:val="en-US" w:eastAsia="zh-CN"/>
              </w:rPr>
              <w:t>10吨，年生产运行2000h，年最大产能为20000吨。</w:t>
            </w:r>
            <w:r>
              <w:rPr>
                <w:rFonts w:hint="eastAsia" w:ascii="宋体" w:hAnsi="宋体" w:eastAsia="宋体" w:cs="宋体"/>
                <w:color w:val="auto"/>
                <w:sz w:val="24"/>
                <w:highlight w:val="none"/>
                <w:lang w:eastAsia="zh-CN"/>
              </w:rPr>
              <w:t>根据内蒙古自治区工业和信息化厅颁发的民用爆炸物品安全生产许可证，在有效期</w:t>
            </w:r>
            <w:r>
              <w:rPr>
                <w:rFonts w:hint="eastAsia" w:ascii="宋体" w:hAnsi="宋体" w:eastAsia="宋体" w:cs="宋体"/>
                <w:color w:val="auto"/>
                <w:sz w:val="24"/>
                <w:highlight w:val="none"/>
                <w:lang w:val="en-US" w:eastAsia="zh-CN"/>
              </w:rPr>
              <w:t>内（2023年05月06日—2028年05月06日）</w:t>
            </w:r>
            <w:r>
              <w:rPr>
                <w:rFonts w:hint="eastAsia" w:ascii="宋体" w:hAnsi="宋体" w:eastAsia="宋体" w:cs="宋体"/>
                <w:color w:val="auto"/>
                <w:sz w:val="24"/>
                <w:highlight w:val="none"/>
                <w:lang w:eastAsia="zh-CN"/>
              </w:rPr>
              <w:t>巴彦淖尔盛安化工有限责任公司乌拉特中旗分公司</w:t>
            </w:r>
            <w:r>
              <w:rPr>
                <w:rFonts w:hint="eastAsia" w:ascii="宋体" w:hAnsi="宋体" w:eastAsia="宋体" w:cs="宋体"/>
                <w:color w:val="auto"/>
                <w:sz w:val="24"/>
                <w:highlight w:val="none"/>
                <w:lang w:val="en-US" w:eastAsia="zh-CN"/>
              </w:rPr>
              <w:t>许可生产能力为7000t/a。</w:t>
            </w:r>
          </w:p>
          <w:p w14:paraId="31D6DD2F">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lang w:val="en-US" w:eastAsia="zh-CN"/>
              </w:rPr>
            </w:pPr>
            <w:r>
              <w:rPr>
                <w:rFonts w:hint="eastAsia" w:ascii="宋体" w:hAnsi="宋体" w:eastAsia="宋体" w:cs="宋体"/>
                <w:color w:val="auto"/>
                <w:sz w:val="24"/>
                <w:lang w:eastAsia="zh-CN"/>
              </w:rPr>
              <w:t>巴彦淖尔盛安化工有限责任公司乌拉特中旗分公司于2012年8月委托巴彦淖尔市环境科学研究所编制了《巴彦淖尔盛安化工有限责任公司乌拉特中旗分公司年产5000t移动式乳化炸药地面站建设项目环境影响报告表》，2012年9月18日巴彦淖尔市环境保护局以“巴环审表［2012]116号”文件予以审批。项目于2012年10月25日开工建设，2013年4月10日建成并投入试运行，根据国家建设项目环境保护管理有关规定，</w:t>
            </w:r>
            <w:bookmarkStart w:id="0" w:name="OLE_LINK1"/>
            <w:r>
              <w:rPr>
                <w:rFonts w:hint="eastAsia" w:ascii="宋体" w:hAnsi="宋体" w:eastAsia="宋体" w:cs="宋体"/>
                <w:color w:val="auto"/>
                <w:sz w:val="24"/>
                <w:lang w:eastAsia="zh-CN"/>
              </w:rPr>
              <w:t>巴彦淖尔盛安化工有限责任公司乌拉特中旗分公司</w:t>
            </w:r>
            <w:bookmarkEnd w:id="0"/>
            <w:r>
              <w:rPr>
                <w:rFonts w:hint="eastAsia" w:ascii="宋体" w:hAnsi="宋体" w:eastAsia="宋体" w:cs="宋体"/>
                <w:color w:val="auto"/>
                <w:sz w:val="24"/>
                <w:lang w:eastAsia="zh-CN"/>
              </w:rPr>
              <w:t>委托巴彦淖尔市环境保护监测站进行了该项目竣工环境保护验收监测并编制了《巴彦淖尔盛安化工有限责任公司乌拉特中旗分公司年产5000t移动式乳化炸药地面站建设项目竣工环境保护验收监测报告表</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2013年6月21日巴彦淖尔市环境保护局以</w:t>
            </w:r>
            <w:r>
              <w:rPr>
                <w:rFonts w:hint="eastAsia" w:ascii="宋体" w:hAnsi="宋体" w:eastAsia="宋体" w:cs="宋体"/>
                <w:color w:val="auto"/>
                <w:sz w:val="24"/>
                <w:highlight w:val="none"/>
                <w:lang w:eastAsia="zh-CN"/>
              </w:rPr>
              <w:t>“巴环</w:t>
            </w:r>
            <w:r>
              <w:rPr>
                <w:rFonts w:hint="eastAsia" w:ascii="宋体" w:hAnsi="宋体" w:eastAsia="宋体" w:cs="宋体"/>
                <w:color w:val="auto"/>
                <w:sz w:val="24"/>
                <w:highlight w:val="none"/>
                <w:lang w:val="en-US" w:eastAsia="zh-CN"/>
              </w:rPr>
              <w:t>验</w:t>
            </w:r>
            <w:r>
              <w:rPr>
                <w:rFonts w:hint="eastAsia" w:ascii="宋体" w:hAnsi="宋体" w:eastAsia="宋体" w:cs="宋体"/>
                <w:color w:val="auto"/>
                <w:sz w:val="24"/>
                <w:highlight w:val="none"/>
                <w:lang w:eastAsia="zh-CN"/>
              </w:rPr>
              <w:t>［201</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19</w:t>
            </w:r>
            <w:r>
              <w:rPr>
                <w:rFonts w:hint="eastAsia" w:ascii="宋体" w:hAnsi="宋体" w:eastAsia="宋体" w:cs="宋体"/>
                <w:color w:val="auto"/>
                <w:sz w:val="24"/>
                <w:highlight w:val="none"/>
                <w:lang w:eastAsia="zh-CN"/>
              </w:rPr>
              <w:t>号”文件予以审批</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2016年6月29日乌拉特中旗环境保护局出具了《关于内蒙古盛安化工有限公司乌拉特中旗生产点现场混装乳化炸药车及地面辅助设施扩能改造项目不需办理环保审批手续的说明》（乌中环发[2016]145号），说明中将生产规模由5000t/a扩能改造为20000t/a，生产工艺和工作人员等均不增加。2025年5月29日</w:t>
            </w:r>
            <w:r>
              <w:rPr>
                <w:rFonts w:hint="eastAsia" w:ascii="宋体" w:hAnsi="宋体" w:eastAsia="宋体" w:cs="宋体"/>
                <w:color w:val="auto"/>
                <w:sz w:val="24"/>
                <w:lang w:eastAsia="zh-CN"/>
              </w:rPr>
              <w:t>巴彦淖尔盛安化工有限责任公司乌拉特中旗分公司</w:t>
            </w:r>
            <w:r>
              <w:rPr>
                <w:rFonts w:hint="eastAsia" w:ascii="宋体" w:hAnsi="宋体" w:eastAsia="宋体" w:cs="宋体"/>
                <w:color w:val="auto"/>
                <w:sz w:val="24"/>
                <w:highlight w:val="none"/>
                <w:lang w:val="en-US" w:eastAsia="zh-CN"/>
              </w:rPr>
              <w:t>取得固定污染源排污登记回执，登记编号：91150824050551003F001Q，有效期：2025年06月24日至2030年06月23日。</w:t>
            </w:r>
          </w:p>
          <w:p w14:paraId="31D4C521">
            <w:pPr>
              <w:pStyle w:val="78"/>
              <w:keepNext w:val="0"/>
              <w:keepLines w:val="0"/>
              <w:suppressLineNumbers w:val="0"/>
              <w:spacing w:before="0" w:beforeAutospacing="0" w:after="0" w:afterAutospacing="0"/>
              <w:ind w:left="0" w:right="0" w:firstLine="480"/>
              <w:rPr>
                <w:rFonts w:hint="eastAsia" w:ascii="宋体" w:hAnsi="宋体" w:eastAsia="宋体" w:cs="宋体"/>
                <w:color w:val="auto"/>
                <w:szCs w:val="24"/>
              </w:rPr>
            </w:pPr>
            <w:r>
              <w:rPr>
                <w:rFonts w:hint="eastAsia" w:ascii="宋体" w:hAnsi="宋体" w:eastAsia="宋体" w:cs="宋体"/>
                <w:color w:val="auto"/>
                <w:szCs w:val="24"/>
                <w:highlight w:val="none"/>
              </w:rPr>
              <w:t>现有</w:t>
            </w:r>
            <w:r>
              <w:rPr>
                <w:rFonts w:hint="eastAsia" w:ascii="宋体" w:hAnsi="宋体" w:eastAsia="宋体" w:cs="宋体"/>
                <w:color w:val="auto"/>
                <w:sz w:val="24"/>
                <w:highlight w:val="none"/>
                <w:lang w:val="en-US" w:eastAsia="zh-CN"/>
              </w:rPr>
              <w:t>项目</w:t>
            </w:r>
            <w:r>
              <w:rPr>
                <w:rFonts w:hint="eastAsia" w:ascii="宋体" w:hAnsi="宋体" w:eastAsia="宋体" w:cs="宋体"/>
                <w:color w:val="auto"/>
                <w:szCs w:val="24"/>
                <w:highlight w:val="none"/>
              </w:rPr>
              <w:t>建成1台</w:t>
            </w:r>
            <w:r>
              <w:rPr>
                <w:rFonts w:hint="eastAsia" w:ascii="宋体" w:hAnsi="宋体" w:eastAsia="宋体" w:cs="宋体"/>
                <w:color w:val="auto"/>
                <w:szCs w:val="24"/>
                <w:highlight w:val="none"/>
                <w:lang w:val="en-US" w:eastAsia="zh-CN"/>
              </w:rPr>
              <w:t>2</w:t>
            </w:r>
            <w:r>
              <w:rPr>
                <w:rFonts w:hint="eastAsia" w:ascii="宋体" w:hAnsi="宋体" w:eastAsia="宋体" w:cs="宋体"/>
                <w:color w:val="auto"/>
                <w:szCs w:val="24"/>
                <w:highlight w:val="none"/>
              </w:rPr>
              <w:t>t/h燃煤蒸汽锅炉为生产</w:t>
            </w:r>
            <w:r>
              <w:rPr>
                <w:rFonts w:hint="eastAsia" w:ascii="宋体" w:hAnsi="宋体" w:eastAsia="宋体" w:cs="宋体"/>
                <w:color w:val="auto"/>
                <w:szCs w:val="24"/>
                <w:highlight w:val="none"/>
                <w:lang w:eastAsia="zh-CN"/>
              </w:rPr>
              <w:t>（水</w:t>
            </w:r>
            <w:r>
              <w:rPr>
                <w:rFonts w:hint="eastAsia" w:ascii="宋体" w:hAnsi="宋体" w:eastAsia="宋体" w:cs="宋体"/>
                <w:color w:val="auto"/>
                <w:szCs w:val="24"/>
                <w:lang w:eastAsia="zh-CN"/>
              </w:rPr>
              <w:t>相工段）</w:t>
            </w:r>
            <w:r>
              <w:rPr>
                <w:rFonts w:hint="eastAsia" w:ascii="宋体" w:hAnsi="宋体" w:eastAsia="宋体" w:cs="宋体"/>
                <w:color w:val="auto"/>
                <w:szCs w:val="24"/>
              </w:rPr>
              <w:t>供应热源</w:t>
            </w:r>
            <w:r>
              <w:rPr>
                <w:rFonts w:hint="eastAsia" w:ascii="宋体" w:hAnsi="宋体" w:eastAsia="宋体" w:cs="宋体"/>
                <w:color w:val="auto"/>
                <w:szCs w:val="24"/>
                <w:lang w:eastAsia="zh-CN"/>
              </w:rPr>
              <w:t>并用于冬季采暖，建设单位为了积极响应巴彦淖尔市关于大气污染防治工作，落实节能减排和低碳政策，</w:t>
            </w:r>
            <w:r>
              <w:rPr>
                <w:rFonts w:hint="eastAsia" w:ascii="宋体" w:hAnsi="宋体" w:eastAsia="宋体" w:cs="宋体"/>
                <w:color w:val="auto"/>
                <w:szCs w:val="24"/>
                <w:lang w:val="en-US" w:eastAsia="zh-CN"/>
              </w:rPr>
              <w:t>根据项目用汽需求，</w:t>
            </w:r>
            <w:r>
              <w:rPr>
                <w:rFonts w:hint="eastAsia" w:ascii="宋体" w:hAnsi="宋体" w:eastAsia="宋体" w:cs="宋体"/>
                <w:color w:val="auto"/>
                <w:szCs w:val="24"/>
                <w:lang w:eastAsia="zh-CN"/>
              </w:rPr>
              <w:t>将现有的</w:t>
            </w:r>
            <w:r>
              <w:rPr>
                <w:rFonts w:hint="eastAsia" w:ascii="宋体" w:hAnsi="宋体" w:eastAsia="宋体" w:cs="宋体"/>
                <w:color w:val="auto"/>
                <w:szCs w:val="24"/>
                <w:lang w:val="en-US" w:eastAsia="zh-CN"/>
              </w:rPr>
              <w:t>1台2t/h燃煤蒸汽锅炉及配套设施拆除，新建1台1t/h燃油蒸汽锅炉，同时新建1台1t/h燃油蒸汽发生器作为备用供热设施</w:t>
            </w:r>
            <w:r>
              <w:rPr>
                <w:rFonts w:hint="eastAsia" w:ascii="宋体" w:hAnsi="宋体" w:eastAsia="宋体" w:cs="宋体"/>
                <w:color w:val="auto"/>
                <w:szCs w:val="24"/>
              </w:rPr>
              <w:t>，</w:t>
            </w:r>
            <w:r>
              <w:rPr>
                <w:rFonts w:hint="eastAsia" w:ascii="宋体" w:hAnsi="宋体" w:eastAsia="宋体" w:cs="宋体"/>
                <w:color w:val="auto"/>
                <w:szCs w:val="24"/>
                <w:lang w:eastAsia="zh-CN"/>
              </w:rPr>
              <w:t>配套建设</w:t>
            </w:r>
            <w:r>
              <w:rPr>
                <w:rFonts w:hint="eastAsia" w:ascii="宋体" w:hAnsi="宋体" w:eastAsia="宋体" w:cs="宋体"/>
                <w:color w:val="auto"/>
                <w:szCs w:val="24"/>
                <w:lang w:val="en-US" w:eastAsia="zh-CN"/>
              </w:rPr>
              <w:t>1座1m³柴油箱和其他配套设施</w:t>
            </w:r>
            <w:r>
              <w:rPr>
                <w:rFonts w:hint="eastAsia" w:ascii="宋体" w:hAnsi="宋体" w:eastAsia="宋体" w:cs="宋体"/>
                <w:color w:val="auto"/>
                <w:szCs w:val="24"/>
              </w:rPr>
              <w:t>。</w:t>
            </w:r>
          </w:p>
          <w:p w14:paraId="37B1751C">
            <w:pPr>
              <w:pStyle w:val="24"/>
              <w:keepNext w:val="0"/>
              <w:keepLines w:val="0"/>
              <w:widowControl w:val="0"/>
              <w:suppressLineNumbers w:val="0"/>
              <w:autoSpaceDE w:val="0"/>
              <w:autoSpaceDN w:val="0"/>
              <w:adjustRightInd w:val="0"/>
              <w:spacing w:before="0" w:beforeAutospacing="0" w:after="0" w:afterAutospacing="0" w:line="360" w:lineRule="auto"/>
              <w:ind w:left="0" w:right="0" w:firstLine="480" w:firstLineChars="200"/>
              <w:jc w:val="both"/>
              <w:rPr>
                <w:rFonts w:hint="eastAsia" w:ascii="宋体" w:hAnsi="宋体" w:eastAsia="宋体" w:cs="宋体"/>
                <w:color w:val="auto"/>
              </w:rPr>
            </w:pPr>
            <w:r>
              <w:rPr>
                <w:rFonts w:hint="eastAsia" w:ascii="宋体" w:hAnsi="宋体" w:eastAsia="宋体" w:cs="宋体"/>
                <w:color w:val="auto"/>
                <w:kern w:val="2"/>
                <w:szCs w:val="24"/>
                <w:lang w:bidi="ar"/>
              </w:rPr>
              <w:t>根据《中华人民共和国环境保护法》 和《中华人民共和国环境影响评价法》等有关法律</w:t>
            </w:r>
            <w:r>
              <w:rPr>
                <w:rFonts w:hint="eastAsia" w:ascii="宋体" w:hAnsi="宋体" w:eastAsia="宋体" w:cs="宋体"/>
                <w:color w:val="auto"/>
                <w:kern w:val="2"/>
                <w:szCs w:val="24"/>
                <w:lang w:eastAsia="zh-CN" w:bidi="ar"/>
              </w:rPr>
              <w:t>法规</w:t>
            </w:r>
            <w:r>
              <w:rPr>
                <w:rFonts w:hint="eastAsia" w:ascii="宋体" w:hAnsi="宋体" w:eastAsia="宋体" w:cs="宋体"/>
                <w:color w:val="auto"/>
                <w:kern w:val="2"/>
                <w:szCs w:val="24"/>
                <w:lang w:bidi="ar"/>
              </w:rPr>
              <w:t>规定，本项目需进行环境影响评价。根据《建设项目环境影响评价分类管理名录》（2021 年版）规定，本项目属于“</w:t>
            </w:r>
            <w:r>
              <w:rPr>
                <w:rFonts w:hint="eastAsia" w:ascii="宋体" w:hAnsi="宋体" w:eastAsia="宋体" w:cs="宋体"/>
                <w:color w:val="auto"/>
                <w:szCs w:val="24"/>
              </w:rPr>
              <w:t>四十一、电力、热力生产和供应业—91热力生产和供应工程（包括建设单位自建自用的供热工程）—燃煤、燃油锅炉总容量65吨/小时（45.5兆瓦）及以下的；天然气锅炉总容量1吨/小时（0.7兆瓦）以上的；使用其他高污染燃料的</w:t>
            </w:r>
            <w:r>
              <w:rPr>
                <w:rFonts w:hint="eastAsia" w:ascii="宋体" w:hAnsi="宋体" w:eastAsia="宋体" w:cs="宋体"/>
                <w:color w:val="auto"/>
                <w:kern w:val="2"/>
                <w:szCs w:val="24"/>
                <w:lang w:bidi="ar"/>
              </w:rPr>
              <w:t>”，应编制环境影响报告表。受</w:t>
            </w:r>
            <w:r>
              <w:rPr>
                <w:rFonts w:hint="eastAsia" w:ascii="宋体" w:hAnsi="宋体" w:eastAsia="宋体" w:cs="宋体"/>
                <w:color w:val="auto"/>
                <w:szCs w:val="24"/>
                <w:lang w:eastAsia="zh-CN"/>
              </w:rPr>
              <w:t>巴彦淖</w:t>
            </w:r>
            <w:r>
              <w:rPr>
                <w:rFonts w:hint="eastAsia" w:ascii="宋体" w:hAnsi="宋体" w:eastAsia="宋体" w:cs="宋体"/>
                <w:color w:val="auto"/>
                <w:szCs w:val="24"/>
                <w:highlight w:val="none"/>
                <w:lang w:eastAsia="zh-CN"/>
              </w:rPr>
              <w:t>尔盛安化工有限责任公司乌拉特中旗分公司</w:t>
            </w:r>
            <w:r>
              <w:rPr>
                <w:rFonts w:hint="eastAsia" w:ascii="宋体" w:hAnsi="宋体" w:eastAsia="宋体" w:cs="宋体"/>
                <w:color w:val="auto"/>
                <w:kern w:val="2"/>
                <w:szCs w:val="24"/>
                <w:highlight w:val="none"/>
                <w:lang w:bidi="ar"/>
              </w:rPr>
              <w:t>委托，</w:t>
            </w:r>
            <w:r>
              <w:rPr>
                <w:rFonts w:hint="eastAsia" w:ascii="宋体" w:hAnsi="宋体" w:eastAsia="宋体" w:cs="宋体"/>
                <w:color w:val="auto"/>
                <w:kern w:val="2"/>
                <w:szCs w:val="24"/>
                <w:highlight w:val="none"/>
                <w:lang w:eastAsia="zh-CN" w:bidi="ar"/>
              </w:rPr>
              <w:t>内蒙古华晨工程咨询有限</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https://www.so.com/link?m=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" \t "https://www.so.com/_blank" </w:instrText>
            </w:r>
            <w:r>
              <w:rPr>
                <w:rFonts w:hint="eastAsia" w:ascii="宋体" w:hAnsi="宋体" w:eastAsia="宋体" w:cs="宋体"/>
                <w:color w:val="auto"/>
                <w:highlight w:val="none"/>
              </w:rPr>
              <w:fldChar w:fldCharType="separate"/>
            </w:r>
            <w:r>
              <w:rPr>
                <w:rFonts w:hint="eastAsia" w:ascii="宋体" w:hAnsi="宋体" w:eastAsia="宋体" w:cs="宋体"/>
                <w:color w:val="auto"/>
                <w:szCs w:val="24"/>
                <w:highlight w:val="none"/>
              </w:rPr>
              <w:t>公司</w:t>
            </w:r>
            <w:r>
              <w:rPr>
                <w:rFonts w:hint="eastAsia" w:ascii="宋体" w:hAnsi="宋体" w:eastAsia="宋体" w:cs="宋体"/>
                <w:color w:val="auto"/>
                <w:szCs w:val="24"/>
                <w:highlight w:val="none"/>
              </w:rPr>
              <w:fldChar w:fldCharType="end"/>
            </w:r>
            <w:r>
              <w:rPr>
                <w:rFonts w:hint="eastAsia" w:ascii="宋体" w:hAnsi="宋体" w:eastAsia="宋体" w:cs="宋体"/>
                <w:color w:val="auto"/>
                <w:kern w:val="2"/>
                <w:szCs w:val="24"/>
                <w:highlight w:val="none"/>
                <w:lang w:bidi="ar"/>
              </w:rPr>
              <w:t>承担该项目的环境影响评价工作。</w:t>
            </w:r>
            <w:r>
              <w:rPr>
                <w:rFonts w:hint="eastAsia" w:ascii="宋体" w:hAnsi="宋体" w:eastAsia="宋体" w:cs="宋体"/>
                <w:bCs/>
                <w:color w:val="auto"/>
                <w:highlight w:val="none"/>
              </w:rPr>
              <w:t>接受委托后，</w:t>
            </w:r>
            <w:r>
              <w:rPr>
                <w:rFonts w:hint="eastAsia" w:ascii="宋体" w:hAnsi="宋体" w:eastAsia="宋体" w:cs="宋体"/>
                <w:color w:val="auto"/>
                <w:highlight w:val="none"/>
                <w:lang w:eastAsia="zh-CN"/>
              </w:rPr>
              <w:t>环评单位</w:t>
            </w:r>
            <w:r>
              <w:rPr>
                <w:rFonts w:hint="eastAsia" w:ascii="宋体" w:hAnsi="宋体" w:eastAsia="宋体" w:cs="宋体"/>
                <w:color w:val="auto"/>
                <w:highlight w:val="none"/>
              </w:rPr>
              <w:t>对建设项目所在区域进行了现场勘</w:t>
            </w:r>
            <w:r>
              <w:rPr>
                <w:rFonts w:hint="eastAsia" w:ascii="宋体" w:hAnsi="宋体" w:eastAsia="宋体" w:cs="宋体"/>
                <w:color w:val="auto"/>
              </w:rPr>
              <w:t>查，依据环评导则要求及工程规划建设内容，同时结合工程规模和生产工艺，在收集和查阅相关资料的基础上，编制完成了</w:t>
            </w:r>
            <w:r>
              <w:rPr>
                <w:rFonts w:hint="eastAsia" w:ascii="宋体" w:hAnsi="宋体" w:eastAsia="宋体" w:cs="宋体"/>
                <w:color w:val="auto"/>
                <w:kern w:val="2"/>
                <w:szCs w:val="24"/>
                <w:lang w:bidi="ar"/>
              </w:rPr>
              <w:t>《</w:t>
            </w:r>
            <w:r>
              <w:rPr>
                <w:rFonts w:hint="eastAsia" w:eastAsia="宋体" w:cs="宋体"/>
                <w:color w:val="auto"/>
                <w:szCs w:val="24"/>
                <w:lang w:eastAsia="zh-CN"/>
              </w:rPr>
              <w:t>巴彦淖尔盛安化工有限责任公司乌拉特中旗分公司锅炉技改项目</w:t>
            </w:r>
            <w:r>
              <w:rPr>
                <w:rFonts w:hint="eastAsia" w:ascii="宋体" w:hAnsi="宋体" w:eastAsia="宋体" w:cs="宋体"/>
                <w:color w:val="auto"/>
                <w:kern w:val="2"/>
                <w:szCs w:val="24"/>
                <w:lang w:bidi="ar"/>
              </w:rPr>
              <w:t>环境影响报告表》，呈报管理部门进行审批。</w:t>
            </w:r>
          </w:p>
          <w:p w14:paraId="65EADAEA">
            <w:pPr>
              <w:pStyle w:val="13"/>
              <w:keepNext w:val="0"/>
              <w:keepLines w:val="0"/>
              <w:suppressLineNumbers w:val="0"/>
              <w:spacing w:before="0" w:beforeAutospacing="0" w:after="0" w:afterAutospacing="0" w:line="360" w:lineRule="auto"/>
              <w:ind w:left="0" w:right="0"/>
              <w:rPr>
                <w:rFonts w:hint="eastAsia" w:ascii="宋体" w:hAnsi="宋体" w:eastAsia="宋体" w:cs="宋体"/>
                <w:b w:val="0"/>
                <w:bCs w:val="0"/>
                <w:color w:val="auto"/>
                <w:sz w:val="28"/>
                <w:szCs w:val="28"/>
                <w:lang w:eastAsia="zh-CN"/>
              </w:rPr>
            </w:pPr>
            <w:r>
              <w:rPr>
                <w:rFonts w:hint="eastAsia" w:ascii="宋体" w:hAnsi="宋体" w:eastAsia="宋体" w:cs="宋体"/>
                <w:b w:val="0"/>
                <w:bCs w:val="0"/>
                <w:color w:val="auto"/>
                <w:sz w:val="28"/>
                <w:szCs w:val="28"/>
              </w:rPr>
              <w:t>2、</w:t>
            </w:r>
            <w:r>
              <w:rPr>
                <w:rFonts w:hint="eastAsia" w:ascii="宋体" w:hAnsi="宋体" w:eastAsia="宋体" w:cs="宋体"/>
                <w:b w:val="0"/>
                <w:bCs w:val="0"/>
                <w:color w:val="auto"/>
                <w:sz w:val="28"/>
                <w:szCs w:val="28"/>
                <w:lang w:eastAsia="zh-CN"/>
              </w:rPr>
              <w:t>现有项目概况</w:t>
            </w:r>
          </w:p>
          <w:p w14:paraId="204A9BA0">
            <w:pPr>
              <w:pStyle w:val="13"/>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rPr>
              <w:t>（1）项目</w:t>
            </w:r>
            <w:r>
              <w:rPr>
                <w:rFonts w:hint="eastAsia" w:ascii="宋体" w:hAnsi="宋体" w:eastAsia="宋体" w:cs="宋体"/>
                <w:color w:val="auto"/>
                <w:sz w:val="24"/>
                <w:lang w:eastAsia="zh-CN"/>
              </w:rPr>
              <w:t>基本情况</w:t>
            </w:r>
          </w:p>
          <w:p w14:paraId="2673F9B7">
            <w:pPr>
              <w:pStyle w:val="13"/>
              <w:keepNext w:val="0"/>
              <w:keepLines w:val="0"/>
              <w:suppressLineNumbers w:val="0"/>
              <w:spacing w:before="0" w:beforeAutospacing="0" w:after="0" w:afterAutospacing="0" w:line="360" w:lineRule="auto"/>
              <w:ind w:left="0" w:right="0" w:firstLine="480" w:firstLineChars="200"/>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巴彦淖尔盛安化工有限责任公司乌拉特中旗分公司年产5000t移动式乳化炸药地面站建设项目位于巴彦淖尔市乌拉特中旗新忽热苏木长山壕金矿内蒙古太平矿业已弃用闲置的</w:t>
            </w:r>
            <w:r>
              <w:rPr>
                <w:rFonts w:hint="eastAsia" w:ascii="宋体" w:hAnsi="宋体" w:eastAsia="宋体" w:cs="宋体"/>
                <w:color w:val="auto"/>
                <w:sz w:val="24"/>
                <w:highlight w:val="none"/>
                <w:lang w:eastAsia="zh-CN"/>
              </w:rPr>
              <w:t>危险品总仓库区，总占地面积32122</w:t>
            </w:r>
            <w:r>
              <w:rPr>
                <w:rFonts w:hint="eastAsia" w:ascii="宋体" w:hAnsi="宋体" w:eastAsia="宋体" w:cs="宋体"/>
                <w:color w:val="auto"/>
                <w:sz w:val="24"/>
                <w:highlight w:val="none"/>
                <w:lang w:val="en-US" w:eastAsia="zh-CN"/>
              </w:rPr>
              <w:t>m</w:t>
            </w:r>
            <w:r>
              <w:rPr>
                <w:rFonts w:hint="eastAsia" w:ascii="宋体" w:hAnsi="宋体" w:eastAsia="宋体" w:cs="宋体"/>
                <w:color w:val="auto"/>
                <w:sz w:val="24"/>
                <w:highlight w:val="none"/>
                <w:vertAlign w:val="superscript"/>
                <w:lang w:val="en-US" w:eastAsia="zh-CN"/>
              </w:rPr>
              <w:t>2</w:t>
            </w:r>
            <w:r>
              <w:rPr>
                <w:rFonts w:hint="eastAsia" w:ascii="宋体" w:hAnsi="宋体" w:eastAsia="宋体" w:cs="宋体"/>
                <w:color w:val="auto"/>
                <w:sz w:val="24"/>
                <w:highlight w:val="none"/>
                <w:vertAlign w:val="baseline"/>
                <w:lang w:val="en-US" w:eastAsia="zh-CN"/>
              </w:rPr>
              <w:t>，</w:t>
            </w:r>
            <w:r>
              <w:rPr>
                <w:rFonts w:hint="eastAsia" w:ascii="宋体" w:hAnsi="宋体" w:eastAsia="宋体" w:cs="宋体"/>
                <w:color w:val="auto"/>
                <w:sz w:val="24"/>
                <w:highlight w:val="none"/>
                <w:lang w:eastAsia="zh-CN"/>
              </w:rPr>
              <w:t>实际总投资1300万元，其中环保投资18万元，占总投资的1.38%。</w:t>
            </w:r>
            <w:r>
              <w:rPr>
                <w:rFonts w:hint="eastAsia" w:eastAsia="宋体" w:cs="宋体"/>
                <w:color w:val="auto"/>
                <w:sz w:val="24"/>
                <w:highlight w:val="none"/>
                <w:lang w:val="en-US" w:eastAsia="zh-CN"/>
              </w:rPr>
              <w:t>2021年至今</w:t>
            </w:r>
            <w:r>
              <w:rPr>
                <w:rFonts w:hint="eastAsia" w:eastAsia="宋体" w:cs="宋体"/>
                <w:color w:val="auto"/>
                <w:sz w:val="24"/>
                <w:lang w:val="en-US" w:eastAsia="zh-CN"/>
              </w:rPr>
              <w:t>，</w:t>
            </w:r>
            <w:r>
              <w:rPr>
                <w:rFonts w:hint="eastAsia" w:ascii="宋体" w:hAnsi="宋体" w:eastAsia="宋体" w:cs="宋体"/>
                <w:color w:val="auto"/>
                <w:sz w:val="24"/>
                <w:lang w:eastAsia="zh-CN"/>
              </w:rPr>
              <w:t>实际年产</w:t>
            </w:r>
            <w:r>
              <w:rPr>
                <w:rFonts w:hint="eastAsia" w:ascii="宋体" w:hAnsi="宋体" w:eastAsia="宋体" w:cs="宋体"/>
                <w:color w:val="auto"/>
                <w:sz w:val="24"/>
                <w:lang w:val="en-US" w:eastAsia="zh-CN"/>
              </w:rPr>
              <w:t>7000t乳化炸药。</w:t>
            </w:r>
            <w:r>
              <w:rPr>
                <w:rFonts w:hint="eastAsia" w:ascii="宋体" w:hAnsi="宋体" w:eastAsia="宋体" w:cs="宋体"/>
                <w:color w:val="auto"/>
                <w:sz w:val="24"/>
                <w:lang w:eastAsia="zh-CN"/>
              </w:rPr>
              <w:t>现有员工23人，全年工作日250天，工作班次单班制，每班工作时间8h。</w:t>
            </w:r>
          </w:p>
          <w:p w14:paraId="09E2A70E">
            <w:pPr>
              <w:pStyle w:val="13"/>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lang w:val="en-US" w:eastAsia="zh-CN"/>
              </w:rPr>
            </w:pP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lang w:val="en-US" w:eastAsia="zh-CN"/>
              </w:rPr>
              <w:t>2</w:t>
            </w: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lang w:val="en-US" w:eastAsia="zh-CN"/>
              </w:rPr>
              <w:t>环保手续履行情况</w:t>
            </w:r>
          </w:p>
          <w:p w14:paraId="52B742A7">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sz w:val="24"/>
              </w:rPr>
            </w:pPr>
            <w:r>
              <w:rPr>
                <w:rFonts w:hint="eastAsia" w:ascii="宋体" w:hAnsi="宋体" w:eastAsia="宋体" w:cs="宋体"/>
                <w:color w:val="auto"/>
                <w:sz w:val="24"/>
                <w:lang w:eastAsia="zh-CN"/>
              </w:rPr>
              <w:t>巴彦淖尔盛安化工有限责任公司乌拉特中旗分公司</w:t>
            </w:r>
            <w:r>
              <w:rPr>
                <w:rFonts w:hint="eastAsia" w:ascii="宋体" w:hAnsi="宋体" w:eastAsia="宋体" w:cs="宋体"/>
                <w:bCs/>
                <w:sz w:val="24"/>
              </w:rPr>
              <w:t>环保手续履行情况如下</w:t>
            </w:r>
            <w:r>
              <w:rPr>
                <w:rFonts w:hint="eastAsia" w:ascii="宋体" w:hAnsi="宋体" w:eastAsia="宋体" w:cs="宋体"/>
                <w:bCs/>
                <w:sz w:val="24"/>
                <w:lang w:eastAsia="zh-CN"/>
              </w:rPr>
              <w:t>表</w:t>
            </w:r>
            <w:r>
              <w:rPr>
                <w:rFonts w:hint="eastAsia" w:ascii="宋体" w:hAnsi="宋体" w:eastAsia="宋体" w:cs="宋体"/>
                <w:bCs/>
                <w:sz w:val="24"/>
              </w:rPr>
              <w:t>：</w:t>
            </w:r>
          </w:p>
          <w:p w14:paraId="2DC814A2">
            <w:pPr>
              <w:keepNext w:val="0"/>
              <w:keepLines w:val="0"/>
              <w:widowControl/>
              <w:suppressLineNumbers w:val="0"/>
              <w:spacing w:before="0" w:beforeAutospacing="0" w:after="0" w:afterAutospacing="0"/>
              <w:ind w:left="0" w:right="0"/>
              <w:jc w:val="center"/>
              <w:rPr>
                <w:rFonts w:hint="eastAsia" w:ascii="宋体" w:hAnsi="宋体" w:eastAsia="宋体" w:cs="宋体"/>
                <w:b/>
                <w:bCs/>
                <w:sz w:val="24"/>
                <w:szCs w:val="24"/>
              </w:rPr>
            </w:pPr>
            <w:r>
              <w:rPr>
                <w:rFonts w:hint="eastAsia" w:ascii="宋体" w:hAnsi="宋体" w:eastAsia="宋体" w:cs="宋体"/>
                <w:b/>
                <w:bCs/>
                <w:color w:val="000000"/>
                <w:kern w:val="0"/>
                <w:sz w:val="24"/>
                <w:szCs w:val="24"/>
                <w:lang w:bidi="ar"/>
              </w:rPr>
              <w:t>表2-</w:t>
            </w:r>
            <w:r>
              <w:rPr>
                <w:rFonts w:hint="eastAsia" w:ascii="宋体" w:hAnsi="宋体" w:eastAsia="宋体" w:cs="宋体"/>
                <w:b/>
                <w:bCs/>
                <w:color w:val="000000"/>
                <w:kern w:val="0"/>
                <w:sz w:val="24"/>
                <w:szCs w:val="24"/>
                <w:lang w:val="en-US" w:eastAsia="zh-CN" w:bidi="ar"/>
              </w:rPr>
              <w:t>1</w:t>
            </w:r>
            <w:r>
              <w:rPr>
                <w:rFonts w:hint="eastAsia" w:ascii="宋体" w:hAnsi="宋体" w:eastAsia="宋体" w:cs="宋体"/>
                <w:b/>
                <w:bCs/>
                <w:color w:val="000000"/>
                <w:kern w:val="0"/>
                <w:sz w:val="24"/>
                <w:szCs w:val="24"/>
                <w:lang w:bidi="ar"/>
              </w:rPr>
              <w:t xml:space="preserve"> </w:t>
            </w:r>
            <w:r>
              <w:rPr>
                <w:rFonts w:hint="eastAsia" w:ascii="宋体" w:hAnsi="宋体" w:eastAsia="宋体" w:cs="宋体"/>
                <w:b/>
                <w:bCs/>
                <w:color w:val="000000"/>
                <w:kern w:val="0"/>
                <w:sz w:val="24"/>
                <w:szCs w:val="24"/>
                <w:lang w:eastAsia="zh-CN" w:bidi="ar"/>
              </w:rPr>
              <w:t>现有项目</w:t>
            </w:r>
            <w:r>
              <w:rPr>
                <w:rFonts w:hint="eastAsia" w:ascii="宋体" w:hAnsi="宋体" w:eastAsia="宋体" w:cs="宋体"/>
                <w:b/>
                <w:bCs/>
                <w:color w:val="000000"/>
                <w:kern w:val="0"/>
                <w:sz w:val="24"/>
                <w:szCs w:val="24"/>
                <w:lang w:val="en-US" w:eastAsia="zh-CN" w:bidi="ar"/>
              </w:rPr>
              <w:t>环</w:t>
            </w:r>
            <w:r>
              <w:rPr>
                <w:rFonts w:hint="eastAsia" w:ascii="宋体" w:hAnsi="宋体" w:eastAsia="宋体" w:cs="宋体"/>
                <w:b/>
                <w:bCs/>
                <w:color w:val="000000"/>
                <w:kern w:val="0"/>
                <w:sz w:val="24"/>
                <w:szCs w:val="24"/>
                <w:lang w:bidi="ar"/>
              </w:rPr>
              <w:t>保手续履行情况表</w:t>
            </w:r>
          </w:p>
          <w:tbl>
            <w:tblPr>
              <w:tblStyle w:val="26"/>
              <w:tblW w:w="8208" w:type="dxa"/>
              <w:tblInd w:w="0" w:type="dxa"/>
              <w:tblLayout w:type="fixed"/>
              <w:tblCellMar>
                <w:top w:w="0" w:type="dxa"/>
                <w:left w:w="108" w:type="dxa"/>
                <w:bottom w:w="0" w:type="dxa"/>
                <w:right w:w="108" w:type="dxa"/>
              </w:tblCellMar>
            </w:tblPr>
            <w:tblGrid>
              <w:gridCol w:w="1186"/>
              <w:gridCol w:w="2764"/>
              <w:gridCol w:w="1607"/>
              <w:gridCol w:w="1534"/>
              <w:gridCol w:w="1117"/>
            </w:tblGrid>
            <w:tr w14:paraId="0D34DA68">
              <w:tblPrEx>
                <w:tblCellMar>
                  <w:top w:w="0" w:type="dxa"/>
                  <w:left w:w="108" w:type="dxa"/>
                  <w:bottom w:w="0" w:type="dxa"/>
                  <w:right w:w="108" w:type="dxa"/>
                </w:tblCellMar>
              </w:tblPrEx>
              <w:trPr>
                <w:trHeight w:val="454" w:hRule="atLeast"/>
              </w:trPr>
              <w:tc>
                <w:tcPr>
                  <w:tcW w:w="1186" w:type="dxa"/>
                  <w:tcBorders>
                    <w:top w:val="single" w:color="000000" w:sz="4" w:space="0"/>
                    <w:left w:val="single" w:color="000000" w:sz="4" w:space="0"/>
                    <w:bottom w:val="single" w:color="000000" w:sz="4" w:space="0"/>
                    <w:right w:val="single" w:color="000000" w:sz="4" w:space="0"/>
                  </w:tcBorders>
                  <w:noWrap w:val="0"/>
                  <w:vAlign w:val="center"/>
                </w:tcPr>
                <w:p w14:paraId="0B862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日期</w:t>
                  </w:r>
                </w:p>
              </w:tc>
              <w:tc>
                <w:tcPr>
                  <w:tcW w:w="2764" w:type="dxa"/>
                  <w:tcBorders>
                    <w:top w:val="single" w:color="000000" w:sz="4" w:space="0"/>
                    <w:left w:val="single" w:color="000000" w:sz="4" w:space="0"/>
                    <w:bottom w:val="single" w:color="000000" w:sz="4" w:space="0"/>
                    <w:right w:val="single" w:color="000000" w:sz="4" w:space="0"/>
                  </w:tcBorders>
                  <w:noWrap w:val="0"/>
                  <w:vAlign w:val="center"/>
                </w:tcPr>
                <w:p w14:paraId="460DB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eastAsia="zh-CN" w:bidi="ar"/>
                    </w:rPr>
                    <w:t>文件名称</w:t>
                  </w:r>
                </w:p>
              </w:tc>
              <w:tc>
                <w:tcPr>
                  <w:tcW w:w="1607" w:type="dxa"/>
                  <w:tcBorders>
                    <w:top w:val="single" w:color="000000" w:sz="4" w:space="0"/>
                    <w:left w:val="single" w:color="000000" w:sz="4" w:space="0"/>
                    <w:bottom w:val="single" w:color="000000" w:sz="4" w:space="0"/>
                    <w:right w:val="single" w:color="000000" w:sz="4" w:space="0"/>
                  </w:tcBorders>
                  <w:noWrap w:val="0"/>
                  <w:vAlign w:val="center"/>
                </w:tcPr>
                <w:p w14:paraId="078BF4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eastAsia="zh-CN" w:bidi="ar"/>
                    </w:rPr>
                    <w:t>报告</w:t>
                  </w:r>
                  <w:r>
                    <w:rPr>
                      <w:rFonts w:hint="eastAsia" w:ascii="宋体" w:hAnsi="宋体" w:eastAsia="宋体" w:cs="宋体"/>
                      <w:color w:val="000000"/>
                      <w:kern w:val="0"/>
                      <w:szCs w:val="21"/>
                      <w:lang w:bidi="ar"/>
                    </w:rPr>
                    <w:t>编制单位</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14:paraId="17753B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审批部门</w:t>
                  </w:r>
                </w:p>
              </w:tc>
              <w:tc>
                <w:tcPr>
                  <w:tcW w:w="1117" w:type="dxa"/>
                  <w:tcBorders>
                    <w:top w:val="single" w:color="000000" w:sz="4" w:space="0"/>
                    <w:left w:val="single" w:color="000000" w:sz="4" w:space="0"/>
                    <w:bottom w:val="single" w:color="000000" w:sz="4" w:space="0"/>
                    <w:right w:val="single" w:color="000000" w:sz="4" w:space="0"/>
                  </w:tcBorders>
                  <w:noWrap w:val="0"/>
                  <w:vAlign w:val="center"/>
                </w:tcPr>
                <w:p w14:paraId="2949F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文号</w:t>
                  </w:r>
                </w:p>
              </w:tc>
            </w:tr>
            <w:tr w14:paraId="47261035">
              <w:tblPrEx>
                <w:tblCellMar>
                  <w:top w:w="0" w:type="dxa"/>
                  <w:left w:w="108" w:type="dxa"/>
                  <w:bottom w:w="0" w:type="dxa"/>
                  <w:right w:w="108" w:type="dxa"/>
                </w:tblCellMar>
              </w:tblPrEx>
              <w:trPr>
                <w:trHeight w:val="454" w:hRule="atLeast"/>
              </w:trPr>
              <w:tc>
                <w:tcPr>
                  <w:tcW w:w="1186" w:type="dxa"/>
                  <w:tcBorders>
                    <w:top w:val="single" w:color="000000" w:sz="4" w:space="0"/>
                    <w:left w:val="single" w:color="000000" w:sz="4" w:space="0"/>
                    <w:bottom w:val="single" w:color="000000" w:sz="4" w:space="0"/>
                    <w:right w:val="single" w:color="000000" w:sz="4" w:space="0"/>
                  </w:tcBorders>
                  <w:noWrap w:val="0"/>
                  <w:vAlign w:val="center"/>
                </w:tcPr>
                <w:p w14:paraId="77FD68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lang w:val="en-US" w:eastAsia="zh-CN"/>
                    </w:rPr>
                  </w:pPr>
                  <w:r>
                    <w:rPr>
                      <w:rFonts w:hint="eastAsia" w:ascii="宋体" w:hAnsi="宋体" w:eastAsia="宋体" w:cs="宋体"/>
                      <w:color w:val="000000"/>
                      <w:kern w:val="0"/>
                      <w:szCs w:val="21"/>
                      <w:lang w:bidi="ar"/>
                    </w:rPr>
                    <w:t>20</w:t>
                  </w:r>
                  <w:r>
                    <w:rPr>
                      <w:rFonts w:hint="eastAsia" w:ascii="宋体" w:hAnsi="宋体" w:eastAsia="宋体" w:cs="宋体"/>
                      <w:color w:val="000000"/>
                      <w:kern w:val="0"/>
                      <w:szCs w:val="21"/>
                      <w:lang w:val="en-US" w:eastAsia="zh-CN" w:bidi="ar"/>
                    </w:rPr>
                    <w:t>12.8</w:t>
                  </w:r>
                </w:p>
              </w:tc>
              <w:tc>
                <w:tcPr>
                  <w:tcW w:w="2764" w:type="dxa"/>
                  <w:tcBorders>
                    <w:top w:val="single" w:color="000000" w:sz="4" w:space="0"/>
                    <w:left w:val="single" w:color="000000" w:sz="4" w:space="0"/>
                    <w:bottom w:val="single" w:color="000000" w:sz="4" w:space="0"/>
                    <w:right w:val="single" w:color="000000" w:sz="4" w:space="0"/>
                  </w:tcBorders>
                  <w:noWrap w:val="0"/>
                  <w:vAlign w:val="center"/>
                </w:tcPr>
                <w:p w14:paraId="7A571D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szCs w:val="21"/>
                      <w:lang w:eastAsia="zh-CN"/>
                    </w:rPr>
                    <w:t>《巴彦淖尔盛安化工有限责任公司乌拉特中旗分公司年产5000t移动式乳化炸药地面站建设项目环境影响报告表》</w:t>
                  </w:r>
                </w:p>
              </w:tc>
              <w:tc>
                <w:tcPr>
                  <w:tcW w:w="1607" w:type="dxa"/>
                  <w:tcBorders>
                    <w:top w:val="single" w:color="000000" w:sz="4" w:space="0"/>
                    <w:left w:val="single" w:color="000000" w:sz="4" w:space="0"/>
                    <w:bottom w:val="single" w:color="000000" w:sz="4" w:space="0"/>
                    <w:right w:val="single" w:color="000000" w:sz="4" w:space="0"/>
                  </w:tcBorders>
                  <w:noWrap w:val="0"/>
                  <w:vAlign w:val="center"/>
                </w:tcPr>
                <w:p w14:paraId="41F777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巴彦淖尔市环境科学研究所</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14:paraId="216134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巴彦淖尔市环境保护局</w:t>
                  </w:r>
                </w:p>
              </w:tc>
              <w:tc>
                <w:tcPr>
                  <w:tcW w:w="1117" w:type="dxa"/>
                  <w:tcBorders>
                    <w:top w:val="single" w:color="000000" w:sz="4" w:space="0"/>
                    <w:left w:val="single" w:color="000000" w:sz="4" w:space="0"/>
                    <w:bottom w:val="single" w:color="000000" w:sz="4" w:space="0"/>
                    <w:right w:val="single" w:color="000000" w:sz="4" w:space="0"/>
                  </w:tcBorders>
                  <w:noWrap w:val="0"/>
                  <w:vAlign w:val="center"/>
                </w:tcPr>
                <w:p w14:paraId="5DD00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szCs w:val="21"/>
                      <w:lang w:eastAsia="zh-CN"/>
                    </w:rPr>
                    <w:t>巴环审表［2012]116号</w:t>
                  </w:r>
                </w:p>
              </w:tc>
            </w:tr>
            <w:tr w14:paraId="65C1B50F">
              <w:tblPrEx>
                <w:tblCellMar>
                  <w:top w:w="0" w:type="dxa"/>
                  <w:left w:w="108" w:type="dxa"/>
                  <w:bottom w:w="0" w:type="dxa"/>
                  <w:right w:w="108" w:type="dxa"/>
                </w:tblCellMar>
              </w:tblPrEx>
              <w:trPr>
                <w:trHeight w:val="454" w:hRule="atLeast"/>
              </w:trPr>
              <w:tc>
                <w:tcPr>
                  <w:tcW w:w="1186" w:type="dxa"/>
                  <w:tcBorders>
                    <w:top w:val="single" w:color="000000" w:sz="4" w:space="0"/>
                    <w:left w:val="single" w:color="000000" w:sz="4" w:space="0"/>
                    <w:bottom w:val="single" w:color="000000" w:sz="4" w:space="0"/>
                    <w:right w:val="single" w:color="000000" w:sz="4" w:space="0"/>
                  </w:tcBorders>
                  <w:noWrap w:val="0"/>
                  <w:vAlign w:val="center"/>
                </w:tcPr>
                <w:p w14:paraId="4C3290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2008/11/3</w:t>
                  </w:r>
                </w:p>
              </w:tc>
              <w:tc>
                <w:tcPr>
                  <w:tcW w:w="2764" w:type="dxa"/>
                  <w:tcBorders>
                    <w:top w:val="single" w:color="000000" w:sz="4" w:space="0"/>
                    <w:left w:val="single" w:color="000000" w:sz="4" w:space="0"/>
                    <w:bottom w:val="single" w:color="000000" w:sz="4" w:space="0"/>
                    <w:right w:val="single" w:color="000000" w:sz="4" w:space="0"/>
                  </w:tcBorders>
                  <w:noWrap w:val="0"/>
                  <w:vAlign w:val="center"/>
                </w:tcPr>
                <w:p w14:paraId="5CC622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eastAsia="宋体" w:cs="宋体"/>
                      <w:color w:val="000000"/>
                      <w:kern w:val="0"/>
                      <w:szCs w:val="21"/>
                      <w:lang w:eastAsia="zh-CN" w:bidi="ar"/>
                    </w:rPr>
                    <w:t>巴彦淖尔盛安化工有限责任公司乌拉特中旗分公司年产5000t移动式乳化炸药地面站建设项目竣工环境保护验收监测报告表</w:t>
                  </w:r>
                  <w:r>
                    <w:rPr>
                      <w:rFonts w:hint="eastAsia" w:ascii="宋体" w:hAnsi="宋体" w:eastAsia="宋体" w:cs="宋体"/>
                      <w:color w:val="000000"/>
                      <w:kern w:val="0"/>
                      <w:szCs w:val="21"/>
                      <w:lang w:bidi="ar"/>
                    </w:rPr>
                    <w:t>》</w:t>
                  </w:r>
                </w:p>
              </w:tc>
              <w:tc>
                <w:tcPr>
                  <w:tcW w:w="1607" w:type="dxa"/>
                  <w:tcBorders>
                    <w:top w:val="single" w:color="000000" w:sz="4" w:space="0"/>
                    <w:left w:val="single" w:color="000000" w:sz="4" w:space="0"/>
                    <w:bottom w:val="single" w:color="000000" w:sz="4" w:space="0"/>
                    <w:right w:val="single" w:color="000000" w:sz="4" w:space="0"/>
                  </w:tcBorders>
                  <w:noWrap w:val="0"/>
                  <w:vAlign w:val="center"/>
                </w:tcPr>
                <w:p w14:paraId="2F93CB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巴彦淖尔市环境监测站</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14:paraId="537BE6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lang w:bidi="ar"/>
                    </w:rPr>
                    <w:t>巴彦淖尔市环境保护局</w:t>
                  </w:r>
                </w:p>
              </w:tc>
              <w:tc>
                <w:tcPr>
                  <w:tcW w:w="1117" w:type="dxa"/>
                  <w:tcBorders>
                    <w:top w:val="single" w:color="000000" w:sz="4" w:space="0"/>
                    <w:left w:val="single" w:color="000000" w:sz="4" w:space="0"/>
                    <w:bottom w:val="single" w:color="000000" w:sz="4" w:space="0"/>
                    <w:right w:val="single" w:color="000000" w:sz="4" w:space="0"/>
                  </w:tcBorders>
                  <w:noWrap w:val="0"/>
                  <w:vAlign w:val="center"/>
                </w:tcPr>
                <w:p w14:paraId="4FCEC9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szCs w:val="21"/>
                    </w:rPr>
                  </w:pPr>
                  <w:r>
                    <w:rPr>
                      <w:rFonts w:hint="eastAsia" w:ascii="宋体" w:hAnsi="宋体" w:eastAsia="宋体" w:cs="宋体"/>
                      <w:color w:val="000000"/>
                      <w:kern w:val="0"/>
                      <w:szCs w:val="21"/>
                      <w:highlight w:val="none"/>
                      <w:lang w:bidi="ar"/>
                    </w:rPr>
                    <w:t>巴环验[20</w:t>
                  </w:r>
                  <w:r>
                    <w:rPr>
                      <w:rFonts w:hint="eastAsia" w:ascii="宋体" w:hAnsi="宋体" w:eastAsia="宋体" w:cs="宋体"/>
                      <w:color w:val="000000"/>
                      <w:kern w:val="0"/>
                      <w:szCs w:val="21"/>
                      <w:highlight w:val="none"/>
                      <w:lang w:val="en-US" w:eastAsia="zh-CN" w:bidi="ar"/>
                    </w:rPr>
                    <w:t>13</w:t>
                  </w:r>
                  <w:r>
                    <w:rPr>
                      <w:rFonts w:hint="eastAsia" w:ascii="宋体" w:hAnsi="宋体" w:eastAsia="宋体" w:cs="宋体"/>
                      <w:color w:val="000000"/>
                      <w:kern w:val="0"/>
                      <w:szCs w:val="21"/>
                      <w:highlight w:val="none"/>
                      <w:lang w:bidi="ar"/>
                    </w:rPr>
                    <w:t>]</w:t>
                  </w:r>
                  <w:r>
                    <w:rPr>
                      <w:rFonts w:hint="eastAsia" w:ascii="宋体" w:hAnsi="宋体" w:eastAsia="宋体" w:cs="宋体"/>
                      <w:color w:val="000000"/>
                      <w:kern w:val="0"/>
                      <w:szCs w:val="21"/>
                      <w:highlight w:val="none"/>
                      <w:lang w:val="en-US" w:eastAsia="zh-CN" w:bidi="ar"/>
                    </w:rPr>
                    <w:t>19</w:t>
                  </w:r>
                  <w:r>
                    <w:rPr>
                      <w:rFonts w:hint="eastAsia" w:ascii="宋体" w:hAnsi="宋体" w:eastAsia="宋体" w:cs="宋体"/>
                      <w:color w:val="000000"/>
                      <w:kern w:val="0"/>
                      <w:szCs w:val="21"/>
                      <w:highlight w:val="none"/>
                      <w:lang w:bidi="ar"/>
                    </w:rPr>
                    <w:t>号</w:t>
                  </w:r>
                </w:p>
              </w:tc>
            </w:tr>
            <w:tr w14:paraId="7826D58A">
              <w:tblPrEx>
                <w:tblCellMar>
                  <w:top w:w="0" w:type="dxa"/>
                  <w:left w:w="108" w:type="dxa"/>
                  <w:bottom w:w="0" w:type="dxa"/>
                  <w:right w:w="108" w:type="dxa"/>
                </w:tblCellMar>
              </w:tblPrEx>
              <w:trPr>
                <w:trHeight w:val="454" w:hRule="atLeast"/>
              </w:trPr>
              <w:tc>
                <w:tcPr>
                  <w:tcW w:w="1186" w:type="dxa"/>
                  <w:tcBorders>
                    <w:top w:val="single" w:color="000000" w:sz="4" w:space="0"/>
                    <w:left w:val="single" w:color="000000" w:sz="4" w:space="0"/>
                    <w:bottom w:val="single" w:color="000000" w:sz="4" w:space="0"/>
                    <w:right w:val="single" w:color="000000" w:sz="4" w:space="0"/>
                  </w:tcBorders>
                  <w:noWrap w:val="0"/>
                  <w:vAlign w:val="center"/>
                </w:tcPr>
                <w:p w14:paraId="06D2FC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val="en-US" w:eastAsia="zh-CN" w:bidi="ar"/>
                    </w:rPr>
                  </w:pPr>
                  <w:r>
                    <w:rPr>
                      <w:rFonts w:hint="eastAsia" w:ascii="宋体" w:hAnsi="宋体" w:eastAsia="宋体" w:cs="宋体"/>
                      <w:color w:val="000000"/>
                      <w:kern w:val="0"/>
                      <w:szCs w:val="21"/>
                      <w:lang w:val="en-US" w:eastAsia="zh-CN" w:bidi="ar"/>
                    </w:rPr>
                    <w:t>2016/6/29</w:t>
                  </w:r>
                </w:p>
              </w:tc>
              <w:tc>
                <w:tcPr>
                  <w:tcW w:w="2764" w:type="dxa"/>
                  <w:tcBorders>
                    <w:top w:val="single" w:color="000000" w:sz="4" w:space="0"/>
                    <w:left w:val="single" w:color="000000" w:sz="4" w:space="0"/>
                    <w:bottom w:val="single" w:color="000000" w:sz="4" w:space="0"/>
                    <w:right w:val="single" w:color="000000" w:sz="4" w:space="0"/>
                  </w:tcBorders>
                  <w:noWrap w:val="0"/>
                  <w:vAlign w:val="center"/>
                </w:tcPr>
                <w:p w14:paraId="3887BA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bidi="ar"/>
                    </w:rPr>
                  </w:pPr>
                  <w:r>
                    <w:rPr>
                      <w:rFonts w:hint="eastAsia" w:ascii="宋体" w:hAnsi="宋体" w:eastAsia="宋体" w:cs="宋体"/>
                      <w:color w:val="000000"/>
                      <w:kern w:val="0"/>
                      <w:szCs w:val="21"/>
                      <w:lang w:val="en-US" w:eastAsia="zh-CN" w:bidi="ar"/>
                    </w:rPr>
                    <w:t>关于内蒙古盛安化工有限公司乌拉特中旗生产点现场混装乳化炸药车及地面辅助设施扩能改造项目不需办理环保审批手续的说明</w:t>
                  </w:r>
                </w:p>
              </w:tc>
              <w:tc>
                <w:tcPr>
                  <w:tcW w:w="1607" w:type="dxa"/>
                  <w:tcBorders>
                    <w:top w:val="single" w:color="000000" w:sz="4" w:space="0"/>
                    <w:left w:val="single" w:color="000000" w:sz="4" w:space="0"/>
                    <w:bottom w:val="single" w:color="000000" w:sz="4" w:space="0"/>
                    <w:right w:val="single" w:color="000000" w:sz="4" w:space="0"/>
                  </w:tcBorders>
                  <w:noWrap w:val="0"/>
                  <w:vAlign w:val="center"/>
                </w:tcPr>
                <w:p w14:paraId="6D905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val="en-US" w:eastAsia="zh-CN" w:bidi="ar"/>
                    </w:rPr>
                  </w:pPr>
                  <w:r>
                    <w:rPr>
                      <w:rFonts w:hint="eastAsia" w:ascii="宋体" w:hAnsi="宋体" w:eastAsia="宋体" w:cs="宋体"/>
                      <w:color w:val="000000"/>
                      <w:kern w:val="0"/>
                      <w:szCs w:val="21"/>
                      <w:lang w:val="en-US" w:eastAsia="zh-CN" w:bidi="ar"/>
                    </w:rPr>
                    <w:t>/</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14:paraId="1CD576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bidi="ar"/>
                    </w:rPr>
                  </w:pPr>
                  <w:r>
                    <w:rPr>
                      <w:rFonts w:hint="eastAsia" w:ascii="宋体" w:hAnsi="宋体" w:eastAsia="宋体" w:cs="宋体"/>
                      <w:color w:val="000000"/>
                      <w:kern w:val="0"/>
                      <w:szCs w:val="21"/>
                      <w:lang w:val="en-US" w:eastAsia="zh-CN" w:bidi="ar"/>
                    </w:rPr>
                    <w:t>乌拉特中旗环境保护局</w:t>
                  </w:r>
                </w:p>
              </w:tc>
              <w:tc>
                <w:tcPr>
                  <w:tcW w:w="1117" w:type="dxa"/>
                  <w:tcBorders>
                    <w:top w:val="single" w:color="000000" w:sz="4" w:space="0"/>
                    <w:left w:val="single" w:color="000000" w:sz="4" w:space="0"/>
                    <w:bottom w:val="single" w:color="000000" w:sz="4" w:space="0"/>
                    <w:right w:val="single" w:color="000000" w:sz="4" w:space="0"/>
                  </w:tcBorders>
                  <w:noWrap w:val="0"/>
                  <w:vAlign w:val="center"/>
                </w:tcPr>
                <w:p w14:paraId="7F4F4A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highlight w:val="none"/>
                      <w:lang w:bidi="ar"/>
                    </w:rPr>
                  </w:pPr>
                  <w:r>
                    <w:rPr>
                      <w:rFonts w:hint="eastAsia" w:ascii="宋体" w:hAnsi="宋体" w:eastAsia="宋体" w:cs="宋体"/>
                      <w:color w:val="000000"/>
                      <w:kern w:val="0"/>
                      <w:szCs w:val="21"/>
                      <w:highlight w:val="none"/>
                      <w:lang w:val="en-US" w:eastAsia="zh-CN" w:bidi="ar"/>
                    </w:rPr>
                    <w:t>乌中环发[2016]145号</w:t>
                  </w:r>
                </w:p>
              </w:tc>
            </w:tr>
            <w:tr w14:paraId="6B2069E4">
              <w:tblPrEx>
                <w:tblCellMar>
                  <w:top w:w="0" w:type="dxa"/>
                  <w:left w:w="108" w:type="dxa"/>
                  <w:bottom w:w="0" w:type="dxa"/>
                  <w:right w:w="108" w:type="dxa"/>
                </w:tblCellMar>
              </w:tblPrEx>
              <w:trPr>
                <w:trHeight w:val="454" w:hRule="atLeast"/>
              </w:trPr>
              <w:tc>
                <w:tcPr>
                  <w:tcW w:w="1186" w:type="dxa"/>
                  <w:tcBorders>
                    <w:top w:val="single" w:color="000000" w:sz="4" w:space="0"/>
                    <w:left w:val="single" w:color="000000" w:sz="4" w:space="0"/>
                    <w:bottom w:val="single" w:color="000000" w:sz="4" w:space="0"/>
                    <w:right w:val="single" w:color="000000" w:sz="4" w:space="0"/>
                  </w:tcBorders>
                  <w:noWrap w:val="0"/>
                  <w:vAlign w:val="center"/>
                </w:tcPr>
                <w:p w14:paraId="6838FE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val="en-US" w:eastAsia="zh-CN" w:bidi="ar"/>
                    </w:rPr>
                  </w:pPr>
                  <w:r>
                    <w:rPr>
                      <w:rFonts w:hint="eastAsia" w:ascii="宋体" w:hAnsi="宋体" w:eastAsia="宋体" w:cs="宋体"/>
                      <w:color w:val="000000"/>
                      <w:kern w:val="0"/>
                      <w:szCs w:val="21"/>
                      <w:lang w:val="en-US" w:eastAsia="zh-CN" w:bidi="ar"/>
                    </w:rPr>
                    <w:t>2025/5/29</w:t>
                  </w:r>
                </w:p>
              </w:tc>
              <w:tc>
                <w:tcPr>
                  <w:tcW w:w="2764" w:type="dxa"/>
                  <w:tcBorders>
                    <w:top w:val="single" w:color="000000" w:sz="4" w:space="0"/>
                    <w:left w:val="single" w:color="000000" w:sz="4" w:space="0"/>
                    <w:bottom w:val="single" w:color="000000" w:sz="4" w:space="0"/>
                    <w:right w:val="single" w:color="000000" w:sz="4" w:space="0"/>
                  </w:tcBorders>
                  <w:noWrap w:val="0"/>
                  <w:vAlign w:val="center"/>
                </w:tcPr>
                <w:p w14:paraId="77A31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bidi="ar"/>
                    </w:rPr>
                  </w:pPr>
                  <w:r>
                    <w:rPr>
                      <w:rFonts w:hint="eastAsia" w:ascii="宋体" w:hAnsi="宋体" w:eastAsia="宋体" w:cs="宋体"/>
                      <w:color w:val="000000"/>
                      <w:kern w:val="0"/>
                      <w:szCs w:val="21"/>
                      <w:lang w:eastAsia="zh-CN" w:bidi="ar"/>
                    </w:rPr>
                    <w:t>巴彦淖尔盛安化工有限责任公司乌拉特中旗分公司</w:t>
                  </w:r>
                  <w:r>
                    <w:rPr>
                      <w:rFonts w:hint="eastAsia" w:ascii="宋体" w:hAnsi="宋体" w:eastAsia="宋体" w:cs="宋体"/>
                      <w:color w:val="000000"/>
                      <w:kern w:val="0"/>
                      <w:szCs w:val="21"/>
                      <w:lang w:val="en-US" w:eastAsia="zh-CN" w:bidi="ar"/>
                    </w:rPr>
                    <w:t>固定污染源排污登记回执</w:t>
                  </w:r>
                </w:p>
              </w:tc>
              <w:tc>
                <w:tcPr>
                  <w:tcW w:w="1607" w:type="dxa"/>
                  <w:tcBorders>
                    <w:top w:val="single" w:color="000000" w:sz="4" w:space="0"/>
                    <w:left w:val="single" w:color="000000" w:sz="4" w:space="0"/>
                    <w:bottom w:val="single" w:color="000000" w:sz="4" w:space="0"/>
                    <w:right w:val="single" w:color="000000" w:sz="4" w:space="0"/>
                  </w:tcBorders>
                  <w:noWrap w:val="0"/>
                  <w:vAlign w:val="center"/>
                </w:tcPr>
                <w:p w14:paraId="779AFE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bidi="ar"/>
                    </w:rPr>
                  </w:pPr>
                  <w:r>
                    <w:rPr>
                      <w:rFonts w:hint="eastAsia" w:ascii="宋体" w:hAnsi="宋体" w:eastAsia="宋体" w:cs="宋体"/>
                      <w:color w:val="000000"/>
                      <w:kern w:val="0"/>
                      <w:szCs w:val="21"/>
                      <w:lang w:eastAsia="zh-CN" w:bidi="ar"/>
                    </w:rPr>
                    <w:t>巴彦淖尔盛安化工有限责任公司乌拉特中旗分公司</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14:paraId="679CED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lang w:bidi="ar"/>
                    </w:rPr>
                  </w:pPr>
                  <w:r>
                    <w:rPr>
                      <w:rFonts w:hint="eastAsia" w:ascii="宋体" w:hAnsi="宋体" w:eastAsia="宋体" w:cs="宋体"/>
                      <w:color w:val="000000"/>
                      <w:kern w:val="0"/>
                      <w:szCs w:val="21"/>
                      <w:lang w:bidi="ar"/>
                    </w:rPr>
                    <w:t>巴彦淖尔市环境保护局</w:t>
                  </w:r>
                </w:p>
              </w:tc>
              <w:tc>
                <w:tcPr>
                  <w:tcW w:w="1117" w:type="dxa"/>
                  <w:tcBorders>
                    <w:top w:val="single" w:color="000000" w:sz="4" w:space="0"/>
                    <w:left w:val="single" w:color="000000" w:sz="4" w:space="0"/>
                    <w:bottom w:val="single" w:color="000000" w:sz="4" w:space="0"/>
                    <w:right w:val="single" w:color="000000" w:sz="4" w:space="0"/>
                  </w:tcBorders>
                  <w:noWrap w:val="0"/>
                  <w:vAlign w:val="center"/>
                </w:tcPr>
                <w:p w14:paraId="70F191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center"/>
                    <w:rPr>
                      <w:rFonts w:hint="eastAsia" w:ascii="宋体" w:hAnsi="宋体" w:eastAsia="宋体" w:cs="宋体"/>
                      <w:color w:val="000000"/>
                      <w:kern w:val="0"/>
                      <w:szCs w:val="21"/>
                      <w:highlight w:val="none"/>
                      <w:lang w:bidi="ar"/>
                    </w:rPr>
                  </w:pPr>
                  <w:r>
                    <w:rPr>
                      <w:rFonts w:hint="eastAsia" w:ascii="宋体" w:hAnsi="宋体" w:eastAsia="宋体" w:cs="宋体"/>
                      <w:color w:val="000000"/>
                      <w:kern w:val="0"/>
                      <w:szCs w:val="21"/>
                      <w:highlight w:val="none"/>
                      <w:lang w:val="en-US" w:eastAsia="zh-CN" w:bidi="ar"/>
                    </w:rPr>
                    <w:t>91150824050551003F001Q</w:t>
                  </w:r>
                </w:p>
              </w:tc>
            </w:tr>
          </w:tbl>
          <w:p w14:paraId="6A58BDA4">
            <w:pPr>
              <w:pStyle w:val="13"/>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3</w:t>
            </w:r>
            <w:r>
              <w:rPr>
                <w:rFonts w:hint="eastAsia" w:ascii="宋体" w:hAnsi="宋体" w:eastAsia="宋体" w:cs="宋体"/>
                <w:color w:val="auto"/>
                <w:sz w:val="24"/>
                <w:lang w:eastAsia="zh-CN"/>
              </w:rPr>
              <w:t>）主要建设内容</w:t>
            </w:r>
          </w:p>
          <w:p w14:paraId="73484424">
            <w:pPr>
              <w:pStyle w:val="13"/>
              <w:keepNext w:val="0"/>
              <w:keepLines w:val="0"/>
              <w:suppressLineNumbers w:val="0"/>
              <w:spacing w:before="0" w:beforeAutospacing="0" w:after="0" w:afterAutospacing="0" w:line="360" w:lineRule="auto"/>
              <w:ind w:left="0" w:right="0" w:firstLine="480" w:firstLineChars="200"/>
              <w:jc w:val="both"/>
              <w:rPr>
                <w:rFonts w:hint="eastAsia" w:ascii="宋体" w:hAnsi="宋体" w:eastAsia="宋体" w:cs="宋体"/>
                <w:color w:val="auto"/>
                <w:sz w:val="24"/>
                <w:lang w:eastAsia="zh-CN"/>
              </w:rPr>
            </w:pPr>
            <w:r>
              <w:rPr>
                <w:rFonts w:hint="eastAsia" w:ascii="宋体" w:hAnsi="宋体" w:eastAsia="宋体" w:cs="宋体"/>
                <w:color w:val="auto"/>
                <w:sz w:val="24"/>
                <w:lang w:eastAsia="zh-CN"/>
              </w:rPr>
              <w:t>现有项目主要建设内容见下表：</w:t>
            </w:r>
          </w:p>
          <w:p w14:paraId="388FC04D">
            <w:pPr>
              <w:pStyle w:val="13"/>
              <w:keepNext w:val="0"/>
              <w:keepLines w:val="0"/>
              <w:suppressLineNumbers w:val="0"/>
              <w:spacing w:before="0" w:beforeAutospacing="0" w:after="0" w:afterAutospacing="0" w:line="240" w:lineRule="auto"/>
              <w:ind w:left="0" w:right="0"/>
              <w:jc w:val="center"/>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表2-2 现有项目主要建设内容一览表</w:t>
            </w:r>
          </w:p>
          <w:tbl>
            <w:tblPr>
              <w:tblStyle w:val="26"/>
              <w:tblW w:w="82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40"/>
              <w:gridCol w:w="554"/>
              <w:gridCol w:w="962"/>
              <w:gridCol w:w="6065"/>
            </w:tblGrid>
            <w:tr w14:paraId="48790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tcBorders>
                    <w:tl2br w:val="nil"/>
                    <w:tr2bl w:val="nil"/>
                  </w:tcBorders>
                  <w:vAlign w:val="center"/>
                </w:tcPr>
                <w:p w14:paraId="7C3F6277">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lang w:eastAsia="zh-CN"/>
                    </w:rPr>
                  </w:pPr>
                  <w:r>
                    <w:rPr>
                      <w:rFonts w:hint="eastAsia" w:ascii="宋体" w:hAnsi="宋体" w:eastAsia="宋体" w:cs="宋体"/>
                      <w:b/>
                      <w:bCs/>
                      <w:color w:val="auto"/>
                      <w:szCs w:val="21"/>
                      <w:lang w:eastAsia="zh-CN"/>
                    </w:rPr>
                    <w:t>类别</w:t>
                  </w:r>
                </w:p>
              </w:tc>
              <w:tc>
                <w:tcPr>
                  <w:tcW w:w="1516" w:type="dxa"/>
                  <w:gridSpan w:val="2"/>
                  <w:tcBorders>
                    <w:tl2br w:val="nil"/>
                    <w:tr2bl w:val="nil"/>
                  </w:tcBorders>
                  <w:vAlign w:val="center"/>
                </w:tcPr>
                <w:p w14:paraId="1EED2847">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工程名称</w:t>
                  </w:r>
                </w:p>
              </w:tc>
              <w:tc>
                <w:tcPr>
                  <w:tcW w:w="6065" w:type="dxa"/>
                  <w:tcBorders>
                    <w:tl2br w:val="nil"/>
                    <w:tr2bl w:val="nil"/>
                  </w:tcBorders>
                  <w:vAlign w:val="center"/>
                </w:tcPr>
                <w:p w14:paraId="3E35BF2B">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lang w:eastAsia="zh-CN"/>
                    </w:rPr>
                  </w:pPr>
                  <w:r>
                    <w:rPr>
                      <w:rFonts w:hint="eastAsia" w:ascii="宋体" w:hAnsi="宋体" w:eastAsia="宋体" w:cs="宋体"/>
                      <w:b/>
                      <w:bCs/>
                      <w:color w:val="auto"/>
                      <w:szCs w:val="21"/>
                      <w:lang w:eastAsia="zh-CN"/>
                    </w:rPr>
                    <w:t>建设内容</w:t>
                  </w:r>
                </w:p>
              </w:tc>
            </w:tr>
            <w:tr w14:paraId="511C5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tcBorders>
                    <w:tl2br w:val="nil"/>
                    <w:tr2bl w:val="nil"/>
                  </w:tcBorders>
                  <w:vAlign w:val="center"/>
                </w:tcPr>
                <w:p w14:paraId="683D2F5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主体工程</w:t>
                  </w:r>
                </w:p>
              </w:tc>
              <w:tc>
                <w:tcPr>
                  <w:tcW w:w="1516" w:type="dxa"/>
                  <w:gridSpan w:val="2"/>
                  <w:tcBorders>
                    <w:tl2br w:val="nil"/>
                    <w:tr2bl w:val="nil"/>
                  </w:tcBorders>
                  <w:vAlign w:val="center"/>
                </w:tcPr>
                <w:p w14:paraId="6B83EAD9">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color w:val="auto"/>
                      <w:szCs w:val="21"/>
                      <w:lang w:eastAsia="zh-CN"/>
                    </w:rPr>
                    <w:t>乳化基质智能制备工房</w:t>
                  </w:r>
                </w:p>
              </w:tc>
              <w:tc>
                <w:tcPr>
                  <w:tcW w:w="6065" w:type="dxa"/>
                  <w:tcBorders>
                    <w:tl2br w:val="nil"/>
                    <w:tr2bl w:val="nil"/>
                  </w:tcBorders>
                  <w:vAlign w:val="center"/>
                </w:tcPr>
                <w:p w14:paraId="2E847D4F">
                  <w:pPr>
                    <w:keepNext w:val="0"/>
                    <w:keepLines w:val="0"/>
                    <w:suppressLineNumbers w:val="0"/>
                    <w:spacing w:before="0" w:beforeAutospacing="0" w:after="0" w:afterAutospacing="0" w:line="360" w:lineRule="exact"/>
                    <w:ind w:left="0" w:right="0"/>
                    <w:jc w:val="both"/>
                    <w:rPr>
                      <w:rFonts w:hint="eastAsia" w:ascii="宋体" w:hAnsi="宋体" w:eastAsia="宋体" w:cs="宋体"/>
                      <w:b/>
                      <w:bCs/>
                      <w:color w:val="auto"/>
                      <w:szCs w:val="21"/>
                      <w:lang w:val="en-US" w:eastAsia="zh-CN"/>
                    </w:rPr>
                  </w:pPr>
                  <w:r>
                    <w:rPr>
                      <w:rFonts w:hint="eastAsia" w:ascii="宋体" w:hAnsi="宋体" w:eastAsia="宋体" w:cs="宋体"/>
                      <w:color w:val="auto"/>
                      <w:szCs w:val="21"/>
                      <w:lang w:val="en-US" w:eastAsia="zh-CN"/>
                    </w:rPr>
                    <w:t>建成1座</w:t>
                  </w:r>
                  <w:r>
                    <w:rPr>
                      <w:rFonts w:hint="eastAsia" w:ascii="宋体" w:hAnsi="宋体" w:eastAsia="宋体" w:cs="宋体"/>
                      <w:color w:val="auto"/>
                      <w:szCs w:val="21"/>
                      <w:lang w:eastAsia="zh-CN"/>
                    </w:rPr>
                    <w:t>乳化基质智能制备工房，</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432</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lang w:eastAsia="zh-CN"/>
                    </w:rPr>
                    <w:t>内设</w:t>
                  </w:r>
                  <w:r>
                    <w:rPr>
                      <w:rFonts w:hint="eastAsia" w:ascii="宋体" w:hAnsi="宋体" w:eastAsia="宋体" w:cs="宋体"/>
                      <w:color w:val="auto"/>
                      <w:lang w:val="en-US" w:eastAsia="zh-CN"/>
                    </w:rPr>
                    <w:t>1条</w:t>
                  </w:r>
                  <w:r>
                    <w:rPr>
                      <w:rFonts w:hint="eastAsia" w:ascii="宋体" w:hAnsi="宋体" w:eastAsia="宋体" w:cs="宋体"/>
                      <w:color w:val="auto"/>
                      <w:szCs w:val="21"/>
                      <w:lang w:eastAsia="zh-CN"/>
                    </w:rPr>
                    <w:t>乳化基质制备生产线，现有生产许可证有效期内设计产能为年产</w:t>
                  </w:r>
                  <w:r>
                    <w:rPr>
                      <w:rFonts w:hint="eastAsia" w:ascii="宋体" w:hAnsi="宋体" w:eastAsia="宋体" w:cs="宋体"/>
                      <w:color w:val="auto"/>
                      <w:szCs w:val="21"/>
                      <w:lang w:val="en-US" w:eastAsia="zh-CN"/>
                    </w:rPr>
                    <w:t>7000吨乳化炸药</w:t>
                  </w:r>
                </w:p>
              </w:tc>
            </w:tr>
            <w:tr w14:paraId="3E283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restart"/>
                  <w:tcBorders>
                    <w:tl2br w:val="nil"/>
                    <w:tr2bl w:val="nil"/>
                  </w:tcBorders>
                  <w:vAlign w:val="center"/>
                </w:tcPr>
                <w:p w14:paraId="343AE3D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辅助工程</w:t>
                  </w:r>
                </w:p>
              </w:tc>
              <w:tc>
                <w:tcPr>
                  <w:tcW w:w="1516" w:type="dxa"/>
                  <w:gridSpan w:val="2"/>
                  <w:tcBorders>
                    <w:tl2br w:val="nil"/>
                    <w:tr2bl w:val="nil"/>
                  </w:tcBorders>
                  <w:vAlign w:val="center"/>
                </w:tcPr>
                <w:p w14:paraId="4B243A5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锅炉房</w:t>
                  </w:r>
                </w:p>
              </w:tc>
              <w:tc>
                <w:tcPr>
                  <w:tcW w:w="6065" w:type="dxa"/>
                  <w:tcBorders>
                    <w:tl2br w:val="nil"/>
                    <w:tr2bl w:val="nil"/>
                  </w:tcBorders>
                  <w:vAlign w:val="center"/>
                </w:tcPr>
                <w:p w14:paraId="21550F80">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rPr>
                    <w:t>建成1座锅炉房，</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3</w:t>
                  </w:r>
                  <w:r>
                    <w:rPr>
                      <w:rFonts w:hint="eastAsia" w:ascii="宋体" w:hAnsi="宋体" w:eastAsia="宋体" w:cs="宋体"/>
                      <w:color w:val="auto"/>
                      <w:szCs w:val="21"/>
                    </w:rPr>
                    <w:t>00 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szCs w:val="21"/>
                      <w:lang w:val="en-US" w:eastAsia="zh-CN"/>
                    </w:rPr>
                    <w:t>内置1</w:t>
                  </w:r>
                  <w:r>
                    <w:rPr>
                      <w:rFonts w:hint="eastAsia" w:ascii="宋体" w:hAnsi="宋体" w:eastAsia="宋体" w:cs="宋体"/>
                      <w:color w:val="auto"/>
                      <w:szCs w:val="21"/>
                    </w:rPr>
                    <w:t>台</w:t>
                  </w:r>
                  <w:r>
                    <w:rPr>
                      <w:rFonts w:hint="eastAsia" w:ascii="宋体" w:hAnsi="宋体" w:eastAsia="宋体" w:cs="宋体"/>
                      <w:color w:val="auto"/>
                      <w:szCs w:val="21"/>
                      <w:lang w:val="en-US" w:eastAsia="zh-CN"/>
                    </w:rPr>
                    <w:t>2t/h</w:t>
                  </w:r>
                  <w:r>
                    <w:rPr>
                      <w:rFonts w:hint="eastAsia" w:ascii="宋体" w:hAnsi="宋体" w:eastAsia="宋体" w:cs="宋体"/>
                      <w:color w:val="auto"/>
                      <w:szCs w:val="21"/>
                    </w:rPr>
                    <w:t>燃煤蒸汽锅炉</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型号为BZL2-7-AII</w:t>
                  </w:r>
                </w:p>
              </w:tc>
            </w:tr>
            <w:tr w14:paraId="0C95B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continue"/>
                  <w:tcBorders>
                    <w:tl2br w:val="nil"/>
                    <w:tr2bl w:val="nil"/>
                  </w:tcBorders>
                  <w:vAlign w:val="center"/>
                </w:tcPr>
                <w:p w14:paraId="4DD20FD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7153E3F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lang w:eastAsia="zh-CN"/>
                    </w:rPr>
                    <w:t>机修工房</w:t>
                  </w:r>
                </w:p>
              </w:tc>
              <w:tc>
                <w:tcPr>
                  <w:tcW w:w="6065" w:type="dxa"/>
                  <w:tcBorders>
                    <w:tl2br w:val="nil"/>
                    <w:tr2bl w:val="nil"/>
                  </w:tcBorders>
                  <w:vAlign w:val="center"/>
                </w:tcPr>
                <w:p w14:paraId="5273E7FB">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rPr>
                    <w:t>建成1座</w:t>
                  </w:r>
                  <w:r>
                    <w:rPr>
                      <w:rFonts w:hint="eastAsia" w:ascii="宋体" w:hAnsi="宋体" w:eastAsia="宋体" w:cs="宋体"/>
                      <w:color w:val="auto"/>
                      <w:lang w:eastAsia="zh-CN"/>
                    </w:rPr>
                    <w:t>机修工房</w:t>
                  </w:r>
                  <w:r>
                    <w:rPr>
                      <w:rFonts w:hint="eastAsia" w:ascii="宋体" w:hAnsi="宋体" w:eastAsia="宋体" w:cs="宋体"/>
                      <w:color w:val="auto"/>
                    </w:rPr>
                    <w:t>，</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54</w:t>
                  </w:r>
                  <w:r>
                    <w:rPr>
                      <w:rFonts w:hint="eastAsia" w:ascii="宋体" w:hAnsi="宋体" w:eastAsia="宋体" w:cs="宋体"/>
                      <w:color w:val="auto"/>
                      <w:szCs w:val="21"/>
                    </w:rPr>
                    <w:t>m</w:t>
                  </w:r>
                  <w:r>
                    <w:rPr>
                      <w:rFonts w:hint="eastAsia" w:ascii="宋体" w:hAnsi="宋体" w:eastAsia="宋体" w:cs="宋体"/>
                      <w:color w:val="auto"/>
                      <w:vertAlign w:val="superscript"/>
                    </w:rPr>
                    <w:t>2</w:t>
                  </w:r>
                </w:p>
              </w:tc>
            </w:tr>
            <w:tr w14:paraId="26A22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continue"/>
                  <w:tcBorders>
                    <w:tl2br w:val="nil"/>
                    <w:tr2bl w:val="nil"/>
                  </w:tcBorders>
                  <w:vAlign w:val="center"/>
                </w:tcPr>
                <w:p w14:paraId="6BE0DD5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3404BB8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lang w:eastAsia="zh-CN"/>
                    </w:rPr>
                    <w:t>消防水池</w:t>
                  </w:r>
                </w:p>
              </w:tc>
              <w:tc>
                <w:tcPr>
                  <w:tcW w:w="6065" w:type="dxa"/>
                  <w:tcBorders>
                    <w:tl2br w:val="nil"/>
                    <w:tr2bl w:val="nil"/>
                  </w:tcBorders>
                  <w:vAlign w:val="center"/>
                </w:tcPr>
                <w:p w14:paraId="3C6C1B7E">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rPr>
                    <w:t>建成1座</w:t>
                  </w:r>
                  <w:r>
                    <w:rPr>
                      <w:rFonts w:hint="eastAsia" w:ascii="宋体" w:hAnsi="宋体" w:eastAsia="宋体" w:cs="宋体"/>
                      <w:color w:val="auto"/>
                      <w:lang w:eastAsia="zh-CN"/>
                    </w:rPr>
                    <w:t>消防水池</w:t>
                  </w:r>
                  <w:r>
                    <w:rPr>
                      <w:rFonts w:hint="eastAsia" w:ascii="宋体" w:hAnsi="宋体" w:eastAsia="宋体" w:cs="宋体"/>
                      <w:color w:val="auto"/>
                    </w:rPr>
                    <w:t>，</w:t>
                  </w:r>
                  <w:r>
                    <w:rPr>
                      <w:rFonts w:hint="eastAsia" w:ascii="宋体" w:hAnsi="宋体" w:eastAsia="宋体" w:cs="宋体"/>
                      <w:color w:val="auto"/>
                      <w:szCs w:val="21"/>
                      <w:lang w:val="en-US" w:eastAsia="zh-CN"/>
                    </w:rPr>
                    <w:t>钢筋混凝土结构</w:t>
                  </w:r>
                  <w:r>
                    <w:rPr>
                      <w:rFonts w:hint="eastAsia" w:ascii="宋体" w:hAnsi="宋体" w:eastAsia="宋体" w:cs="宋体"/>
                      <w:color w:val="auto"/>
                      <w:szCs w:val="21"/>
                    </w:rPr>
                    <w:t>，</w:t>
                  </w:r>
                  <w:r>
                    <w:rPr>
                      <w:rFonts w:hint="eastAsia" w:ascii="宋体" w:hAnsi="宋体" w:eastAsia="宋体" w:cs="宋体"/>
                      <w:color w:val="auto"/>
                      <w:szCs w:val="21"/>
                      <w:lang w:eastAsia="zh-CN"/>
                    </w:rPr>
                    <w:t>容积</w:t>
                  </w:r>
                  <w:r>
                    <w:rPr>
                      <w:rFonts w:hint="eastAsia" w:ascii="宋体" w:hAnsi="宋体" w:eastAsia="宋体" w:cs="宋体"/>
                      <w:color w:val="auto"/>
                      <w:szCs w:val="21"/>
                      <w:lang w:val="en-US" w:eastAsia="zh-CN"/>
                    </w:rPr>
                    <w:t>5</w:t>
                  </w:r>
                  <w:r>
                    <w:rPr>
                      <w:rFonts w:hint="eastAsia" w:ascii="宋体" w:hAnsi="宋体" w:eastAsia="宋体" w:cs="宋体"/>
                      <w:color w:val="auto"/>
                      <w:szCs w:val="21"/>
                    </w:rPr>
                    <w:t>00m</w:t>
                  </w:r>
                  <w:r>
                    <w:rPr>
                      <w:rFonts w:hint="eastAsia" w:ascii="宋体" w:hAnsi="宋体" w:eastAsia="宋体" w:cs="宋体"/>
                      <w:color w:val="auto"/>
                      <w:vertAlign w:val="superscript"/>
                    </w:rPr>
                    <w:t>2</w:t>
                  </w:r>
                </w:p>
              </w:tc>
            </w:tr>
            <w:tr w14:paraId="65CA4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continue"/>
                  <w:tcBorders>
                    <w:tl2br w:val="nil"/>
                    <w:tr2bl w:val="nil"/>
                  </w:tcBorders>
                  <w:vAlign w:val="center"/>
                </w:tcPr>
                <w:p w14:paraId="3F3A985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7F629F0D">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lang w:eastAsia="zh-CN"/>
                    </w:rPr>
                    <w:t>水泵房及柴油发电机房</w:t>
                  </w:r>
                </w:p>
              </w:tc>
              <w:tc>
                <w:tcPr>
                  <w:tcW w:w="6065" w:type="dxa"/>
                  <w:tcBorders>
                    <w:tl2br w:val="nil"/>
                    <w:tr2bl w:val="nil"/>
                  </w:tcBorders>
                  <w:vAlign w:val="center"/>
                </w:tcPr>
                <w:p w14:paraId="4117FB5D">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rPr>
                    <w:t>建成1座</w:t>
                  </w:r>
                  <w:r>
                    <w:rPr>
                      <w:rFonts w:hint="eastAsia" w:ascii="宋体" w:hAnsi="宋体" w:eastAsia="宋体" w:cs="宋体"/>
                      <w:color w:val="auto"/>
                      <w:szCs w:val="21"/>
                      <w:lang w:eastAsia="zh-CN"/>
                    </w:rPr>
                    <w:t>水泵房及柴油发电机房</w:t>
                  </w:r>
                  <w:r>
                    <w:rPr>
                      <w:rFonts w:hint="eastAsia" w:ascii="宋体" w:hAnsi="宋体" w:eastAsia="宋体" w:cs="宋体"/>
                      <w:color w:val="auto"/>
                    </w:rPr>
                    <w:t>，</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54</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lang w:eastAsia="zh-CN"/>
                    </w:rPr>
                    <w:t>内设水泵和柴油发电机</w:t>
                  </w:r>
                </w:p>
              </w:tc>
            </w:tr>
            <w:tr w14:paraId="7DEE5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continue"/>
                  <w:tcBorders>
                    <w:tl2br w:val="nil"/>
                    <w:tr2bl w:val="nil"/>
                  </w:tcBorders>
                  <w:vAlign w:val="center"/>
                </w:tcPr>
                <w:p w14:paraId="38D9691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7C66416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eastAsia="zh-CN"/>
                    </w:rPr>
                  </w:pPr>
                  <w:r>
                    <w:rPr>
                      <w:rFonts w:hint="eastAsia" w:ascii="宋体" w:hAnsi="宋体" w:eastAsia="宋体" w:cs="宋体"/>
                      <w:color w:val="auto"/>
                      <w:szCs w:val="21"/>
                      <w:lang w:val="en-US" w:eastAsia="zh-CN"/>
                    </w:rPr>
                    <w:t>事故水罐</w:t>
                  </w:r>
                </w:p>
              </w:tc>
              <w:tc>
                <w:tcPr>
                  <w:tcW w:w="6065" w:type="dxa"/>
                  <w:tcBorders>
                    <w:tl2br w:val="nil"/>
                    <w:tr2bl w:val="nil"/>
                  </w:tcBorders>
                  <w:vAlign w:val="center"/>
                </w:tcPr>
                <w:p w14:paraId="6CB2233E">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lang w:val="en-US" w:eastAsia="zh-CN"/>
                    </w:rPr>
                    <w:t>建成1座80m³事故水罐，钢制，用于收集事故废水</w:t>
                  </w:r>
                </w:p>
              </w:tc>
            </w:tr>
            <w:tr w14:paraId="53C81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continue"/>
                  <w:tcBorders>
                    <w:tl2br w:val="nil"/>
                    <w:tr2bl w:val="nil"/>
                  </w:tcBorders>
                  <w:vAlign w:val="center"/>
                </w:tcPr>
                <w:p w14:paraId="149F62A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1BAC96F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lang w:eastAsia="zh-CN"/>
                    </w:rPr>
                    <w:t>办公生活区</w:t>
                  </w:r>
                </w:p>
              </w:tc>
              <w:tc>
                <w:tcPr>
                  <w:tcW w:w="6065" w:type="dxa"/>
                  <w:tcBorders>
                    <w:tl2br w:val="nil"/>
                    <w:tr2bl w:val="nil"/>
                  </w:tcBorders>
                  <w:vAlign w:val="center"/>
                </w:tcPr>
                <w:p w14:paraId="37BCB6D8">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rPr>
                    <w:t>建成1</w:t>
                  </w:r>
                  <w:r>
                    <w:rPr>
                      <w:rFonts w:hint="eastAsia" w:ascii="宋体" w:hAnsi="宋体" w:eastAsia="宋体" w:cs="宋体"/>
                      <w:color w:val="auto"/>
                      <w:lang w:eastAsia="zh-CN"/>
                    </w:rPr>
                    <w:t>处办公生活区，包括办公室、食堂和宿舍，总占地面积</w:t>
                  </w:r>
                  <w:r>
                    <w:rPr>
                      <w:rFonts w:hint="eastAsia" w:ascii="宋体" w:hAnsi="宋体" w:eastAsia="宋体" w:cs="宋体"/>
                      <w:color w:val="auto"/>
                      <w:lang w:val="en-US" w:eastAsia="zh-CN"/>
                    </w:rPr>
                    <w:t>865.5</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lang w:eastAsia="zh-CN"/>
                    </w:rPr>
                    <w:t>单层砖混结构</w:t>
                  </w:r>
                </w:p>
              </w:tc>
            </w:tr>
            <w:tr w14:paraId="21D74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40" w:type="dxa"/>
                  <w:vMerge w:val="continue"/>
                  <w:tcBorders>
                    <w:tl2br w:val="nil"/>
                    <w:tr2bl w:val="nil"/>
                  </w:tcBorders>
                  <w:vAlign w:val="center"/>
                </w:tcPr>
                <w:p w14:paraId="67EEDA1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2CBFB1E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lang w:eastAsia="zh-CN"/>
                    </w:rPr>
                    <w:t>值班室</w:t>
                  </w:r>
                </w:p>
              </w:tc>
              <w:tc>
                <w:tcPr>
                  <w:tcW w:w="6065" w:type="dxa"/>
                  <w:tcBorders>
                    <w:tl2br w:val="nil"/>
                    <w:tr2bl w:val="nil"/>
                  </w:tcBorders>
                  <w:vAlign w:val="center"/>
                </w:tcPr>
                <w:p w14:paraId="3F9A2A1A">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rPr>
                    <w:t>建成1座</w:t>
                  </w:r>
                  <w:r>
                    <w:rPr>
                      <w:rFonts w:hint="eastAsia" w:ascii="宋体" w:hAnsi="宋体" w:eastAsia="宋体" w:cs="宋体"/>
                      <w:color w:val="auto"/>
                      <w:lang w:eastAsia="zh-CN"/>
                    </w:rPr>
                    <w:t>值班室</w:t>
                  </w:r>
                  <w:r>
                    <w:rPr>
                      <w:rFonts w:hint="eastAsia" w:ascii="宋体" w:hAnsi="宋体" w:eastAsia="宋体" w:cs="宋体"/>
                      <w:color w:val="auto"/>
                    </w:rPr>
                    <w:t>，</w:t>
                  </w:r>
                  <w:r>
                    <w:rPr>
                      <w:rFonts w:hint="eastAsia" w:ascii="宋体" w:hAnsi="宋体" w:eastAsia="宋体" w:cs="宋体"/>
                      <w:color w:val="auto"/>
                      <w:lang w:eastAsia="zh-CN"/>
                    </w:rPr>
                    <w:t>占地面积</w:t>
                  </w:r>
                  <w:r>
                    <w:rPr>
                      <w:rFonts w:hint="eastAsia" w:ascii="宋体" w:hAnsi="宋体" w:eastAsia="宋体" w:cs="宋体"/>
                      <w:color w:val="auto"/>
                      <w:lang w:val="en-US" w:eastAsia="zh-CN"/>
                    </w:rPr>
                    <w:t>12</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lang w:eastAsia="zh-CN"/>
                    </w:rPr>
                    <w:t>单层砖混结构</w:t>
                  </w:r>
                </w:p>
              </w:tc>
            </w:tr>
            <w:tr w14:paraId="09270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restart"/>
                  <w:tcBorders>
                    <w:tl2br w:val="nil"/>
                    <w:tr2bl w:val="nil"/>
                  </w:tcBorders>
                  <w:vAlign w:val="center"/>
                </w:tcPr>
                <w:p w14:paraId="5EAA004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eastAsia="zh-CN"/>
                    </w:rPr>
                    <w:t>储运</w:t>
                  </w:r>
                  <w:r>
                    <w:rPr>
                      <w:rFonts w:hint="eastAsia" w:ascii="宋体" w:hAnsi="宋体" w:eastAsia="宋体" w:cs="宋体"/>
                      <w:color w:val="auto"/>
                      <w:szCs w:val="21"/>
                    </w:rPr>
                    <w:t>工程</w:t>
                  </w:r>
                </w:p>
              </w:tc>
              <w:tc>
                <w:tcPr>
                  <w:tcW w:w="1516" w:type="dxa"/>
                  <w:gridSpan w:val="2"/>
                  <w:tcBorders>
                    <w:tl2br w:val="nil"/>
                    <w:tr2bl w:val="nil"/>
                  </w:tcBorders>
                  <w:vAlign w:val="center"/>
                </w:tcPr>
                <w:p w14:paraId="5ED883A8">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煤棚</w:t>
                  </w:r>
                </w:p>
              </w:tc>
              <w:tc>
                <w:tcPr>
                  <w:tcW w:w="6065" w:type="dxa"/>
                  <w:tcBorders>
                    <w:tl2br w:val="nil"/>
                    <w:tr2bl w:val="nil"/>
                  </w:tcBorders>
                  <w:vAlign w:val="center"/>
                </w:tcPr>
                <w:p w14:paraId="3C4D8B4B">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rPr>
                    <w:t>建成</w:t>
                  </w:r>
                  <w:r>
                    <w:rPr>
                      <w:rFonts w:hint="eastAsia" w:ascii="宋体" w:hAnsi="宋体" w:eastAsia="宋体" w:cs="宋体"/>
                      <w:color w:val="auto"/>
                      <w:szCs w:val="21"/>
                      <w:lang w:val="en-US" w:eastAsia="zh-CN"/>
                    </w:rPr>
                    <w:t>1座</w:t>
                  </w:r>
                  <w:r>
                    <w:rPr>
                      <w:rFonts w:hint="eastAsia" w:ascii="宋体" w:hAnsi="宋体" w:eastAsia="宋体" w:cs="宋体"/>
                      <w:color w:val="auto"/>
                      <w:szCs w:val="21"/>
                    </w:rPr>
                    <w:t>半封闭储煤棚，占地</w:t>
                  </w:r>
                  <w:r>
                    <w:rPr>
                      <w:rFonts w:hint="eastAsia" w:ascii="宋体" w:hAnsi="宋体" w:eastAsia="宋体" w:cs="宋体"/>
                      <w:color w:val="auto"/>
                      <w:szCs w:val="21"/>
                      <w:lang w:val="en-US" w:eastAsia="zh-CN"/>
                    </w:rPr>
                    <w:t>面积</w:t>
                  </w:r>
                  <w:r>
                    <w:rPr>
                      <w:rFonts w:hint="eastAsia" w:ascii="宋体" w:hAnsi="宋体" w:eastAsia="宋体" w:cs="宋体"/>
                      <w:color w:val="auto"/>
                      <w:szCs w:val="21"/>
                    </w:rPr>
                    <w:t>50m</w:t>
                  </w:r>
                  <w:r>
                    <w:rPr>
                      <w:rFonts w:hint="eastAsia" w:ascii="宋体" w:hAnsi="宋体" w:eastAsia="宋体" w:cs="宋体"/>
                      <w:color w:val="auto"/>
                      <w:szCs w:val="21"/>
                      <w:vertAlign w:val="superscript"/>
                    </w:rPr>
                    <w:t>2</w:t>
                  </w:r>
                  <w:r>
                    <w:rPr>
                      <w:rFonts w:hint="eastAsia" w:ascii="宋体" w:hAnsi="宋体" w:eastAsia="宋体" w:cs="宋体"/>
                      <w:color w:val="auto"/>
                      <w:szCs w:val="21"/>
                    </w:rPr>
                    <w:t>，</w:t>
                  </w:r>
                  <w:r>
                    <w:rPr>
                      <w:rFonts w:hint="eastAsia" w:ascii="宋体" w:hAnsi="宋体" w:eastAsia="宋体" w:cs="宋体"/>
                      <w:color w:val="auto"/>
                      <w:szCs w:val="21"/>
                      <w:lang w:val="en-US" w:eastAsia="zh-CN"/>
                    </w:rPr>
                    <w:t>三面设3m高围墙</w:t>
                  </w:r>
                </w:p>
              </w:tc>
            </w:tr>
            <w:tr w14:paraId="274E8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25C886D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1516" w:type="dxa"/>
                  <w:gridSpan w:val="2"/>
                  <w:tcBorders>
                    <w:tl2br w:val="nil"/>
                    <w:tr2bl w:val="nil"/>
                  </w:tcBorders>
                  <w:vAlign w:val="center"/>
                </w:tcPr>
                <w:p w14:paraId="1DDAE2A3">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rPr>
                    <w:t>渣</w:t>
                  </w:r>
                  <w:r>
                    <w:rPr>
                      <w:rFonts w:hint="eastAsia" w:ascii="宋体" w:hAnsi="宋体" w:eastAsia="宋体" w:cs="宋体"/>
                      <w:color w:val="auto"/>
                      <w:szCs w:val="21"/>
                      <w:lang w:val="en-US" w:eastAsia="zh-CN"/>
                    </w:rPr>
                    <w:t>池</w:t>
                  </w:r>
                </w:p>
              </w:tc>
              <w:tc>
                <w:tcPr>
                  <w:tcW w:w="6065" w:type="dxa"/>
                  <w:tcBorders>
                    <w:tl2br w:val="nil"/>
                    <w:tr2bl w:val="nil"/>
                  </w:tcBorders>
                  <w:vAlign w:val="center"/>
                </w:tcPr>
                <w:p w14:paraId="1BA9B6B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建成1座30</w:t>
                  </w:r>
                  <w:r>
                    <w:rPr>
                      <w:rFonts w:hint="eastAsia" w:ascii="宋体" w:hAnsi="宋体" w:eastAsia="宋体" w:cs="宋体"/>
                      <w:color w:val="auto"/>
                      <w:szCs w:val="21"/>
                    </w:rPr>
                    <w:t>m</w:t>
                  </w:r>
                  <w:r>
                    <w:rPr>
                      <w:rFonts w:hint="eastAsia" w:ascii="宋体" w:hAnsi="宋体" w:eastAsia="宋体" w:cs="宋体"/>
                      <w:color w:val="auto"/>
                      <w:szCs w:val="21"/>
                      <w:vertAlign w:val="superscript"/>
                    </w:rPr>
                    <w:t>2</w:t>
                  </w:r>
                  <w:r>
                    <w:rPr>
                      <w:rFonts w:hint="eastAsia" w:ascii="宋体" w:hAnsi="宋体" w:eastAsia="宋体" w:cs="宋体"/>
                      <w:color w:val="auto"/>
                      <w:szCs w:val="21"/>
                      <w:vertAlign w:val="baseline"/>
                      <w:lang w:val="en-US" w:eastAsia="zh-CN"/>
                    </w:rPr>
                    <w:t>渣池，底部采用混凝土硬化，四周建成0.5m高的围堰</w:t>
                  </w:r>
                </w:p>
              </w:tc>
            </w:tr>
            <w:tr w14:paraId="7A370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65B42AB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1516" w:type="dxa"/>
                  <w:gridSpan w:val="2"/>
                  <w:tcBorders>
                    <w:tl2br w:val="nil"/>
                    <w:tr2bl w:val="nil"/>
                  </w:tcBorders>
                  <w:vAlign w:val="center"/>
                </w:tcPr>
                <w:p w14:paraId="3AAD39B6">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lang w:eastAsia="zh-CN"/>
                    </w:rPr>
                    <w:t>备品备件库</w:t>
                  </w:r>
                </w:p>
              </w:tc>
              <w:tc>
                <w:tcPr>
                  <w:tcW w:w="6065" w:type="dxa"/>
                  <w:tcBorders>
                    <w:tl2br w:val="nil"/>
                    <w:tr2bl w:val="nil"/>
                  </w:tcBorders>
                  <w:vAlign w:val="center"/>
                </w:tcPr>
                <w:p w14:paraId="7F6655AA">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szCs w:val="21"/>
                      <w:lang w:val="en-US" w:eastAsia="zh-CN"/>
                    </w:rPr>
                  </w:pPr>
                  <w:r>
                    <w:rPr>
                      <w:rFonts w:hint="eastAsia" w:ascii="宋体" w:hAnsi="宋体" w:eastAsia="宋体" w:cs="宋体"/>
                      <w:color w:val="auto"/>
                    </w:rPr>
                    <w:t>建成1座</w:t>
                  </w:r>
                  <w:r>
                    <w:rPr>
                      <w:rFonts w:hint="eastAsia" w:ascii="宋体" w:hAnsi="宋体" w:eastAsia="宋体" w:cs="宋体"/>
                      <w:color w:val="auto"/>
                      <w:lang w:eastAsia="zh-CN"/>
                    </w:rPr>
                    <w:t>备品备件库</w:t>
                  </w:r>
                  <w:r>
                    <w:rPr>
                      <w:rFonts w:hint="eastAsia" w:ascii="宋体" w:hAnsi="宋体" w:eastAsia="宋体" w:cs="宋体"/>
                      <w:color w:val="auto"/>
                    </w:rPr>
                    <w:t>，</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162</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szCs w:val="21"/>
                      <w:lang w:val="en-US" w:eastAsia="zh-CN"/>
                    </w:rPr>
                    <w:t>用于存放设备和备品备件</w:t>
                  </w:r>
                </w:p>
              </w:tc>
            </w:tr>
            <w:tr w14:paraId="2DE94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0FC4672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1516" w:type="dxa"/>
                  <w:gridSpan w:val="2"/>
                  <w:tcBorders>
                    <w:tl2br w:val="nil"/>
                    <w:tr2bl w:val="nil"/>
                  </w:tcBorders>
                  <w:vAlign w:val="center"/>
                </w:tcPr>
                <w:p w14:paraId="070665B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eastAsia="zh-CN"/>
                    </w:rPr>
                    <w:t>综合材料库</w:t>
                  </w:r>
                </w:p>
              </w:tc>
              <w:tc>
                <w:tcPr>
                  <w:tcW w:w="6065" w:type="dxa"/>
                  <w:tcBorders>
                    <w:tl2br w:val="nil"/>
                    <w:tr2bl w:val="nil"/>
                  </w:tcBorders>
                  <w:vAlign w:val="center"/>
                </w:tcPr>
                <w:p w14:paraId="7FECC360">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szCs w:val="21"/>
                      <w:lang w:val="en-US" w:eastAsia="zh-CN"/>
                    </w:rPr>
                  </w:pPr>
                  <w:r>
                    <w:rPr>
                      <w:rFonts w:hint="eastAsia" w:ascii="宋体" w:hAnsi="宋体" w:eastAsia="宋体" w:cs="宋体"/>
                      <w:color w:val="auto"/>
                      <w:lang w:eastAsia="zh-CN"/>
                    </w:rPr>
                    <w:t>建成</w:t>
                  </w:r>
                  <w:r>
                    <w:rPr>
                      <w:rFonts w:hint="eastAsia" w:ascii="宋体" w:hAnsi="宋体" w:eastAsia="宋体" w:cs="宋体"/>
                      <w:color w:val="auto"/>
                      <w:lang w:val="en-US" w:eastAsia="zh-CN"/>
                    </w:rPr>
                    <w:t>1座</w:t>
                  </w:r>
                  <w:r>
                    <w:rPr>
                      <w:rFonts w:hint="eastAsia" w:ascii="宋体" w:hAnsi="宋体" w:eastAsia="宋体" w:cs="宋体"/>
                      <w:color w:val="auto"/>
                      <w:lang w:eastAsia="zh-CN"/>
                    </w:rPr>
                    <w:t>综合材料库</w:t>
                  </w:r>
                  <w:r>
                    <w:rPr>
                      <w:rFonts w:hint="eastAsia" w:ascii="宋体" w:hAnsi="宋体" w:eastAsia="宋体" w:cs="宋体"/>
                      <w:color w:val="auto"/>
                    </w:rPr>
                    <w:t>，</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108</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lang w:eastAsia="zh-CN"/>
                    </w:rPr>
                    <w:t>分区</w:t>
                  </w:r>
                  <w:r>
                    <w:rPr>
                      <w:rFonts w:hint="eastAsia" w:ascii="宋体" w:hAnsi="宋体" w:eastAsia="宋体" w:cs="宋体"/>
                      <w:color w:val="auto"/>
                      <w:szCs w:val="21"/>
                      <w:lang w:val="en-US" w:eastAsia="zh-CN"/>
                    </w:rPr>
                    <w:t>存放柠檬酸钠和亚硝酸钠</w:t>
                  </w:r>
                </w:p>
              </w:tc>
            </w:tr>
            <w:tr w14:paraId="04071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4926F25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1516" w:type="dxa"/>
                  <w:gridSpan w:val="2"/>
                  <w:tcBorders>
                    <w:tl2br w:val="nil"/>
                    <w:tr2bl w:val="nil"/>
                  </w:tcBorders>
                  <w:vAlign w:val="center"/>
                </w:tcPr>
                <w:p w14:paraId="4E92AE93">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硝酸铵库</w:t>
                  </w:r>
                </w:p>
              </w:tc>
              <w:tc>
                <w:tcPr>
                  <w:tcW w:w="6065" w:type="dxa"/>
                  <w:tcBorders>
                    <w:tl2br w:val="nil"/>
                    <w:tr2bl w:val="nil"/>
                  </w:tcBorders>
                  <w:vAlign w:val="center"/>
                </w:tcPr>
                <w:p w14:paraId="10701AF3">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建成1座硝酸铵库，砖混结构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432</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vertAlign w:val="baseline"/>
                      <w:lang w:eastAsia="zh-CN"/>
                    </w:rPr>
                    <w:t>，用于存放液体硝酸铵，</w:t>
                  </w:r>
                  <w:r>
                    <w:rPr>
                      <w:rFonts w:hint="eastAsia" w:ascii="宋体" w:hAnsi="宋体" w:eastAsia="宋体" w:cs="宋体"/>
                      <w:color w:val="auto"/>
                      <w:vertAlign w:val="baseline"/>
                      <w:lang w:val="en-US" w:eastAsia="zh-CN"/>
                    </w:rPr>
                    <w:t>设置1套</w:t>
                  </w:r>
                  <w:r>
                    <w:rPr>
                      <w:rFonts w:hint="eastAsia" w:ascii="宋体" w:hAnsi="宋体" w:eastAsia="宋体" w:cs="宋体"/>
                      <w:b w:val="0"/>
                      <w:bCs/>
                      <w:color w:val="auto"/>
                      <w:szCs w:val="21"/>
                    </w:rPr>
                    <w:t>硝酸铵水溶液储罐</w:t>
                  </w:r>
                  <w:r>
                    <w:rPr>
                      <w:rFonts w:hint="eastAsia" w:ascii="宋体" w:hAnsi="宋体" w:eastAsia="宋体" w:cs="宋体"/>
                      <w:b w:val="0"/>
                      <w:bCs/>
                      <w:color w:val="auto"/>
                      <w:szCs w:val="21"/>
                      <w:lang w:eastAsia="zh-CN"/>
                    </w:rPr>
                    <w:t>（</w:t>
                  </w:r>
                  <w:r>
                    <w:rPr>
                      <w:rFonts w:hint="eastAsia" w:ascii="宋体" w:hAnsi="宋体" w:eastAsia="宋体" w:cs="宋体"/>
                      <w:b w:val="0"/>
                      <w:bCs/>
                      <w:color w:val="auto"/>
                      <w:szCs w:val="21"/>
                      <w:lang w:val="en-US" w:eastAsia="zh-CN"/>
                    </w:rPr>
                    <w:t>80m³</w:t>
                  </w:r>
                  <w:r>
                    <w:rPr>
                      <w:rFonts w:hint="eastAsia" w:ascii="宋体" w:hAnsi="宋体" w:eastAsia="宋体" w:cs="宋体"/>
                      <w:b w:val="0"/>
                      <w:bCs/>
                      <w:color w:val="auto"/>
                      <w:szCs w:val="21"/>
                      <w:lang w:eastAsia="zh-CN"/>
                    </w:rPr>
                    <w:t>）、</w:t>
                  </w:r>
                  <w:r>
                    <w:rPr>
                      <w:rFonts w:hint="eastAsia" w:ascii="宋体" w:hAnsi="宋体" w:eastAsia="宋体" w:cs="宋体"/>
                      <w:b w:val="0"/>
                      <w:bCs/>
                      <w:color w:val="auto"/>
                      <w:szCs w:val="21"/>
                      <w:lang w:val="en-US" w:eastAsia="zh-CN"/>
                    </w:rPr>
                    <w:t>1套</w:t>
                  </w:r>
                  <w:r>
                    <w:rPr>
                      <w:rFonts w:hint="eastAsia" w:ascii="宋体" w:hAnsi="宋体" w:eastAsia="宋体" w:cs="宋体"/>
                      <w:b w:val="0"/>
                      <w:bCs/>
                      <w:color w:val="auto"/>
                      <w:szCs w:val="21"/>
                      <w:lang w:eastAsia="zh-CN"/>
                    </w:rPr>
                    <w:t>硝酸铵水溶液卸车设备、</w:t>
                  </w:r>
                  <w:r>
                    <w:rPr>
                      <w:rFonts w:hint="eastAsia" w:ascii="宋体" w:hAnsi="宋体" w:eastAsia="宋体" w:cs="宋体"/>
                      <w:b w:val="0"/>
                      <w:bCs/>
                      <w:color w:val="auto"/>
                      <w:szCs w:val="21"/>
                      <w:lang w:val="en-US" w:eastAsia="zh-CN"/>
                    </w:rPr>
                    <w:t>1套</w:t>
                  </w:r>
                  <w:r>
                    <w:rPr>
                      <w:rFonts w:hint="eastAsia" w:ascii="宋体" w:hAnsi="宋体" w:eastAsia="宋体" w:cs="宋体"/>
                      <w:b w:val="0"/>
                      <w:bCs/>
                      <w:color w:val="auto"/>
                      <w:szCs w:val="21"/>
                      <w:lang w:eastAsia="zh-CN"/>
                    </w:rPr>
                    <w:t>硝酸铵水溶液稀释</w:t>
                  </w:r>
                </w:p>
              </w:tc>
            </w:tr>
            <w:tr w14:paraId="71F0B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49" w:hRule="atLeast"/>
                <w:jc w:val="center"/>
              </w:trPr>
              <w:tc>
                <w:tcPr>
                  <w:tcW w:w="640" w:type="dxa"/>
                  <w:vMerge w:val="continue"/>
                  <w:tcBorders>
                    <w:tl2br w:val="nil"/>
                    <w:tr2bl w:val="nil"/>
                  </w:tcBorders>
                  <w:vAlign w:val="center"/>
                </w:tcPr>
                <w:p w14:paraId="12FDBC7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1516" w:type="dxa"/>
                  <w:gridSpan w:val="2"/>
                  <w:tcBorders>
                    <w:tl2br w:val="nil"/>
                    <w:tr2bl w:val="nil"/>
                  </w:tcBorders>
                  <w:vAlign w:val="center"/>
                </w:tcPr>
                <w:p w14:paraId="0871DAF0">
                  <w:pPr>
                    <w:keepNext w:val="0"/>
                    <w:keepLines w:val="0"/>
                    <w:suppressLineNumbers w:val="0"/>
                    <w:wordWrap w:val="0"/>
                    <w:spacing w:before="0" w:beforeAutospacing="0" w:after="0" w:afterAutospacing="0" w:line="360" w:lineRule="exact"/>
                    <w:ind w:left="0" w:leftChars="0" w:right="0" w:rightChars="0"/>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油罐区</w:t>
                  </w:r>
                  <w:r>
                    <w:rPr>
                      <w:rFonts w:hint="eastAsia" w:eastAsia="宋体" w:cs="宋体"/>
                      <w:color w:val="auto"/>
                      <w:szCs w:val="21"/>
                      <w:highlight w:val="none"/>
                      <w:lang w:val="en-US" w:eastAsia="zh-CN"/>
                    </w:rPr>
                    <w:t>及加油区</w:t>
                  </w:r>
                </w:p>
              </w:tc>
              <w:tc>
                <w:tcPr>
                  <w:tcW w:w="6065" w:type="dxa"/>
                  <w:tcBorders>
                    <w:tl2br w:val="nil"/>
                    <w:tr2bl w:val="nil"/>
                  </w:tcBorders>
                  <w:vAlign w:val="center"/>
                </w:tcPr>
                <w:p w14:paraId="1656688B">
                  <w:pPr>
                    <w:keepNext w:val="0"/>
                    <w:keepLines w:val="0"/>
                    <w:suppressLineNumbers w:val="0"/>
                    <w:spacing w:before="0" w:beforeAutospacing="0" w:after="0" w:afterAutospacing="0" w:line="360" w:lineRule="exact"/>
                    <w:ind w:left="0" w:leftChars="0" w:right="0" w:rightChars="0"/>
                    <w:jc w:val="left"/>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油罐区</w:t>
                  </w:r>
                  <w:r>
                    <w:rPr>
                      <w:rFonts w:hint="eastAsia" w:eastAsia="宋体" w:cs="宋体"/>
                      <w:color w:val="auto"/>
                      <w:szCs w:val="21"/>
                      <w:highlight w:val="none"/>
                      <w:lang w:val="en-US" w:eastAsia="zh-CN"/>
                    </w:rPr>
                    <w:t>及加油区</w:t>
                  </w:r>
                  <w:r>
                    <w:rPr>
                      <w:rFonts w:hint="eastAsia" w:ascii="宋体" w:hAnsi="宋体" w:eastAsia="宋体" w:cs="宋体"/>
                      <w:color w:val="auto"/>
                      <w:szCs w:val="21"/>
                      <w:highlight w:val="none"/>
                      <w:lang w:val="en-US" w:eastAsia="zh-CN"/>
                    </w:rPr>
                    <w:t>占地面积100m</w:t>
                  </w:r>
                  <w:r>
                    <w:rPr>
                      <w:rFonts w:hint="eastAsia" w:ascii="宋体" w:hAnsi="宋体" w:eastAsia="宋体" w:cs="宋体"/>
                      <w:color w:val="auto"/>
                      <w:szCs w:val="21"/>
                      <w:highlight w:val="none"/>
                      <w:vertAlign w:val="superscript"/>
                      <w:lang w:val="en-US" w:eastAsia="zh-CN"/>
                    </w:rPr>
                    <w:t>2</w:t>
                  </w:r>
                  <w:r>
                    <w:rPr>
                      <w:rFonts w:hint="eastAsia" w:ascii="宋体" w:hAnsi="宋体" w:eastAsia="宋体" w:cs="宋体"/>
                      <w:color w:val="auto"/>
                      <w:szCs w:val="21"/>
                      <w:highlight w:val="none"/>
                      <w:lang w:val="en-US" w:eastAsia="zh-CN"/>
                    </w:rPr>
                    <w:t>，建成1座地埋式柴油罐区</w:t>
                  </w:r>
                  <w:r>
                    <w:rPr>
                      <w:rFonts w:hint="eastAsia" w:eastAsia="宋体" w:cs="宋体"/>
                      <w:color w:val="auto"/>
                      <w:szCs w:val="21"/>
                      <w:highlight w:val="none"/>
                      <w:lang w:val="en-US" w:eastAsia="zh-CN"/>
                    </w:rPr>
                    <w:t>占地面积67.5m（9m×7.5m），埋深5m</w:t>
                  </w:r>
                  <w:r>
                    <w:rPr>
                      <w:rFonts w:hint="eastAsia" w:ascii="宋体" w:hAnsi="宋体" w:eastAsia="宋体" w:cs="宋体"/>
                      <w:color w:val="auto"/>
                      <w:szCs w:val="21"/>
                      <w:highlight w:val="none"/>
                      <w:lang w:val="en-US" w:eastAsia="zh-CN"/>
                    </w:rPr>
                    <w:t>，</w:t>
                  </w:r>
                  <w:r>
                    <w:rPr>
                      <w:rFonts w:hint="eastAsia" w:eastAsia="宋体" w:cs="宋体"/>
                      <w:color w:val="auto"/>
                      <w:szCs w:val="21"/>
                      <w:highlight w:val="none"/>
                      <w:lang w:val="en-US" w:eastAsia="zh-CN"/>
                    </w:rPr>
                    <w:t>罐区</w:t>
                  </w:r>
                  <w:r>
                    <w:rPr>
                      <w:rFonts w:hint="eastAsia" w:ascii="宋体" w:hAnsi="宋体" w:eastAsia="宋体" w:cs="宋体"/>
                      <w:color w:val="auto"/>
                      <w:szCs w:val="21"/>
                      <w:highlight w:val="none"/>
                      <w:lang w:val="en-US" w:eastAsia="zh-CN"/>
                    </w:rPr>
                    <w:t>设置1套油相储罐，1套柴油储罐（</w:t>
                  </w:r>
                  <w:r>
                    <w:rPr>
                      <w:rFonts w:hint="eastAsia" w:ascii="宋体" w:hAnsi="宋体" w:eastAsia="宋体" w:cs="宋体"/>
                      <w:bCs/>
                      <w:color w:val="auto"/>
                      <w:szCs w:val="21"/>
                      <w:lang w:val="en-US" w:eastAsia="zh-CN"/>
                    </w:rPr>
                    <w:t>混装车用柴油燃料</w:t>
                  </w:r>
                  <w:r>
                    <w:rPr>
                      <w:rFonts w:hint="eastAsia" w:ascii="宋体" w:hAnsi="宋体" w:eastAsia="宋体" w:cs="宋体"/>
                      <w:color w:val="auto"/>
                      <w:szCs w:val="21"/>
                      <w:highlight w:val="none"/>
                      <w:lang w:val="en-US" w:eastAsia="zh-CN"/>
                    </w:rPr>
                    <w:t>），容积均为50m³，采用</w:t>
                  </w:r>
                  <w:r>
                    <w:rPr>
                      <w:rFonts w:hint="eastAsia" w:eastAsia="宋体" w:cs="宋体"/>
                      <w:color w:val="auto"/>
                      <w:szCs w:val="21"/>
                      <w:highlight w:val="none"/>
                      <w:lang w:val="en-US" w:eastAsia="zh-CN"/>
                    </w:rPr>
                    <w:t>钢制</w:t>
                  </w:r>
                  <w:r>
                    <w:rPr>
                      <w:rFonts w:hint="eastAsia" w:ascii="宋体" w:hAnsi="宋体" w:eastAsia="宋体" w:cs="宋体"/>
                      <w:color w:val="auto"/>
                      <w:szCs w:val="21"/>
                      <w:highlight w:val="none"/>
                      <w:lang w:val="en-US" w:eastAsia="zh-CN"/>
                    </w:rPr>
                    <w:t>油罐，油罐区地面先用土夯实，上面平铺油毡后用沥青浇灌。</w:t>
                  </w:r>
                  <w:r>
                    <w:rPr>
                      <w:rFonts w:hint="eastAsia" w:eastAsia="宋体" w:cs="宋体"/>
                      <w:color w:val="auto"/>
                      <w:szCs w:val="21"/>
                      <w:highlight w:val="none"/>
                      <w:lang w:val="en-US" w:eastAsia="zh-CN"/>
                    </w:rPr>
                    <w:t>同时</w:t>
                  </w:r>
                  <w:r>
                    <w:rPr>
                      <w:rFonts w:hint="eastAsia" w:ascii="宋体" w:hAnsi="宋体" w:eastAsia="宋体" w:cs="宋体"/>
                      <w:color w:val="auto"/>
                      <w:szCs w:val="21"/>
                      <w:highlight w:val="none"/>
                      <w:lang w:val="en-US" w:eastAsia="zh-CN"/>
                    </w:rPr>
                    <w:t>油罐表面沥青处理</w:t>
                  </w:r>
                  <w:r>
                    <w:rPr>
                      <w:rFonts w:hint="eastAsia" w:eastAsia="宋体" w:cs="宋体"/>
                      <w:color w:val="auto"/>
                      <w:szCs w:val="21"/>
                      <w:highlight w:val="none"/>
                      <w:lang w:val="en-US" w:eastAsia="zh-CN"/>
                    </w:rPr>
                    <w:t>防渗</w:t>
                  </w:r>
                </w:p>
              </w:tc>
            </w:tr>
            <w:tr w14:paraId="11554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1" w:hRule="atLeast"/>
                <w:jc w:val="center"/>
              </w:trPr>
              <w:tc>
                <w:tcPr>
                  <w:tcW w:w="640" w:type="dxa"/>
                  <w:vMerge w:val="continue"/>
                  <w:tcBorders>
                    <w:tl2br w:val="nil"/>
                    <w:tr2bl w:val="nil"/>
                  </w:tcBorders>
                  <w:vAlign w:val="center"/>
                </w:tcPr>
                <w:p w14:paraId="1035600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1516" w:type="dxa"/>
                  <w:gridSpan w:val="2"/>
                  <w:tcBorders>
                    <w:tl2br w:val="nil"/>
                    <w:tr2bl w:val="nil"/>
                  </w:tcBorders>
                  <w:vAlign w:val="center"/>
                </w:tcPr>
                <w:p w14:paraId="50753FED">
                  <w:pPr>
                    <w:keepNext w:val="0"/>
                    <w:keepLines w:val="0"/>
                    <w:suppressLineNumbers w:val="0"/>
                    <w:wordWrap w:val="0"/>
                    <w:spacing w:before="0" w:beforeAutospacing="0" w:after="0" w:afterAutospacing="0" w:line="360" w:lineRule="exact"/>
                    <w:ind w:left="0" w:leftChars="0" w:right="0" w:rightChars="0"/>
                    <w:jc w:val="center"/>
                    <w:rPr>
                      <w:rFonts w:hint="default" w:ascii="宋体" w:hAnsi="宋体" w:eastAsia="宋体" w:cs="宋体"/>
                      <w:color w:val="auto"/>
                      <w:szCs w:val="21"/>
                      <w:highlight w:val="none"/>
                      <w:lang w:val="en-US" w:eastAsia="zh-CN"/>
                    </w:rPr>
                  </w:pPr>
                  <w:r>
                    <w:rPr>
                      <w:rFonts w:hint="eastAsia" w:eastAsia="宋体" w:cs="宋体"/>
                      <w:color w:val="auto"/>
                      <w:szCs w:val="21"/>
                      <w:highlight w:val="none"/>
                      <w:lang w:val="en-US" w:eastAsia="zh-CN"/>
                    </w:rPr>
                    <w:t>污水暂存池</w:t>
                  </w:r>
                </w:p>
              </w:tc>
              <w:tc>
                <w:tcPr>
                  <w:tcW w:w="6065" w:type="dxa"/>
                  <w:tcBorders>
                    <w:tl2br w:val="nil"/>
                    <w:tr2bl w:val="nil"/>
                  </w:tcBorders>
                  <w:vAlign w:val="center"/>
                </w:tcPr>
                <w:p w14:paraId="2E99413C">
                  <w:pPr>
                    <w:keepNext w:val="0"/>
                    <w:keepLines w:val="0"/>
                    <w:suppressLineNumbers w:val="0"/>
                    <w:spacing w:before="0" w:beforeAutospacing="0" w:after="0" w:afterAutospacing="0" w:line="360" w:lineRule="exact"/>
                    <w:ind w:left="0" w:leftChars="0" w:right="0" w:rightChars="0"/>
                    <w:jc w:val="left"/>
                    <w:rPr>
                      <w:rFonts w:hint="default" w:ascii="宋体" w:hAnsi="宋体" w:eastAsia="宋体" w:cs="宋体"/>
                      <w:color w:val="auto"/>
                      <w:szCs w:val="21"/>
                      <w:highlight w:val="none"/>
                      <w:lang w:val="en-US" w:eastAsia="zh-CN"/>
                    </w:rPr>
                  </w:pPr>
                  <w:r>
                    <w:rPr>
                      <w:rFonts w:hint="eastAsia" w:eastAsia="宋体" w:cs="宋体"/>
                      <w:color w:val="auto"/>
                      <w:szCs w:val="21"/>
                      <w:highlight w:val="none"/>
                      <w:lang w:val="en-US" w:eastAsia="zh-CN"/>
                    </w:rPr>
                    <w:t>建成1座污水暂存池，不锈钢罐，容积为5.1m</w:t>
                  </w:r>
                  <w:r>
                    <w:rPr>
                      <w:rFonts w:hint="eastAsia" w:eastAsia="宋体" w:cs="宋体"/>
                      <w:color w:val="auto"/>
                      <w:szCs w:val="21"/>
                      <w:highlight w:val="none"/>
                      <w:vertAlign w:val="superscript"/>
                      <w:lang w:val="en-US" w:eastAsia="zh-CN"/>
                    </w:rPr>
                    <w:t>3</w:t>
                  </w:r>
                  <w:r>
                    <w:rPr>
                      <w:rFonts w:hint="eastAsia" w:eastAsia="宋体" w:cs="宋体"/>
                      <w:color w:val="auto"/>
                      <w:szCs w:val="21"/>
                      <w:highlight w:val="none"/>
                      <w:lang w:val="en-US" w:eastAsia="zh-CN"/>
                    </w:rPr>
                    <w:t>，具体尺寸为φ1.8×2m</w:t>
                  </w:r>
                </w:p>
              </w:tc>
            </w:tr>
            <w:tr w14:paraId="267FA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restart"/>
                  <w:tcBorders>
                    <w:tl2br w:val="nil"/>
                    <w:tr2bl w:val="nil"/>
                  </w:tcBorders>
                  <w:vAlign w:val="center"/>
                </w:tcPr>
                <w:p w14:paraId="0EFFA36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公用工程</w:t>
                  </w:r>
                </w:p>
              </w:tc>
              <w:tc>
                <w:tcPr>
                  <w:tcW w:w="1516" w:type="dxa"/>
                  <w:gridSpan w:val="2"/>
                  <w:tcBorders>
                    <w:tl2br w:val="nil"/>
                    <w:tr2bl w:val="nil"/>
                  </w:tcBorders>
                  <w:vAlign w:val="center"/>
                </w:tcPr>
                <w:p w14:paraId="467ADBBE">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给水</w:t>
                  </w:r>
                </w:p>
              </w:tc>
              <w:tc>
                <w:tcPr>
                  <w:tcW w:w="6065" w:type="dxa"/>
                  <w:tcBorders>
                    <w:tl2br w:val="nil"/>
                    <w:tr2bl w:val="nil"/>
                  </w:tcBorders>
                  <w:vAlign w:val="center"/>
                </w:tcPr>
                <w:p w14:paraId="6D1B32F8">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由内蒙古太平矿业有限公司供给</w:t>
                  </w:r>
                </w:p>
              </w:tc>
            </w:tr>
            <w:tr w14:paraId="7E3EB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2781FA1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79F37A5B">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排水</w:t>
                  </w:r>
                </w:p>
              </w:tc>
              <w:tc>
                <w:tcPr>
                  <w:tcW w:w="6065" w:type="dxa"/>
                  <w:tcBorders>
                    <w:tl2br w:val="nil"/>
                    <w:tr2bl w:val="nil"/>
                  </w:tcBorders>
                  <w:vAlign w:val="center"/>
                </w:tcPr>
                <w:p w14:paraId="6EA75377">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szCs w:val="21"/>
                      <w:lang w:val="en-US" w:eastAsia="zh-CN"/>
                    </w:rPr>
                  </w:pPr>
                  <w:r>
                    <w:rPr>
                      <w:rFonts w:hint="eastAsia" w:ascii="宋体" w:hAnsi="宋体" w:eastAsia="宋体" w:cs="宋体"/>
                      <w:color w:val="auto"/>
                      <w:szCs w:val="21"/>
                    </w:rPr>
                    <w:t>锅炉及软水装置排污水用于</w:t>
                  </w:r>
                  <w:r>
                    <w:rPr>
                      <w:rFonts w:hint="eastAsia" w:ascii="宋体" w:hAnsi="宋体" w:eastAsia="宋体" w:cs="宋体"/>
                      <w:color w:val="auto"/>
                      <w:szCs w:val="21"/>
                      <w:lang w:val="en-US" w:eastAsia="zh-CN"/>
                    </w:rPr>
                    <w:t>储煤场洒</w:t>
                  </w:r>
                  <w:r>
                    <w:rPr>
                      <w:rFonts w:hint="eastAsia" w:ascii="宋体" w:hAnsi="宋体" w:eastAsia="宋体" w:cs="宋体"/>
                      <w:color w:val="auto"/>
                      <w:szCs w:val="21"/>
                    </w:rPr>
                    <w:t>水抑尘</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不外排；</w:t>
                  </w:r>
                  <w:r>
                    <w:rPr>
                      <w:rFonts w:hint="eastAsia" w:ascii="宋体" w:hAnsi="宋体" w:eastAsia="宋体" w:cs="宋体"/>
                      <w:color w:val="auto"/>
                      <w:lang w:val="en-US" w:eastAsia="zh-CN"/>
                    </w:rPr>
                    <w:t>职工生活污水由化粪池收集后，委托内蒙古诚远服务有限公司拉运处理</w:t>
                  </w:r>
                </w:p>
              </w:tc>
            </w:tr>
            <w:tr w14:paraId="1B51F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6C5370B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6B7ACBE3">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供电</w:t>
                  </w:r>
                </w:p>
              </w:tc>
              <w:tc>
                <w:tcPr>
                  <w:tcW w:w="6065" w:type="dxa"/>
                  <w:tcBorders>
                    <w:tl2br w:val="nil"/>
                    <w:tr2bl w:val="nil"/>
                  </w:tcBorders>
                  <w:vAlign w:val="center"/>
                </w:tcPr>
                <w:p w14:paraId="14D6D869">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rPr>
                  </w:pPr>
                  <w:r>
                    <w:rPr>
                      <w:rFonts w:hint="eastAsia" w:ascii="宋体" w:hAnsi="宋体" w:eastAsia="宋体" w:cs="宋体"/>
                      <w:color w:val="auto"/>
                      <w:szCs w:val="21"/>
                      <w:lang w:val="en-US" w:eastAsia="zh-CN"/>
                    </w:rPr>
                    <w:t>由内蒙古太平矿业有限公司10KV供电线路接入，厂区内安装了1台315KW▪h箱式变压器</w:t>
                  </w:r>
                </w:p>
              </w:tc>
            </w:tr>
            <w:tr w14:paraId="7573A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06DD6D7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179771B8">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供热</w:t>
                  </w:r>
                </w:p>
              </w:tc>
              <w:tc>
                <w:tcPr>
                  <w:tcW w:w="6065" w:type="dxa"/>
                  <w:tcBorders>
                    <w:tl2br w:val="nil"/>
                    <w:tr2bl w:val="nil"/>
                  </w:tcBorders>
                  <w:vAlign w:val="center"/>
                </w:tcPr>
                <w:p w14:paraId="02ECD87B">
                  <w:pPr>
                    <w:keepNext w:val="0"/>
                    <w:keepLines w:val="0"/>
                    <w:suppressLineNumbers w:val="0"/>
                    <w:spacing w:before="0" w:beforeAutospacing="0" w:after="0" w:afterAutospacing="0" w:line="360" w:lineRule="exact"/>
                    <w:ind w:left="0" w:right="0"/>
                    <w:jc w:val="left"/>
                    <w:rPr>
                      <w:rFonts w:hint="eastAsia" w:eastAsia="宋体" w:cs="宋体"/>
                      <w:color w:val="auto"/>
                      <w:szCs w:val="21"/>
                      <w:lang w:eastAsia="zh-CN"/>
                    </w:rPr>
                  </w:pPr>
                  <w:r>
                    <w:rPr>
                      <w:rFonts w:hint="eastAsia" w:ascii="宋体" w:hAnsi="宋体" w:eastAsia="宋体" w:cs="宋体"/>
                      <w:color w:val="auto"/>
                      <w:szCs w:val="21"/>
                    </w:rPr>
                    <w:t>建成1台</w:t>
                  </w:r>
                  <w:r>
                    <w:rPr>
                      <w:rFonts w:hint="eastAsia" w:ascii="宋体" w:hAnsi="宋体" w:eastAsia="宋体" w:cs="宋体"/>
                      <w:color w:val="auto"/>
                      <w:szCs w:val="21"/>
                      <w:lang w:val="en-US" w:eastAsia="zh-CN"/>
                    </w:rPr>
                    <w:t>2</w:t>
                  </w:r>
                  <w:r>
                    <w:rPr>
                      <w:rFonts w:hint="eastAsia" w:ascii="宋体" w:hAnsi="宋体" w:eastAsia="宋体" w:cs="宋体"/>
                      <w:color w:val="auto"/>
                      <w:szCs w:val="21"/>
                    </w:rPr>
                    <w:t>t/h燃煤蒸汽锅炉为生产</w:t>
                  </w:r>
                  <w:r>
                    <w:rPr>
                      <w:rFonts w:hint="eastAsia" w:ascii="宋体" w:hAnsi="宋体" w:eastAsia="宋体" w:cs="宋体"/>
                      <w:color w:val="auto"/>
                      <w:szCs w:val="21"/>
                      <w:lang w:eastAsia="zh-CN"/>
                    </w:rPr>
                    <w:t>（水相和油相制备工段）</w:t>
                  </w:r>
                  <w:r>
                    <w:rPr>
                      <w:rFonts w:hint="eastAsia" w:ascii="宋体" w:hAnsi="宋体" w:eastAsia="宋体" w:cs="宋体"/>
                      <w:color w:val="auto"/>
                      <w:szCs w:val="21"/>
                    </w:rPr>
                    <w:t>供应热源</w:t>
                  </w:r>
                  <w:r>
                    <w:rPr>
                      <w:rFonts w:hint="eastAsia" w:eastAsia="宋体" w:cs="宋体"/>
                      <w:color w:val="auto"/>
                      <w:szCs w:val="21"/>
                      <w:lang w:eastAsia="zh-CN"/>
                    </w:rPr>
                    <w:t>；</w:t>
                  </w:r>
                </w:p>
                <w:p w14:paraId="08416033">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rPr>
                  </w:pPr>
                  <w:r>
                    <w:rPr>
                      <w:rFonts w:hint="eastAsia" w:ascii="宋体" w:hAnsi="宋体" w:eastAsia="宋体" w:cs="宋体"/>
                      <w:color w:val="auto"/>
                      <w:szCs w:val="21"/>
                      <w:lang w:eastAsia="zh-CN"/>
                    </w:rPr>
                    <w:t>厂区冬季采用空气能热泵采暖</w:t>
                  </w:r>
                </w:p>
              </w:tc>
            </w:tr>
            <w:tr w14:paraId="34939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66" w:hRule="atLeast"/>
                <w:jc w:val="center"/>
              </w:trPr>
              <w:tc>
                <w:tcPr>
                  <w:tcW w:w="640" w:type="dxa"/>
                  <w:vMerge w:val="restart"/>
                  <w:tcBorders>
                    <w:tl2br w:val="nil"/>
                    <w:tr2bl w:val="nil"/>
                  </w:tcBorders>
                  <w:vAlign w:val="center"/>
                </w:tcPr>
                <w:p w14:paraId="3BA4B00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环保</w:t>
                  </w:r>
                </w:p>
                <w:p w14:paraId="5CB36D1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工程</w:t>
                  </w:r>
                </w:p>
              </w:tc>
              <w:tc>
                <w:tcPr>
                  <w:tcW w:w="554" w:type="dxa"/>
                  <w:vMerge w:val="restart"/>
                  <w:tcBorders>
                    <w:tl2br w:val="nil"/>
                    <w:tr2bl w:val="nil"/>
                  </w:tcBorders>
                  <w:vAlign w:val="center"/>
                </w:tcPr>
                <w:p w14:paraId="3B0BB68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废气</w:t>
                  </w:r>
                </w:p>
              </w:tc>
              <w:tc>
                <w:tcPr>
                  <w:tcW w:w="962" w:type="dxa"/>
                  <w:tcBorders>
                    <w:tl2br w:val="nil"/>
                    <w:tr2bl w:val="nil"/>
                  </w:tcBorders>
                  <w:vAlign w:val="center"/>
                </w:tcPr>
                <w:p w14:paraId="1F1E7F7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w:t>
                  </w:r>
                </w:p>
                <w:p w14:paraId="17212E7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烟气</w:t>
                  </w:r>
                </w:p>
              </w:tc>
              <w:tc>
                <w:tcPr>
                  <w:tcW w:w="6065" w:type="dxa"/>
                  <w:tcBorders>
                    <w:tl2br w:val="nil"/>
                    <w:tr2bl w:val="nil"/>
                  </w:tcBorders>
                  <w:vAlign w:val="center"/>
                </w:tcPr>
                <w:p w14:paraId="4CFA0AF4">
                  <w:pPr>
                    <w:keepNext w:val="0"/>
                    <w:keepLines w:val="0"/>
                    <w:suppressLineNumbers w:val="0"/>
                    <w:adjustRightInd w:val="0"/>
                    <w:snapToGrid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燃煤锅炉配套</w:t>
                  </w:r>
                  <w:r>
                    <w:rPr>
                      <w:rFonts w:hint="eastAsia" w:eastAsia="宋体" w:cs="宋体"/>
                      <w:color w:val="auto"/>
                      <w:szCs w:val="21"/>
                      <w:lang w:val="en-US" w:eastAsia="zh-CN"/>
                    </w:rPr>
                    <w:t>单碱水浴除尘器</w:t>
                  </w:r>
                  <w:r>
                    <w:rPr>
                      <w:rFonts w:hint="eastAsia" w:ascii="宋体" w:hAnsi="宋体" w:eastAsia="宋体" w:cs="宋体"/>
                      <w:color w:val="auto"/>
                      <w:szCs w:val="21"/>
                      <w:lang w:val="en-US" w:eastAsia="zh-CN"/>
                    </w:rPr>
                    <w:t>，</w:t>
                  </w:r>
                  <w:r>
                    <w:rPr>
                      <w:rFonts w:hint="eastAsia" w:eastAsia="宋体" w:cs="宋体"/>
                      <w:color w:val="auto"/>
                      <w:szCs w:val="21"/>
                      <w:lang w:val="en-US" w:eastAsia="zh-CN"/>
                    </w:rPr>
                    <w:t>经脱硫除尘后</w:t>
                  </w:r>
                  <w:r>
                    <w:rPr>
                      <w:rFonts w:hint="eastAsia" w:ascii="宋体" w:hAnsi="宋体" w:eastAsia="宋体" w:cs="宋体"/>
                      <w:color w:val="auto"/>
                      <w:szCs w:val="21"/>
                      <w:lang w:val="en-US" w:eastAsia="zh-CN"/>
                    </w:rPr>
                    <w:t>由1根20m高排气筒排放</w:t>
                  </w:r>
                </w:p>
              </w:tc>
            </w:tr>
            <w:tr w14:paraId="17373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37" w:hRule="atLeast"/>
                <w:jc w:val="center"/>
              </w:trPr>
              <w:tc>
                <w:tcPr>
                  <w:tcW w:w="640" w:type="dxa"/>
                  <w:vMerge w:val="continue"/>
                  <w:tcBorders>
                    <w:tl2br w:val="nil"/>
                    <w:tr2bl w:val="nil"/>
                  </w:tcBorders>
                  <w:vAlign w:val="center"/>
                </w:tcPr>
                <w:p w14:paraId="6EE329A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6E837B1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02B819AE">
                  <w:pPr>
                    <w:keepNext w:val="0"/>
                    <w:keepLines w:val="0"/>
                    <w:suppressLineNumbers w:val="0"/>
                    <w:spacing w:before="0" w:beforeAutospacing="0" w:after="0" w:afterAutospacing="0" w:line="360" w:lineRule="exact"/>
                    <w:ind w:left="0" w:right="0"/>
                    <w:jc w:val="center"/>
                    <w:rPr>
                      <w:rFonts w:hint="default" w:ascii="宋体" w:hAnsi="宋体" w:eastAsia="宋体" w:cs="宋体"/>
                      <w:color w:val="auto"/>
                      <w:szCs w:val="21"/>
                      <w:lang w:val="en-US" w:eastAsia="zh-CN"/>
                    </w:rPr>
                  </w:pPr>
                  <w:r>
                    <w:rPr>
                      <w:rFonts w:hint="eastAsia" w:eastAsia="宋体" w:cs="宋体"/>
                      <w:color w:val="auto"/>
                      <w:szCs w:val="21"/>
                      <w:lang w:val="en-US" w:eastAsia="zh-CN"/>
                    </w:rPr>
                    <w:t>煤棚废气</w:t>
                  </w:r>
                </w:p>
              </w:tc>
              <w:tc>
                <w:tcPr>
                  <w:tcW w:w="6065" w:type="dxa"/>
                  <w:tcBorders>
                    <w:tl2br w:val="nil"/>
                    <w:tr2bl w:val="nil"/>
                  </w:tcBorders>
                  <w:vAlign w:val="center"/>
                </w:tcPr>
                <w:p w14:paraId="33F71B42">
                  <w:pPr>
                    <w:keepNext w:val="0"/>
                    <w:keepLines w:val="0"/>
                    <w:suppressLineNumbers w:val="0"/>
                    <w:adjustRightInd w:val="0"/>
                    <w:snapToGrid w:val="0"/>
                    <w:spacing w:before="0" w:beforeAutospacing="0" w:after="0" w:afterAutospacing="0" w:line="360" w:lineRule="exact"/>
                    <w:ind w:left="0" w:right="0"/>
                    <w:jc w:val="left"/>
                    <w:rPr>
                      <w:rFonts w:hint="default" w:ascii="宋体" w:hAnsi="宋体" w:eastAsia="宋体" w:cs="宋体"/>
                      <w:color w:val="auto"/>
                      <w:szCs w:val="21"/>
                      <w:lang w:val="en-US" w:eastAsia="zh-CN"/>
                    </w:rPr>
                  </w:pPr>
                  <w:r>
                    <w:rPr>
                      <w:rFonts w:hint="eastAsia" w:ascii="宋体" w:hAnsi="宋体" w:eastAsia="宋体" w:cs="宋体"/>
                      <w:color w:val="auto"/>
                      <w:szCs w:val="21"/>
                    </w:rPr>
                    <w:t>建成</w:t>
                  </w:r>
                  <w:r>
                    <w:rPr>
                      <w:rFonts w:hint="eastAsia" w:ascii="宋体" w:hAnsi="宋体" w:eastAsia="宋体" w:cs="宋体"/>
                      <w:color w:val="auto"/>
                      <w:szCs w:val="21"/>
                      <w:lang w:val="en-US" w:eastAsia="zh-CN"/>
                    </w:rPr>
                    <w:t>1座</w:t>
                  </w:r>
                  <w:r>
                    <w:rPr>
                      <w:rFonts w:hint="eastAsia" w:ascii="宋体" w:hAnsi="宋体" w:eastAsia="宋体" w:cs="宋体"/>
                      <w:color w:val="auto"/>
                      <w:szCs w:val="21"/>
                    </w:rPr>
                    <w:t>半封闭储煤棚，</w:t>
                  </w:r>
                  <w:r>
                    <w:rPr>
                      <w:rFonts w:hint="eastAsia" w:ascii="宋体" w:hAnsi="宋体" w:eastAsia="宋体" w:cs="宋体"/>
                      <w:color w:val="auto"/>
                      <w:szCs w:val="21"/>
                      <w:lang w:val="en-US" w:eastAsia="zh-CN"/>
                    </w:rPr>
                    <w:t>三面设3m高围墙，粉尘自然沉降后无组织排放</w:t>
                  </w:r>
                </w:p>
              </w:tc>
            </w:tr>
            <w:tr w14:paraId="0F4E1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3" w:hRule="atLeast"/>
                <w:jc w:val="center"/>
              </w:trPr>
              <w:tc>
                <w:tcPr>
                  <w:tcW w:w="640" w:type="dxa"/>
                  <w:vMerge w:val="continue"/>
                  <w:tcBorders>
                    <w:tl2br w:val="nil"/>
                    <w:tr2bl w:val="nil"/>
                  </w:tcBorders>
                  <w:vAlign w:val="center"/>
                </w:tcPr>
                <w:p w14:paraId="4EB813E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7AE9279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79EFBAE0">
                  <w:pPr>
                    <w:keepNext w:val="0"/>
                    <w:keepLines w:val="0"/>
                    <w:suppressLineNumbers w:val="0"/>
                    <w:spacing w:before="0" w:beforeAutospacing="0" w:after="0" w:afterAutospacing="0" w:line="360" w:lineRule="exact"/>
                    <w:ind w:left="0" w:right="0"/>
                    <w:jc w:val="center"/>
                    <w:rPr>
                      <w:rFonts w:hint="default" w:eastAsia="宋体" w:cs="宋体"/>
                      <w:color w:val="auto"/>
                      <w:szCs w:val="21"/>
                      <w:lang w:val="en-US" w:eastAsia="zh-CN"/>
                    </w:rPr>
                  </w:pPr>
                  <w:r>
                    <w:rPr>
                      <w:rFonts w:hint="eastAsia" w:eastAsia="宋体" w:cs="宋体"/>
                      <w:color w:val="auto"/>
                      <w:szCs w:val="21"/>
                      <w:lang w:val="en-US" w:eastAsia="zh-CN"/>
                    </w:rPr>
                    <w:t>渣池废气</w:t>
                  </w:r>
                </w:p>
              </w:tc>
              <w:tc>
                <w:tcPr>
                  <w:tcW w:w="6065" w:type="dxa"/>
                  <w:tcBorders>
                    <w:tl2br w:val="nil"/>
                    <w:tr2bl w:val="nil"/>
                  </w:tcBorders>
                  <w:vAlign w:val="center"/>
                </w:tcPr>
                <w:p w14:paraId="27FF79B6">
                  <w:pPr>
                    <w:keepNext w:val="0"/>
                    <w:keepLines w:val="0"/>
                    <w:suppressLineNumbers w:val="0"/>
                    <w:adjustRightInd w:val="0"/>
                    <w:snapToGrid w:val="0"/>
                    <w:spacing w:before="0" w:beforeAutospacing="0" w:after="0" w:afterAutospacing="0" w:line="360" w:lineRule="exact"/>
                    <w:ind w:left="0" w:right="0"/>
                    <w:jc w:val="left"/>
                    <w:rPr>
                      <w:rFonts w:hint="default" w:ascii="宋体" w:hAnsi="宋体" w:eastAsia="宋体" w:cs="宋体"/>
                      <w:color w:val="auto"/>
                      <w:szCs w:val="21"/>
                      <w:lang w:val="en-US"/>
                    </w:rPr>
                  </w:pPr>
                  <w:r>
                    <w:rPr>
                      <w:rFonts w:hint="eastAsia" w:ascii="宋体" w:hAnsi="宋体" w:eastAsia="宋体" w:cs="宋体"/>
                      <w:color w:val="auto"/>
                      <w:szCs w:val="21"/>
                      <w:lang w:val="en-US" w:eastAsia="zh-CN"/>
                    </w:rPr>
                    <w:t>建成1座30</w:t>
                  </w:r>
                  <w:r>
                    <w:rPr>
                      <w:rFonts w:hint="eastAsia" w:ascii="宋体" w:hAnsi="宋体" w:eastAsia="宋体" w:cs="宋体"/>
                      <w:color w:val="auto"/>
                      <w:szCs w:val="21"/>
                    </w:rPr>
                    <w:t>m</w:t>
                  </w:r>
                  <w:r>
                    <w:rPr>
                      <w:rFonts w:hint="eastAsia" w:ascii="宋体" w:hAnsi="宋体" w:eastAsia="宋体" w:cs="宋体"/>
                      <w:color w:val="auto"/>
                      <w:szCs w:val="21"/>
                      <w:vertAlign w:val="superscript"/>
                    </w:rPr>
                    <w:t>2</w:t>
                  </w:r>
                  <w:r>
                    <w:rPr>
                      <w:rFonts w:hint="eastAsia" w:ascii="宋体" w:hAnsi="宋体" w:eastAsia="宋体" w:cs="宋体"/>
                      <w:color w:val="auto"/>
                      <w:szCs w:val="21"/>
                      <w:vertAlign w:val="baseline"/>
                      <w:lang w:val="en-US" w:eastAsia="zh-CN"/>
                    </w:rPr>
                    <w:t>渣池，四周建成0.5m高的围堰，定期洒水抑尘，粉尘无组织排放</w:t>
                  </w:r>
                </w:p>
              </w:tc>
            </w:tr>
            <w:tr w14:paraId="6E0FD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5C9C3A2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21902B3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5A29E08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柴油挥发废气</w:t>
                  </w:r>
                </w:p>
              </w:tc>
              <w:tc>
                <w:tcPr>
                  <w:tcW w:w="6065" w:type="dxa"/>
                  <w:tcBorders>
                    <w:tl2br w:val="nil"/>
                    <w:tr2bl w:val="nil"/>
                  </w:tcBorders>
                  <w:vAlign w:val="center"/>
                </w:tcPr>
                <w:p w14:paraId="526D82E0">
                  <w:pPr>
                    <w:keepNext w:val="0"/>
                    <w:keepLines w:val="0"/>
                    <w:suppressLineNumbers w:val="0"/>
                    <w:spacing w:before="0" w:beforeAutospacing="0" w:after="0" w:afterAutospacing="0" w:line="360" w:lineRule="exact"/>
                    <w:ind w:left="0" w:leftChars="0" w:right="0" w:rightChars="0"/>
                    <w:rPr>
                      <w:rFonts w:hint="eastAsia" w:ascii="宋体" w:hAnsi="宋体" w:eastAsia="宋体" w:cs="宋体"/>
                      <w:color w:val="auto"/>
                      <w:lang w:val="en-US" w:eastAsia="zh-CN"/>
                    </w:rPr>
                  </w:pPr>
                  <w:r>
                    <w:rPr>
                      <w:rFonts w:hint="eastAsia" w:ascii="宋体" w:hAnsi="宋体" w:eastAsia="宋体" w:cs="宋体"/>
                      <w:color w:val="auto"/>
                      <w:szCs w:val="21"/>
                    </w:rPr>
                    <w:t>柴油</w:t>
                  </w:r>
                  <w:r>
                    <w:rPr>
                      <w:rFonts w:hint="eastAsia" w:ascii="宋体" w:hAnsi="宋体" w:eastAsia="宋体" w:cs="宋体"/>
                      <w:color w:val="auto"/>
                      <w:szCs w:val="21"/>
                      <w:lang w:eastAsia="zh-CN"/>
                    </w:rPr>
                    <w:t>由</w:t>
                  </w:r>
                  <w:r>
                    <w:rPr>
                      <w:rFonts w:hint="eastAsia" w:ascii="宋体" w:hAnsi="宋体" w:eastAsia="宋体" w:cs="宋体"/>
                      <w:color w:val="auto"/>
                      <w:szCs w:val="21"/>
                    </w:rPr>
                    <w:t>油罐车</w:t>
                  </w:r>
                  <w:r>
                    <w:rPr>
                      <w:rFonts w:hint="eastAsia" w:ascii="宋体" w:hAnsi="宋体" w:eastAsia="宋体" w:cs="宋体"/>
                      <w:color w:val="auto"/>
                      <w:szCs w:val="21"/>
                      <w:lang w:eastAsia="zh-CN"/>
                    </w:rPr>
                    <w:t>运输进厂</w:t>
                  </w:r>
                  <w:r>
                    <w:rPr>
                      <w:rFonts w:hint="eastAsia" w:ascii="宋体" w:hAnsi="宋体" w:eastAsia="宋体" w:cs="宋体"/>
                      <w:color w:val="auto"/>
                      <w:szCs w:val="21"/>
                    </w:rPr>
                    <w:t>，采用密闭卸油方式，通过柴油泵将柴油罐内的油料输送至</w:t>
                  </w:r>
                  <w:r>
                    <w:rPr>
                      <w:rFonts w:hint="eastAsia" w:ascii="宋体" w:hAnsi="宋体" w:eastAsia="宋体" w:cs="宋体"/>
                      <w:color w:val="auto"/>
                      <w:szCs w:val="21"/>
                      <w:lang w:eastAsia="zh-CN"/>
                    </w:rPr>
                    <w:t>加油机</w:t>
                  </w:r>
                  <w:r>
                    <w:rPr>
                      <w:rFonts w:hint="eastAsia" w:ascii="宋体" w:hAnsi="宋体" w:eastAsia="宋体" w:cs="宋体"/>
                      <w:color w:val="auto"/>
                      <w:szCs w:val="21"/>
                    </w:rPr>
                    <w:t>，整个卸油、储油和输油过程全密闭，废气挥发量很小，</w:t>
                  </w:r>
                  <w:r>
                    <w:rPr>
                      <w:rFonts w:hint="eastAsia" w:ascii="宋体" w:hAnsi="宋体" w:eastAsia="宋体" w:cs="宋体"/>
                      <w:color w:val="auto"/>
                      <w:szCs w:val="21"/>
                      <w:lang w:eastAsia="zh-CN"/>
                    </w:rPr>
                    <w:t>储油过程挥发的少量废气经</w:t>
                  </w:r>
                  <w:r>
                    <w:rPr>
                      <w:rFonts w:hint="eastAsia" w:ascii="宋体" w:hAnsi="宋体" w:eastAsia="宋体" w:cs="宋体"/>
                      <w:color w:val="auto"/>
                      <w:szCs w:val="21"/>
                      <w:lang w:val="en-US" w:eastAsia="zh-CN"/>
                    </w:rPr>
                    <w:t>1根</w:t>
                  </w:r>
                  <w:r>
                    <w:rPr>
                      <w:rFonts w:hint="eastAsia" w:ascii="宋体" w:hAnsi="宋体" w:eastAsia="宋体" w:cs="宋体"/>
                      <w:color w:val="auto"/>
                      <w:szCs w:val="21"/>
                    </w:rPr>
                    <w:t>4m高的通气管排放</w:t>
                  </w:r>
                </w:p>
              </w:tc>
            </w:tr>
            <w:tr w14:paraId="3A84D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3468B37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460657B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6372128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油相卸油、储油过程挥发废气</w:t>
                  </w:r>
                </w:p>
              </w:tc>
              <w:tc>
                <w:tcPr>
                  <w:tcW w:w="6065" w:type="dxa"/>
                  <w:tcBorders>
                    <w:tl2br w:val="nil"/>
                    <w:tr2bl w:val="nil"/>
                  </w:tcBorders>
                  <w:vAlign w:val="center"/>
                </w:tcPr>
                <w:p w14:paraId="197E4DD9">
                  <w:pPr>
                    <w:pStyle w:val="10"/>
                    <w:keepNext w:val="0"/>
                    <w:keepLines w:val="0"/>
                    <w:suppressLineNumbers w:val="0"/>
                    <w:spacing w:before="0" w:beforeAutospacing="0" w:afterAutospacing="0"/>
                    <w:ind w:left="0" w:leftChars="0" w:right="0" w:rightChars="0" w:firstLine="0" w:firstLineChars="0"/>
                    <w:rPr>
                      <w:rFonts w:hint="eastAsia" w:ascii="宋体" w:hAnsi="宋体" w:eastAsia="宋体" w:cs="宋体"/>
                      <w:color w:val="auto"/>
                      <w:szCs w:val="21"/>
                    </w:rPr>
                  </w:pPr>
                  <w:r>
                    <w:rPr>
                      <w:rFonts w:hint="eastAsia" w:ascii="宋体" w:hAnsi="宋体" w:eastAsia="宋体" w:cs="宋体"/>
                      <w:color w:val="auto"/>
                      <w:sz w:val="21"/>
                      <w:szCs w:val="21"/>
                      <w:lang w:eastAsia="zh-CN"/>
                    </w:rPr>
                    <w:t>油相由</w:t>
                  </w:r>
                  <w:r>
                    <w:rPr>
                      <w:rFonts w:hint="eastAsia" w:ascii="宋体" w:hAnsi="宋体" w:eastAsia="宋体" w:cs="宋体"/>
                      <w:color w:val="auto"/>
                      <w:sz w:val="21"/>
                      <w:szCs w:val="21"/>
                    </w:rPr>
                    <w:t>油罐车</w:t>
                  </w:r>
                  <w:r>
                    <w:rPr>
                      <w:rFonts w:hint="eastAsia" w:ascii="宋体" w:hAnsi="宋体" w:eastAsia="宋体" w:cs="宋体"/>
                      <w:color w:val="auto"/>
                      <w:sz w:val="21"/>
                      <w:szCs w:val="21"/>
                      <w:lang w:eastAsia="zh-CN"/>
                    </w:rPr>
                    <w:t>运输进厂</w:t>
                  </w:r>
                  <w:r>
                    <w:rPr>
                      <w:rFonts w:hint="eastAsia" w:ascii="宋体" w:hAnsi="宋体" w:eastAsia="宋体" w:cs="宋体"/>
                      <w:color w:val="auto"/>
                      <w:sz w:val="21"/>
                      <w:szCs w:val="21"/>
                    </w:rPr>
                    <w:t>，采用密闭卸油方式，通过</w:t>
                  </w:r>
                  <w:r>
                    <w:rPr>
                      <w:rFonts w:hint="eastAsia" w:ascii="宋体" w:hAnsi="宋体" w:eastAsia="宋体" w:cs="宋体"/>
                      <w:color w:val="auto"/>
                      <w:sz w:val="21"/>
                      <w:szCs w:val="21"/>
                      <w:lang w:eastAsia="zh-CN"/>
                    </w:rPr>
                    <w:t>油相</w:t>
                  </w:r>
                  <w:r>
                    <w:rPr>
                      <w:rFonts w:hint="eastAsia" w:ascii="宋体" w:hAnsi="宋体" w:eastAsia="宋体" w:cs="宋体"/>
                      <w:color w:val="auto"/>
                      <w:sz w:val="21"/>
                      <w:szCs w:val="21"/>
                    </w:rPr>
                    <w:t>泵将</w:t>
                  </w:r>
                  <w:r>
                    <w:rPr>
                      <w:rFonts w:hint="eastAsia" w:ascii="宋体" w:hAnsi="宋体" w:eastAsia="宋体" w:cs="宋体"/>
                      <w:color w:val="auto"/>
                      <w:sz w:val="21"/>
                      <w:szCs w:val="21"/>
                      <w:lang w:eastAsia="zh-CN"/>
                    </w:rPr>
                    <w:t>油相</w:t>
                  </w:r>
                  <w:r>
                    <w:rPr>
                      <w:rFonts w:hint="eastAsia" w:ascii="宋体" w:hAnsi="宋体" w:eastAsia="宋体" w:cs="宋体"/>
                      <w:color w:val="auto"/>
                      <w:sz w:val="21"/>
                      <w:szCs w:val="21"/>
                    </w:rPr>
                    <w:t>罐内的油料输送至</w:t>
                  </w:r>
                  <w:r>
                    <w:rPr>
                      <w:rFonts w:hint="eastAsia" w:ascii="宋体" w:hAnsi="宋体" w:eastAsia="宋体" w:cs="宋体"/>
                      <w:color w:val="auto"/>
                      <w:sz w:val="21"/>
                      <w:szCs w:val="21"/>
                      <w:lang w:eastAsia="zh-CN"/>
                    </w:rPr>
                    <w:t>油相中转罐</w:t>
                  </w:r>
                  <w:r>
                    <w:rPr>
                      <w:rFonts w:hint="eastAsia" w:ascii="宋体" w:hAnsi="宋体" w:eastAsia="宋体" w:cs="宋体"/>
                      <w:color w:val="auto"/>
                      <w:sz w:val="21"/>
                      <w:szCs w:val="21"/>
                    </w:rPr>
                    <w:t>，整个卸油、储油和输油过程全密闭，废气挥发量很小，</w:t>
                  </w:r>
                  <w:r>
                    <w:rPr>
                      <w:rFonts w:hint="eastAsia" w:ascii="宋体" w:hAnsi="宋体" w:eastAsia="宋体" w:cs="宋体"/>
                      <w:color w:val="auto"/>
                      <w:sz w:val="21"/>
                      <w:szCs w:val="21"/>
                      <w:lang w:eastAsia="zh-CN"/>
                    </w:rPr>
                    <w:t>储油过程挥发的少量废气经</w:t>
                  </w:r>
                  <w:r>
                    <w:rPr>
                      <w:rFonts w:hint="eastAsia" w:ascii="宋体" w:hAnsi="宋体" w:eastAsia="宋体" w:cs="宋体"/>
                      <w:color w:val="auto"/>
                      <w:sz w:val="21"/>
                      <w:szCs w:val="21"/>
                      <w:lang w:val="en-US" w:eastAsia="zh-CN"/>
                    </w:rPr>
                    <w:t>1根</w:t>
                  </w:r>
                  <w:r>
                    <w:rPr>
                      <w:rFonts w:hint="eastAsia" w:ascii="宋体" w:hAnsi="宋体" w:eastAsia="宋体" w:cs="宋体"/>
                      <w:color w:val="auto"/>
                      <w:sz w:val="21"/>
                      <w:szCs w:val="21"/>
                    </w:rPr>
                    <w:t>4m高的通气管排放</w:t>
                  </w:r>
                </w:p>
              </w:tc>
            </w:tr>
            <w:tr w14:paraId="5D1FD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7DB83D9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25202CC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47ABBF9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硝酸铵水溶液挥发废气</w:t>
                  </w:r>
                </w:p>
              </w:tc>
              <w:tc>
                <w:tcPr>
                  <w:tcW w:w="6065" w:type="dxa"/>
                  <w:tcBorders>
                    <w:tl2br w:val="nil"/>
                    <w:tr2bl w:val="nil"/>
                  </w:tcBorders>
                  <w:vAlign w:val="center"/>
                </w:tcPr>
                <w:p w14:paraId="392F867C">
                  <w:pPr>
                    <w:keepNext w:val="0"/>
                    <w:keepLines w:val="0"/>
                    <w:suppressLineNumbers w:val="0"/>
                    <w:spacing w:before="0" w:beforeAutospacing="0" w:after="0" w:afterAutospacing="0" w:line="360" w:lineRule="exact"/>
                    <w:ind w:left="0" w:leftChars="0" w:right="0" w:rightChars="0"/>
                    <w:rPr>
                      <w:rFonts w:hint="eastAsia" w:ascii="宋体" w:hAnsi="宋体" w:eastAsia="宋体" w:cs="宋体"/>
                      <w:color w:val="auto"/>
                      <w:lang w:val="en-US" w:eastAsia="zh-CN"/>
                    </w:rPr>
                  </w:pPr>
                  <w:r>
                    <w:rPr>
                      <w:rFonts w:hint="eastAsia" w:ascii="宋体" w:hAnsi="宋体" w:eastAsia="宋体" w:cs="宋体"/>
                      <w:color w:val="000000" w:themeColor="text1"/>
                      <w:sz w:val="21"/>
                      <w:szCs w:val="21"/>
                      <w:lang w:eastAsia="zh-CN"/>
                      <w14:textFill>
                        <w14:solidFill>
                          <w14:schemeClr w14:val="tx1"/>
                        </w14:solidFill>
                      </w14:textFill>
                    </w:rPr>
                    <w:t>本项目硝酸铵水溶液稀释、水相配制过程均在全封闭的设备和管道中进行，整个过程中挥发的氨气非常少</w:t>
                  </w:r>
                </w:p>
              </w:tc>
            </w:tr>
            <w:tr w14:paraId="2A295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10E8E2F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4AF7935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737E132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油相使用过程挥发废气</w:t>
                  </w:r>
                </w:p>
              </w:tc>
              <w:tc>
                <w:tcPr>
                  <w:tcW w:w="6065" w:type="dxa"/>
                  <w:tcBorders>
                    <w:tl2br w:val="nil"/>
                    <w:tr2bl w:val="nil"/>
                  </w:tcBorders>
                  <w:vAlign w:val="center"/>
                </w:tcPr>
                <w:p w14:paraId="52FD59C1">
                  <w:pPr>
                    <w:keepNext w:val="0"/>
                    <w:keepLines w:val="0"/>
                    <w:suppressLineNumbers w:val="0"/>
                    <w:spacing w:before="0" w:beforeAutospacing="0" w:after="0" w:afterAutospacing="0" w:line="360" w:lineRule="exact"/>
                    <w:ind w:left="0" w:leftChars="0" w:right="0" w:rightChars="0"/>
                    <w:rPr>
                      <w:rFonts w:hint="eastAsia" w:ascii="宋体" w:hAnsi="宋体" w:eastAsia="宋体" w:cs="宋体"/>
                      <w:color w:val="auto"/>
                      <w:lang w:val="en-US" w:eastAsia="zh-CN"/>
                    </w:rPr>
                  </w:pPr>
                  <w:r>
                    <w:rPr>
                      <w:rFonts w:hint="eastAsia" w:ascii="宋体" w:hAnsi="宋体" w:eastAsia="宋体" w:cs="宋体"/>
                      <w:color w:val="auto"/>
                      <w:szCs w:val="21"/>
                      <w:lang w:eastAsia="zh-CN"/>
                    </w:rPr>
                    <w:t>生产环节挥发废气通过乳化基质智能制备工房</w:t>
                  </w:r>
                  <w:r>
                    <w:rPr>
                      <w:rFonts w:hint="eastAsia" w:ascii="宋体" w:hAnsi="宋体" w:eastAsia="宋体" w:cs="宋体"/>
                      <w:color w:val="auto"/>
                      <w:szCs w:val="21"/>
                    </w:rPr>
                    <w:t>设置的机械通风换气系统进行排出</w:t>
                  </w:r>
                  <w:r>
                    <w:rPr>
                      <w:rFonts w:hint="eastAsia" w:ascii="宋体" w:hAnsi="宋体" w:eastAsia="宋体" w:cs="宋体"/>
                      <w:color w:val="auto"/>
                      <w:szCs w:val="21"/>
                      <w:lang w:eastAsia="zh-CN"/>
                    </w:rPr>
                    <w:t>，无组织排放；储存过程中挥发废气通过油罐配套的通气管排出，无组织排放</w:t>
                  </w:r>
                </w:p>
              </w:tc>
            </w:tr>
            <w:tr w14:paraId="55073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1362EA4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restart"/>
                  <w:tcBorders>
                    <w:tl2br w:val="nil"/>
                    <w:tr2bl w:val="nil"/>
                  </w:tcBorders>
                  <w:vAlign w:val="center"/>
                </w:tcPr>
                <w:p w14:paraId="729009D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废水</w:t>
                  </w:r>
                </w:p>
              </w:tc>
              <w:tc>
                <w:tcPr>
                  <w:tcW w:w="962" w:type="dxa"/>
                  <w:tcBorders>
                    <w:tl2br w:val="nil"/>
                    <w:tr2bl w:val="nil"/>
                  </w:tcBorders>
                  <w:vAlign w:val="center"/>
                </w:tcPr>
                <w:p w14:paraId="459C8A9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生活</w:t>
                  </w:r>
                </w:p>
                <w:p w14:paraId="12BE6CA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污水</w:t>
                  </w:r>
                </w:p>
              </w:tc>
              <w:tc>
                <w:tcPr>
                  <w:tcW w:w="6065" w:type="dxa"/>
                  <w:tcBorders>
                    <w:tl2br w:val="nil"/>
                    <w:tr2bl w:val="nil"/>
                  </w:tcBorders>
                  <w:vAlign w:val="center"/>
                </w:tcPr>
                <w:p w14:paraId="5098A88F">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lang w:val="en-US" w:eastAsia="zh-CN"/>
                    </w:rPr>
                  </w:pPr>
                  <w:r>
                    <w:rPr>
                      <w:rFonts w:hint="eastAsia" w:ascii="宋体" w:hAnsi="宋体" w:eastAsia="宋体" w:cs="宋体"/>
                      <w:color w:val="auto"/>
                      <w:lang w:val="en-US" w:eastAsia="zh-CN"/>
                    </w:rPr>
                    <w:t>职工生活污水由化粪池收集后，委托内蒙古诚远服务有限公司拉运处理（排污处理协议见附件）。建成</w:t>
                  </w:r>
                  <w:r>
                    <w:rPr>
                      <w:rFonts w:hint="eastAsia" w:eastAsia="宋体" w:cs="宋体"/>
                      <w:color w:val="auto"/>
                      <w:lang w:val="en-US" w:eastAsia="zh-CN"/>
                    </w:rPr>
                    <w:t>1</w:t>
                  </w:r>
                  <w:r>
                    <w:rPr>
                      <w:rFonts w:hint="eastAsia" w:ascii="宋体" w:hAnsi="宋体" w:eastAsia="宋体" w:cs="宋体"/>
                      <w:color w:val="auto"/>
                      <w:lang w:val="en-US" w:eastAsia="zh-CN"/>
                    </w:rPr>
                    <w:t>座化粪池，钢筋混凝土结构，容积均为</w:t>
                  </w:r>
                  <w:r>
                    <w:rPr>
                      <w:rFonts w:hint="eastAsia" w:eastAsia="宋体" w:cs="宋体"/>
                      <w:color w:val="auto"/>
                      <w:lang w:val="en-US" w:eastAsia="zh-CN"/>
                    </w:rPr>
                    <w:t>30</w:t>
                  </w:r>
                  <w:r>
                    <w:rPr>
                      <w:rFonts w:hint="eastAsia" w:ascii="宋体" w:hAnsi="宋体" w:eastAsia="宋体" w:cs="宋体"/>
                      <w:color w:val="auto"/>
                      <w:lang w:val="en-US" w:eastAsia="zh-CN"/>
                    </w:rPr>
                    <w:t>m³</w:t>
                  </w:r>
                </w:p>
              </w:tc>
            </w:tr>
            <w:tr w14:paraId="0DDCB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217" w:hRule="atLeast"/>
                <w:jc w:val="center"/>
              </w:trPr>
              <w:tc>
                <w:tcPr>
                  <w:tcW w:w="640" w:type="dxa"/>
                  <w:vMerge w:val="continue"/>
                  <w:tcBorders>
                    <w:tl2br w:val="nil"/>
                    <w:tr2bl w:val="nil"/>
                  </w:tcBorders>
                  <w:vAlign w:val="center"/>
                </w:tcPr>
                <w:p w14:paraId="04C3C97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1DDD16A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7C9B155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锅炉及软水装置排污水</w:t>
                  </w:r>
                </w:p>
              </w:tc>
              <w:tc>
                <w:tcPr>
                  <w:tcW w:w="6065" w:type="dxa"/>
                  <w:tcBorders>
                    <w:tl2br w:val="nil"/>
                    <w:tr2bl w:val="nil"/>
                  </w:tcBorders>
                  <w:vAlign w:val="center"/>
                </w:tcPr>
                <w:p w14:paraId="1BC1D2C7">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rPr>
                  </w:pPr>
                  <w:r>
                    <w:rPr>
                      <w:rFonts w:hint="eastAsia" w:ascii="宋体" w:hAnsi="宋体" w:eastAsia="宋体" w:cs="宋体"/>
                      <w:color w:val="auto"/>
                      <w:szCs w:val="21"/>
                    </w:rPr>
                    <w:t>锅炉及软水装置排污水用于</w:t>
                  </w:r>
                  <w:r>
                    <w:rPr>
                      <w:rFonts w:hint="eastAsia" w:ascii="宋体" w:hAnsi="宋体" w:eastAsia="宋体" w:cs="宋体"/>
                      <w:color w:val="auto"/>
                      <w:szCs w:val="21"/>
                      <w:lang w:val="en-US" w:eastAsia="zh-CN"/>
                    </w:rPr>
                    <w:t>储煤场洒</w:t>
                  </w:r>
                  <w:r>
                    <w:rPr>
                      <w:rFonts w:hint="eastAsia" w:ascii="宋体" w:hAnsi="宋体" w:eastAsia="宋体" w:cs="宋体"/>
                      <w:color w:val="auto"/>
                      <w:szCs w:val="21"/>
                    </w:rPr>
                    <w:t>水抑尘</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不外排</w:t>
                  </w:r>
                </w:p>
              </w:tc>
            </w:tr>
            <w:tr w14:paraId="22D26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0" w:hRule="atLeast"/>
                <w:jc w:val="center"/>
              </w:trPr>
              <w:tc>
                <w:tcPr>
                  <w:tcW w:w="640" w:type="dxa"/>
                  <w:vMerge w:val="continue"/>
                  <w:tcBorders>
                    <w:tl2br w:val="nil"/>
                    <w:tr2bl w:val="nil"/>
                  </w:tcBorders>
                  <w:vAlign w:val="center"/>
                </w:tcPr>
                <w:p w14:paraId="0D18A96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0409280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0AE7AEE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eastAsia="宋体" w:cs="宋体"/>
                      <w:color w:val="auto"/>
                      <w:szCs w:val="21"/>
                      <w:lang w:eastAsia="zh-CN"/>
                    </w:rPr>
                    <w:t>脱硫除尘废水</w:t>
                  </w:r>
                </w:p>
              </w:tc>
              <w:tc>
                <w:tcPr>
                  <w:tcW w:w="6065" w:type="dxa"/>
                  <w:tcBorders>
                    <w:tl2br w:val="nil"/>
                    <w:tr2bl w:val="nil"/>
                  </w:tcBorders>
                  <w:vAlign w:val="center"/>
                </w:tcPr>
                <w:p w14:paraId="1D8F5076">
                  <w:pPr>
                    <w:keepNext w:val="0"/>
                    <w:keepLines w:val="0"/>
                    <w:suppressLineNumbers w:val="0"/>
                    <w:spacing w:before="0" w:beforeAutospacing="0" w:after="0" w:afterAutospacing="0" w:line="360" w:lineRule="exact"/>
                    <w:ind w:left="0" w:right="0"/>
                    <w:jc w:val="both"/>
                    <w:rPr>
                      <w:rFonts w:hint="default" w:ascii="宋体" w:hAnsi="宋体" w:eastAsia="宋体" w:cs="宋体"/>
                      <w:color w:val="auto"/>
                      <w:szCs w:val="21"/>
                      <w:lang w:val="en-US" w:eastAsia="zh-CN"/>
                    </w:rPr>
                  </w:pPr>
                  <w:r>
                    <w:rPr>
                      <w:rFonts w:hint="eastAsia" w:eastAsia="宋体" w:cs="宋体"/>
                      <w:color w:val="auto"/>
                      <w:szCs w:val="21"/>
                      <w:lang w:val="en-US" w:eastAsia="zh-CN"/>
                    </w:rPr>
                    <w:t>脱硫除尘废水循环使用，不外排</w:t>
                  </w:r>
                </w:p>
              </w:tc>
            </w:tr>
            <w:tr w14:paraId="72518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415AACA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restart"/>
                  <w:tcBorders>
                    <w:tl2br w:val="nil"/>
                    <w:tr2bl w:val="nil"/>
                  </w:tcBorders>
                  <w:vAlign w:val="center"/>
                </w:tcPr>
                <w:p w14:paraId="32D6DAB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固体废物</w:t>
                  </w:r>
                </w:p>
              </w:tc>
              <w:tc>
                <w:tcPr>
                  <w:tcW w:w="962" w:type="dxa"/>
                  <w:tcBorders>
                    <w:tl2br w:val="nil"/>
                    <w:tr2bl w:val="nil"/>
                  </w:tcBorders>
                  <w:vAlign w:val="center"/>
                </w:tcPr>
                <w:p w14:paraId="3EA3950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锅炉房</w:t>
                  </w:r>
                </w:p>
                <w:p w14:paraId="7C8C9DE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固废</w:t>
                  </w:r>
                </w:p>
              </w:tc>
              <w:tc>
                <w:tcPr>
                  <w:tcW w:w="6065" w:type="dxa"/>
                  <w:tcBorders>
                    <w:tl2br w:val="nil"/>
                    <w:tr2bl w:val="nil"/>
                  </w:tcBorders>
                  <w:vAlign w:val="center"/>
                </w:tcPr>
                <w:p w14:paraId="58428A47">
                  <w:pPr>
                    <w:keepNext w:val="0"/>
                    <w:keepLines w:val="0"/>
                    <w:suppressLineNumbers w:val="0"/>
                    <w:spacing w:before="0" w:beforeAutospacing="0" w:after="0" w:afterAutospacing="0" w:line="360" w:lineRule="exact"/>
                    <w:ind w:left="0" w:right="0"/>
                    <w:jc w:val="left"/>
                    <w:rPr>
                      <w:rFonts w:hint="default" w:ascii="宋体" w:hAnsi="宋体" w:eastAsia="宋体" w:cs="宋体"/>
                      <w:color w:val="auto"/>
                      <w:lang w:val="en-US" w:eastAsia="zh-CN"/>
                    </w:rPr>
                  </w:pPr>
                  <w:r>
                    <w:rPr>
                      <w:rFonts w:hint="eastAsia" w:ascii="宋体" w:hAnsi="宋体" w:eastAsia="宋体" w:cs="宋体"/>
                      <w:color w:val="auto"/>
                      <w:lang w:val="en-US" w:eastAsia="zh-CN"/>
                    </w:rPr>
                    <w:t>锅炉灰渣和脱硫渣暂存于渣池，用于矿区道路铺设</w:t>
                  </w:r>
                </w:p>
              </w:tc>
            </w:tr>
            <w:tr w14:paraId="1C99D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16F43FF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26EEBB5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2864EF4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废离子交换树脂</w:t>
                  </w:r>
                </w:p>
              </w:tc>
              <w:tc>
                <w:tcPr>
                  <w:tcW w:w="6065" w:type="dxa"/>
                  <w:tcBorders>
                    <w:tl2br w:val="nil"/>
                    <w:tr2bl w:val="nil"/>
                  </w:tcBorders>
                  <w:vAlign w:val="center"/>
                </w:tcPr>
                <w:p w14:paraId="0D067EB1">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软水装置产生的废离子交换树脂每5年更换一次，由厂家上门更换时直接带走，不在项目区暂存</w:t>
                  </w:r>
                </w:p>
              </w:tc>
            </w:tr>
            <w:tr w14:paraId="5BBE4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6581D59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14210FE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0954234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废包装袋</w:t>
                  </w:r>
                </w:p>
              </w:tc>
              <w:tc>
                <w:tcPr>
                  <w:tcW w:w="6065" w:type="dxa"/>
                  <w:tcBorders>
                    <w:tl2br w:val="nil"/>
                    <w:tr2bl w:val="nil"/>
                  </w:tcBorders>
                  <w:vAlign w:val="center"/>
                </w:tcPr>
                <w:p w14:paraId="2A72D6B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分类收集后外售废品回收单位</w:t>
                  </w:r>
                </w:p>
              </w:tc>
            </w:tr>
            <w:tr w14:paraId="4BEB2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4D21E90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54" w:type="dxa"/>
                  <w:vMerge w:val="continue"/>
                  <w:tcBorders>
                    <w:tl2br w:val="nil"/>
                    <w:tr2bl w:val="nil"/>
                  </w:tcBorders>
                  <w:vAlign w:val="center"/>
                </w:tcPr>
                <w:p w14:paraId="5FF26AE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62" w:type="dxa"/>
                  <w:tcBorders>
                    <w:tl2br w:val="nil"/>
                    <w:tr2bl w:val="nil"/>
                  </w:tcBorders>
                  <w:vAlign w:val="center"/>
                </w:tcPr>
                <w:p w14:paraId="244E6FC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生活</w:t>
                  </w:r>
                </w:p>
                <w:p w14:paraId="1BE7BF5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垃圾</w:t>
                  </w:r>
                </w:p>
              </w:tc>
              <w:tc>
                <w:tcPr>
                  <w:tcW w:w="6065" w:type="dxa"/>
                  <w:tcBorders>
                    <w:tl2br w:val="nil"/>
                    <w:tr2bl w:val="nil"/>
                  </w:tcBorders>
                  <w:vAlign w:val="center"/>
                </w:tcPr>
                <w:p w14:paraId="45FDCAEE">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项目区设有生活垃圾收集箱，定期送至内蒙古太平矿业有限公司垃圾收集点，集中处置</w:t>
                  </w:r>
                </w:p>
              </w:tc>
            </w:tr>
            <w:tr w14:paraId="16874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640" w:type="dxa"/>
                  <w:vMerge w:val="continue"/>
                  <w:tcBorders>
                    <w:tl2br w:val="nil"/>
                    <w:tr2bl w:val="nil"/>
                  </w:tcBorders>
                  <w:vAlign w:val="center"/>
                </w:tcPr>
                <w:p w14:paraId="7995275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16" w:type="dxa"/>
                  <w:gridSpan w:val="2"/>
                  <w:tcBorders>
                    <w:tl2br w:val="nil"/>
                    <w:tr2bl w:val="nil"/>
                  </w:tcBorders>
                  <w:vAlign w:val="center"/>
                </w:tcPr>
                <w:p w14:paraId="5377869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噪声</w:t>
                  </w:r>
                </w:p>
              </w:tc>
              <w:tc>
                <w:tcPr>
                  <w:tcW w:w="6065" w:type="dxa"/>
                  <w:tcBorders>
                    <w:tl2br w:val="nil"/>
                    <w:tr2bl w:val="nil"/>
                  </w:tcBorders>
                  <w:vAlign w:val="center"/>
                </w:tcPr>
                <w:p w14:paraId="5E231B8D">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rPr>
                  </w:pPr>
                  <w:r>
                    <w:rPr>
                      <w:rFonts w:hint="eastAsia" w:ascii="宋体" w:hAnsi="宋体" w:eastAsia="宋体" w:cs="宋体"/>
                      <w:szCs w:val="21"/>
                    </w:rPr>
                    <w:t>选购低噪声设备，生产设备均布置在全封闭厂房内，高噪声设备设置减振基础、柔性接头，定期维修养护</w:t>
                  </w:r>
                </w:p>
              </w:tc>
            </w:tr>
          </w:tbl>
          <w:p w14:paraId="353BA6BD">
            <w:pPr>
              <w:pStyle w:val="13"/>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（4）生产工艺</w:t>
            </w:r>
          </w:p>
          <w:p w14:paraId="10470668">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eastAsia="宋体" w:cs="宋体"/>
                <w:color w:val="auto"/>
                <w:sz w:val="24"/>
                <w:lang w:val="en-US" w:eastAsia="zh-CN"/>
              </w:rPr>
              <w:t>现有</w:t>
            </w:r>
            <w:r>
              <w:rPr>
                <w:rFonts w:hint="eastAsia" w:ascii="宋体" w:hAnsi="宋体" w:eastAsia="宋体" w:cs="宋体"/>
                <w:color w:val="auto"/>
                <w:sz w:val="24"/>
                <w:lang w:eastAsia="zh-CN"/>
              </w:rPr>
              <w:t>项目的现场混装乳化炸药地面站组成如图</w:t>
            </w:r>
            <w:r>
              <w:rPr>
                <w:rFonts w:hint="eastAsia" w:ascii="宋体" w:hAnsi="宋体" w:eastAsia="宋体" w:cs="宋体"/>
                <w:color w:val="auto"/>
                <w:sz w:val="24"/>
                <w:lang w:val="en-US" w:eastAsia="zh-CN"/>
              </w:rPr>
              <w:t>2-1</w:t>
            </w:r>
            <w:r>
              <w:rPr>
                <w:rFonts w:hint="eastAsia" w:ascii="宋体" w:hAnsi="宋体" w:eastAsia="宋体" w:cs="宋体"/>
                <w:color w:val="auto"/>
                <w:sz w:val="24"/>
                <w:lang w:eastAsia="zh-CN"/>
              </w:rPr>
              <w:t>所示，包括硝酸铵水溶液智能卸车及储存系统、水相溶液在线智能制备系统、油相溶液在线智能制备系统、智能乳化系统、自动控制系统、柠檬酸制备系统和敏化液智能制备系统。乳化炸药生产过程为单纯的混合，不涉及化学反应。</w:t>
            </w:r>
          </w:p>
          <w:p w14:paraId="35F8C1D1">
            <w:pPr>
              <w:pStyle w:val="10"/>
              <w:keepNext w:val="0"/>
              <w:keepLines w:val="0"/>
              <w:suppressLineNumbers w:val="0"/>
              <w:spacing w:before="0" w:beforeAutospacing="0" w:afterAutospacing="0"/>
              <w:ind w:left="2100" w:leftChars="0" w:right="0" w:hanging="2100" w:hangingChars="1000"/>
              <w:rPr>
                <w:rFonts w:hint="eastAsia" w:ascii="宋体" w:hAnsi="宋体" w:eastAsia="宋体" w:cs="宋体"/>
                <w:b/>
                <w:bCs/>
                <w:sz w:val="24"/>
                <w:szCs w:val="24"/>
                <w:lang w:eastAsia="zh-CN"/>
              </w:rPr>
            </w:pPr>
            <w:r>
              <w:rPr>
                <w:rFonts w:hint="eastAsia" w:ascii="宋体" w:hAnsi="宋体" w:eastAsia="宋体" w:cs="宋体"/>
              </w:rPr>
              <w:drawing>
                <wp:inline distT="0" distB="0" distL="114300" distR="114300">
                  <wp:extent cx="5235575" cy="2626995"/>
                  <wp:effectExtent l="0" t="0" r="3175" b="190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1"/>
                          <a:stretch>
                            <a:fillRect/>
                          </a:stretch>
                        </pic:blipFill>
                        <pic:spPr>
                          <a:xfrm>
                            <a:off x="0" y="0"/>
                            <a:ext cx="5235575" cy="2626995"/>
                          </a:xfrm>
                          <a:prstGeom prst="rect">
                            <a:avLst/>
                          </a:prstGeom>
                          <a:noFill/>
                          <a:ln>
                            <a:noFill/>
                          </a:ln>
                        </pic:spPr>
                      </pic:pic>
                    </a:graphicData>
                  </a:graphic>
                </wp:inline>
              </w:drawing>
            </w:r>
            <w:r>
              <w:rPr>
                <w:rFonts w:hint="eastAsia" w:ascii="宋体" w:hAnsi="宋体" w:eastAsia="宋体" w:cs="宋体"/>
                <w:b/>
                <w:bCs/>
                <w:sz w:val="24"/>
                <w:szCs w:val="24"/>
                <w:lang w:eastAsia="zh-CN"/>
              </w:rPr>
              <w:t>图</w:t>
            </w:r>
            <w:r>
              <w:rPr>
                <w:rFonts w:hint="eastAsia" w:ascii="宋体" w:hAnsi="宋体" w:eastAsia="宋体" w:cs="宋体"/>
                <w:b/>
                <w:bCs/>
                <w:sz w:val="24"/>
                <w:szCs w:val="24"/>
                <w:lang w:val="en-US" w:eastAsia="zh-CN"/>
              </w:rPr>
              <w:t>2-1</w:t>
            </w:r>
            <w:r>
              <w:rPr>
                <w:rFonts w:hint="eastAsia" w:ascii="宋体" w:hAnsi="宋体" w:eastAsia="宋体" w:cs="宋体"/>
                <w:b/>
                <w:bCs/>
                <w:sz w:val="24"/>
                <w:szCs w:val="24"/>
                <w:lang w:eastAsia="zh-CN"/>
              </w:rPr>
              <w:t xml:space="preserve"> 现场混装乳化炸药地面站组成</w:t>
            </w:r>
          </w:p>
          <w:p w14:paraId="38D78CEC">
            <w:pPr>
              <w:keepNext w:val="0"/>
              <w:keepLines w:val="0"/>
              <w:suppressLineNumbers w:val="0"/>
              <w:spacing w:before="0" w:beforeAutospacing="0" w:after="0" w:afterAutospacing="0" w:line="360" w:lineRule="auto"/>
              <w:ind w:left="0" w:right="0"/>
              <w:rPr>
                <w:rFonts w:hint="eastAsia" w:ascii="宋体" w:hAnsi="宋体" w:eastAsia="宋体" w:cs="宋体"/>
                <w:color w:val="auto"/>
                <w:sz w:val="24"/>
              </w:rPr>
            </w:pPr>
            <w:r>
              <w:rPr>
                <w:rFonts w:hint="default"/>
              </w:rPr>
              <w:drawing>
                <wp:inline distT="0" distB="0" distL="114300" distR="114300">
                  <wp:extent cx="5226685" cy="6904355"/>
                  <wp:effectExtent l="0" t="0" r="12065" b="10795"/>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12"/>
                          <a:stretch>
                            <a:fillRect/>
                          </a:stretch>
                        </pic:blipFill>
                        <pic:spPr>
                          <a:xfrm>
                            <a:off x="0" y="0"/>
                            <a:ext cx="5226685" cy="6904355"/>
                          </a:xfrm>
                          <a:prstGeom prst="rect">
                            <a:avLst/>
                          </a:prstGeom>
                          <a:noFill/>
                          <a:ln>
                            <a:noFill/>
                          </a:ln>
                        </pic:spPr>
                      </pic:pic>
                    </a:graphicData>
                  </a:graphic>
                </wp:inline>
              </w:drawing>
            </w:r>
          </w:p>
          <w:p w14:paraId="01AB92D4">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4"/>
                <w:lang w:val="en-US" w:eastAsia="zh-CN"/>
              </w:rPr>
            </w:pPr>
            <w:r>
              <w:rPr>
                <w:rFonts w:hint="eastAsia" w:ascii="宋体" w:hAnsi="宋体" w:eastAsia="宋体" w:cs="宋体"/>
                <w:b/>
                <w:bCs/>
                <w:color w:val="auto"/>
                <w:sz w:val="24"/>
                <w:lang w:eastAsia="zh-CN"/>
              </w:rPr>
              <w:t>图</w:t>
            </w:r>
            <w:r>
              <w:rPr>
                <w:rFonts w:hint="eastAsia" w:ascii="宋体" w:hAnsi="宋体" w:eastAsia="宋体" w:cs="宋体"/>
                <w:b/>
                <w:bCs/>
                <w:color w:val="auto"/>
                <w:sz w:val="24"/>
                <w:lang w:val="en-US" w:eastAsia="zh-CN"/>
              </w:rPr>
              <w:t>2-2 现场混装乳化基质生产工艺流程图及产污环节图</w:t>
            </w:r>
          </w:p>
          <w:p w14:paraId="508AF93C">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工艺流程简述：</w:t>
            </w:r>
          </w:p>
          <w:p w14:paraId="471A5AB5">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现场混装乳化炸药生产系统智能化技术生产工艺流程简述：</w:t>
            </w:r>
          </w:p>
          <w:p w14:paraId="4E04C5A7">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1）硝酸铵溶液智能卸车</w:t>
            </w:r>
          </w:p>
          <w:p w14:paraId="64AE7FD0">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将硝酸铵水溶液泵送至储罐中保温备用，卸车过程硝酸铵溶液在线加水稀释，系统自动地进行预热、冲阀、卸</w:t>
            </w:r>
            <w:r>
              <w:rPr>
                <w:rFonts w:hint="eastAsia" w:ascii="宋体" w:hAnsi="宋体" w:eastAsia="宋体" w:cs="宋体"/>
                <w:color w:val="auto"/>
                <w:sz w:val="24"/>
                <w:szCs w:val="24"/>
                <w:lang w:eastAsia="zh-CN"/>
              </w:rPr>
              <w:t>车、清洗</w:t>
            </w:r>
            <w:r>
              <w:rPr>
                <w:rFonts w:hint="eastAsia"/>
                <w:color w:val="auto"/>
                <w:sz w:val="24"/>
                <w:szCs w:val="24"/>
                <w:lang w:eastAsia="zh-CN"/>
              </w:rPr>
              <w:t>（</w:t>
            </w:r>
            <w:r>
              <w:rPr>
                <w:rFonts w:hint="eastAsia"/>
                <w:color w:val="auto"/>
                <w:sz w:val="24"/>
                <w:szCs w:val="24"/>
                <w:lang w:val="en-US" w:eastAsia="zh-CN"/>
              </w:rPr>
              <w:t>清洗管道后，通过磁力泵回到系统，循环利用</w:t>
            </w:r>
            <w:r>
              <w:rPr>
                <w:rFonts w:hint="eastAsia"/>
                <w:color w:val="auto"/>
                <w:sz w:val="24"/>
                <w:szCs w:val="24"/>
                <w:lang w:eastAsia="zh-CN"/>
              </w:rPr>
              <w:t>），</w:t>
            </w:r>
            <w:r>
              <w:rPr>
                <w:rFonts w:hint="eastAsia" w:ascii="宋体" w:hAnsi="宋体" w:eastAsia="宋体" w:cs="宋体"/>
                <w:color w:val="auto"/>
                <w:sz w:val="24"/>
                <w:lang w:eastAsia="zh-CN"/>
              </w:rPr>
              <w:t>减少了氨氮排放，实现硝酸铵溶液原料质量在线监测。同时实现了硝酸铵水溶液卸车智能化和绿色环保。</w:t>
            </w:r>
          </w:p>
          <w:p w14:paraId="40C37039">
            <w:pPr>
              <w:pStyle w:val="10"/>
              <w:keepNext w:val="0"/>
              <w:keepLines w:val="0"/>
              <w:suppressLineNumbers w:val="0"/>
              <w:spacing w:before="0" w:beforeAutospacing="0" w:afterAutospacing="0" w:line="360" w:lineRule="auto"/>
              <w:ind w:left="0" w:leftChars="0" w:right="0" w:firstLine="480" w:firstLineChars="200"/>
              <w:rPr>
                <w:rFonts w:hint="default"/>
                <w:sz w:val="24"/>
                <w:szCs w:val="24"/>
                <w:lang w:val="en-US" w:eastAsia="zh-CN"/>
              </w:rPr>
            </w:pPr>
            <w:r>
              <w:rPr>
                <w:rFonts w:hint="default"/>
                <w:sz w:val="24"/>
                <w:szCs w:val="24"/>
                <w:lang w:val="en-US" w:eastAsia="zh-CN"/>
              </w:rPr>
              <w:t>环境温度较低的情况下，需利用锅炉加热硝酸铵水溶液储存罐和中转存储罐，其余情况下硝酸铵稀释过程中自身放热的热量可满足生产要求，不需额外提供热源。</w:t>
            </w:r>
          </w:p>
          <w:p w14:paraId="522C4CB6">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2）水相在线智能制备系统</w:t>
            </w:r>
          </w:p>
          <w:p w14:paraId="2869BFA6">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本项目主要利用硝酸铵溶液储存及输送系统、柠檬酸添加系统在线制备水相溶液。</w:t>
            </w:r>
          </w:p>
          <w:p w14:paraId="47400EFF">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生产时，系统自动开启循环检测硝酸铵溶液浓度和温度是否符合工艺要求，若符合工艺要求，则将硝酸铵溶液输送至水相中转罐内，然后通过水相循环系统再次在线检测硝酸铵溶液温度、浓度，待其符合工艺要求时，方可由循环模式切换为乳化模式，通过柠檬酸添加系统在线PID调节其pH值，完成水相在线制备。</w:t>
            </w:r>
          </w:p>
          <w:p w14:paraId="4BFD939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3）油相在线智能制备系统</w:t>
            </w:r>
          </w:p>
          <w:p w14:paraId="71EE8C7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液态复合油相从储罐中经输送泵输送至油相中转罐后，通过夹套金属波纹管同管输送硝酸铵溶液，利用硝酸铵溶液自身热量实现油相在线加热。</w:t>
            </w:r>
          </w:p>
          <w:p w14:paraId="1AD3E6AF">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4）柠檬酸在线智能制备系统</w:t>
            </w:r>
          </w:p>
          <w:p w14:paraId="4F203078">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系统自动依据柠檬酸制备罐液位及工艺配比自动核算制备量、加水量和柠檬酸添加量，系统自动将水输送至柠檬酸制备罐内，并启动搅拌器，巡视人员按照自控系统提示量将柠檬酸倒入制备罐。配制完成后经检测密度合格后储存备用。</w:t>
            </w:r>
          </w:p>
          <w:p w14:paraId="2C69CDF2">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5）敏化剂在线智能制备系统</w:t>
            </w:r>
          </w:p>
          <w:p w14:paraId="352F2A3A">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系统自动依据敏化剂配制罐液位及工艺配比自动核算加水量和亚硝酸钠添加量，系统自动将水定量加入敏化剂制备罐内，并启动搅拌器，巡视人员按照自控系统提示量将亚硝酸钠倒入制备罐，经在线检测密度合格后储存备用。</w:t>
            </w:r>
          </w:p>
          <w:p w14:paraId="4922542F">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装车时，将装车软管自动插到位后，智能装车系统自动启泵将敏化剂定量装入混装炸药车相应专料箱中。</w:t>
            </w:r>
          </w:p>
          <w:p w14:paraId="4C2B159E">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6）乳化基质智能制备及装车系统</w:t>
            </w:r>
          </w:p>
          <w:p w14:paraId="0E06D473">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在线制备的油水相溶液按比例</w:t>
            </w:r>
            <w:r>
              <w:rPr>
                <w:rFonts w:hint="eastAsia" w:eastAsia="宋体" w:cs="宋体"/>
                <w:color w:val="auto"/>
                <w:sz w:val="24"/>
                <w:lang w:eastAsia="zh-CN"/>
              </w:rPr>
              <w:t>（</w:t>
            </w:r>
            <w:r>
              <w:rPr>
                <w:rFonts w:hint="eastAsia" w:ascii="宋体" w:hAnsi="宋体" w:eastAsia="宋体" w:cs="宋体"/>
                <w:color w:val="auto"/>
                <w:sz w:val="24"/>
                <w:lang w:eastAsia="zh-CN"/>
              </w:rPr>
              <w:t>10kg柴油和100kg硝酸铵</w:t>
            </w:r>
            <w:r>
              <w:rPr>
                <w:rFonts w:hint="eastAsia" w:eastAsia="宋体" w:cs="宋体"/>
                <w:color w:val="auto"/>
                <w:sz w:val="24"/>
                <w:lang w:eastAsia="zh-CN"/>
              </w:rPr>
              <w:t>）</w:t>
            </w:r>
            <w:r>
              <w:rPr>
                <w:rFonts w:hint="eastAsia" w:ascii="宋体" w:hAnsi="宋体" w:eastAsia="宋体" w:cs="宋体"/>
                <w:color w:val="auto"/>
                <w:sz w:val="24"/>
                <w:lang w:eastAsia="zh-CN"/>
              </w:rPr>
              <w:t>泵入连续式粗乳器</w:t>
            </w:r>
            <w:r>
              <w:rPr>
                <w:rFonts w:hint="eastAsia" w:eastAsia="宋体" w:cs="宋体"/>
                <w:color w:val="auto"/>
                <w:sz w:val="24"/>
                <w:lang w:val="en-US" w:eastAsia="zh-CN"/>
              </w:rPr>
              <w:t>搅拌</w:t>
            </w:r>
            <w:r>
              <w:rPr>
                <w:rFonts w:hint="eastAsia" w:ascii="宋体" w:hAnsi="宋体" w:eastAsia="宋体" w:cs="宋体"/>
                <w:color w:val="auto"/>
                <w:sz w:val="24"/>
                <w:lang w:eastAsia="zh-CN"/>
              </w:rPr>
              <w:t>，搅拌机起剪切作用，形成油保水性的乳化</w:t>
            </w:r>
            <w:r>
              <w:rPr>
                <w:rFonts w:hint="eastAsia" w:ascii="宋体" w:hAnsi="宋体" w:eastAsia="宋体" w:cs="宋体"/>
                <w:color w:val="auto"/>
                <w:sz w:val="24"/>
                <w:lang w:val="en-US" w:eastAsia="zh-CN"/>
              </w:rPr>
              <w:t>基</w:t>
            </w:r>
            <w:r>
              <w:rPr>
                <w:rFonts w:hint="eastAsia" w:ascii="宋体" w:hAnsi="宋体" w:eastAsia="宋体" w:cs="宋体"/>
                <w:color w:val="auto"/>
                <w:sz w:val="24"/>
                <w:lang w:eastAsia="zh-CN"/>
              </w:rPr>
              <w:t>质，乳化基质</w:t>
            </w:r>
            <w:r>
              <w:rPr>
                <w:rFonts w:hint="eastAsia" w:eastAsia="宋体" w:cs="宋体"/>
                <w:color w:val="auto"/>
                <w:sz w:val="24"/>
                <w:lang w:val="en-US" w:eastAsia="zh-CN"/>
              </w:rPr>
              <w:t>在</w:t>
            </w:r>
            <w:r>
              <w:rPr>
                <w:rFonts w:hint="eastAsia" w:ascii="宋体" w:hAnsi="宋体" w:eastAsia="宋体" w:cs="宋体"/>
                <w:color w:val="auto"/>
                <w:sz w:val="24"/>
                <w:lang w:eastAsia="zh-CN"/>
              </w:rPr>
              <w:t>粗乳罐形成稀乳后进行乳化基质循环，待粗乳液粘度及螺杆泵出口温度达到设定值后，由循环模式切换为输送模式后，经粗乳后的乳化基质泵送至精乳器精乳，通过螺杆泵和</w:t>
            </w:r>
            <w:r>
              <w:rPr>
                <w:rFonts w:hint="eastAsia" w:eastAsia="宋体" w:cs="宋体"/>
                <w:color w:val="auto"/>
                <w:sz w:val="24"/>
                <w:lang w:val="en-US" w:eastAsia="zh-CN"/>
              </w:rPr>
              <w:t>精</w:t>
            </w:r>
            <w:r>
              <w:rPr>
                <w:rFonts w:hint="eastAsia" w:ascii="宋体" w:hAnsi="宋体" w:eastAsia="宋体" w:cs="宋体"/>
                <w:color w:val="auto"/>
                <w:sz w:val="24"/>
                <w:lang w:eastAsia="zh-CN"/>
              </w:rPr>
              <w:t>乳器压力，在管道中一走一剪切更加均匀，最终精乳后</w:t>
            </w:r>
            <w:r>
              <w:rPr>
                <w:rFonts w:hint="eastAsia" w:eastAsia="宋体" w:cs="宋体"/>
                <w:color w:val="auto"/>
                <w:sz w:val="24"/>
                <w:lang w:eastAsia="zh-CN"/>
              </w:rPr>
              <w:t>的</w:t>
            </w:r>
            <w:r>
              <w:rPr>
                <w:rFonts w:hint="eastAsia" w:ascii="宋体" w:hAnsi="宋体" w:eastAsia="宋体" w:cs="宋体"/>
                <w:color w:val="auto"/>
                <w:sz w:val="24"/>
                <w:lang w:eastAsia="zh-CN"/>
              </w:rPr>
              <w:t>乳化基质直接泵送装入现场混装乳化炸药车，混装车乳胶基质料仓盖由司机控制自动开启、关闭，乳胶基质自动装车上料。</w:t>
            </w:r>
          </w:p>
          <w:p w14:paraId="2F602260">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eastAsia="宋体" w:cs="宋体"/>
                <w:color w:val="auto"/>
                <w:sz w:val="24"/>
                <w:lang w:val="en-US" w:eastAsia="zh-CN"/>
              </w:rPr>
              <w:t>7</w:t>
            </w:r>
            <w:r>
              <w:rPr>
                <w:rFonts w:hint="eastAsia" w:ascii="宋体" w:hAnsi="宋体" w:eastAsia="宋体" w:cs="宋体"/>
                <w:color w:val="auto"/>
                <w:sz w:val="24"/>
                <w:lang w:eastAsia="zh-CN"/>
              </w:rPr>
              <w:t>）现场混制炸药（不在本次评价范围内）</w:t>
            </w:r>
          </w:p>
          <w:p w14:paraId="74A8A82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现场混装炸药车在乳化基质制备工房装载乳化基质、敏化剂、水后，行驶至爆破作业现场，启动车上的输送、计量系统，将乳化基质和敏化剂按工艺配比装入炮孔中。</w:t>
            </w:r>
          </w:p>
          <w:p w14:paraId="53E8AB72">
            <w:pPr>
              <w:keepNext w:val="0"/>
              <w:keepLines w:val="0"/>
              <w:suppressLineNumbers w:val="0"/>
              <w:spacing w:before="0" w:beforeAutospacing="0" w:after="0" w:afterAutospacing="0" w:line="240" w:lineRule="auto"/>
              <w:ind w:left="0" w:right="0"/>
              <w:jc w:val="center"/>
              <w:rPr>
                <w:rFonts w:hint="eastAsia" w:ascii="宋体" w:hAnsi="宋体" w:eastAsia="宋体" w:cs="宋体"/>
                <w:b/>
                <w:bCs/>
                <w:color w:val="auto"/>
                <w:sz w:val="24"/>
                <w:lang w:val="en-US" w:eastAsia="zh-CN"/>
              </w:rPr>
            </w:pPr>
            <w:r>
              <w:rPr>
                <w:rFonts w:hint="eastAsia" w:ascii="宋体" w:hAnsi="宋体" w:eastAsia="宋体" w:cs="宋体"/>
                <w:b/>
                <w:bCs/>
                <w:color w:val="auto"/>
                <w:sz w:val="24"/>
                <w:lang w:eastAsia="zh-CN"/>
              </w:rPr>
              <w:t>表</w:t>
            </w:r>
            <w:r>
              <w:rPr>
                <w:rFonts w:hint="eastAsia" w:ascii="宋体" w:hAnsi="宋体" w:eastAsia="宋体" w:cs="宋体"/>
                <w:b/>
                <w:bCs/>
                <w:color w:val="auto"/>
                <w:sz w:val="24"/>
                <w:lang w:val="en-US" w:eastAsia="zh-CN"/>
              </w:rPr>
              <w:t>2-3 生产工艺技术参数表</w:t>
            </w:r>
          </w:p>
          <w:tbl>
            <w:tblPr>
              <w:tblStyle w:val="27"/>
              <w:tblW w:w="82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2"/>
              <w:gridCol w:w="6207"/>
            </w:tblGrid>
            <w:tr w14:paraId="10D6A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173ED2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关键工序名称</w:t>
                  </w:r>
                </w:p>
              </w:tc>
              <w:tc>
                <w:tcPr>
                  <w:tcW w:w="6207" w:type="dxa"/>
                  <w:vAlign w:val="center"/>
                </w:tcPr>
                <w:p w14:paraId="5C8748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主要工艺技术参数</w:t>
                  </w:r>
                </w:p>
              </w:tc>
            </w:tr>
            <w:tr w14:paraId="42B31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302415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粗乳器</w:t>
                  </w:r>
                </w:p>
              </w:tc>
              <w:tc>
                <w:tcPr>
                  <w:tcW w:w="6207" w:type="dxa"/>
                  <w:vAlign w:val="center"/>
                </w:tcPr>
                <w:p w14:paraId="1D0FC8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粗乳器转速 600r/min；乳化器乳胶出口温度上限：100℃</w:t>
                  </w:r>
                </w:p>
              </w:tc>
            </w:tr>
            <w:tr w14:paraId="26BAA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57272F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基质输送泵</w:t>
                  </w:r>
                </w:p>
              </w:tc>
              <w:tc>
                <w:tcPr>
                  <w:tcW w:w="6207" w:type="dxa"/>
                  <w:vAlign w:val="center"/>
                </w:tcPr>
                <w:p w14:paraId="425357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转速 150r/min</w:t>
                  </w:r>
                </w:p>
              </w:tc>
            </w:tr>
            <w:tr w14:paraId="16CCD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2EF8BF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液态硝酸铵卸车</w:t>
                  </w:r>
                </w:p>
              </w:tc>
              <w:tc>
                <w:tcPr>
                  <w:tcW w:w="6207" w:type="dxa"/>
                  <w:vAlign w:val="center"/>
                </w:tcPr>
                <w:p w14:paraId="40F8B6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卸车泵流量 850L/min、温度（上层）120℃，温度（下层）70℃</w:t>
                  </w:r>
                </w:p>
              </w:tc>
            </w:tr>
            <w:tr w14:paraId="4A9E8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462B56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水相配制</w:t>
                  </w:r>
                </w:p>
              </w:tc>
              <w:tc>
                <w:tcPr>
                  <w:tcW w:w="6207" w:type="dxa"/>
                  <w:vAlign w:val="center"/>
                </w:tcPr>
                <w:p w14:paraId="09BF2D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水相温度 80±2℃，密度 1.379±0.011g/cm³，PH 值 3.2±0.6</w:t>
                  </w:r>
                </w:p>
              </w:tc>
            </w:tr>
            <w:tr w14:paraId="25AF6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118703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油相储存</w:t>
                  </w:r>
                </w:p>
              </w:tc>
              <w:tc>
                <w:tcPr>
                  <w:tcW w:w="6207" w:type="dxa"/>
                  <w:vAlign w:val="center"/>
                </w:tcPr>
                <w:p w14:paraId="21585B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油相温度 60±5℃，密度 0.87±0.03g/cm³</w:t>
                  </w:r>
                </w:p>
              </w:tc>
            </w:tr>
            <w:tr w14:paraId="0CCB6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42" w:type="dxa"/>
                  <w:vAlign w:val="center"/>
                </w:tcPr>
                <w:p w14:paraId="451C17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乳化工艺</w:t>
                  </w:r>
                </w:p>
              </w:tc>
              <w:tc>
                <w:tcPr>
                  <w:tcW w:w="6207" w:type="dxa"/>
                  <w:vAlign w:val="center"/>
                </w:tcPr>
                <w:p w14:paraId="1240A3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压力 0.6-1.6MPa,温度 82.5±2.5℃，密度 1.315±0.035g/cm³，</w:t>
                  </w:r>
                </w:p>
                <w:p w14:paraId="180174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 w:val="21"/>
                      <w:szCs w:val="21"/>
                      <w:vertAlign w:val="baseline"/>
                      <w:lang w:eastAsia="zh-CN"/>
                    </w:rPr>
                  </w:pPr>
                  <w:r>
                    <w:rPr>
                      <w:rFonts w:hint="eastAsia" w:ascii="宋体" w:hAnsi="宋体" w:eastAsia="宋体" w:cs="宋体"/>
                      <w:color w:val="auto"/>
                      <w:sz w:val="21"/>
                      <w:szCs w:val="21"/>
                      <w:vertAlign w:val="baseline"/>
                      <w:lang w:eastAsia="zh-CN"/>
                    </w:rPr>
                    <w:t>粘度 27000±3000</w:t>
                  </w:r>
                </w:p>
              </w:tc>
            </w:tr>
          </w:tbl>
          <w:p w14:paraId="19ED5AFF">
            <w:pPr>
              <w:pStyle w:val="13"/>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lang w:eastAsia="zh-CN"/>
              </w:rPr>
            </w:pP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lang w:val="en-US" w:eastAsia="zh-CN"/>
              </w:rPr>
              <w:t>5</w:t>
            </w:r>
            <w:r>
              <w:rPr>
                <w:rFonts w:hint="eastAsia" w:ascii="宋体" w:hAnsi="宋体" w:eastAsia="宋体" w:cs="宋体"/>
                <w:b w:val="0"/>
                <w:bCs w:val="0"/>
                <w:color w:val="auto"/>
                <w:sz w:val="24"/>
                <w:lang w:eastAsia="zh-CN"/>
              </w:rPr>
              <w:t>）主要生产设备</w:t>
            </w:r>
          </w:p>
          <w:p w14:paraId="741CFE1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b w:val="0"/>
                <w:bCs w:val="0"/>
                <w:color w:val="auto"/>
                <w:sz w:val="24"/>
                <w:lang w:val="en-US" w:eastAsia="zh-CN"/>
              </w:rPr>
            </w:pPr>
            <w:r>
              <w:rPr>
                <w:rFonts w:hint="eastAsia" w:ascii="宋体" w:hAnsi="宋体" w:eastAsia="宋体" w:cs="宋体"/>
                <w:b w:val="0"/>
                <w:bCs w:val="0"/>
                <w:color w:val="auto"/>
                <w:sz w:val="24"/>
                <w:lang w:eastAsia="zh-CN"/>
              </w:rPr>
              <w:t>现有项目主要生产设备见下表</w:t>
            </w:r>
            <w:r>
              <w:rPr>
                <w:rFonts w:hint="eastAsia" w:ascii="宋体" w:hAnsi="宋体" w:eastAsia="宋体" w:cs="宋体"/>
                <w:b w:val="0"/>
                <w:bCs w:val="0"/>
                <w:color w:val="auto"/>
                <w:sz w:val="24"/>
                <w:lang w:val="en-US" w:eastAsia="zh-CN"/>
              </w:rPr>
              <w:t>2-4：</w:t>
            </w:r>
          </w:p>
          <w:p w14:paraId="7E117BA4">
            <w:pPr>
              <w:pStyle w:val="13"/>
              <w:keepNext w:val="0"/>
              <w:keepLines w:val="0"/>
              <w:suppressLineNumbers w:val="0"/>
              <w:spacing w:before="0" w:beforeAutospacing="0" w:after="0" w:afterAutospacing="0" w:line="240" w:lineRule="auto"/>
              <w:ind w:left="0" w:right="0"/>
              <w:jc w:val="center"/>
              <w:rPr>
                <w:rFonts w:hint="eastAsia" w:ascii="宋体" w:hAnsi="宋体" w:eastAsia="宋体" w:cs="宋体"/>
                <w:b/>
                <w:bCs/>
                <w:color w:val="auto"/>
                <w:sz w:val="24"/>
                <w:lang w:val="en-US" w:eastAsia="zh-CN"/>
              </w:rPr>
            </w:pPr>
            <w:r>
              <w:rPr>
                <w:rFonts w:hint="eastAsia" w:ascii="宋体" w:hAnsi="宋体" w:eastAsia="宋体" w:cs="宋体"/>
                <w:b/>
                <w:bCs/>
                <w:color w:val="auto"/>
                <w:sz w:val="24"/>
                <w:lang w:eastAsia="zh-CN"/>
              </w:rPr>
              <w:t>表</w:t>
            </w:r>
            <w:r>
              <w:rPr>
                <w:rFonts w:hint="eastAsia" w:ascii="宋体" w:hAnsi="宋体" w:eastAsia="宋体" w:cs="宋体"/>
                <w:b/>
                <w:bCs/>
                <w:color w:val="auto"/>
                <w:sz w:val="24"/>
                <w:lang w:val="en-US" w:eastAsia="zh-CN"/>
              </w:rPr>
              <w:t>2-4 现有项目主要生产设备一览表</w:t>
            </w:r>
          </w:p>
          <w:tbl>
            <w:tblPr>
              <w:tblStyle w:val="26"/>
              <w:tblW w:w="82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2544"/>
              <w:gridCol w:w="2432"/>
              <w:gridCol w:w="1177"/>
              <w:gridCol w:w="1266"/>
            </w:tblGrid>
            <w:tr w14:paraId="44590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A8F5B12">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rPr>
                  </w:pPr>
                  <w:r>
                    <w:rPr>
                      <w:rFonts w:hint="eastAsia" w:ascii="宋体" w:hAnsi="宋体" w:eastAsia="宋体" w:cs="宋体"/>
                      <w:b/>
                      <w:color w:val="auto"/>
                      <w:szCs w:val="21"/>
                    </w:rPr>
                    <w:t>序号</w:t>
                  </w:r>
                </w:p>
              </w:tc>
              <w:tc>
                <w:tcPr>
                  <w:tcW w:w="2544" w:type="dxa"/>
                  <w:tcBorders>
                    <w:tl2br w:val="nil"/>
                    <w:tr2bl w:val="nil"/>
                  </w:tcBorders>
                  <w:vAlign w:val="center"/>
                </w:tcPr>
                <w:p w14:paraId="53805412">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rPr>
                  </w:pPr>
                  <w:r>
                    <w:rPr>
                      <w:rFonts w:hint="eastAsia" w:ascii="宋体" w:hAnsi="宋体" w:eastAsia="宋体" w:cs="宋体"/>
                      <w:b/>
                      <w:color w:val="auto"/>
                      <w:szCs w:val="21"/>
                    </w:rPr>
                    <w:t>设备名称</w:t>
                  </w:r>
                </w:p>
              </w:tc>
              <w:tc>
                <w:tcPr>
                  <w:tcW w:w="2432" w:type="dxa"/>
                  <w:tcBorders>
                    <w:tl2br w:val="nil"/>
                    <w:tr2bl w:val="nil"/>
                  </w:tcBorders>
                  <w:vAlign w:val="center"/>
                </w:tcPr>
                <w:p w14:paraId="1E54F64E">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eastAsia="zh-CN"/>
                    </w:rPr>
                  </w:pPr>
                  <w:r>
                    <w:rPr>
                      <w:rFonts w:hint="eastAsia" w:ascii="宋体" w:hAnsi="宋体" w:eastAsia="宋体" w:cs="宋体"/>
                      <w:b/>
                      <w:color w:val="auto"/>
                      <w:szCs w:val="21"/>
                    </w:rPr>
                    <w:t>型号</w:t>
                  </w:r>
                  <w:r>
                    <w:rPr>
                      <w:rFonts w:hint="eastAsia" w:ascii="宋体" w:hAnsi="宋体" w:eastAsia="宋体" w:cs="宋体"/>
                      <w:b/>
                      <w:color w:val="auto"/>
                      <w:szCs w:val="21"/>
                      <w:lang w:eastAsia="zh-CN"/>
                    </w:rPr>
                    <w:t>和规格</w:t>
                  </w:r>
                </w:p>
              </w:tc>
              <w:tc>
                <w:tcPr>
                  <w:tcW w:w="1177" w:type="dxa"/>
                  <w:tcBorders>
                    <w:tl2br w:val="nil"/>
                    <w:tr2bl w:val="nil"/>
                  </w:tcBorders>
                  <w:vAlign w:val="center"/>
                </w:tcPr>
                <w:p w14:paraId="270155E7">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val="en-US" w:eastAsia="zh-CN"/>
                    </w:rPr>
                  </w:pPr>
                  <w:r>
                    <w:rPr>
                      <w:rFonts w:hint="eastAsia" w:ascii="宋体" w:hAnsi="宋体" w:eastAsia="宋体" w:cs="宋体"/>
                      <w:b/>
                      <w:color w:val="auto"/>
                      <w:szCs w:val="21"/>
                      <w:lang w:val="en-US" w:eastAsia="zh-CN"/>
                    </w:rPr>
                    <w:t>单位</w:t>
                  </w:r>
                </w:p>
              </w:tc>
              <w:tc>
                <w:tcPr>
                  <w:tcW w:w="1266" w:type="dxa"/>
                  <w:tcBorders>
                    <w:tl2br w:val="nil"/>
                    <w:tr2bl w:val="nil"/>
                  </w:tcBorders>
                  <w:vAlign w:val="center"/>
                </w:tcPr>
                <w:p w14:paraId="6B087C41">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eastAsia="zh-CN"/>
                    </w:rPr>
                  </w:pPr>
                  <w:r>
                    <w:rPr>
                      <w:rFonts w:hint="eastAsia" w:ascii="宋体" w:hAnsi="宋体" w:eastAsia="宋体" w:cs="宋体"/>
                      <w:b/>
                      <w:color w:val="auto"/>
                      <w:szCs w:val="21"/>
                      <w:lang w:val="en-US" w:eastAsia="zh-CN"/>
                    </w:rPr>
                    <w:t>数量</w:t>
                  </w:r>
                </w:p>
              </w:tc>
            </w:tr>
            <w:tr w14:paraId="1D6BD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21" w:type="dxa"/>
                  <w:gridSpan w:val="5"/>
                  <w:tcBorders>
                    <w:tl2br w:val="nil"/>
                    <w:tr2bl w:val="nil"/>
                  </w:tcBorders>
                  <w:vAlign w:val="center"/>
                </w:tcPr>
                <w:p w14:paraId="6876BEC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rPr>
                  </w:pPr>
                  <w:r>
                    <w:rPr>
                      <w:rFonts w:hint="eastAsia" w:ascii="宋体" w:hAnsi="宋体" w:eastAsia="宋体" w:cs="宋体"/>
                      <w:b/>
                      <w:bCs w:val="0"/>
                      <w:color w:val="auto"/>
                      <w:szCs w:val="21"/>
                    </w:rPr>
                    <w:t>乳胶基质制备</w:t>
                  </w:r>
                  <w:r>
                    <w:rPr>
                      <w:rFonts w:hint="eastAsia" w:ascii="宋体" w:hAnsi="宋体" w:eastAsia="宋体" w:cs="宋体"/>
                      <w:b/>
                      <w:bCs w:val="0"/>
                      <w:color w:val="auto"/>
                      <w:szCs w:val="21"/>
                      <w:lang w:eastAsia="zh-CN"/>
                    </w:rPr>
                    <w:t>工艺系统</w:t>
                  </w:r>
                </w:p>
              </w:tc>
            </w:tr>
            <w:tr w14:paraId="7FFF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335509A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c>
                <w:tcPr>
                  <w:tcW w:w="2544" w:type="dxa"/>
                  <w:tcBorders>
                    <w:tl2br w:val="nil"/>
                    <w:tr2bl w:val="nil"/>
                  </w:tcBorders>
                  <w:vAlign w:val="center"/>
                </w:tcPr>
                <w:p w14:paraId="371DADD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皮带输送机</w:t>
                  </w:r>
                </w:p>
              </w:tc>
              <w:tc>
                <w:tcPr>
                  <w:tcW w:w="2432" w:type="dxa"/>
                  <w:tcBorders>
                    <w:tl2br w:val="nil"/>
                    <w:tr2bl w:val="nil"/>
                  </w:tcBorders>
                  <w:vAlign w:val="center"/>
                </w:tcPr>
                <w:p w14:paraId="5B0A950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10t/h</w:t>
                  </w:r>
                </w:p>
              </w:tc>
              <w:tc>
                <w:tcPr>
                  <w:tcW w:w="1177" w:type="dxa"/>
                  <w:tcBorders>
                    <w:tl2br w:val="nil"/>
                    <w:tr2bl w:val="nil"/>
                  </w:tcBorders>
                  <w:vAlign w:val="center"/>
                </w:tcPr>
                <w:p w14:paraId="4E50F36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3D8E5FF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68517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70F9510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w:t>
                  </w:r>
                </w:p>
              </w:tc>
              <w:tc>
                <w:tcPr>
                  <w:tcW w:w="2544" w:type="dxa"/>
                  <w:tcBorders>
                    <w:tl2br w:val="nil"/>
                    <w:tr2bl w:val="nil"/>
                  </w:tcBorders>
                  <w:vAlign w:val="center"/>
                </w:tcPr>
                <w:p w14:paraId="2D64528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硝酸铵破碎机</w:t>
                  </w:r>
                  <w:r>
                    <w:rPr>
                      <w:rFonts w:hint="eastAsia" w:eastAsia="宋体" w:cs="宋体"/>
                      <w:b w:val="0"/>
                      <w:bCs/>
                      <w:color w:val="auto"/>
                      <w:szCs w:val="21"/>
                      <w:lang w:eastAsia="zh-CN"/>
                    </w:rPr>
                    <w:t>（</w:t>
                  </w:r>
                  <w:r>
                    <w:rPr>
                      <w:rFonts w:hint="eastAsia" w:eastAsia="宋体" w:cs="宋体"/>
                      <w:b w:val="0"/>
                      <w:bCs/>
                      <w:color w:val="auto"/>
                      <w:szCs w:val="21"/>
                      <w:lang w:val="en-US" w:eastAsia="zh-CN"/>
                    </w:rPr>
                    <w:t>备用</w:t>
                  </w:r>
                  <w:r>
                    <w:rPr>
                      <w:rFonts w:hint="eastAsia" w:eastAsia="宋体" w:cs="宋体"/>
                      <w:b w:val="0"/>
                      <w:bCs/>
                      <w:color w:val="auto"/>
                      <w:szCs w:val="21"/>
                      <w:lang w:eastAsia="zh-CN"/>
                    </w:rPr>
                    <w:t>）</w:t>
                  </w:r>
                </w:p>
              </w:tc>
              <w:tc>
                <w:tcPr>
                  <w:tcW w:w="2432" w:type="dxa"/>
                  <w:tcBorders>
                    <w:tl2br w:val="nil"/>
                    <w:tr2bl w:val="nil"/>
                  </w:tcBorders>
                  <w:vAlign w:val="center"/>
                </w:tcPr>
                <w:p w14:paraId="5E540CD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PGC-400型，10t/h</w:t>
                  </w:r>
                </w:p>
              </w:tc>
              <w:tc>
                <w:tcPr>
                  <w:tcW w:w="1177" w:type="dxa"/>
                  <w:tcBorders>
                    <w:tl2br w:val="nil"/>
                    <w:tr2bl w:val="nil"/>
                  </w:tcBorders>
                  <w:vAlign w:val="center"/>
                </w:tcPr>
                <w:p w14:paraId="182BAD4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4E7A46E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1850B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0110D3C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3</w:t>
                  </w:r>
                </w:p>
              </w:tc>
              <w:tc>
                <w:tcPr>
                  <w:tcW w:w="2544" w:type="dxa"/>
                  <w:tcBorders>
                    <w:tl2br w:val="nil"/>
                    <w:tr2bl w:val="nil"/>
                  </w:tcBorders>
                  <w:vAlign w:val="center"/>
                </w:tcPr>
                <w:p w14:paraId="772475B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螺旋输送机</w:t>
                  </w:r>
                </w:p>
              </w:tc>
              <w:tc>
                <w:tcPr>
                  <w:tcW w:w="2432" w:type="dxa"/>
                  <w:tcBorders>
                    <w:tl2br w:val="nil"/>
                    <w:tr2bl w:val="nil"/>
                  </w:tcBorders>
                  <w:vAlign w:val="center"/>
                </w:tcPr>
                <w:p w14:paraId="5A0718A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RGC-2300型，10t/h</w:t>
                  </w:r>
                </w:p>
              </w:tc>
              <w:tc>
                <w:tcPr>
                  <w:tcW w:w="1177" w:type="dxa"/>
                  <w:tcBorders>
                    <w:tl2br w:val="nil"/>
                    <w:tr2bl w:val="nil"/>
                  </w:tcBorders>
                  <w:vAlign w:val="center"/>
                </w:tcPr>
                <w:p w14:paraId="6A39FB5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70FDFCA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2D9BD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36C4895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4</w:t>
                  </w:r>
                </w:p>
              </w:tc>
              <w:tc>
                <w:tcPr>
                  <w:tcW w:w="2544" w:type="dxa"/>
                  <w:tcBorders>
                    <w:tl2br w:val="nil"/>
                    <w:tr2bl w:val="nil"/>
                  </w:tcBorders>
                  <w:vAlign w:val="center"/>
                </w:tcPr>
                <w:p w14:paraId="0CF04571">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水相输送泵</w:t>
                  </w:r>
                </w:p>
              </w:tc>
              <w:tc>
                <w:tcPr>
                  <w:tcW w:w="2432" w:type="dxa"/>
                  <w:tcBorders>
                    <w:tl2br w:val="nil"/>
                    <w:tr2bl w:val="nil"/>
                  </w:tcBorders>
                  <w:vAlign w:val="center"/>
                </w:tcPr>
                <w:p w14:paraId="0A8CF41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IHGB40-125</w:t>
                  </w:r>
                </w:p>
              </w:tc>
              <w:tc>
                <w:tcPr>
                  <w:tcW w:w="1177" w:type="dxa"/>
                  <w:tcBorders>
                    <w:tl2br w:val="nil"/>
                    <w:tr2bl w:val="nil"/>
                  </w:tcBorders>
                  <w:vAlign w:val="center"/>
                </w:tcPr>
                <w:p w14:paraId="0C318F3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7BE1981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67182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02" w:type="dxa"/>
                  <w:tcBorders>
                    <w:tl2br w:val="nil"/>
                    <w:tr2bl w:val="nil"/>
                  </w:tcBorders>
                  <w:vAlign w:val="center"/>
                </w:tcPr>
                <w:p w14:paraId="53F41E7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5</w:t>
                  </w:r>
                </w:p>
              </w:tc>
              <w:tc>
                <w:tcPr>
                  <w:tcW w:w="2544" w:type="dxa"/>
                  <w:tcBorders>
                    <w:tl2br w:val="nil"/>
                    <w:tr2bl w:val="nil"/>
                  </w:tcBorders>
                  <w:vAlign w:val="center"/>
                </w:tcPr>
                <w:p w14:paraId="4C2DFBC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水相制备罐</w:t>
                  </w:r>
                </w:p>
              </w:tc>
              <w:tc>
                <w:tcPr>
                  <w:tcW w:w="2432" w:type="dxa"/>
                  <w:tcBorders>
                    <w:tl2br w:val="nil"/>
                    <w:tr2bl w:val="nil"/>
                  </w:tcBorders>
                  <w:vAlign w:val="center"/>
                </w:tcPr>
                <w:p w14:paraId="686142F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V=3m³</w:t>
                  </w:r>
                </w:p>
              </w:tc>
              <w:tc>
                <w:tcPr>
                  <w:tcW w:w="1177" w:type="dxa"/>
                  <w:tcBorders>
                    <w:tl2br w:val="nil"/>
                    <w:tr2bl w:val="nil"/>
                  </w:tcBorders>
                  <w:vAlign w:val="center"/>
                </w:tcPr>
                <w:p w14:paraId="37B56051">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5A61212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31D74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shd w:val="clear" w:color="auto" w:fill="auto"/>
                  <w:vAlign w:val="center"/>
                </w:tcPr>
                <w:p w14:paraId="58ADA352">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6</w:t>
                  </w:r>
                </w:p>
              </w:tc>
              <w:tc>
                <w:tcPr>
                  <w:tcW w:w="2544" w:type="dxa"/>
                  <w:tcBorders>
                    <w:tl2br w:val="nil"/>
                    <w:tr2bl w:val="nil"/>
                  </w:tcBorders>
                  <w:shd w:val="clear" w:color="auto" w:fill="auto"/>
                  <w:vAlign w:val="center"/>
                </w:tcPr>
                <w:p w14:paraId="4C0568D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水相中转罐</w:t>
                  </w:r>
                </w:p>
              </w:tc>
              <w:tc>
                <w:tcPr>
                  <w:tcW w:w="2432" w:type="dxa"/>
                  <w:tcBorders>
                    <w:tl2br w:val="nil"/>
                    <w:tr2bl w:val="nil"/>
                  </w:tcBorders>
                  <w:shd w:val="clear" w:color="auto" w:fill="auto"/>
                  <w:vAlign w:val="center"/>
                </w:tcPr>
                <w:p w14:paraId="630DDCE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SXCG-7</w:t>
                  </w:r>
                  <w:r>
                    <w:rPr>
                      <w:rFonts w:hint="eastAsia" w:ascii="宋体" w:hAnsi="宋体" w:eastAsia="宋体" w:cs="宋体"/>
                      <w:b w:val="0"/>
                      <w:bCs/>
                      <w:color w:val="auto"/>
                      <w:szCs w:val="21"/>
                      <w:lang w:eastAsia="zh-CN"/>
                    </w:rPr>
                    <w:t>，7m</w:t>
                  </w:r>
                  <w:r>
                    <w:rPr>
                      <w:rFonts w:hint="eastAsia" w:ascii="宋体" w:hAnsi="宋体" w:eastAsia="宋体" w:cs="宋体"/>
                      <w:b w:val="0"/>
                      <w:bCs/>
                      <w:color w:val="auto"/>
                      <w:szCs w:val="21"/>
                      <w:vertAlign w:val="superscript"/>
                      <w:lang w:eastAsia="zh-CN"/>
                    </w:rPr>
                    <w:t>3</w:t>
                  </w:r>
                </w:p>
              </w:tc>
              <w:tc>
                <w:tcPr>
                  <w:tcW w:w="1177" w:type="dxa"/>
                  <w:tcBorders>
                    <w:tl2br w:val="nil"/>
                    <w:tr2bl w:val="nil"/>
                  </w:tcBorders>
                  <w:vAlign w:val="center"/>
                </w:tcPr>
                <w:p w14:paraId="4290D01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60744B0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56781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shd w:val="clear" w:color="auto" w:fill="auto"/>
                  <w:vAlign w:val="center"/>
                </w:tcPr>
                <w:p w14:paraId="75F685EE">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7</w:t>
                  </w:r>
                </w:p>
              </w:tc>
              <w:tc>
                <w:tcPr>
                  <w:tcW w:w="2544" w:type="dxa"/>
                  <w:tcBorders>
                    <w:tl2br w:val="nil"/>
                    <w:tr2bl w:val="nil"/>
                  </w:tcBorders>
                  <w:vAlign w:val="center"/>
                </w:tcPr>
                <w:p w14:paraId="25A5718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磁力驱动泵</w:t>
                  </w:r>
                </w:p>
              </w:tc>
              <w:tc>
                <w:tcPr>
                  <w:tcW w:w="2432" w:type="dxa"/>
                  <w:tcBorders>
                    <w:tl2br w:val="nil"/>
                    <w:tr2bl w:val="nil"/>
                  </w:tcBorders>
                  <w:vAlign w:val="center"/>
                </w:tcPr>
                <w:p w14:paraId="39A03139">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rPr>
                    <w:t>50TLS6-10C</w:t>
                  </w:r>
                  <w:r>
                    <w:rPr>
                      <w:rFonts w:hint="eastAsia" w:ascii="宋体" w:hAnsi="宋体" w:eastAsia="宋体" w:cs="宋体"/>
                      <w:b w:val="0"/>
                      <w:bCs/>
                      <w:color w:val="auto"/>
                      <w:szCs w:val="21"/>
                      <w:lang w:eastAsia="zh-CN"/>
                    </w:rPr>
                    <w:t xml:space="preserve">，10t </w:t>
                  </w:r>
                </w:p>
              </w:tc>
              <w:tc>
                <w:tcPr>
                  <w:tcW w:w="1177" w:type="dxa"/>
                  <w:tcBorders>
                    <w:tl2br w:val="nil"/>
                    <w:tr2bl w:val="nil"/>
                  </w:tcBorders>
                  <w:vAlign w:val="center"/>
                </w:tcPr>
                <w:p w14:paraId="524206A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7823E66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6E3C1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shd w:val="clear" w:color="auto" w:fill="auto"/>
                  <w:vAlign w:val="center"/>
                </w:tcPr>
                <w:p w14:paraId="779AC6E2">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8</w:t>
                  </w:r>
                </w:p>
              </w:tc>
              <w:tc>
                <w:tcPr>
                  <w:tcW w:w="2544" w:type="dxa"/>
                  <w:tcBorders>
                    <w:tl2br w:val="nil"/>
                    <w:tr2bl w:val="nil"/>
                  </w:tcBorders>
                  <w:vAlign w:val="center"/>
                </w:tcPr>
                <w:p w14:paraId="2D53C3F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油相中转罐</w:t>
                  </w:r>
                </w:p>
              </w:tc>
              <w:tc>
                <w:tcPr>
                  <w:tcW w:w="2432" w:type="dxa"/>
                  <w:tcBorders>
                    <w:tl2br w:val="nil"/>
                    <w:tr2bl w:val="nil"/>
                  </w:tcBorders>
                  <w:vAlign w:val="center"/>
                </w:tcPr>
                <w:p w14:paraId="5B915C2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rPr>
                  </w:pPr>
                  <w:r>
                    <w:rPr>
                      <w:rFonts w:hint="eastAsia" w:ascii="宋体" w:hAnsi="宋体" w:eastAsia="宋体" w:cs="宋体"/>
                      <w:b w:val="0"/>
                      <w:bCs/>
                      <w:color w:val="auto"/>
                      <w:szCs w:val="21"/>
                    </w:rPr>
                    <w:t>YXCG-2</w:t>
                  </w:r>
                  <w:r>
                    <w:rPr>
                      <w:rFonts w:hint="eastAsia" w:ascii="宋体" w:hAnsi="宋体" w:eastAsia="宋体" w:cs="宋体"/>
                      <w:b w:val="0"/>
                      <w:bCs/>
                      <w:color w:val="auto"/>
                      <w:szCs w:val="21"/>
                      <w:lang w:eastAsia="zh-CN"/>
                    </w:rPr>
                    <w:t>，</w:t>
                  </w:r>
                  <w:r>
                    <w:rPr>
                      <w:rFonts w:hint="eastAsia" w:ascii="宋体" w:hAnsi="宋体" w:eastAsia="宋体" w:cs="宋体"/>
                      <w:b w:val="0"/>
                      <w:bCs/>
                      <w:color w:val="auto"/>
                      <w:szCs w:val="21"/>
                      <w:lang w:val="en-US" w:eastAsia="zh-CN"/>
                    </w:rPr>
                    <w:t>1.7</w:t>
                  </w:r>
                  <w:r>
                    <w:rPr>
                      <w:rFonts w:hint="eastAsia" w:ascii="宋体" w:hAnsi="宋体" w:eastAsia="宋体" w:cs="宋体"/>
                      <w:b w:val="0"/>
                      <w:bCs/>
                      <w:color w:val="auto"/>
                      <w:szCs w:val="21"/>
                      <w:lang w:eastAsia="zh-CN"/>
                    </w:rPr>
                    <w:t>m</w:t>
                  </w:r>
                  <w:r>
                    <w:rPr>
                      <w:rFonts w:hint="eastAsia" w:ascii="宋体" w:hAnsi="宋体" w:eastAsia="宋体" w:cs="宋体"/>
                      <w:b w:val="0"/>
                      <w:bCs/>
                      <w:color w:val="auto"/>
                      <w:szCs w:val="21"/>
                      <w:vertAlign w:val="superscript"/>
                      <w:lang w:eastAsia="zh-CN"/>
                    </w:rPr>
                    <w:t>3</w:t>
                  </w:r>
                </w:p>
              </w:tc>
              <w:tc>
                <w:tcPr>
                  <w:tcW w:w="1177" w:type="dxa"/>
                  <w:tcBorders>
                    <w:tl2br w:val="nil"/>
                    <w:tr2bl w:val="nil"/>
                  </w:tcBorders>
                  <w:vAlign w:val="center"/>
                </w:tcPr>
                <w:p w14:paraId="4FC9C60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28A184A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28D00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03C686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9</w:t>
                  </w:r>
                </w:p>
              </w:tc>
              <w:tc>
                <w:tcPr>
                  <w:tcW w:w="2544" w:type="dxa"/>
                  <w:tcBorders>
                    <w:tl2br w:val="nil"/>
                    <w:tr2bl w:val="nil"/>
                  </w:tcBorders>
                  <w:vAlign w:val="center"/>
                </w:tcPr>
                <w:p w14:paraId="018605D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冷却水箱</w:t>
                  </w:r>
                </w:p>
              </w:tc>
              <w:tc>
                <w:tcPr>
                  <w:tcW w:w="2432" w:type="dxa"/>
                  <w:tcBorders>
                    <w:tl2br w:val="nil"/>
                    <w:tr2bl w:val="nil"/>
                  </w:tcBorders>
                  <w:vAlign w:val="center"/>
                </w:tcPr>
                <w:p w14:paraId="41D49249">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20L</w:t>
                  </w:r>
                </w:p>
              </w:tc>
              <w:tc>
                <w:tcPr>
                  <w:tcW w:w="1177" w:type="dxa"/>
                  <w:tcBorders>
                    <w:tl2br w:val="nil"/>
                    <w:tr2bl w:val="nil"/>
                  </w:tcBorders>
                  <w:vAlign w:val="center"/>
                </w:tcPr>
                <w:p w14:paraId="454BE65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75699D7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319FC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2C59833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10</w:t>
                  </w:r>
                </w:p>
              </w:tc>
              <w:tc>
                <w:tcPr>
                  <w:tcW w:w="2544" w:type="dxa"/>
                  <w:tcBorders>
                    <w:tl2br w:val="nil"/>
                    <w:tr2bl w:val="nil"/>
                  </w:tcBorders>
                  <w:vAlign w:val="center"/>
                </w:tcPr>
                <w:p w14:paraId="41F3113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微型磁力齿轮泵</w:t>
                  </w:r>
                </w:p>
              </w:tc>
              <w:tc>
                <w:tcPr>
                  <w:tcW w:w="2432" w:type="dxa"/>
                  <w:tcBorders>
                    <w:tl2br w:val="nil"/>
                    <w:tr2bl w:val="nil"/>
                  </w:tcBorders>
                  <w:vAlign w:val="center"/>
                </w:tcPr>
                <w:p w14:paraId="06E05E9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NP070</w:t>
                  </w:r>
                </w:p>
              </w:tc>
              <w:tc>
                <w:tcPr>
                  <w:tcW w:w="1177" w:type="dxa"/>
                  <w:tcBorders>
                    <w:tl2br w:val="nil"/>
                    <w:tr2bl w:val="nil"/>
                  </w:tcBorders>
                  <w:vAlign w:val="center"/>
                </w:tcPr>
                <w:p w14:paraId="02482FF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3836BF4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66724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F8DF2D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11</w:t>
                  </w:r>
                </w:p>
              </w:tc>
              <w:tc>
                <w:tcPr>
                  <w:tcW w:w="2544" w:type="dxa"/>
                  <w:tcBorders>
                    <w:tl2br w:val="nil"/>
                    <w:tr2bl w:val="nil"/>
                  </w:tcBorders>
                  <w:vAlign w:val="center"/>
                </w:tcPr>
                <w:p w14:paraId="4138688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油相过滤器</w:t>
                  </w:r>
                </w:p>
              </w:tc>
              <w:tc>
                <w:tcPr>
                  <w:tcW w:w="2432" w:type="dxa"/>
                  <w:tcBorders>
                    <w:tl2br w:val="nil"/>
                    <w:tr2bl w:val="nil"/>
                  </w:tcBorders>
                  <w:vAlign w:val="center"/>
                </w:tcPr>
                <w:p w14:paraId="7282A2F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非标</w:t>
                  </w:r>
                </w:p>
              </w:tc>
              <w:tc>
                <w:tcPr>
                  <w:tcW w:w="1177" w:type="dxa"/>
                  <w:tcBorders>
                    <w:tl2br w:val="nil"/>
                    <w:tr2bl w:val="nil"/>
                  </w:tcBorders>
                  <w:vAlign w:val="center"/>
                </w:tcPr>
                <w:p w14:paraId="469044E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台</w:t>
                  </w:r>
                </w:p>
              </w:tc>
              <w:tc>
                <w:tcPr>
                  <w:tcW w:w="1266" w:type="dxa"/>
                  <w:tcBorders>
                    <w:tl2br w:val="nil"/>
                    <w:tr2bl w:val="nil"/>
                  </w:tcBorders>
                  <w:vAlign w:val="center"/>
                </w:tcPr>
                <w:p w14:paraId="4B3CEF61">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13568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7E861B3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12</w:t>
                  </w:r>
                </w:p>
              </w:tc>
              <w:tc>
                <w:tcPr>
                  <w:tcW w:w="2544" w:type="dxa"/>
                  <w:tcBorders>
                    <w:tl2br w:val="nil"/>
                    <w:tr2bl w:val="nil"/>
                  </w:tcBorders>
                  <w:vAlign w:val="center"/>
                </w:tcPr>
                <w:p w14:paraId="072F043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磁驱齿轮泵</w:t>
                  </w:r>
                </w:p>
              </w:tc>
              <w:tc>
                <w:tcPr>
                  <w:tcW w:w="2432" w:type="dxa"/>
                  <w:tcBorders>
                    <w:tl2br w:val="nil"/>
                    <w:tr2bl w:val="nil"/>
                  </w:tcBorders>
                  <w:vAlign w:val="center"/>
                </w:tcPr>
                <w:p w14:paraId="095182F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NP1200型</w:t>
                  </w:r>
                </w:p>
              </w:tc>
              <w:tc>
                <w:tcPr>
                  <w:tcW w:w="1177" w:type="dxa"/>
                  <w:tcBorders>
                    <w:tl2br w:val="nil"/>
                    <w:tr2bl w:val="nil"/>
                  </w:tcBorders>
                  <w:vAlign w:val="center"/>
                </w:tcPr>
                <w:p w14:paraId="5B84BAF3">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401FAB17">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10DF5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73716189">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13</w:t>
                  </w:r>
                </w:p>
              </w:tc>
              <w:tc>
                <w:tcPr>
                  <w:tcW w:w="2544" w:type="dxa"/>
                  <w:tcBorders>
                    <w:tl2br w:val="nil"/>
                    <w:tr2bl w:val="nil"/>
                  </w:tcBorders>
                  <w:vAlign w:val="center"/>
                </w:tcPr>
                <w:p w14:paraId="08A3C0A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水相质量计量计</w:t>
                  </w:r>
                </w:p>
              </w:tc>
              <w:tc>
                <w:tcPr>
                  <w:tcW w:w="2432" w:type="dxa"/>
                  <w:tcBorders>
                    <w:tl2br w:val="nil"/>
                    <w:tr2bl w:val="nil"/>
                  </w:tcBorders>
                  <w:vAlign w:val="center"/>
                </w:tcPr>
                <w:p w14:paraId="7237615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F80-25</w:t>
                  </w:r>
                </w:p>
              </w:tc>
              <w:tc>
                <w:tcPr>
                  <w:tcW w:w="1177" w:type="dxa"/>
                  <w:tcBorders>
                    <w:tl2br w:val="nil"/>
                    <w:tr2bl w:val="nil"/>
                  </w:tcBorders>
                  <w:vAlign w:val="center"/>
                </w:tcPr>
                <w:p w14:paraId="1E0CEC5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0D2CF16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5AE62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6482335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14</w:t>
                  </w:r>
                </w:p>
              </w:tc>
              <w:tc>
                <w:tcPr>
                  <w:tcW w:w="2544" w:type="dxa"/>
                  <w:tcBorders>
                    <w:tl2br w:val="nil"/>
                    <w:tr2bl w:val="nil"/>
                  </w:tcBorders>
                  <w:vAlign w:val="center"/>
                </w:tcPr>
                <w:p w14:paraId="7F7652E3">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油相质量计量计</w:t>
                  </w:r>
                </w:p>
              </w:tc>
              <w:tc>
                <w:tcPr>
                  <w:tcW w:w="2432" w:type="dxa"/>
                  <w:tcBorders>
                    <w:tl2br w:val="nil"/>
                    <w:tr2bl w:val="nil"/>
                  </w:tcBorders>
                  <w:vAlign w:val="center"/>
                </w:tcPr>
                <w:p w14:paraId="4379346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rPr>
                  </w:pPr>
                  <w:r>
                    <w:rPr>
                      <w:rFonts w:hint="eastAsia" w:ascii="宋体" w:hAnsi="宋体" w:eastAsia="宋体" w:cs="宋体"/>
                      <w:b w:val="0"/>
                      <w:bCs/>
                      <w:color w:val="auto"/>
                      <w:szCs w:val="21"/>
                      <w:lang w:val="en-US" w:eastAsia="zh-CN"/>
                    </w:rPr>
                    <w:t>F80-15</w:t>
                  </w:r>
                </w:p>
              </w:tc>
              <w:tc>
                <w:tcPr>
                  <w:tcW w:w="1177" w:type="dxa"/>
                  <w:tcBorders>
                    <w:tl2br w:val="nil"/>
                    <w:tr2bl w:val="nil"/>
                  </w:tcBorders>
                  <w:vAlign w:val="center"/>
                </w:tcPr>
                <w:p w14:paraId="330D2E3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7C0F558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57D8F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6CF6165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15</w:t>
                  </w:r>
                </w:p>
              </w:tc>
              <w:tc>
                <w:tcPr>
                  <w:tcW w:w="2544" w:type="dxa"/>
                  <w:tcBorders>
                    <w:tl2br w:val="nil"/>
                    <w:tr2bl w:val="nil"/>
                  </w:tcBorders>
                  <w:vAlign w:val="center"/>
                </w:tcPr>
                <w:p w14:paraId="7A13322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粗乳器</w:t>
                  </w:r>
                </w:p>
              </w:tc>
              <w:tc>
                <w:tcPr>
                  <w:tcW w:w="2432" w:type="dxa"/>
                  <w:tcBorders>
                    <w:tl2br w:val="nil"/>
                    <w:tr2bl w:val="nil"/>
                  </w:tcBorders>
                  <w:vAlign w:val="center"/>
                </w:tcPr>
                <w:p w14:paraId="23911587">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rPr>
                  </w:pPr>
                  <w:r>
                    <w:rPr>
                      <w:rFonts w:hint="eastAsia" w:ascii="宋体" w:hAnsi="宋体" w:eastAsia="宋体" w:cs="宋体"/>
                      <w:b w:val="0"/>
                      <w:bCs/>
                      <w:color w:val="auto"/>
                      <w:szCs w:val="21"/>
                    </w:rPr>
                    <w:t>BKCRQ</w:t>
                  </w:r>
                </w:p>
              </w:tc>
              <w:tc>
                <w:tcPr>
                  <w:tcW w:w="1177" w:type="dxa"/>
                  <w:tcBorders>
                    <w:tl2br w:val="nil"/>
                    <w:tr2bl w:val="nil"/>
                  </w:tcBorders>
                  <w:vAlign w:val="center"/>
                </w:tcPr>
                <w:p w14:paraId="5B936B73">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03497D41">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52678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D5A9EA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16</w:t>
                  </w:r>
                </w:p>
              </w:tc>
              <w:tc>
                <w:tcPr>
                  <w:tcW w:w="2544" w:type="dxa"/>
                  <w:tcBorders>
                    <w:tl2br w:val="nil"/>
                    <w:tr2bl w:val="nil"/>
                  </w:tcBorders>
                  <w:vAlign w:val="center"/>
                </w:tcPr>
                <w:p w14:paraId="556B3CD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螺杆泵</w:t>
                  </w:r>
                </w:p>
              </w:tc>
              <w:tc>
                <w:tcPr>
                  <w:tcW w:w="2432" w:type="dxa"/>
                  <w:tcBorders>
                    <w:tl2br w:val="nil"/>
                    <w:tr2bl w:val="nil"/>
                  </w:tcBorders>
                  <w:vAlign w:val="center"/>
                </w:tcPr>
                <w:p w14:paraId="079B37A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rPr>
                  </w:pPr>
                  <w:r>
                    <w:rPr>
                      <w:rFonts w:hint="eastAsia" w:ascii="宋体" w:hAnsi="宋体" w:eastAsia="宋体" w:cs="宋体"/>
                      <w:b w:val="0"/>
                      <w:bCs/>
                      <w:color w:val="auto"/>
                      <w:szCs w:val="21"/>
                    </w:rPr>
                    <w:t>NM063SY03S18V</w:t>
                  </w:r>
                </w:p>
              </w:tc>
              <w:tc>
                <w:tcPr>
                  <w:tcW w:w="1177" w:type="dxa"/>
                  <w:tcBorders>
                    <w:tl2br w:val="nil"/>
                    <w:tr2bl w:val="nil"/>
                  </w:tcBorders>
                  <w:vAlign w:val="center"/>
                </w:tcPr>
                <w:p w14:paraId="036F213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31011CB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7415A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28EFCD3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17</w:t>
                  </w:r>
                </w:p>
              </w:tc>
              <w:tc>
                <w:tcPr>
                  <w:tcW w:w="2544" w:type="dxa"/>
                  <w:tcBorders>
                    <w:tl2br w:val="nil"/>
                    <w:tr2bl w:val="nil"/>
                  </w:tcBorders>
                  <w:vAlign w:val="center"/>
                </w:tcPr>
                <w:p w14:paraId="2263777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eastAsia="zh-CN"/>
                    </w:rPr>
                  </w:pPr>
                  <w:r>
                    <w:rPr>
                      <w:rFonts w:hint="eastAsia" w:ascii="宋体" w:hAnsi="宋体" w:eastAsia="宋体" w:cs="宋体"/>
                      <w:b w:val="0"/>
                      <w:bCs/>
                      <w:color w:val="auto"/>
                      <w:szCs w:val="21"/>
                      <w:lang w:eastAsia="zh-CN"/>
                    </w:rPr>
                    <w:t>精乳器</w:t>
                  </w:r>
                </w:p>
              </w:tc>
              <w:tc>
                <w:tcPr>
                  <w:tcW w:w="2432" w:type="dxa"/>
                  <w:tcBorders>
                    <w:tl2br w:val="nil"/>
                    <w:tr2bl w:val="nil"/>
                  </w:tcBorders>
                  <w:vAlign w:val="center"/>
                </w:tcPr>
                <w:p w14:paraId="47CA340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rPr>
                  </w:pPr>
                  <w:r>
                    <w:rPr>
                      <w:rFonts w:hint="eastAsia" w:ascii="宋体" w:hAnsi="宋体" w:eastAsia="宋体" w:cs="宋体"/>
                      <w:b w:val="0"/>
                      <w:bCs/>
                      <w:color w:val="auto"/>
                      <w:szCs w:val="21"/>
                    </w:rPr>
                    <w:t>BKNRHQ</w:t>
                  </w:r>
                </w:p>
              </w:tc>
              <w:tc>
                <w:tcPr>
                  <w:tcW w:w="1177" w:type="dxa"/>
                  <w:tcBorders>
                    <w:tl2br w:val="nil"/>
                    <w:tr2bl w:val="nil"/>
                  </w:tcBorders>
                  <w:vAlign w:val="center"/>
                </w:tcPr>
                <w:p w14:paraId="3C8D81D1">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套</w:t>
                  </w:r>
                </w:p>
              </w:tc>
              <w:tc>
                <w:tcPr>
                  <w:tcW w:w="1266" w:type="dxa"/>
                  <w:tcBorders>
                    <w:tl2br w:val="nil"/>
                    <w:tr2bl w:val="nil"/>
                  </w:tcBorders>
                  <w:vAlign w:val="center"/>
                </w:tcPr>
                <w:p w14:paraId="4BE0BB4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r>
            <w:tr w14:paraId="30AEF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168B38C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18</w:t>
                  </w:r>
                </w:p>
              </w:tc>
              <w:tc>
                <w:tcPr>
                  <w:tcW w:w="2544" w:type="dxa"/>
                  <w:tcBorders>
                    <w:tl2br w:val="nil"/>
                    <w:tr2bl w:val="nil"/>
                  </w:tcBorders>
                  <w:shd w:val="clear" w:color="auto" w:fill="auto"/>
                  <w:vAlign w:val="center"/>
                </w:tcPr>
                <w:p w14:paraId="122A103E">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敏化液配制罐</w:t>
                  </w:r>
                </w:p>
              </w:tc>
              <w:tc>
                <w:tcPr>
                  <w:tcW w:w="2432" w:type="dxa"/>
                  <w:tcBorders>
                    <w:tl2br w:val="nil"/>
                    <w:tr2bl w:val="nil"/>
                  </w:tcBorders>
                  <w:shd w:val="clear" w:color="auto" w:fill="auto"/>
                  <w:vAlign w:val="center"/>
                </w:tcPr>
                <w:p w14:paraId="46A3084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800L</w:t>
                  </w:r>
                </w:p>
              </w:tc>
              <w:tc>
                <w:tcPr>
                  <w:tcW w:w="1177" w:type="dxa"/>
                  <w:tcBorders>
                    <w:tl2br w:val="nil"/>
                    <w:tr2bl w:val="nil"/>
                  </w:tcBorders>
                  <w:shd w:val="clear" w:color="auto" w:fill="auto"/>
                  <w:vAlign w:val="center"/>
                </w:tcPr>
                <w:p w14:paraId="0623E9F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53C99EA6">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38431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121BEEFD">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19</w:t>
                  </w:r>
                </w:p>
              </w:tc>
              <w:tc>
                <w:tcPr>
                  <w:tcW w:w="2544" w:type="dxa"/>
                  <w:tcBorders>
                    <w:tl2br w:val="nil"/>
                    <w:tr2bl w:val="nil"/>
                  </w:tcBorders>
                  <w:shd w:val="clear" w:color="auto" w:fill="auto"/>
                  <w:vAlign w:val="center"/>
                </w:tcPr>
                <w:p w14:paraId="76337990">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敏化液输送泵</w:t>
                  </w:r>
                </w:p>
              </w:tc>
              <w:tc>
                <w:tcPr>
                  <w:tcW w:w="2432" w:type="dxa"/>
                  <w:tcBorders>
                    <w:tl2br w:val="nil"/>
                    <w:tr2bl w:val="nil"/>
                  </w:tcBorders>
                  <w:shd w:val="clear" w:color="auto" w:fill="auto"/>
                  <w:vAlign w:val="center"/>
                </w:tcPr>
                <w:p w14:paraId="0D0CE0E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IHGB25-125</w:t>
                  </w:r>
                </w:p>
              </w:tc>
              <w:tc>
                <w:tcPr>
                  <w:tcW w:w="1177" w:type="dxa"/>
                  <w:tcBorders>
                    <w:tl2br w:val="nil"/>
                    <w:tr2bl w:val="nil"/>
                  </w:tcBorders>
                  <w:shd w:val="clear" w:color="auto" w:fill="auto"/>
                  <w:vAlign w:val="center"/>
                </w:tcPr>
                <w:p w14:paraId="4792692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060835E0">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444B1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7B34573E">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20</w:t>
                  </w:r>
                </w:p>
              </w:tc>
              <w:tc>
                <w:tcPr>
                  <w:tcW w:w="2544" w:type="dxa"/>
                  <w:tcBorders>
                    <w:tl2br w:val="nil"/>
                    <w:tr2bl w:val="nil"/>
                  </w:tcBorders>
                  <w:shd w:val="clear" w:color="auto" w:fill="auto"/>
                  <w:vAlign w:val="center"/>
                </w:tcPr>
                <w:p w14:paraId="42A8E30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乳化液配制罐</w:t>
                  </w:r>
                </w:p>
              </w:tc>
              <w:tc>
                <w:tcPr>
                  <w:tcW w:w="2432" w:type="dxa"/>
                  <w:tcBorders>
                    <w:tl2br w:val="nil"/>
                    <w:tr2bl w:val="nil"/>
                  </w:tcBorders>
                  <w:shd w:val="clear" w:color="auto" w:fill="auto"/>
                  <w:vAlign w:val="center"/>
                </w:tcPr>
                <w:p w14:paraId="015A76D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MHYG-0.75</w:t>
                  </w:r>
                  <w:r>
                    <w:rPr>
                      <w:rFonts w:hint="eastAsia" w:ascii="宋体" w:hAnsi="宋体" w:eastAsia="宋体" w:cs="宋体"/>
                      <w:b w:val="0"/>
                      <w:bCs/>
                      <w:color w:val="auto"/>
                      <w:szCs w:val="21"/>
                      <w:lang w:eastAsia="zh-CN"/>
                    </w:rPr>
                    <w:t>，</w:t>
                  </w:r>
                  <w:r>
                    <w:rPr>
                      <w:rFonts w:hint="eastAsia" w:ascii="宋体" w:hAnsi="宋体" w:eastAsia="宋体" w:cs="宋体"/>
                      <w:b w:val="0"/>
                      <w:bCs/>
                      <w:color w:val="auto"/>
                      <w:szCs w:val="21"/>
                      <w:lang w:val="en-US" w:eastAsia="zh-CN"/>
                    </w:rPr>
                    <w:t>0.75</w:t>
                  </w:r>
                  <w:r>
                    <w:rPr>
                      <w:rFonts w:hint="eastAsia" w:ascii="宋体" w:hAnsi="宋体" w:eastAsia="宋体" w:cs="宋体"/>
                      <w:b w:val="0"/>
                      <w:bCs/>
                      <w:color w:val="auto"/>
                      <w:szCs w:val="21"/>
                      <w:lang w:eastAsia="zh-CN"/>
                    </w:rPr>
                    <w:t>m</w:t>
                  </w:r>
                  <w:r>
                    <w:rPr>
                      <w:rFonts w:hint="eastAsia" w:ascii="宋体" w:hAnsi="宋体" w:eastAsia="宋体" w:cs="宋体"/>
                      <w:b w:val="0"/>
                      <w:bCs/>
                      <w:color w:val="auto"/>
                      <w:szCs w:val="21"/>
                      <w:vertAlign w:val="superscript"/>
                      <w:lang w:eastAsia="zh-CN"/>
                    </w:rPr>
                    <w:t>3</w:t>
                  </w:r>
                </w:p>
              </w:tc>
              <w:tc>
                <w:tcPr>
                  <w:tcW w:w="1177" w:type="dxa"/>
                  <w:tcBorders>
                    <w:tl2br w:val="nil"/>
                    <w:tr2bl w:val="nil"/>
                  </w:tcBorders>
                  <w:shd w:val="clear" w:color="auto" w:fill="auto"/>
                  <w:vAlign w:val="center"/>
                </w:tcPr>
                <w:p w14:paraId="65F06AAE">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0D7FD61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6DFF0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63A813D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21</w:t>
                  </w:r>
                </w:p>
              </w:tc>
              <w:tc>
                <w:tcPr>
                  <w:tcW w:w="2544" w:type="dxa"/>
                  <w:tcBorders>
                    <w:tl2br w:val="nil"/>
                    <w:tr2bl w:val="nil"/>
                  </w:tcBorders>
                  <w:shd w:val="clear" w:color="auto" w:fill="auto"/>
                  <w:vAlign w:val="center"/>
                </w:tcPr>
                <w:p w14:paraId="31A082E8">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液态硝酸铵卸料输送泵</w:t>
                  </w:r>
                </w:p>
              </w:tc>
              <w:tc>
                <w:tcPr>
                  <w:tcW w:w="2432" w:type="dxa"/>
                  <w:tcBorders>
                    <w:tl2br w:val="nil"/>
                    <w:tr2bl w:val="nil"/>
                  </w:tcBorders>
                  <w:shd w:val="clear" w:color="auto" w:fill="auto"/>
                  <w:vAlign w:val="center"/>
                </w:tcPr>
                <w:p w14:paraId="5A00629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80CQGB-35</w:t>
                  </w:r>
                  <w:r>
                    <w:rPr>
                      <w:rFonts w:hint="eastAsia" w:ascii="宋体" w:hAnsi="宋体" w:eastAsia="宋体" w:cs="宋体"/>
                      <w:b w:val="0"/>
                      <w:bCs/>
                      <w:color w:val="auto"/>
                      <w:szCs w:val="21"/>
                      <w:lang w:eastAsia="zh-CN"/>
                    </w:rPr>
                    <w:t>，50m</w:t>
                  </w:r>
                  <w:r>
                    <w:rPr>
                      <w:rFonts w:hint="eastAsia" w:ascii="宋体" w:hAnsi="宋体" w:eastAsia="宋体" w:cs="宋体"/>
                      <w:b w:val="0"/>
                      <w:bCs/>
                      <w:color w:val="auto"/>
                      <w:szCs w:val="21"/>
                      <w:vertAlign w:val="superscript"/>
                      <w:lang w:eastAsia="zh-CN"/>
                    </w:rPr>
                    <w:t>3</w:t>
                  </w:r>
                  <w:r>
                    <w:rPr>
                      <w:rFonts w:hint="eastAsia" w:ascii="宋体" w:hAnsi="宋体" w:eastAsia="宋体" w:cs="宋体"/>
                      <w:b w:val="0"/>
                      <w:bCs/>
                      <w:color w:val="auto"/>
                      <w:szCs w:val="21"/>
                      <w:lang w:eastAsia="zh-CN"/>
                    </w:rPr>
                    <w:t>/h</w:t>
                  </w:r>
                </w:p>
              </w:tc>
              <w:tc>
                <w:tcPr>
                  <w:tcW w:w="1177" w:type="dxa"/>
                  <w:tcBorders>
                    <w:tl2br w:val="nil"/>
                    <w:tr2bl w:val="nil"/>
                  </w:tcBorders>
                  <w:shd w:val="clear" w:color="auto" w:fill="auto"/>
                  <w:vAlign w:val="center"/>
                </w:tcPr>
                <w:p w14:paraId="6249A79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79F46EA8">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70BF3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20A9B4C3">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22</w:t>
                  </w:r>
                </w:p>
              </w:tc>
              <w:tc>
                <w:tcPr>
                  <w:tcW w:w="2544" w:type="dxa"/>
                  <w:tcBorders>
                    <w:tl2br w:val="nil"/>
                    <w:tr2bl w:val="nil"/>
                  </w:tcBorders>
                  <w:shd w:val="clear" w:color="auto" w:fill="auto"/>
                  <w:vAlign w:val="center"/>
                </w:tcPr>
                <w:p w14:paraId="4F1DC09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硝酸铵水溶液储罐</w:t>
                  </w:r>
                </w:p>
              </w:tc>
              <w:tc>
                <w:tcPr>
                  <w:tcW w:w="2432" w:type="dxa"/>
                  <w:tcBorders>
                    <w:tl2br w:val="nil"/>
                    <w:tr2bl w:val="nil"/>
                  </w:tcBorders>
                  <w:shd w:val="clear" w:color="auto" w:fill="auto"/>
                  <w:vAlign w:val="center"/>
                </w:tcPr>
                <w:p w14:paraId="78769A6A">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WSJQ-III-80</w:t>
                  </w:r>
                  <w:r>
                    <w:rPr>
                      <w:rFonts w:hint="eastAsia" w:ascii="宋体" w:hAnsi="宋体" w:eastAsia="宋体" w:cs="宋体"/>
                      <w:b w:val="0"/>
                      <w:bCs/>
                      <w:color w:val="auto"/>
                      <w:szCs w:val="21"/>
                      <w:lang w:eastAsia="zh-CN"/>
                    </w:rPr>
                    <w:t>，</w:t>
                  </w:r>
                  <w:r>
                    <w:rPr>
                      <w:rFonts w:hint="eastAsia" w:ascii="宋体" w:hAnsi="宋体" w:eastAsia="宋体" w:cs="宋体"/>
                      <w:b w:val="0"/>
                      <w:bCs/>
                      <w:color w:val="auto"/>
                      <w:szCs w:val="21"/>
                      <w:lang w:val="en-US" w:eastAsia="zh-CN"/>
                    </w:rPr>
                    <w:t>80</w:t>
                  </w:r>
                  <w:r>
                    <w:rPr>
                      <w:rFonts w:hint="eastAsia" w:ascii="宋体" w:hAnsi="宋体" w:eastAsia="宋体" w:cs="宋体"/>
                      <w:b w:val="0"/>
                      <w:bCs/>
                      <w:color w:val="auto"/>
                      <w:szCs w:val="21"/>
                      <w:lang w:eastAsia="zh-CN"/>
                    </w:rPr>
                    <w:t>m</w:t>
                  </w:r>
                  <w:r>
                    <w:rPr>
                      <w:rFonts w:hint="eastAsia" w:ascii="宋体" w:hAnsi="宋体" w:eastAsia="宋体" w:cs="宋体"/>
                      <w:b w:val="0"/>
                      <w:bCs/>
                      <w:color w:val="auto"/>
                      <w:szCs w:val="21"/>
                      <w:vertAlign w:val="superscript"/>
                      <w:lang w:eastAsia="zh-CN"/>
                    </w:rPr>
                    <w:t>3</w:t>
                  </w:r>
                </w:p>
              </w:tc>
              <w:tc>
                <w:tcPr>
                  <w:tcW w:w="1177" w:type="dxa"/>
                  <w:tcBorders>
                    <w:tl2br w:val="nil"/>
                    <w:tr2bl w:val="nil"/>
                  </w:tcBorders>
                  <w:shd w:val="clear" w:color="auto" w:fill="auto"/>
                  <w:vAlign w:val="center"/>
                </w:tcPr>
                <w:p w14:paraId="2F64418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5377B9F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7F6CE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A75FE8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23</w:t>
                  </w:r>
                </w:p>
              </w:tc>
              <w:tc>
                <w:tcPr>
                  <w:tcW w:w="2544" w:type="dxa"/>
                  <w:tcBorders>
                    <w:tl2br w:val="nil"/>
                    <w:tr2bl w:val="nil"/>
                  </w:tcBorders>
                  <w:shd w:val="clear" w:color="auto" w:fill="auto"/>
                  <w:vAlign w:val="center"/>
                </w:tcPr>
                <w:p w14:paraId="588776FA">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柠檬酸配制罐</w:t>
                  </w:r>
                </w:p>
              </w:tc>
              <w:tc>
                <w:tcPr>
                  <w:tcW w:w="2432" w:type="dxa"/>
                  <w:tcBorders>
                    <w:tl2br w:val="nil"/>
                    <w:tr2bl w:val="nil"/>
                  </w:tcBorders>
                  <w:shd w:val="clear" w:color="auto" w:fill="auto"/>
                  <w:vAlign w:val="center"/>
                </w:tcPr>
                <w:p w14:paraId="32CE142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NMG-20</w:t>
                  </w:r>
                  <w:r>
                    <w:rPr>
                      <w:rFonts w:hint="eastAsia" w:ascii="宋体" w:hAnsi="宋体" w:eastAsia="宋体" w:cs="宋体"/>
                      <w:b w:val="0"/>
                      <w:bCs/>
                      <w:color w:val="auto"/>
                      <w:szCs w:val="21"/>
                      <w:lang w:eastAsia="zh-CN"/>
                    </w:rPr>
                    <w:t>，</w:t>
                  </w:r>
                  <w:r>
                    <w:rPr>
                      <w:rFonts w:hint="eastAsia" w:ascii="宋体" w:hAnsi="宋体" w:eastAsia="宋体" w:cs="宋体"/>
                      <w:b w:val="0"/>
                      <w:bCs/>
                      <w:color w:val="auto"/>
                      <w:szCs w:val="21"/>
                      <w:lang w:val="en-US" w:eastAsia="zh-CN"/>
                    </w:rPr>
                    <w:t>0.2</w:t>
                  </w:r>
                  <w:r>
                    <w:rPr>
                      <w:rFonts w:hint="eastAsia" w:ascii="宋体" w:hAnsi="宋体" w:eastAsia="宋体" w:cs="宋体"/>
                      <w:b w:val="0"/>
                      <w:bCs/>
                      <w:color w:val="auto"/>
                      <w:szCs w:val="21"/>
                      <w:lang w:eastAsia="zh-CN"/>
                    </w:rPr>
                    <w:t>m</w:t>
                  </w:r>
                  <w:r>
                    <w:rPr>
                      <w:rFonts w:hint="eastAsia" w:ascii="宋体" w:hAnsi="宋体" w:eastAsia="宋体" w:cs="宋体"/>
                      <w:b w:val="0"/>
                      <w:bCs/>
                      <w:color w:val="auto"/>
                      <w:szCs w:val="21"/>
                      <w:vertAlign w:val="superscript"/>
                      <w:lang w:eastAsia="zh-CN"/>
                    </w:rPr>
                    <w:t>3</w:t>
                  </w:r>
                </w:p>
              </w:tc>
              <w:tc>
                <w:tcPr>
                  <w:tcW w:w="1177" w:type="dxa"/>
                  <w:tcBorders>
                    <w:tl2br w:val="nil"/>
                    <w:tr2bl w:val="nil"/>
                  </w:tcBorders>
                  <w:shd w:val="clear" w:color="auto" w:fill="auto"/>
                  <w:vAlign w:val="center"/>
                </w:tcPr>
                <w:p w14:paraId="532C8BD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5AE2128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38150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8FBCD4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24</w:t>
                  </w:r>
                </w:p>
              </w:tc>
              <w:tc>
                <w:tcPr>
                  <w:tcW w:w="2544" w:type="dxa"/>
                  <w:tcBorders>
                    <w:tl2br w:val="nil"/>
                    <w:tr2bl w:val="nil"/>
                  </w:tcBorders>
                  <w:shd w:val="clear" w:color="auto" w:fill="auto"/>
                  <w:vAlign w:val="center"/>
                </w:tcPr>
                <w:p w14:paraId="159BFFCA">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复合油相储罐</w:t>
                  </w:r>
                </w:p>
              </w:tc>
              <w:tc>
                <w:tcPr>
                  <w:tcW w:w="2432" w:type="dxa"/>
                  <w:tcBorders>
                    <w:tl2br w:val="nil"/>
                    <w:tr2bl w:val="nil"/>
                  </w:tcBorders>
                  <w:shd w:val="clear" w:color="auto" w:fill="auto"/>
                  <w:vAlign w:val="center"/>
                </w:tcPr>
                <w:p w14:paraId="496DF67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color w:val="auto"/>
                      <w:szCs w:val="21"/>
                      <w:lang w:val="en-US" w:eastAsia="zh-CN"/>
                    </w:rPr>
                    <w:t>50m³</w:t>
                  </w:r>
                </w:p>
              </w:tc>
              <w:tc>
                <w:tcPr>
                  <w:tcW w:w="1177" w:type="dxa"/>
                  <w:tcBorders>
                    <w:tl2br w:val="nil"/>
                    <w:tr2bl w:val="nil"/>
                  </w:tcBorders>
                  <w:shd w:val="clear" w:color="auto" w:fill="auto"/>
                  <w:vAlign w:val="center"/>
                </w:tcPr>
                <w:p w14:paraId="27694DE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48FF48B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065F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31357B2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25</w:t>
                  </w:r>
                </w:p>
              </w:tc>
              <w:tc>
                <w:tcPr>
                  <w:tcW w:w="2544" w:type="dxa"/>
                  <w:tcBorders>
                    <w:tl2br w:val="nil"/>
                    <w:tr2bl w:val="nil"/>
                  </w:tcBorders>
                  <w:shd w:val="clear" w:color="auto" w:fill="auto"/>
                  <w:vAlign w:val="center"/>
                </w:tcPr>
                <w:p w14:paraId="042FD5CA">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事故泄漏罐</w:t>
                  </w:r>
                </w:p>
              </w:tc>
              <w:tc>
                <w:tcPr>
                  <w:tcW w:w="2432" w:type="dxa"/>
                  <w:tcBorders>
                    <w:tl2br w:val="nil"/>
                    <w:tr2bl w:val="nil"/>
                  </w:tcBorders>
                  <w:shd w:val="clear" w:color="auto" w:fill="auto"/>
                  <w:vAlign w:val="center"/>
                </w:tcPr>
                <w:p w14:paraId="7644B3A2">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80m³</w:t>
                  </w:r>
                </w:p>
              </w:tc>
              <w:tc>
                <w:tcPr>
                  <w:tcW w:w="1177" w:type="dxa"/>
                  <w:tcBorders>
                    <w:tl2br w:val="nil"/>
                    <w:tr2bl w:val="nil"/>
                  </w:tcBorders>
                  <w:shd w:val="clear" w:color="auto" w:fill="auto"/>
                  <w:vAlign w:val="center"/>
                </w:tcPr>
                <w:p w14:paraId="4646F212">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套</w:t>
                  </w:r>
                </w:p>
              </w:tc>
              <w:tc>
                <w:tcPr>
                  <w:tcW w:w="1266" w:type="dxa"/>
                  <w:tcBorders>
                    <w:tl2br w:val="nil"/>
                    <w:tr2bl w:val="nil"/>
                  </w:tcBorders>
                  <w:shd w:val="clear" w:color="auto" w:fill="auto"/>
                  <w:vAlign w:val="center"/>
                </w:tcPr>
                <w:p w14:paraId="20187B2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7E0B4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7B0CAEB8">
                  <w:pPr>
                    <w:keepNext w:val="0"/>
                    <w:keepLines w:val="0"/>
                    <w:suppressLineNumbers w:val="0"/>
                    <w:spacing w:before="0" w:beforeAutospacing="0" w:after="0" w:afterAutospacing="0" w:line="360" w:lineRule="exact"/>
                    <w:ind w:left="0" w:right="0"/>
                    <w:jc w:val="center"/>
                    <w:rPr>
                      <w:rFonts w:hint="default" w:ascii="宋体" w:hAnsi="宋体" w:eastAsia="宋体" w:cs="宋体"/>
                      <w:b w:val="0"/>
                      <w:bCs/>
                      <w:color w:val="auto"/>
                      <w:szCs w:val="21"/>
                      <w:lang w:val="en-US" w:eastAsia="zh-CN"/>
                    </w:rPr>
                  </w:pPr>
                  <w:r>
                    <w:rPr>
                      <w:rFonts w:hint="eastAsia" w:eastAsia="宋体" w:cs="宋体"/>
                      <w:b w:val="0"/>
                      <w:bCs/>
                      <w:color w:val="auto"/>
                      <w:szCs w:val="21"/>
                      <w:lang w:val="en-US" w:eastAsia="zh-CN"/>
                    </w:rPr>
                    <w:t>26</w:t>
                  </w:r>
                </w:p>
              </w:tc>
              <w:tc>
                <w:tcPr>
                  <w:tcW w:w="2544" w:type="dxa"/>
                  <w:tcBorders>
                    <w:tl2br w:val="nil"/>
                    <w:tr2bl w:val="nil"/>
                  </w:tcBorders>
                  <w:shd w:val="clear" w:color="auto" w:fill="auto"/>
                  <w:vAlign w:val="center"/>
                </w:tcPr>
                <w:p w14:paraId="7CD65A5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eastAsia="zh-CN"/>
                    </w:rPr>
                    <w:t>操控终端</w:t>
                  </w:r>
                </w:p>
              </w:tc>
              <w:tc>
                <w:tcPr>
                  <w:tcW w:w="2432" w:type="dxa"/>
                  <w:tcBorders>
                    <w:tl2br w:val="nil"/>
                    <w:tr2bl w:val="nil"/>
                  </w:tcBorders>
                  <w:shd w:val="clear" w:color="auto" w:fill="auto"/>
                  <w:vAlign w:val="center"/>
                </w:tcPr>
                <w:p w14:paraId="55E9E6D8">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p>
              </w:tc>
              <w:tc>
                <w:tcPr>
                  <w:tcW w:w="1177" w:type="dxa"/>
                  <w:tcBorders>
                    <w:tl2br w:val="nil"/>
                    <w:tr2bl w:val="nil"/>
                  </w:tcBorders>
                  <w:shd w:val="clear" w:color="auto" w:fill="auto"/>
                  <w:vAlign w:val="center"/>
                </w:tcPr>
                <w:p w14:paraId="195BBB50">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台</w:t>
                  </w:r>
                </w:p>
              </w:tc>
              <w:tc>
                <w:tcPr>
                  <w:tcW w:w="1266" w:type="dxa"/>
                  <w:tcBorders>
                    <w:tl2br w:val="nil"/>
                    <w:tr2bl w:val="nil"/>
                  </w:tcBorders>
                  <w:shd w:val="clear" w:color="auto" w:fill="auto"/>
                  <w:vAlign w:val="center"/>
                </w:tcPr>
                <w:p w14:paraId="168A8E7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1</w:t>
                  </w:r>
                </w:p>
              </w:tc>
            </w:tr>
            <w:tr w14:paraId="6294B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21" w:type="dxa"/>
                  <w:gridSpan w:val="5"/>
                  <w:tcBorders>
                    <w:tl2br w:val="nil"/>
                    <w:tr2bl w:val="nil"/>
                  </w:tcBorders>
                  <w:vAlign w:val="center"/>
                </w:tcPr>
                <w:p w14:paraId="190D2988">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val="en-US" w:eastAsia="zh-CN"/>
                    </w:rPr>
                  </w:pPr>
                  <w:r>
                    <w:rPr>
                      <w:rFonts w:hint="eastAsia" w:ascii="宋体" w:hAnsi="宋体" w:eastAsia="宋体" w:cs="宋体"/>
                      <w:b/>
                      <w:color w:val="auto"/>
                      <w:szCs w:val="21"/>
                      <w:lang w:val="en-US" w:eastAsia="zh-CN"/>
                    </w:rPr>
                    <w:t>供热系统</w:t>
                  </w:r>
                </w:p>
              </w:tc>
            </w:tr>
            <w:tr w14:paraId="69116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7235E7C6">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1</w:t>
                  </w:r>
                </w:p>
              </w:tc>
              <w:tc>
                <w:tcPr>
                  <w:tcW w:w="2544" w:type="dxa"/>
                  <w:tcBorders>
                    <w:tl2br w:val="nil"/>
                    <w:tr2bl w:val="nil"/>
                  </w:tcBorders>
                  <w:vAlign w:val="center"/>
                </w:tcPr>
                <w:p w14:paraId="3C7739CC">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燃</w:t>
                  </w:r>
                  <w:r>
                    <w:rPr>
                      <w:rFonts w:hint="eastAsia" w:ascii="宋体" w:hAnsi="宋体" w:eastAsia="宋体" w:cs="宋体"/>
                      <w:bCs/>
                      <w:color w:val="auto"/>
                      <w:szCs w:val="21"/>
                      <w:lang w:val="en-US" w:eastAsia="zh-CN"/>
                    </w:rPr>
                    <w:t>煤</w:t>
                  </w:r>
                  <w:r>
                    <w:rPr>
                      <w:rFonts w:hint="eastAsia" w:ascii="宋体" w:hAnsi="宋体" w:eastAsia="宋体" w:cs="宋体"/>
                      <w:bCs/>
                      <w:color w:val="auto"/>
                      <w:szCs w:val="21"/>
                    </w:rPr>
                    <w:t>蒸汽锅炉</w:t>
                  </w:r>
                </w:p>
              </w:tc>
              <w:tc>
                <w:tcPr>
                  <w:tcW w:w="2432" w:type="dxa"/>
                  <w:tcBorders>
                    <w:tl2br w:val="nil"/>
                    <w:tr2bl w:val="nil"/>
                  </w:tcBorders>
                  <w:vAlign w:val="center"/>
                </w:tcPr>
                <w:p w14:paraId="4E216436">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color w:val="auto"/>
                      <w:szCs w:val="21"/>
                      <w:lang w:val="en-US" w:eastAsia="zh-CN"/>
                    </w:rPr>
                    <w:t>2t/h</w:t>
                  </w:r>
                </w:p>
              </w:tc>
              <w:tc>
                <w:tcPr>
                  <w:tcW w:w="1177" w:type="dxa"/>
                  <w:tcBorders>
                    <w:tl2br w:val="nil"/>
                    <w:tr2bl w:val="nil"/>
                  </w:tcBorders>
                  <w:vAlign w:val="center"/>
                </w:tcPr>
                <w:p w14:paraId="34793DEE">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台</w:t>
                  </w:r>
                </w:p>
              </w:tc>
              <w:tc>
                <w:tcPr>
                  <w:tcW w:w="1266" w:type="dxa"/>
                  <w:tcBorders>
                    <w:tl2br w:val="nil"/>
                    <w:tr2bl w:val="nil"/>
                  </w:tcBorders>
                  <w:vAlign w:val="center"/>
                </w:tcPr>
                <w:p w14:paraId="53344264">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1</w:t>
                  </w:r>
                </w:p>
              </w:tc>
            </w:tr>
            <w:tr w14:paraId="27535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68A0BD32">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2</w:t>
                  </w:r>
                </w:p>
              </w:tc>
              <w:tc>
                <w:tcPr>
                  <w:tcW w:w="2544" w:type="dxa"/>
                  <w:tcBorders>
                    <w:tl2br w:val="nil"/>
                    <w:tr2bl w:val="nil"/>
                  </w:tcBorders>
                  <w:vAlign w:val="center"/>
                </w:tcPr>
                <w:p w14:paraId="0E8C4ADE">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rPr>
                    <w:t>软水</w:t>
                  </w:r>
                  <w:r>
                    <w:rPr>
                      <w:rFonts w:hint="eastAsia" w:ascii="宋体" w:hAnsi="宋体" w:eastAsia="宋体" w:cs="宋体"/>
                      <w:bCs/>
                      <w:color w:val="auto"/>
                      <w:szCs w:val="21"/>
                      <w:lang w:eastAsia="zh-CN"/>
                    </w:rPr>
                    <w:t>器</w:t>
                  </w:r>
                </w:p>
              </w:tc>
              <w:tc>
                <w:tcPr>
                  <w:tcW w:w="2432" w:type="dxa"/>
                  <w:tcBorders>
                    <w:tl2br w:val="nil"/>
                    <w:tr2bl w:val="nil"/>
                  </w:tcBorders>
                  <w:vAlign w:val="center"/>
                </w:tcPr>
                <w:p w14:paraId="4BA8B2E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lang w:val="en-US" w:eastAsia="zh-CN"/>
                    </w:rPr>
                    <w:t>1m³</w:t>
                  </w:r>
                  <w:r>
                    <w:rPr>
                      <w:rFonts w:hint="eastAsia" w:ascii="宋体" w:hAnsi="宋体" w:eastAsia="宋体" w:cs="宋体"/>
                      <w:color w:val="auto"/>
                    </w:rPr>
                    <w:t>/h</w:t>
                  </w:r>
                </w:p>
              </w:tc>
              <w:tc>
                <w:tcPr>
                  <w:tcW w:w="1177" w:type="dxa"/>
                  <w:tcBorders>
                    <w:tl2br w:val="nil"/>
                    <w:tr2bl w:val="nil"/>
                  </w:tcBorders>
                  <w:vAlign w:val="center"/>
                </w:tcPr>
                <w:p w14:paraId="72E5BAC0">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套</w:t>
                  </w:r>
                </w:p>
              </w:tc>
              <w:tc>
                <w:tcPr>
                  <w:tcW w:w="1266" w:type="dxa"/>
                  <w:tcBorders>
                    <w:tl2br w:val="nil"/>
                    <w:tr2bl w:val="nil"/>
                  </w:tcBorders>
                  <w:vAlign w:val="center"/>
                </w:tcPr>
                <w:p w14:paraId="2362E960">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1</w:t>
                  </w:r>
                </w:p>
              </w:tc>
            </w:tr>
            <w:tr w14:paraId="62457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549C412B">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3</w:t>
                  </w:r>
                </w:p>
              </w:tc>
              <w:tc>
                <w:tcPr>
                  <w:tcW w:w="2544" w:type="dxa"/>
                  <w:tcBorders>
                    <w:tl2br w:val="nil"/>
                    <w:tr2bl w:val="nil"/>
                  </w:tcBorders>
                  <w:vAlign w:val="center"/>
                </w:tcPr>
                <w:p w14:paraId="2A2B04D0">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eastAsia="zh-CN"/>
                    </w:rPr>
                    <w:t>空气源热泵机组</w:t>
                  </w:r>
                </w:p>
              </w:tc>
              <w:tc>
                <w:tcPr>
                  <w:tcW w:w="2432" w:type="dxa"/>
                  <w:tcBorders>
                    <w:tl2br w:val="nil"/>
                    <w:tr2bl w:val="nil"/>
                  </w:tcBorders>
                  <w:vAlign w:val="center"/>
                </w:tcPr>
                <w:p w14:paraId="230817F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制热量为85KW</w:t>
                  </w:r>
                </w:p>
              </w:tc>
              <w:tc>
                <w:tcPr>
                  <w:tcW w:w="1177" w:type="dxa"/>
                  <w:tcBorders>
                    <w:tl2br w:val="nil"/>
                    <w:tr2bl w:val="nil"/>
                  </w:tcBorders>
                  <w:vAlign w:val="center"/>
                </w:tcPr>
                <w:p w14:paraId="254DA2B0">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台</w:t>
                  </w:r>
                </w:p>
              </w:tc>
              <w:tc>
                <w:tcPr>
                  <w:tcW w:w="1266" w:type="dxa"/>
                  <w:tcBorders>
                    <w:tl2br w:val="nil"/>
                    <w:tr2bl w:val="nil"/>
                  </w:tcBorders>
                  <w:vAlign w:val="center"/>
                </w:tcPr>
                <w:p w14:paraId="2DDA2E88">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2</w:t>
                  </w:r>
                </w:p>
              </w:tc>
            </w:tr>
            <w:tr w14:paraId="5A7AB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4C4A6C2C">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eastAsia="宋体" w:cs="宋体"/>
                      <w:bCs/>
                      <w:color w:val="auto"/>
                      <w:szCs w:val="21"/>
                      <w:lang w:val="en-US" w:eastAsia="zh-CN"/>
                    </w:rPr>
                    <w:t>4</w:t>
                  </w:r>
                </w:p>
              </w:tc>
              <w:tc>
                <w:tcPr>
                  <w:tcW w:w="2544" w:type="dxa"/>
                  <w:tcBorders>
                    <w:tl2br w:val="nil"/>
                    <w:tr2bl w:val="nil"/>
                  </w:tcBorders>
                  <w:vAlign w:val="center"/>
                </w:tcPr>
                <w:p w14:paraId="1E1C0E6B">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eastAsia="宋体" w:cs="宋体"/>
                      <w:bCs/>
                      <w:color w:val="auto"/>
                      <w:szCs w:val="21"/>
                      <w:lang w:eastAsia="zh-CN"/>
                    </w:rPr>
                    <w:t>单碱水浴除尘器</w:t>
                  </w:r>
                </w:p>
              </w:tc>
              <w:tc>
                <w:tcPr>
                  <w:tcW w:w="2432" w:type="dxa"/>
                  <w:tcBorders>
                    <w:tl2br w:val="nil"/>
                    <w:tr2bl w:val="nil"/>
                  </w:tcBorders>
                  <w:vAlign w:val="center"/>
                </w:tcPr>
                <w:p w14:paraId="6F7CFD73">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p>
              </w:tc>
              <w:tc>
                <w:tcPr>
                  <w:tcW w:w="1177" w:type="dxa"/>
                  <w:tcBorders>
                    <w:tl2br w:val="nil"/>
                    <w:tr2bl w:val="nil"/>
                  </w:tcBorders>
                  <w:vAlign w:val="center"/>
                </w:tcPr>
                <w:p w14:paraId="0B599366">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套</w:t>
                  </w:r>
                </w:p>
              </w:tc>
              <w:tc>
                <w:tcPr>
                  <w:tcW w:w="1266" w:type="dxa"/>
                  <w:tcBorders>
                    <w:tl2br w:val="nil"/>
                    <w:tr2bl w:val="nil"/>
                  </w:tcBorders>
                  <w:vAlign w:val="center"/>
                </w:tcPr>
                <w:p w14:paraId="2DAC912C">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1</w:t>
                  </w:r>
                </w:p>
              </w:tc>
            </w:tr>
            <w:tr w14:paraId="5C6AF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21" w:type="dxa"/>
                  <w:gridSpan w:val="5"/>
                  <w:tcBorders>
                    <w:tl2br w:val="nil"/>
                    <w:tr2bl w:val="nil"/>
                  </w:tcBorders>
                  <w:vAlign w:val="center"/>
                </w:tcPr>
                <w:p w14:paraId="6915C695">
                  <w:pPr>
                    <w:keepNext w:val="0"/>
                    <w:keepLines w:val="0"/>
                    <w:suppressLineNumbers w:val="0"/>
                    <w:spacing w:before="0" w:beforeAutospacing="0" w:after="0" w:afterAutospacing="0" w:line="360" w:lineRule="exact"/>
                    <w:ind w:left="0" w:right="0"/>
                    <w:jc w:val="center"/>
                    <w:rPr>
                      <w:rFonts w:hint="eastAsia" w:ascii="宋体" w:hAnsi="宋体" w:eastAsia="宋体" w:cs="宋体"/>
                      <w:b/>
                      <w:bCs w:val="0"/>
                      <w:color w:val="auto"/>
                      <w:szCs w:val="21"/>
                      <w:lang w:val="en-US" w:eastAsia="zh-CN"/>
                    </w:rPr>
                  </w:pPr>
                  <w:r>
                    <w:rPr>
                      <w:rFonts w:hint="eastAsia" w:ascii="宋体" w:hAnsi="宋体" w:eastAsia="宋体" w:cs="宋体"/>
                      <w:b/>
                      <w:bCs w:val="0"/>
                      <w:color w:val="auto"/>
                      <w:szCs w:val="21"/>
                      <w:lang w:val="en-US" w:eastAsia="zh-CN"/>
                    </w:rPr>
                    <w:t>柴油储存设施</w:t>
                  </w:r>
                </w:p>
              </w:tc>
            </w:tr>
            <w:tr w14:paraId="21DBF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dxa"/>
                  <w:tcBorders>
                    <w:tl2br w:val="nil"/>
                    <w:tr2bl w:val="nil"/>
                  </w:tcBorders>
                  <w:vAlign w:val="center"/>
                </w:tcPr>
                <w:p w14:paraId="01F157AA">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1</w:t>
                  </w:r>
                </w:p>
              </w:tc>
              <w:tc>
                <w:tcPr>
                  <w:tcW w:w="2544" w:type="dxa"/>
                  <w:tcBorders>
                    <w:tl2br w:val="nil"/>
                    <w:tr2bl w:val="nil"/>
                  </w:tcBorders>
                  <w:vAlign w:val="center"/>
                </w:tcPr>
                <w:p w14:paraId="11E5A770">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eastAsia="zh-CN"/>
                    </w:rPr>
                    <w:t>柴油罐</w:t>
                  </w:r>
                </w:p>
              </w:tc>
              <w:tc>
                <w:tcPr>
                  <w:tcW w:w="2432" w:type="dxa"/>
                  <w:tcBorders>
                    <w:tl2br w:val="nil"/>
                    <w:tr2bl w:val="nil"/>
                  </w:tcBorders>
                  <w:vAlign w:val="center"/>
                </w:tcPr>
                <w:p w14:paraId="0003FE1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50m³</w:t>
                  </w:r>
                </w:p>
              </w:tc>
              <w:tc>
                <w:tcPr>
                  <w:tcW w:w="1177" w:type="dxa"/>
                  <w:tcBorders>
                    <w:tl2br w:val="nil"/>
                    <w:tr2bl w:val="nil"/>
                  </w:tcBorders>
                  <w:vAlign w:val="center"/>
                </w:tcPr>
                <w:p w14:paraId="5E1507C3">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座</w:t>
                  </w:r>
                </w:p>
              </w:tc>
              <w:tc>
                <w:tcPr>
                  <w:tcW w:w="1266" w:type="dxa"/>
                  <w:tcBorders>
                    <w:tl2br w:val="nil"/>
                    <w:tr2bl w:val="nil"/>
                  </w:tcBorders>
                  <w:vAlign w:val="center"/>
                </w:tcPr>
                <w:p w14:paraId="6C684784">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color w:val="auto"/>
                      <w:szCs w:val="21"/>
                      <w:lang w:val="en-US" w:eastAsia="zh-CN"/>
                    </w:rPr>
                    <w:t>1</w:t>
                  </w:r>
                </w:p>
              </w:tc>
            </w:tr>
          </w:tbl>
          <w:p w14:paraId="584CE3AB">
            <w:pPr>
              <w:pStyle w:val="13"/>
              <w:keepNext w:val="0"/>
              <w:keepLines w:val="0"/>
              <w:suppressLineNumbers w:val="0"/>
              <w:spacing w:before="0" w:beforeAutospacing="0" w:after="0" w:afterAutospacing="0" w:line="360" w:lineRule="auto"/>
              <w:ind w:left="0" w:right="0"/>
              <w:rPr>
                <w:rFonts w:hint="eastAsia" w:ascii="宋体" w:hAnsi="宋体" w:eastAsia="宋体" w:cs="宋体"/>
                <w:b w:val="0"/>
                <w:bCs w:val="0"/>
                <w:color w:val="auto"/>
                <w:sz w:val="28"/>
                <w:szCs w:val="28"/>
                <w:highlight w:val="yellow"/>
              </w:rPr>
            </w:pPr>
            <w:r>
              <w:rPr>
                <w:rFonts w:hint="eastAsia" w:ascii="宋体" w:hAnsi="宋体" w:eastAsia="宋体" w:cs="宋体"/>
                <w:b w:val="0"/>
                <w:bCs w:val="0"/>
                <w:color w:val="auto"/>
                <w:sz w:val="28"/>
                <w:szCs w:val="28"/>
              </w:rPr>
              <w:t>3、</w:t>
            </w:r>
            <w:r>
              <w:rPr>
                <w:rFonts w:hint="eastAsia" w:ascii="宋体" w:hAnsi="宋体" w:eastAsia="宋体" w:cs="宋体"/>
                <w:b w:val="0"/>
                <w:bCs w:val="0"/>
                <w:color w:val="auto"/>
                <w:sz w:val="28"/>
                <w:szCs w:val="28"/>
                <w:highlight w:val="none"/>
                <w:lang w:eastAsia="zh-CN"/>
              </w:rPr>
              <w:t>本项目</w:t>
            </w:r>
            <w:r>
              <w:rPr>
                <w:rFonts w:hint="eastAsia" w:ascii="宋体" w:hAnsi="宋体" w:eastAsia="宋体" w:cs="宋体"/>
                <w:b w:val="0"/>
                <w:bCs w:val="0"/>
                <w:color w:val="auto"/>
                <w:sz w:val="28"/>
                <w:szCs w:val="28"/>
                <w:highlight w:val="none"/>
              </w:rPr>
              <w:t>主要建设内容</w:t>
            </w:r>
          </w:p>
          <w:p w14:paraId="73865355">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szCs w:val="24"/>
              </w:rPr>
            </w:pPr>
            <w:r>
              <w:rPr>
                <w:rFonts w:hint="eastAsia" w:eastAsia="宋体" w:cs="宋体"/>
                <w:color w:val="auto"/>
                <w:sz w:val="24"/>
                <w:szCs w:val="24"/>
                <w:lang w:val="en-US" w:eastAsia="zh-CN"/>
              </w:rPr>
              <w:t>本项目主要建设内容为</w:t>
            </w:r>
            <w:r>
              <w:rPr>
                <w:rFonts w:hint="eastAsia" w:ascii="宋体" w:hAnsi="宋体" w:eastAsia="宋体" w:cs="宋体"/>
                <w:color w:val="auto"/>
                <w:sz w:val="24"/>
                <w:szCs w:val="24"/>
                <w:lang w:val="en-US" w:eastAsia="zh-CN"/>
              </w:rPr>
              <w:t>拆除现有2</w:t>
            </w:r>
            <w:r>
              <w:rPr>
                <w:rFonts w:hint="eastAsia" w:ascii="宋体" w:hAnsi="宋体" w:eastAsia="宋体" w:cs="宋体"/>
                <w:color w:val="auto"/>
                <w:sz w:val="24"/>
                <w:szCs w:val="24"/>
              </w:rPr>
              <w:t>t/h燃煤锅炉</w:t>
            </w:r>
            <w:r>
              <w:rPr>
                <w:rFonts w:hint="eastAsia" w:ascii="宋体" w:hAnsi="宋体" w:eastAsia="宋体" w:cs="宋体"/>
                <w:color w:val="auto"/>
                <w:sz w:val="24"/>
                <w:szCs w:val="24"/>
                <w:lang w:val="en-US" w:eastAsia="zh-CN"/>
              </w:rPr>
              <w:t>及配套设施，</w:t>
            </w:r>
            <w:r>
              <w:rPr>
                <w:rFonts w:hint="eastAsia" w:ascii="宋体" w:hAnsi="宋体" w:eastAsia="宋体" w:cs="宋体"/>
                <w:color w:val="auto"/>
                <w:sz w:val="24"/>
                <w:szCs w:val="24"/>
              </w:rPr>
              <w:t>在现有锅炉房内新建1台</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t/h燃</w:t>
            </w:r>
            <w:r>
              <w:rPr>
                <w:rFonts w:hint="eastAsia" w:ascii="宋体" w:hAnsi="宋体" w:eastAsia="宋体" w:cs="宋体"/>
                <w:color w:val="auto"/>
                <w:sz w:val="24"/>
                <w:szCs w:val="24"/>
                <w:lang w:val="en-US" w:eastAsia="zh-CN"/>
              </w:rPr>
              <w:t>油</w:t>
            </w:r>
            <w:r>
              <w:rPr>
                <w:rFonts w:hint="eastAsia" w:ascii="宋体" w:hAnsi="宋体" w:eastAsia="宋体" w:cs="宋体"/>
                <w:color w:val="auto"/>
                <w:sz w:val="24"/>
                <w:szCs w:val="24"/>
              </w:rPr>
              <w:t>蒸汽锅炉</w:t>
            </w:r>
            <w:r>
              <w:rPr>
                <w:rFonts w:hint="eastAsia" w:ascii="宋体" w:hAnsi="宋体" w:eastAsia="宋体" w:cs="宋体"/>
                <w:color w:val="auto"/>
                <w:sz w:val="24"/>
                <w:szCs w:val="24"/>
                <w:lang w:val="en-US" w:eastAsia="zh-CN"/>
              </w:rPr>
              <w:t>和1台1</w:t>
            </w:r>
            <w:r>
              <w:rPr>
                <w:rFonts w:hint="eastAsia" w:ascii="宋体" w:hAnsi="宋体" w:eastAsia="宋体" w:cs="宋体"/>
                <w:color w:val="auto"/>
                <w:sz w:val="24"/>
                <w:szCs w:val="24"/>
              </w:rPr>
              <w:t>t/h燃</w:t>
            </w:r>
            <w:r>
              <w:rPr>
                <w:rFonts w:hint="eastAsia" w:ascii="宋体" w:hAnsi="宋体" w:eastAsia="宋体" w:cs="宋体"/>
                <w:color w:val="auto"/>
                <w:sz w:val="24"/>
                <w:szCs w:val="24"/>
                <w:lang w:val="en-US" w:eastAsia="zh-CN"/>
              </w:rPr>
              <w:t>油</w:t>
            </w:r>
            <w:r>
              <w:rPr>
                <w:rFonts w:hint="eastAsia" w:ascii="宋体" w:hAnsi="宋体" w:eastAsia="宋体" w:cs="宋体"/>
                <w:color w:val="auto"/>
                <w:sz w:val="24"/>
                <w:szCs w:val="24"/>
              </w:rPr>
              <w:t>蒸汽</w:t>
            </w:r>
            <w:r>
              <w:rPr>
                <w:rFonts w:hint="eastAsia" w:ascii="宋体" w:hAnsi="宋体" w:eastAsia="宋体" w:cs="宋体"/>
                <w:color w:val="auto"/>
                <w:sz w:val="24"/>
                <w:szCs w:val="24"/>
                <w:lang w:val="en-US" w:eastAsia="zh-CN"/>
              </w:rPr>
              <w:t>发生器（备用）及配套设施。</w:t>
            </w:r>
            <w:r>
              <w:rPr>
                <w:rFonts w:hint="eastAsia" w:ascii="宋体" w:hAnsi="宋体" w:eastAsia="宋体" w:cs="宋体"/>
                <w:color w:val="auto"/>
                <w:sz w:val="24"/>
                <w:szCs w:val="24"/>
                <w:lang w:eastAsia="zh-CN"/>
              </w:rPr>
              <w:t>技改项目</w:t>
            </w:r>
            <w:r>
              <w:rPr>
                <w:rFonts w:hint="eastAsia" w:ascii="宋体" w:hAnsi="宋体" w:eastAsia="宋体" w:cs="宋体"/>
                <w:color w:val="auto"/>
                <w:sz w:val="24"/>
                <w:szCs w:val="24"/>
              </w:rPr>
              <w:t>建设内容</w:t>
            </w:r>
            <w:r>
              <w:rPr>
                <w:rFonts w:hint="eastAsia" w:ascii="宋体" w:hAnsi="宋体" w:eastAsia="宋体" w:cs="宋体"/>
                <w:color w:val="auto"/>
                <w:sz w:val="24"/>
                <w:szCs w:val="24"/>
                <w:lang w:val="en-US" w:eastAsia="zh-CN"/>
              </w:rPr>
              <w:t>详情</w:t>
            </w:r>
            <w:r>
              <w:rPr>
                <w:rFonts w:hint="eastAsia" w:ascii="宋体" w:hAnsi="宋体" w:eastAsia="宋体" w:cs="宋体"/>
                <w:color w:val="auto"/>
                <w:sz w:val="24"/>
                <w:szCs w:val="24"/>
              </w:rPr>
              <w:t>见表2</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w:t>
            </w:r>
          </w:p>
          <w:p w14:paraId="06805322">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 xml:space="preserve">2-5 </w:t>
            </w:r>
            <w:r>
              <w:rPr>
                <w:rFonts w:hint="eastAsia" w:ascii="宋体" w:hAnsi="宋体" w:eastAsia="宋体" w:cs="宋体"/>
                <w:b/>
                <w:bCs/>
                <w:color w:val="auto"/>
                <w:sz w:val="24"/>
                <w:lang w:eastAsia="zh-CN"/>
              </w:rPr>
              <w:t>技改建项目</w:t>
            </w:r>
            <w:r>
              <w:rPr>
                <w:rFonts w:hint="eastAsia" w:ascii="宋体" w:hAnsi="宋体" w:eastAsia="宋体" w:cs="宋体"/>
                <w:b/>
                <w:bCs/>
                <w:color w:val="auto"/>
                <w:sz w:val="24"/>
              </w:rPr>
              <w:t>组成及主要建设内容一览表</w:t>
            </w:r>
          </w:p>
          <w:tbl>
            <w:tblPr>
              <w:tblStyle w:val="26"/>
              <w:tblW w:w="82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98"/>
              <w:gridCol w:w="415"/>
              <w:gridCol w:w="575"/>
              <w:gridCol w:w="2093"/>
              <w:gridCol w:w="1050"/>
              <w:gridCol w:w="2979"/>
              <w:gridCol w:w="546"/>
            </w:tblGrid>
            <w:tr w14:paraId="16EC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restart"/>
                  <w:tcBorders>
                    <w:tl2br w:val="nil"/>
                    <w:tr2bl w:val="nil"/>
                  </w:tcBorders>
                  <w:vAlign w:val="center"/>
                </w:tcPr>
                <w:p w14:paraId="56755996">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lang w:eastAsia="zh-CN"/>
                    </w:rPr>
                  </w:pPr>
                  <w:r>
                    <w:rPr>
                      <w:rFonts w:hint="eastAsia" w:ascii="宋体" w:hAnsi="宋体" w:eastAsia="宋体" w:cs="宋体"/>
                      <w:b/>
                      <w:bCs/>
                      <w:color w:val="auto"/>
                      <w:szCs w:val="21"/>
                      <w:lang w:eastAsia="zh-CN"/>
                    </w:rPr>
                    <w:t>类别</w:t>
                  </w:r>
                </w:p>
              </w:tc>
              <w:tc>
                <w:tcPr>
                  <w:tcW w:w="3083" w:type="dxa"/>
                  <w:gridSpan w:val="3"/>
                  <w:tcBorders>
                    <w:tl2br w:val="nil"/>
                    <w:tr2bl w:val="nil"/>
                  </w:tcBorders>
                  <w:vAlign w:val="center"/>
                </w:tcPr>
                <w:p w14:paraId="6B6B63AA">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lang w:eastAsia="zh-CN"/>
                    </w:rPr>
                    <w:t>现有</w:t>
                  </w:r>
                  <w:r>
                    <w:rPr>
                      <w:rFonts w:hint="eastAsia" w:ascii="宋体" w:hAnsi="宋体" w:eastAsia="宋体" w:cs="宋体"/>
                      <w:b/>
                      <w:bCs/>
                      <w:color w:val="auto"/>
                      <w:szCs w:val="21"/>
                    </w:rPr>
                    <w:t>工程</w:t>
                  </w:r>
                </w:p>
              </w:tc>
              <w:tc>
                <w:tcPr>
                  <w:tcW w:w="4029" w:type="dxa"/>
                  <w:gridSpan w:val="2"/>
                  <w:tcBorders>
                    <w:tl2br w:val="nil"/>
                    <w:tr2bl w:val="nil"/>
                  </w:tcBorders>
                  <w:vAlign w:val="center"/>
                </w:tcPr>
                <w:p w14:paraId="5AD4483F">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lang w:eastAsia="zh-CN"/>
                    </w:rPr>
                    <w:t>技改</w:t>
                  </w:r>
                  <w:r>
                    <w:rPr>
                      <w:rFonts w:hint="eastAsia" w:ascii="宋体" w:hAnsi="宋体" w:eastAsia="宋体" w:cs="宋体"/>
                      <w:b/>
                      <w:bCs/>
                      <w:color w:val="auto"/>
                      <w:szCs w:val="21"/>
                    </w:rPr>
                    <w:t>工程</w:t>
                  </w:r>
                </w:p>
              </w:tc>
              <w:tc>
                <w:tcPr>
                  <w:tcW w:w="546" w:type="dxa"/>
                  <w:vMerge w:val="restart"/>
                  <w:tcBorders>
                    <w:tl2br w:val="nil"/>
                    <w:tr2bl w:val="nil"/>
                  </w:tcBorders>
                  <w:vAlign w:val="center"/>
                </w:tcPr>
                <w:p w14:paraId="0E24E76F">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备注</w:t>
                  </w:r>
                </w:p>
              </w:tc>
            </w:tr>
            <w:tr w14:paraId="7DAB0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22E6885C">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p>
              </w:tc>
              <w:tc>
                <w:tcPr>
                  <w:tcW w:w="990" w:type="dxa"/>
                  <w:gridSpan w:val="2"/>
                  <w:tcBorders>
                    <w:tl2br w:val="nil"/>
                    <w:tr2bl w:val="nil"/>
                  </w:tcBorders>
                  <w:vAlign w:val="center"/>
                </w:tcPr>
                <w:p w14:paraId="434DC103">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工程名称</w:t>
                  </w:r>
                </w:p>
              </w:tc>
              <w:tc>
                <w:tcPr>
                  <w:tcW w:w="2093" w:type="dxa"/>
                  <w:tcBorders>
                    <w:tl2br w:val="nil"/>
                    <w:tr2bl w:val="nil"/>
                  </w:tcBorders>
                  <w:vAlign w:val="center"/>
                </w:tcPr>
                <w:p w14:paraId="46F517E4">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lang w:eastAsia="zh-CN"/>
                    </w:rPr>
                  </w:pPr>
                  <w:r>
                    <w:rPr>
                      <w:rFonts w:hint="eastAsia" w:ascii="宋体" w:hAnsi="宋体" w:eastAsia="宋体" w:cs="宋体"/>
                      <w:b/>
                      <w:bCs/>
                      <w:color w:val="auto"/>
                      <w:szCs w:val="21"/>
                      <w:lang w:eastAsia="zh-CN"/>
                    </w:rPr>
                    <w:t>建设内容</w:t>
                  </w:r>
                </w:p>
              </w:tc>
              <w:tc>
                <w:tcPr>
                  <w:tcW w:w="1050" w:type="dxa"/>
                  <w:tcBorders>
                    <w:tl2br w:val="nil"/>
                    <w:tr2bl w:val="nil"/>
                  </w:tcBorders>
                  <w:vAlign w:val="center"/>
                </w:tcPr>
                <w:p w14:paraId="7A03F220">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lang w:eastAsia="zh-CN"/>
                    </w:rPr>
                  </w:pPr>
                  <w:r>
                    <w:rPr>
                      <w:rFonts w:hint="eastAsia" w:ascii="宋体" w:hAnsi="宋体" w:eastAsia="宋体" w:cs="宋体"/>
                      <w:b/>
                      <w:bCs/>
                      <w:color w:val="auto"/>
                      <w:szCs w:val="21"/>
                      <w:lang w:eastAsia="zh-CN"/>
                    </w:rPr>
                    <w:t>工程名称</w:t>
                  </w:r>
                </w:p>
              </w:tc>
              <w:tc>
                <w:tcPr>
                  <w:tcW w:w="2979" w:type="dxa"/>
                  <w:tcBorders>
                    <w:tl2br w:val="nil"/>
                    <w:tr2bl w:val="nil"/>
                  </w:tcBorders>
                  <w:vAlign w:val="center"/>
                </w:tcPr>
                <w:p w14:paraId="65946013">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lang w:eastAsia="zh-CN"/>
                    </w:rPr>
                  </w:pPr>
                  <w:r>
                    <w:rPr>
                      <w:rFonts w:hint="eastAsia" w:ascii="宋体" w:hAnsi="宋体" w:eastAsia="宋体" w:cs="宋体"/>
                      <w:b/>
                      <w:bCs/>
                      <w:color w:val="auto"/>
                      <w:szCs w:val="21"/>
                      <w:lang w:eastAsia="zh-CN"/>
                    </w:rPr>
                    <w:t>建设内容</w:t>
                  </w:r>
                </w:p>
              </w:tc>
              <w:tc>
                <w:tcPr>
                  <w:tcW w:w="546" w:type="dxa"/>
                  <w:vMerge w:val="continue"/>
                  <w:tcBorders>
                    <w:tl2br w:val="nil"/>
                    <w:tr2bl w:val="nil"/>
                  </w:tcBorders>
                  <w:vAlign w:val="center"/>
                </w:tcPr>
                <w:p w14:paraId="6E8D43B6">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p>
              </w:tc>
            </w:tr>
            <w:tr w14:paraId="59828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02B909E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90" w:type="dxa"/>
                  <w:gridSpan w:val="2"/>
                  <w:tcBorders>
                    <w:tl2br w:val="nil"/>
                    <w:tr2bl w:val="nil"/>
                  </w:tcBorders>
                  <w:shd w:val="clear" w:color="auto" w:fill="auto"/>
                  <w:vAlign w:val="center"/>
                </w:tcPr>
                <w:p w14:paraId="74C324B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锅炉房</w:t>
                  </w:r>
                </w:p>
              </w:tc>
              <w:tc>
                <w:tcPr>
                  <w:tcW w:w="2093" w:type="dxa"/>
                  <w:tcBorders>
                    <w:tl2br w:val="nil"/>
                    <w:tr2bl w:val="nil"/>
                  </w:tcBorders>
                  <w:shd w:val="clear" w:color="auto" w:fill="auto"/>
                  <w:vAlign w:val="center"/>
                </w:tcPr>
                <w:p w14:paraId="6ED096B5">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rPr>
                    <w:t>建成1座锅炉房，</w:t>
                  </w:r>
                  <w:r>
                    <w:rPr>
                      <w:rFonts w:hint="eastAsia" w:ascii="宋体" w:hAnsi="宋体" w:eastAsia="宋体" w:cs="宋体"/>
                      <w:color w:val="auto"/>
                      <w:szCs w:val="21"/>
                      <w:lang w:val="en-US" w:eastAsia="zh-CN"/>
                    </w:rPr>
                    <w:t>砖混结构</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3</w:t>
                  </w:r>
                  <w:r>
                    <w:rPr>
                      <w:rFonts w:hint="eastAsia" w:ascii="宋体" w:hAnsi="宋体" w:eastAsia="宋体" w:cs="宋体"/>
                      <w:color w:val="auto"/>
                      <w:szCs w:val="21"/>
                    </w:rPr>
                    <w:t>00 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szCs w:val="21"/>
                      <w:lang w:val="en-US" w:eastAsia="zh-CN"/>
                    </w:rPr>
                    <w:t>内置1</w:t>
                  </w:r>
                  <w:r>
                    <w:rPr>
                      <w:rFonts w:hint="eastAsia" w:ascii="宋体" w:hAnsi="宋体" w:eastAsia="宋体" w:cs="宋体"/>
                      <w:color w:val="auto"/>
                      <w:szCs w:val="21"/>
                    </w:rPr>
                    <w:t xml:space="preserve">台 </w:t>
                  </w:r>
                  <w:r>
                    <w:rPr>
                      <w:rFonts w:hint="eastAsia" w:ascii="宋体" w:hAnsi="宋体" w:eastAsia="宋体" w:cs="宋体"/>
                      <w:color w:val="auto"/>
                      <w:szCs w:val="21"/>
                      <w:lang w:val="en-US" w:eastAsia="zh-CN"/>
                    </w:rPr>
                    <w:t>2t/h</w:t>
                  </w:r>
                  <w:r>
                    <w:rPr>
                      <w:rFonts w:hint="eastAsia" w:ascii="宋体" w:hAnsi="宋体" w:eastAsia="宋体" w:cs="宋体"/>
                      <w:color w:val="auto"/>
                      <w:szCs w:val="21"/>
                    </w:rPr>
                    <w:t>燃煤蒸汽锅炉</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型号为BZL2-7-AII</w:t>
                  </w:r>
                </w:p>
              </w:tc>
              <w:tc>
                <w:tcPr>
                  <w:tcW w:w="1050" w:type="dxa"/>
                  <w:tcBorders>
                    <w:tl2br w:val="nil"/>
                    <w:tr2bl w:val="nil"/>
                  </w:tcBorders>
                  <w:shd w:val="clear" w:color="auto" w:fill="auto"/>
                  <w:vAlign w:val="center"/>
                </w:tcPr>
                <w:p w14:paraId="361766A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lang w:val="en-US" w:eastAsia="zh-CN"/>
                    </w:rPr>
                    <w:t>锅炉房</w:t>
                  </w:r>
                </w:p>
              </w:tc>
              <w:tc>
                <w:tcPr>
                  <w:tcW w:w="2979" w:type="dxa"/>
                  <w:tcBorders>
                    <w:tl2br w:val="nil"/>
                    <w:tr2bl w:val="nil"/>
                  </w:tcBorders>
                  <w:shd w:val="clear" w:color="auto" w:fill="auto"/>
                  <w:vAlign w:val="center"/>
                </w:tcPr>
                <w:p w14:paraId="1FBE79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both"/>
                    <w:textAlignment w:val="auto"/>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拆除现有2t/h燃煤锅炉及配套设施，</w:t>
                  </w:r>
                  <w:r>
                    <w:rPr>
                      <w:rFonts w:hint="eastAsia" w:ascii="宋体" w:hAnsi="宋体" w:eastAsia="宋体" w:cs="宋体"/>
                      <w:color w:val="auto"/>
                      <w:szCs w:val="21"/>
                    </w:rPr>
                    <w:t>在现有锅炉房内新建1台</w:t>
                  </w:r>
                  <w:r>
                    <w:rPr>
                      <w:rFonts w:hint="eastAsia" w:ascii="宋体" w:hAnsi="宋体" w:eastAsia="宋体" w:cs="宋体"/>
                      <w:color w:val="auto"/>
                      <w:szCs w:val="21"/>
                      <w:lang w:val="en-US" w:eastAsia="zh-CN"/>
                    </w:rPr>
                    <w:t>1</w:t>
                  </w:r>
                  <w:r>
                    <w:rPr>
                      <w:rFonts w:hint="eastAsia" w:ascii="宋体" w:hAnsi="宋体" w:eastAsia="宋体" w:cs="宋体"/>
                      <w:color w:val="auto"/>
                      <w:szCs w:val="21"/>
                    </w:rPr>
                    <w:t>t/h燃</w:t>
                  </w:r>
                  <w:r>
                    <w:rPr>
                      <w:rFonts w:hint="eastAsia" w:ascii="宋体" w:hAnsi="宋体" w:eastAsia="宋体" w:cs="宋体"/>
                      <w:color w:val="auto"/>
                      <w:szCs w:val="21"/>
                      <w:lang w:val="en-US" w:eastAsia="zh-CN"/>
                    </w:rPr>
                    <w:t>油</w:t>
                  </w:r>
                  <w:r>
                    <w:rPr>
                      <w:rFonts w:hint="eastAsia" w:ascii="宋体" w:hAnsi="宋体" w:eastAsia="宋体" w:cs="宋体"/>
                      <w:color w:val="auto"/>
                      <w:szCs w:val="21"/>
                    </w:rPr>
                    <w:t>蒸汽锅炉（型号</w:t>
                  </w:r>
                  <w:r>
                    <w:rPr>
                      <w:rFonts w:hint="eastAsia" w:ascii="宋体" w:hAnsi="宋体" w:eastAsia="宋体" w:cs="宋体"/>
                      <w:color w:val="auto"/>
                      <w:szCs w:val="21"/>
                      <w:lang w:val="en-US" w:eastAsia="zh-CN"/>
                    </w:rPr>
                    <w:t>WNS1</w:t>
                  </w:r>
                  <w:r>
                    <w:rPr>
                      <w:rFonts w:hint="eastAsia" w:ascii="宋体" w:hAnsi="宋体" w:eastAsia="宋体" w:cs="宋体"/>
                      <w:color w:val="auto"/>
                      <w:szCs w:val="21"/>
                    </w:rPr>
                    <w:t>-</w:t>
                  </w:r>
                  <w:r>
                    <w:rPr>
                      <w:rFonts w:hint="eastAsia" w:ascii="宋体" w:hAnsi="宋体" w:eastAsia="宋体" w:cs="宋体"/>
                      <w:color w:val="auto"/>
                      <w:szCs w:val="21"/>
                      <w:lang w:val="en-US" w:eastAsia="zh-CN"/>
                    </w:rPr>
                    <w:t>0.7</w:t>
                  </w:r>
                  <w:r>
                    <w:rPr>
                      <w:rFonts w:hint="eastAsia" w:ascii="宋体" w:hAnsi="宋体" w:eastAsia="宋体" w:cs="宋体"/>
                      <w:color w:val="auto"/>
                      <w:szCs w:val="21"/>
                    </w:rPr>
                    <w:t>-</w:t>
                  </w:r>
                  <w:r>
                    <w:rPr>
                      <w:rFonts w:hint="eastAsia" w:ascii="宋体" w:hAnsi="宋体" w:eastAsia="宋体" w:cs="宋体"/>
                      <w:color w:val="auto"/>
                      <w:szCs w:val="21"/>
                      <w:lang w:val="en-US" w:eastAsia="zh-CN"/>
                    </w:rPr>
                    <w:t>Q（Y）</w:t>
                  </w:r>
                  <w:r>
                    <w:rPr>
                      <w:rFonts w:hint="eastAsia" w:ascii="宋体" w:hAnsi="宋体" w:eastAsia="宋体" w:cs="宋体"/>
                      <w:color w:val="auto"/>
                      <w:szCs w:val="21"/>
                    </w:rPr>
                    <w:t>）及配套设施，</w:t>
                  </w:r>
                  <w:r>
                    <w:rPr>
                      <w:rFonts w:hint="eastAsia" w:ascii="宋体" w:hAnsi="宋体" w:eastAsia="宋体" w:cs="宋体"/>
                      <w:color w:val="auto"/>
                      <w:szCs w:val="21"/>
                      <w:lang w:val="en-US" w:eastAsia="zh-CN"/>
                    </w:rPr>
                    <w:t>新建1台1</w:t>
                  </w:r>
                  <w:r>
                    <w:rPr>
                      <w:rFonts w:hint="eastAsia" w:ascii="宋体" w:hAnsi="宋体" w:eastAsia="宋体" w:cs="宋体"/>
                      <w:color w:val="auto"/>
                      <w:szCs w:val="21"/>
                    </w:rPr>
                    <w:t>t/h燃</w:t>
                  </w:r>
                  <w:r>
                    <w:rPr>
                      <w:rFonts w:hint="eastAsia" w:ascii="宋体" w:hAnsi="宋体" w:eastAsia="宋体" w:cs="宋体"/>
                      <w:color w:val="auto"/>
                      <w:szCs w:val="21"/>
                      <w:lang w:val="en-US" w:eastAsia="zh-CN"/>
                    </w:rPr>
                    <w:t>油</w:t>
                  </w:r>
                  <w:r>
                    <w:rPr>
                      <w:rFonts w:hint="eastAsia" w:ascii="宋体" w:hAnsi="宋体" w:eastAsia="宋体" w:cs="宋体"/>
                      <w:color w:val="auto"/>
                      <w:szCs w:val="21"/>
                    </w:rPr>
                    <w:t>蒸汽</w:t>
                  </w:r>
                  <w:r>
                    <w:rPr>
                      <w:rFonts w:hint="eastAsia" w:ascii="宋体" w:hAnsi="宋体" w:eastAsia="宋体" w:cs="宋体"/>
                      <w:color w:val="auto"/>
                      <w:szCs w:val="21"/>
                      <w:lang w:val="en-US" w:eastAsia="zh-CN"/>
                    </w:rPr>
                    <w:t>发生器</w:t>
                  </w:r>
                  <w:r>
                    <w:rPr>
                      <w:rFonts w:hint="eastAsia" w:ascii="宋体" w:hAnsi="宋体" w:eastAsia="宋体" w:cs="宋体"/>
                      <w:color w:val="auto"/>
                      <w:szCs w:val="21"/>
                    </w:rPr>
                    <w:t>（型号</w:t>
                  </w:r>
                  <w:r>
                    <w:rPr>
                      <w:rFonts w:hint="eastAsia" w:ascii="宋体" w:hAnsi="宋体" w:eastAsia="宋体" w:cs="宋体"/>
                      <w:color w:val="auto"/>
                      <w:szCs w:val="21"/>
                      <w:lang w:val="en-US" w:eastAsia="zh-CN"/>
                    </w:rPr>
                    <w:t>WSS1.0</w:t>
                  </w:r>
                  <w:r>
                    <w:rPr>
                      <w:rFonts w:hint="eastAsia" w:ascii="宋体" w:hAnsi="宋体" w:eastAsia="宋体" w:cs="宋体"/>
                      <w:color w:val="auto"/>
                      <w:szCs w:val="21"/>
                    </w:rPr>
                    <w:t>-</w:t>
                  </w:r>
                  <w:r>
                    <w:rPr>
                      <w:rFonts w:hint="eastAsia" w:ascii="宋体" w:hAnsi="宋体" w:eastAsia="宋体" w:cs="宋体"/>
                      <w:color w:val="auto"/>
                      <w:szCs w:val="21"/>
                      <w:lang w:val="en-US" w:eastAsia="zh-CN"/>
                    </w:rPr>
                    <w:t>0.7/1.3</w:t>
                  </w:r>
                  <w:r>
                    <w:rPr>
                      <w:rFonts w:hint="eastAsia" w:ascii="宋体" w:hAnsi="宋体" w:eastAsia="宋体" w:cs="宋体"/>
                      <w:color w:val="auto"/>
                      <w:szCs w:val="21"/>
                    </w:rPr>
                    <w:t>-</w:t>
                  </w:r>
                  <w:r>
                    <w:rPr>
                      <w:rFonts w:hint="eastAsia" w:ascii="宋体" w:hAnsi="宋体" w:eastAsia="宋体" w:cs="宋体"/>
                      <w:color w:val="auto"/>
                      <w:szCs w:val="21"/>
                      <w:lang w:val="en-US" w:eastAsia="zh-CN"/>
                    </w:rPr>
                    <w:t>Q</w:t>
                  </w:r>
                  <w:r>
                    <w:rPr>
                      <w:rFonts w:hint="eastAsia" w:ascii="宋体" w:hAnsi="宋体" w:eastAsia="宋体" w:cs="宋体"/>
                      <w:color w:val="auto"/>
                      <w:szCs w:val="21"/>
                    </w:rPr>
                    <w:t>）</w:t>
                  </w:r>
                  <w:r>
                    <w:rPr>
                      <w:rFonts w:hint="eastAsia" w:ascii="宋体" w:hAnsi="宋体" w:eastAsia="宋体" w:cs="宋体"/>
                      <w:color w:val="auto"/>
                      <w:szCs w:val="21"/>
                      <w:lang w:val="en-US" w:eastAsia="zh-CN"/>
                    </w:rPr>
                    <w:t>作为备用供热设施</w:t>
                  </w:r>
                  <w:r>
                    <w:rPr>
                      <w:rFonts w:hint="eastAsia" w:ascii="宋体" w:hAnsi="宋体" w:eastAsia="宋体" w:cs="宋体"/>
                      <w:color w:val="auto"/>
                      <w:szCs w:val="21"/>
                      <w:lang w:eastAsia="zh-CN"/>
                    </w:rPr>
                    <w:t>。</w:t>
                  </w:r>
                  <w:r>
                    <w:rPr>
                      <w:rFonts w:hint="eastAsia" w:ascii="宋体" w:hAnsi="宋体" w:eastAsia="宋体" w:cs="宋体"/>
                      <w:color w:val="auto"/>
                      <w:szCs w:val="21"/>
                    </w:rPr>
                    <w:t>燃</w:t>
                  </w:r>
                  <w:r>
                    <w:rPr>
                      <w:rFonts w:hint="eastAsia" w:ascii="宋体" w:hAnsi="宋体" w:eastAsia="宋体" w:cs="宋体"/>
                      <w:color w:val="auto"/>
                      <w:szCs w:val="21"/>
                      <w:lang w:val="en-US" w:eastAsia="zh-CN"/>
                    </w:rPr>
                    <w:t>油</w:t>
                  </w:r>
                  <w:r>
                    <w:rPr>
                      <w:rFonts w:hint="eastAsia" w:ascii="宋体" w:hAnsi="宋体" w:eastAsia="宋体" w:cs="宋体"/>
                      <w:color w:val="auto"/>
                      <w:szCs w:val="21"/>
                    </w:rPr>
                    <w:t>蒸汽锅炉</w:t>
                  </w:r>
                  <w:r>
                    <w:rPr>
                      <w:rFonts w:hint="eastAsia" w:ascii="宋体" w:hAnsi="宋体" w:eastAsia="宋体" w:cs="宋体"/>
                      <w:color w:val="auto"/>
                      <w:szCs w:val="21"/>
                      <w:lang w:val="en-US" w:eastAsia="zh-CN"/>
                    </w:rPr>
                    <w:t>和燃油蒸汽发生器均采用低氮燃烧技术，</w:t>
                  </w:r>
                  <w:r>
                    <w:rPr>
                      <w:rFonts w:hint="eastAsia" w:eastAsia="宋体" w:cs="宋体"/>
                      <w:color w:val="auto"/>
                      <w:szCs w:val="21"/>
                      <w:lang w:val="en-US" w:eastAsia="zh-CN"/>
                    </w:rPr>
                    <w:t>处理后经</w:t>
                  </w:r>
                  <w:r>
                    <w:rPr>
                      <w:rFonts w:hint="eastAsia" w:ascii="宋体" w:hAnsi="宋体" w:eastAsia="宋体" w:cs="宋体"/>
                      <w:color w:val="auto"/>
                      <w:szCs w:val="21"/>
                      <w:lang w:val="en-US" w:eastAsia="zh-CN"/>
                    </w:rPr>
                    <w:t>1根15m高排气筒（DA001）</w:t>
                  </w:r>
                  <w:r>
                    <w:rPr>
                      <w:rFonts w:hint="eastAsia" w:eastAsia="宋体" w:cs="宋体"/>
                      <w:color w:val="auto"/>
                      <w:szCs w:val="21"/>
                      <w:lang w:val="en-US" w:eastAsia="zh-CN"/>
                    </w:rPr>
                    <w:t>排放</w:t>
                  </w:r>
                  <w:r>
                    <w:rPr>
                      <w:rFonts w:hint="eastAsia" w:ascii="宋体" w:hAnsi="宋体" w:eastAsia="宋体" w:cs="宋体"/>
                      <w:color w:val="auto"/>
                      <w:szCs w:val="21"/>
                      <w:lang w:val="en-US" w:eastAsia="zh-CN"/>
                    </w:rPr>
                    <w:t>；</w:t>
                  </w:r>
                </w:p>
                <w:p w14:paraId="7D995B93">
                  <w:pPr>
                    <w:pStyle w:val="10"/>
                    <w:keepNext w:val="0"/>
                    <w:keepLines w:val="0"/>
                    <w:pageBreakBefore w:val="0"/>
                    <w:widowControl w:val="0"/>
                    <w:suppressLineNumbers w:val="0"/>
                    <w:kinsoku/>
                    <w:wordWrap/>
                    <w:overflowPunct/>
                    <w:topLinePunct w:val="0"/>
                    <w:autoSpaceDE/>
                    <w:autoSpaceDN/>
                    <w:bidi w:val="0"/>
                    <w:adjustRightInd/>
                    <w:snapToGrid/>
                    <w:spacing w:before="0" w:beforeAutospacing="0" w:after="0" w:afterLines="0" w:afterAutospacing="0" w:line="360" w:lineRule="exact"/>
                    <w:ind w:left="0" w:leftChars="0" w:right="0" w:rightChars="0" w:firstLine="0" w:firstLineChars="0"/>
                    <w:textAlignment w:val="auto"/>
                    <w:rPr>
                      <w:rFonts w:hint="eastAsia"/>
                      <w:color w:val="auto"/>
                      <w:lang w:val="en-US" w:eastAsia="zh-CN"/>
                    </w:rPr>
                  </w:pPr>
                  <w:r>
                    <w:rPr>
                      <w:rFonts w:hint="eastAsia" w:ascii="宋体" w:hAnsi="宋体" w:eastAsia="宋体" w:cs="宋体"/>
                      <w:color w:val="auto"/>
                      <w:szCs w:val="21"/>
                      <w:lang w:val="en-US" w:eastAsia="zh-CN"/>
                    </w:rPr>
                    <w:t>锅炉房内东侧新建1座燃料供给间</w:t>
                  </w:r>
                  <w:r>
                    <w:rPr>
                      <w:rFonts w:hint="eastAsia" w:ascii="宋体" w:hAnsi="宋体" w:eastAsia="宋体" w:cs="宋体"/>
                      <w:color w:val="auto"/>
                      <w:szCs w:val="21"/>
                      <w:lang w:eastAsia="zh-CN"/>
                    </w:rPr>
                    <w:t>，</w:t>
                  </w:r>
                  <w:r>
                    <w:rPr>
                      <w:rFonts w:hint="eastAsia" w:ascii="宋体" w:hAnsi="宋体" w:eastAsia="宋体" w:cs="宋体"/>
                      <w:color w:val="auto"/>
                      <w:szCs w:val="21"/>
                    </w:rPr>
                    <w:t>占地面积</w:t>
                  </w:r>
                  <w:r>
                    <w:rPr>
                      <w:rFonts w:hint="eastAsia" w:ascii="宋体" w:hAnsi="宋体" w:eastAsia="宋体" w:cs="宋体"/>
                      <w:color w:val="auto"/>
                      <w:szCs w:val="21"/>
                      <w:lang w:val="en-US" w:eastAsia="zh-CN"/>
                    </w:rPr>
                    <w:t>11.3m</w:t>
                  </w:r>
                  <w:r>
                    <w:rPr>
                      <w:rFonts w:hint="eastAsia" w:ascii="宋体" w:hAnsi="宋体" w:eastAsia="宋体" w:cs="宋体"/>
                      <w:color w:val="auto"/>
                      <w:szCs w:val="21"/>
                      <w:vertAlign w:val="superscript"/>
                      <w:lang w:val="en-US" w:eastAsia="zh-CN"/>
                    </w:rPr>
                    <w:t>2</w:t>
                  </w:r>
                  <w:r>
                    <w:rPr>
                      <w:rFonts w:hint="eastAsia" w:ascii="宋体" w:hAnsi="宋体" w:eastAsia="宋体" w:cs="宋体"/>
                      <w:color w:val="auto"/>
                      <w:szCs w:val="21"/>
                    </w:rPr>
                    <w:t>，</w:t>
                  </w:r>
                  <w:r>
                    <w:rPr>
                      <w:rFonts w:hint="eastAsia" w:ascii="宋体" w:hAnsi="宋体" w:eastAsia="宋体" w:cs="宋体"/>
                      <w:color w:val="auto"/>
                      <w:szCs w:val="21"/>
                      <w:lang w:eastAsia="zh-CN"/>
                    </w:rPr>
                    <w:t>内</w:t>
                  </w:r>
                  <w:r>
                    <w:rPr>
                      <w:rFonts w:hint="eastAsia" w:ascii="宋体" w:hAnsi="宋体" w:eastAsia="宋体" w:cs="宋体"/>
                      <w:color w:val="auto"/>
                      <w:szCs w:val="21"/>
                    </w:rPr>
                    <w:t>设</w:t>
                  </w:r>
                  <w:r>
                    <w:rPr>
                      <w:rFonts w:hint="eastAsia" w:ascii="宋体" w:hAnsi="宋体" w:eastAsia="宋体" w:cs="宋体"/>
                      <w:color w:val="auto"/>
                      <w:szCs w:val="21"/>
                      <w:lang w:val="en-US" w:eastAsia="zh-CN"/>
                    </w:rPr>
                    <w:t>1个1</w:t>
                  </w:r>
                  <w:r>
                    <w:rPr>
                      <w:rFonts w:hint="eastAsia" w:ascii="宋体" w:hAnsi="宋体" w:eastAsia="宋体" w:cs="宋体"/>
                      <w:color w:val="auto"/>
                      <w:szCs w:val="21"/>
                    </w:rPr>
                    <w:t>m</w:t>
                  </w:r>
                  <w:r>
                    <w:rPr>
                      <w:rFonts w:hint="eastAsia" w:ascii="宋体" w:hAnsi="宋体" w:eastAsia="宋体" w:cs="宋体"/>
                      <w:color w:val="auto"/>
                      <w:szCs w:val="21"/>
                      <w:vertAlign w:val="superscript"/>
                    </w:rPr>
                    <w:t>3</w:t>
                  </w:r>
                  <w:r>
                    <w:rPr>
                      <w:rFonts w:hint="eastAsia" w:ascii="宋体" w:hAnsi="宋体" w:eastAsia="宋体" w:cs="宋体"/>
                      <w:color w:val="auto"/>
                      <w:szCs w:val="21"/>
                      <w:lang w:val="en-US" w:eastAsia="zh-CN"/>
                    </w:rPr>
                    <w:t>柴</w:t>
                  </w:r>
                  <w:r>
                    <w:rPr>
                      <w:rFonts w:hint="eastAsia" w:ascii="宋体" w:hAnsi="宋体" w:eastAsia="宋体" w:cs="宋体"/>
                      <w:color w:val="auto"/>
                      <w:szCs w:val="21"/>
                    </w:rPr>
                    <w:t>油</w:t>
                  </w:r>
                  <w:r>
                    <w:rPr>
                      <w:rFonts w:hint="eastAsia" w:ascii="宋体" w:hAnsi="宋体" w:eastAsia="宋体" w:cs="宋体"/>
                      <w:color w:val="auto"/>
                      <w:szCs w:val="21"/>
                      <w:lang w:eastAsia="zh-CN"/>
                    </w:rPr>
                    <w:t>箱</w:t>
                  </w:r>
                  <w:r>
                    <w:rPr>
                      <w:rFonts w:hint="eastAsia" w:ascii="宋体" w:hAnsi="宋体" w:eastAsia="宋体" w:cs="宋体"/>
                      <w:color w:val="auto"/>
                      <w:szCs w:val="21"/>
                      <w:lang w:val="en-US" w:eastAsia="zh-CN"/>
                    </w:rPr>
                    <w:t>，</w:t>
                  </w:r>
                  <w:r>
                    <w:rPr>
                      <w:rFonts w:hint="eastAsia" w:ascii="宋体" w:hAnsi="宋体" w:eastAsia="宋体" w:cs="宋体"/>
                      <w:color w:val="auto"/>
                      <w:szCs w:val="21"/>
                      <w:lang w:eastAsia="zh-CN"/>
                    </w:rPr>
                    <w:t>钢制</w:t>
                  </w:r>
                  <w:r>
                    <w:rPr>
                      <w:rFonts w:hint="eastAsia" w:ascii="宋体" w:hAnsi="宋体" w:eastAsia="宋体" w:cs="宋体"/>
                      <w:bCs/>
                      <w:color w:val="auto"/>
                      <w:lang w:eastAsia="zh-CN"/>
                    </w:rPr>
                    <w:t>。燃料供给间</w:t>
                  </w:r>
                  <w:r>
                    <w:rPr>
                      <w:rFonts w:hint="eastAsia" w:ascii="宋体" w:hAnsi="宋体" w:eastAsia="宋体" w:cs="宋体"/>
                      <w:bCs/>
                      <w:color w:val="auto"/>
                      <w:lang w:val="en-US" w:eastAsia="zh-CN"/>
                    </w:rPr>
                    <w:t>油箱下设托盘；严格按照《</w:t>
                  </w:r>
                  <w:r>
                    <w:rPr>
                      <w:rFonts w:hint="eastAsia"/>
                      <w:color w:val="auto"/>
                      <w:lang w:val="en-US" w:eastAsia="zh-CN"/>
                    </w:rPr>
                    <w:t>锅炉房设计标准</w:t>
                  </w:r>
                  <w:r>
                    <w:rPr>
                      <w:rFonts w:hint="eastAsia" w:ascii="宋体" w:hAnsi="宋体" w:eastAsia="宋体" w:cs="宋体"/>
                      <w:bCs/>
                      <w:color w:val="auto"/>
                      <w:lang w:val="en-US" w:eastAsia="zh-CN"/>
                    </w:rPr>
                    <w:t>》（</w:t>
                  </w:r>
                  <w:r>
                    <w:rPr>
                      <w:rFonts w:hint="eastAsia"/>
                      <w:color w:val="auto"/>
                      <w:lang w:val="en-US" w:eastAsia="zh-CN"/>
                    </w:rPr>
                    <w:t>GB50041-2020</w:t>
                  </w:r>
                  <w:r>
                    <w:rPr>
                      <w:rFonts w:hint="eastAsia" w:ascii="宋体" w:hAnsi="宋体" w:eastAsia="宋体" w:cs="宋体"/>
                      <w:bCs/>
                      <w:color w:val="auto"/>
                      <w:lang w:val="en-US" w:eastAsia="zh-CN"/>
                    </w:rPr>
                    <w:t>）进行建设，地面采用C30混凝土硬化+涂刷防渗漆，渗透系数</w:t>
                  </w:r>
                  <w:r>
                    <w:rPr>
                      <w:rFonts w:hint="eastAsia" w:ascii="宋体" w:hAnsi="宋体" w:eastAsia="宋体" w:cs="宋体"/>
                      <w:color w:val="auto"/>
                      <w:szCs w:val="21"/>
                      <w:lang w:val="en-US" w:eastAsia="zh-CN"/>
                    </w:rPr>
                    <w:t>K</w:t>
                  </w:r>
                  <w:r>
                    <w:rPr>
                      <w:rFonts w:hint="eastAsia" w:ascii="宋体" w:hAnsi="宋体" w:eastAsia="宋体" w:cs="宋体"/>
                      <w:color w:val="auto"/>
                      <w:szCs w:val="21"/>
                    </w:rPr>
                    <w:t>≤10</w:t>
                  </w:r>
                  <w:r>
                    <w:rPr>
                      <w:rFonts w:hint="eastAsia" w:ascii="宋体" w:hAnsi="宋体" w:eastAsia="宋体" w:cs="宋体"/>
                      <w:color w:val="auto"/>
                      <w:szCs w:val="21"/>
                      <w:vertAlign w:val="superscript"/>
                    </w:rPr>
                    <w:t>-</w:t>
                  </w:r>
                  <w:r>
                    <w:rPr>
                      <w:rFonts w:hint="eastAsia" w:ascii="宋体" w:hAnsi="宋体" w:eastAsia="宋体" w:cs="宋体"/>
                      <w:color w:val="auto"/>
                      <w:szCs w:val="21"/>
                      <w:vertAlign w:val="superscript"/>
                      <w:lang w:val="en-US" w:eastAsia="zh-CN"/>
                    </w:rPr>
                    <w:t>10</w:t>
                  </w:r>
                  <w:r>
                    <w:rPr>
                      <w:rFonts w:hint="eastAsia" w:ascii="宋体" w:hAnsi="宋体" w:eastAsia="宋体" w:cs="宋体"/>
                      <w:color w:val="auto"/>
                      <w:szCs w:val="21"/>
                      <w:lang w:val="en-US" w:eastAsia="zh-CN"/>
                    </w:rPr>
                    <w:t>cm</w:t>
                  </w:r>
                  <w:r>
                    <w:rPr>
                      <w:rFonts w:hint="eastAsia" w:ascii="宋体" w:hAnsi="宋体" w:eastAsia="宋体" w:cs="宋体"/>
                      <w:color w:val="auto"/>
                      <w:szCs w:val="21"/>
                    </w:rPr>
                    <w:t>/</w:t>
                  </w:r>
                  <w:r>
                    <w:rPr>
                      <w:rFonts w:hint="eastAsia" w:ascii="宋体" w:hAnsi="宋体" w:eastAsia="宋体" w:cs="宋体"/>
                      <w:color w:val="auto"/>
                      <w:szCs w:val="21"/>
                      <w:lang w:val="en-US" w:eastAsia="zh-CN"/>
                    </w:rPr>
                    <w:t>s</w:t>
                  </w:r>
                </w:p>
              </w:tc>
              <w:tc>
                <w:tcPr>
                  <w:tcW w:w="546" w:type="dxa"/>
                  <w:tcBorders>
                    <w:tl2br w:val="nil"/>
                    <w:tr2bl w:val="nil"/>
                  </w:tcBorders>
                  <w:vAlign w:val="center"/>
                </w:tcPr>
                <w:p w14:paraId="41200BF1">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lang w:eastAsia="zh-CN"/>
                    </w:rPr>
                  </w:pPr>
                  <w:r>
                    <w:rPr>
                      <w:rFonts w:hint="eastAsia" w:ascii="宋体" w:hAnsi="宋体" w:eastAsia="宋体" w:cs="宋体"/>
                      <w:b w:val="0"/>
                      <w:bCs w:val="0"/>
                      <w:color w:val="auto"/>
                      <w:szCs w:val="21"/>
                      <w:lang w:eastAsia="zh-CN"/>
                    </w:rPr>
                    <w:t>技改</w:t>
                  </w:r>
                </w:p>
              </w:tc>
            </w:tr>
            <w:tr w14:paraId="4A085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98" w:type="dxa"/>
                  <w:tcBorders>
                    <w:tl2br w:val="nil"/>
                    <w:tr2bl w:val="nil"/>
                  </w:tcBorders>
                  <w:vAlign w:val="center"/>
                </w:tcPr>
                <w:p w14:paraId="1BB29D1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辅助工程</w:t>
                  </w:r>
                </w:p>
              </w:tc>
              <w:tc>
                <w:tcPr>
                  <w:tcW w:w="990" w:type="dxa"/>
                  <w:gridSpan w:val="2"/>
                  <w:tcBorders>
                    <w:tl2br w:val="nil"/>
                    <w:tr2bl w:val="nil"/>
                  </w:tcBorders>
                  <w:vAlign w:val="center"/>
                </w:tcPr>
                <w:p w14:paraId="643970A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lang w:eastAsia="zh-CN"/>
                    </w:rPr>
                    <w:t>办公生活区</w:t>
                  </w:r>
                </w:p>
              </w:tc>
              <w:tc>
                <w:tcPr>
                  <w:tcW w:w="2093" w:type="dxa"/>
                  <w:tcBorders>
                    <w:tl2br w:val="nil"/>
                    <w:tr2bl w:val="nil"/>
                  </w:tcBorders>
                  <w:vAlign w:val="center"/>
                </w:tcPr>
                <w:p w14:paraId="6B36A23C">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rPr>
                  </w:pPr>
                  <w:r>
                    <w:rPr>
                      <w:rFonts w:hint="eastAsia" w:ascii="宋体" w:hAnsi="宋体" w:eastAsia="宋体" w:cs="宋体"/>
                      <w:color w:val="auto"/>
                    </w:rPr>
                    <w:t>建成1</w:t>
                  </w:r>
                  <w:r>
                    <w:rPr>
                      <w:rFonts w:hint="eastAsia" w:ascii="宋体" w:hAnsi="宋体" w:eastAsia="宋体" w:cs="宋体"/>
                      <w:color w:val="auto"/>
                      <w:lang w:eastAsia="zh-CN"/>
                    </w:rPr>
                    <w:t>处办公生活区，包括办公室、食堂和宿舍，总占地面积</w:t>
                  </w:r>
                  <w:r>
                    <w:rPr>
                      <w:rFonts w:hint="eastAsia" w:ascii="宋体" w:hAnsi="宋体" w:eastAsia="宋体" w:cs="宋体"/>
                      <w:color w:val="auto"/>
                      <w:lang w:val="en-US" w:eastAsia="zh-CN"/>
                    </w:rPr>
                    <w:t>865.5</w:t>
                  </w:r>
                  <w:r>
                    <w:rPr>
                      <w:rFonts w:hint="eastAsia" w:ascii="宋体" w:hAnsi="宋体" w:eastAsia="宋体" w:cs="宋体"/>
                      <w:color w:val="auto"/>
                      <w:szCs w:val="21"/>
                    </w:rPr>
                    <w:t>m</w:t>
                  </w:r>
                  <w:r>
                    <w:rPr>
                      <w:rFonts w:hint="eastAsia" w:ascii="宋体" w:hAnsi="宋体" w:eastAsia="宋体" w:cs="宋体"/>
                      <w:color w:val="auto"/>
                      <w:vertAlign w:val="superscript"/>
                    </w:rPr>
                    <w:t>2</w:t>
                  </w:r>
                  <w:r>
                    <w:rPr>
                      <w:rFonts w:hint="eastAsia" w:ascii="宋体" w:hAnsi="宋体" w:eastAsia="宋体" w:cs="宋体"/>
                      <w:color w:val="auto"/>
                    </w:rPr>
                    <w:t>，</w:t>
                  </w:r>
                  <w:r>
                    <w:rPr>
                      <w:rFonts w:hint="eastAsia" w:ascii="宋体" w:hAnsi="宋体" w:eastAsia="宋体" w:cs="宋体"/>
                      <w:color w:val="auto"/>
                      <w:lang w:eastAsia="zh-CN"/>
                    </w:rPr>
                    <w:t>单层砖混结构</w:t>
                  </w:r>
                </w:p>
              </w:tc>
              <w:tc>
                <w:tcPr>
                  <w:tcW w:w="1050" w:type="dxa"/>
                  <w:tcBorders>
                    <w:tl2br w:val="nil"/>
                    <w:tr2bl w:val="nil"/>
                  </w:tcBorders>
                  <w:vAlign w:val="center"/>
                </w:tcPr>
                <w:p w14:paraId="79572FD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eastAsia="zh-CN"/>
                    </w:rPr>
                    <w:t>办公生活区</w:t>
                  </w:r>
                </w:p>
              </w:tc>
              <w:tc>
                <w:tcPr>
                  <w:tcW w:w="2979" w:type="dxa"/>
                  <w:tcBorders>
                    <w:tl2br w:val="nil"/>
                    <w:tr2bl w:val="nil"/>
                  </w:tcBorders>
                  <w:vAlign w:val="center"/>
                </w:tcPr>
                <w:p w14:paraId="718CD137">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szCs w:val="21"/>
                      <w:lang w:val="en-US" w:eastAsia="zh-CN"/>
                    </w:rPr>
                  </w:pPr>
                  <w:r>
                    <w:rPr>
                      <w:rFonts w:hint="eastAsia" w:ascii="宋体" w:hAnsi="宋体" w:eastAsia="宋体" w:cs="宋体"/>
                      <w:color w:val="auto"/>
                      <w:lang w:eastAsia="zh-CN"/>
                    </w:rPr>
                    <w:t>依托现有</w:t>
                  </w:r>
                </w:p>
              </w:tc>
              <w:tc>
                <w:tcPr>
                  <w:tcW w:w="546" w:type="dxa"/>
                  <w:tcBorders>
                    <w:tl2br w:val="nil"/>
                    <w:tr2bl w:val="nil"/>
                  </w:tcBorders>
                  <w:vAlign w:val="center"/>
                </w:tcPr>
                <w:p w14:paraId="4F5A7E7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eastAsia="zh-CN"/>
                    </w:rPr>
                    <w:t>依托</w:t>
                  </w:r>
                </w:p>
              </w:tc>
            </w:tr>
            <w:tr w14:paraId="3A55A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restart"/>
                  <w:tcBorders>
                    <w:tl2br w:val="nil"/>
                    <w:tr2bl w:val="nil"/>
                  </w:tcBorders>
                  <w:vAlign w:val="center"/>
                </w:tcPr>
                <w:p w14:paraId="26D5068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eastAsia="zh-CN"/>
                    </w:rPr>
                    <w:t>储运</w:t>
                  </w:r>
                  <w:r>
                    <w:rPr>
                      <w:rFonts w:hint="eastAsia" w:ascii="宋体" w:hAnsi="宋体" w:eastAsia="宋体" w:cs="宋体"/>
                      <w:color w:val="auto"/>
                      <w:szCs w:val="21"/>
                    </w:rPr>
                    <w:t>工程</w:t>
                  </w:r>
                </w:p>
              </w:tc>
              <w:tc>
                <w:tcPr>
                  <w:tcW w:w="990" w:type="dxa"/>
                  <w:gridSpan w:val="2"/>
                  <w:tcBorders>
                    <w:tl2br w:val="nil"/>
                    <w:tr2bl w:val="nil"/>
                  </w:tcBorders>
                  <w:vAlign w:val="center"/>
                </w:tcPr>
                <w:p w14:paraId="261328BF">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煤棚</w:t>
                  </w:r>
                </w:p>
              </w:tc>
              <w:tc>
                <w:tcPr>
                  <w:tcW w:w="2093" w:type="dxa"/>
                  <w:tcBorders>
                    <w:tl2br w:val="nil"/>
                    <w:tr2bl w:val="nil"/>
                  </w:tcBorders>
                  <w:vAlign w:val="center"/>
                </w:tcPr>
                <w:p w14:paraId="296738C0">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rPr>
                    <w:t>建成</w:t>
                  </w:r>
                  <w:r>
                    <w:rPr>
                      <w:rFonts w:hint="eastAsia" w:ascii="宋体" w:hAnsi="宋体" w:eastAsia="宋体" w:cs="宋体"/>
                      <w:color w:val="auto"/>
                      <w:szCs w:val="21"/>
                      <w:lang w:val="en-US" w:eastAsia="zh-CN"/>
                    </w:rPr>
                    <w:t>1座</w:t>
                  </w:r>
                  <w:r>
                    <w:rPr>
                      <w:rFonts w:hint="eastAsia" w:ascii="宋体" w:hAnsi="宋体" w:eastAsia="宋体" w:cs="宋体"/>
                      <w:color w:val="auto"/>
                      <w:szCs w:val="21"/>
                    </w:rPr>
                    <w:t>半封闭储煤棚，占地</w:t>
                  </w:r>
                  <w:r>
                    <w:rPr>
                      <w:rFonts w:hint="eastAsia" w:ascii="宋体" w:hAnsi="宋体" w:eastAsia="宋体" w:cs="宋体"/>
                      <w:color w:val="auto"/>
                      <w:szCs w:val="21"/>
                      <w:lang w:val="en-US" w:eastAsia="zh-CN"/>
                    </w:rPr>
                    <w:t>面积</w:t>
                  </w:r>
                  <w:r>
                    <w:rPr>
                      <w:rFonts w:hint="eastAsia" w:ascii="宋体" w:hAnsi="宋体" w:eastAsia="宋体" w:cs="宋体"/>
                      <w:color w:val="auto"/>
                      <w:szCs w:val="21"/>
                    </w:rPr>
                    <w:t>50m</w:t>
                  </w:r>
                  <w:r>
                    <w:rPr>
                      <w:rFonts w:hint="eastAsia" w:ascii="宋体" w:hAnsi="宋体" w:eastAsia="宋体" w:cs="宋体"/>
                      <w:color w:val="auto"/>
                      <w:szCs w:val="21"/>
                      <w:vertAlign w:val="superscript"/>
                    </w:rPr>
                    <w:t>2</w:t>
                  </w:r>
                  <w:r>
                    <w:rPr>
                      <w:rFonts w:hint="eastAsia" w:ascii="宋体" w:hAnsi="宋体" w:eastAsia="宋体" w:cs="宋体"/>
                      <w:color w:val="auto"/>
                      <w:szCs w:val="21"/>
                    </w:rPr>
                    <w:t>，</w:t>
                  </w:r>
                  <w:r>
                    <w:rPr>
                      <w:rFonts w:hint="eastAsia" w:ascii="宋体" w:hAnsi="宋体" w:eastAsia="宋体" w:cs="宋体"/>
                      <w:color w:val="auto"/>
                      <w:szCs w:val="21"/>
                      <w:lang w:val="en-US" w:eastAsia="zh-CN"/>
                    </w:rPr>
                    <w:t>三面设3m高围墙</w:t>
                  </w:r>
                </w:p>
              </w:tc>
              <w:tc>
                <w:tcPr>
                  <w:tcW w:w="1050" w:type="dxa"/>
                  <w:tcBorders>
                    <w:tl2br w:val="nil"/>
                    <w:tr2bl w:val="nil"/>
                  </w:tcBorders>
                  <w:vAlign w:val="center"/>
                </w:tcPr>
                <w:p w14:paraId="24FA007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2979" w:type="dxa"/>
                  <w:tcBorders>
                    <w:tl2br w:val="nil"/>
                    <w:tr2bl w:val="nil"/>
                  </w:tcBorders>
                  <w:vAlign w:val="center"/>
                </w:tcPr>
                <w:p w14:paraId="6163A53C">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技改后不再使用，拆除</w:t>
                  </w:r>
                </w:p>
              </w:tc>
              <w:tc>
                <w:tcPr>
                  <w:tcW w:w="546" w:type="dxa"/>
                  <w:tcBorders>
                    <w:tl2br w:val="nil"/>
                    <w:tr2bl w:val="nil"/>
                  </w:tcBorders>
                  <w:vAlign w:val="center"/>
                </w:tcPr>
                <w:p w14:paraId="6654773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拆除</w:t>
                  </w:r>
                </w:p>
              </w:tc>
            </w:tr>
            <w:tr w14:paraId="6C7EB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4D73FFC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990" w:type="dxa"/>
                  <w:gridSpan w:val="2"/>
                  <w:tcBorders>
                    <w:tl2br w:val="nil"/>
                    <w:tr2bl w:val="nil"/>
                  </w:tcBorders>
                  <w:vAlign w:val="center"/>
                </w:tcPr>
                <w:p w14:paraId="5AD039C3">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rPr>
                    <w:t>渣</w:t>
                  </w:r>
                  <w:r>
                    <w:rPr>
                      <w:rFonts w:hint="eastAsia" w:ascii="宋体" w:hAnsi="宋体" w:eastAsia="宋体" w:cs="宋体"/>
                      <w:color w:val="auto"/>
                      <w:szCs w:val="21"/>
                      <w:lang w:val="en-US" w:eastAsia="zh-CN"/>
                    </w:rPr>
                    <w:t>池</w:t>
                  </w:r>
                </w:p>
              </w:tc>
              <w:tc>
                <w:tcPr>
                  <w:tcW w:w="2093" w:type="dxa"/>
                  <w:tcBorders>
                    <w:tl2br w:val="nil"/>
                    <w:tr2bl w:val="nil"/>
                  </w:tcBorders>
                  <w:vAlign w:val="center"/>
                </w:tcPr>
                <w:p w14:paraId="22E6DDB9">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建成1座30</w:t>
                  </w:r>
                  <w:r>
                    <w:rPr>
                      <w:rFonts w:hint="eastAsia" w:ascii="宋体" w:hAnsi="宋体" w:eastAsia="宋体" w:cs="宋体"/>
                      <w:color w:val="auto"/>
                      <w:szCs w:val="21"/>
                    </w:rPr>
                    <w:t>m</w:t>
                  </w:r>
                  <w:r>
                    <w:rPr>
                      <w:rFonts w:hint="eastAsia" w:ascii="宋体" w:hAnsi="宋体" w:eastAsia="宋体" w:cs="宋体"/>
                      <w:color w:val="auto"/>
                      <w:szCs w:val="21"/>
                      <w:vertAlign w:val="superscript"/>
                    </w:rPr>
                    <w:t>2</w:t>
                  </w:r>
                  <w:r>
                    <w:rPr>
                      <w:rFonts w:hint="eastAsia" w:ascii="宋体" w:hAnsi="宋体" w:eastAsia="宋体" w:cs="宋体"/>
                      <w:color w:val="auto"/>
                      <w:szCs w:val="21"/>
                      <w:vertAlign w:val="baseline"/>
                      <w:lang w:val="en-US" w:eastAsia="zh-CN"/>
                    </w:rPr>
                    <w:t>渣池，底部采用混凝土硬化，四周建成0.5m高的围堰</w:t>
                  </w:r>
                </w:p>
              </w:tc>
              <w:tc>
                <w:tcPr>
                  <w:tcW w:w="1050" w:type="dxa"/>
                  <w:tcBorders>
                    <w:tl2br w:val="nil"/>
                    <w:tr2bl w:val="nil"/>
                  </w:tcBorders>
                  <w:vAlign w:val="center"/>
                </w:tcPr>
                <w:p w14:paraId="6FA6A39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2979" w:type="dxa"/>
                  <w:tcBorders>
                    <w:tl2br w:val="nil"/>
                    <w:tr2bl w:val="nil"/>
                  </w:tcBorders>
                  <w:vAlign w:val="center"/>
                </w:tcPr>
                <w:p w14:paraId="3E5CAE1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技改后不再使用，拆除</w:t>
                  </w:r>
                </w:p>
              </w:tc>
              <w:tc>
                <w:tcPr>
                  <w:tcW w:w="546" w:type="dxa"/>
                  <w:tcBorders>
                    <w:tl2br w:val="nil"/>
                    <w:tr2bl w:val="nil"/>
                  </w:tcBorders>
                  <w:vAlign w:val="center"/>
                </w:tcPr>
                <w:p w14:paraId="2007360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拆除</w:t>
                  </w:r>
                </w:p>
              </w:tc>
            </w:tr>
            <w:tr w14:paraId="35777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539" w:hRule="atLeast"/>
                <w:jc w:val="center"/>
              </w:trPr>
              <w:tc>
                <w:tcPr>
                  <w:tcW w:w="598" w:type="dxa"/>
                  <w:vMerge w:val="continue"/>
                  <w:tcBorders>
                    <w:tl2br w:val="nil"/>
                    <w:tr2bl w:val="nil"/>
                  </w:tcBorders>
                  <w:vAlign w:val="center"/>
                </w:tcPr>
                <w:p w14:paraId="4B71900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990" w:type="dxa"/>
                  <w:gridSpan w:val="2"/>
                  <w:tcBorders>
                    <w:tl2br w:val="nil"/>
                    <w:tr2bl w:val="nil"/>
                  </w:tcBorders>
                  <w:vAlign w:val="center"/>
                </w:tcPr>
                <w:p w14:paraId="095DF1B5">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油罐区</w:t>
                  </w:r>
                </w:p>
              </w:tc>
              <w:tc>
                <w:tcPr>
                  <w:tcW w:w="2093" w:type="dxa"/>
                  <w:tcBorders>
                    <w:tl2br w:val="nil"/>
                    <w:tr2bl w:val="nil"/>
                  </w:tcBorders>
                  <w:vAlign w:val="center"/>
                </w:tcPr>
                <w:p w14:paraId="0A91FDF3">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油罐区</w:t>
                  </w:r>
                  <w:r>
                    <w:rPr>
                      <w:rFonts w:hint="eastAsia" w:eastAsia="宋体" w:cs="宋体"/>
                      <w:color w:val="auto"/>
                      <w:szCs w:val="21"/>
                      <w:highlight w:val="none"/>
                      <w:lang w:val="en-US" w:eastAsia="zh-CN"/>
                    </w:rPr>
                    <w:t>及加油区</w:t>
                  </w:r>
                  <w:r>
                    <w:rPr>
                      <w:rFonts w:hint="eastAsia" w:ascii="宋体" w:hAnsi="宋体" w:eastAsia="宋体" w:cs="宋体"/>
                      <w:color w:val="auto"/>
                      <w:szCs w:val="21"/>
                      <w:highlight w:val="none"/>
                      <w:lang w:val="en-US" w:eastAsia="zh-CN"/>
                    </w:rPr>
                    <w:t>占地面积100m</w:t>
                  </w:r>
                  <w:r>
                    <w:rPr>
                      <w:rFonts w:hint="eastAsia" w:ascii="宋体" w:hAnsi="宋体" w:eastAsia="宋体" w:cs="宋体"/>
                      <w:color w:val="auto"/>
                      <w:szCs w:val="21"/>
                      <w:highlight w:val="none"/>
                      <w:vertAlign w:val="superscript"/>
                      <w:lang w:val="en-US" w:eastAsia="zh-CN"/>
                    </w:rPr>
                    <w:t>2</w:t>
                  </w:r>
                  <w:r>
                    <w:rPr>
                      <w:rFonts w:hint="eastAsia" w:ascii="宋体" w:hAnsi="宋体" w:eastAsia="宋体" w:cs="宋体"/>
                      <w:color w:val="auto"/>
                      <w:szCs w:val="21"/>
                      <w:highlight w:val="none"/>
                      <w:lang w:val="en-US" w:eastAsia="zh-CN"/>
                    </w:rPr>
                    <w:t>，建成1座地埋式柴油罐区</w:t>
                  </w:r>
                  <w:r>
                    <w:rPr>
                      <w:rFonts w:hint="eastAsia" w:eastAsia="宋体" w:cs="宋体"/>
                      <w:color w:val="auto"/>
                      <w:szCs w:val="21"/>
                      <w:highlight w:val="none"/>
                      <w:lang w:val="en-US" w:eastAsia="zh-CN"/>
                    </w:rPr>
                    <w:t>占地面积67.5m（9m×7.5m），埋深5m</w:t>
                  </w:r>
                  <w:r>
                    <w:rPr>
                      <w:rFonts w:hint="eastAsia" w:ascii="宋体" w:hAnsi="宋体" w:eastAsia="宋体" w:cs="宋体"/>
                      <w:color w:val="auto"/>
                      <w:szCs w:val="21"/>
                      <w:highlight w:val="none"/>
                      <w:lang w:val="en-US" w:eastAsia="zh-CN"/>
                    </w:rPr>
                    <w:t>，</w:t>
                  </w:r>
                  <w:r>
                    <w:rPr>
                      <w:rFonts w:hint="eastAsia" w:eastAsia="宋体" w:cs="宋体"/>
                      <w:color w:val="auto"/>
                      <w:szCs w:val="21"/>
                      <w:highlight w:val="none"/>
                      <w:lang w:val="en-US" w:eastAsia="zh-CN"/>
                    </w:rPr>
                    <w:t>罐区</w:t>
                  </w:r>
                  <w:r>
                    <w:rPr>
                      <w:rFonts w:hint="eastAsia" w:ascii="宋体" w:hAnsi="宋体" w:eastAsia="宋体" w:cs="宋体"/>
                      <w:color w:val="auto"/>
                      <w:szCs w:val="21"/>
                      <w:highlight w:val="none"/>
                      <w:lang w:val="en-US" w:eastAsia="zh-CN"/>
                    </w:rPr>
                    <w:t>设置1套油相储罐，1套柴油储罐（</w:t>
                  </w:r>
                  <w:r>
                    <w:rPr>
                      <w:rFonts w:hint="eastAsia" w:ascii="宋体" w:hAnsi="宋体" w:eastAsia="宋体" w:cs="宋体"/>
                      <w:bCs/>
                      <w:color w:val="auto"/>
                      <w:szCs w:val="21"/>
                      <w:lang w:val="en-US" w:eastAsia="zh-CN"/>
                    </w:rPr>
                    <w:t>混装车用柴油燃料</w:t>
                  </w:r>
                  <w:r>
                    <w:rPr>
                      <w:rFonts w:hint="eastAsia" w:ascii="宋体" w:hAnsi="宋体" w:eastAsia="宋体" w:cs="宋体"/>
                      <w:color w:val="auto"/>
                      <w:szCs w:val="21"/>
                      <w:highlight w:val="none"/>
                      <w:lang w:val="en-US" w:eastAsia="zh-CN"/>
                    </w:rPr>
                    <w:t>），容积均为50m³，采用</w:t>
                  </w:r>
                  <w:r>
                    <w:rPr>
                      <w:rFonts w:hint="eastAsia" w:eastAsia="宋体" w:cs="宋体"/>
                      <w:color w:val="auto"/>
                      <w:szCs w:val="21"/>
                      <w:highlight w:val="none"/>
                      <w:lang w:val="en-US" w:eastAsia="zh-CN"/>
                    </w:rPr>
                    <w:t>钢制</w:t>
                  </w:r>
                  <w:r>
                    <w:rPr>
                      <w:rFonts w:hint="eastAsia" w:ascii="宋体" w:hAnsi="宋体" w:eastAsia="宋体" w:cs="宋体"/>
                      <w:color w:val="auto"/>
                      <w:szCs w:val="21"/>
                      <w:highlight w:val="none"/>
                      <w:lang w:val="en-US" w:eastAsia="zh-CN"/>
                    </w:rPr>
                    <w:t>油罐，油罐区地面先用土夯实，上面平铺油毡后用沥青浇灌。</w:t>
                  </w:r>
                  <w:r>
                    <w:rPr>
                      <w:rFonts w:hint="eastAsia" w:eastAsia="宋体" w:cs="宋体"/>
                      <w:color w:val="auto"/>
                      <w:szCs w:val="21"/>
                      <w:highlight w:val="none"/>
                      <w:lang w:val="en-US" w:eastAsia="zh-CN"/>
                    </w:rPr>
                    <w:t>同时</w:t>
                  </w:r>
                  <w:r>
                    <w:rPr>
                      <w:rFonts w:hint="eastAsia" w:ascii="宋体" w:hAnsi="宋体" w:eastAsia="宋体" w:cs="宋体"/>
                      <w:color w:val="auto"/>
                      <w:szCs w:val="21"/>
                      <w:highlight w:val="none"/>
                      <w:lang w:val="en-US" w:eastAsia="zh-CN"/>
                    </w:rPr>
                    <w:t>油罐表面沥青处理</w:t>
                  </w:r>
                  <w:r>
                    <w:rPr>
                      <w:rFonts w:hint="eastAsia" w:eastAsia="宋体" w:cs="宋体"/>
                      <w:color w:val="auto"/>
                      <w:szCs w:val="21"/>
                      <w:highlight w:val="none"/>
                      <w:lang w:val="en-US" w:eastAsia="zh-CN"/>
                    </w:rPr>
                    <w:t>防渗</w:t>
                  </w:r>
                </w:p>
              </w:tc>
              <w:tc>
                <w:tcPr>
                  <w:tcW w:w="1050" w:type="dxa"/>
                  <w:tcBorders>
                    <w:tl2br w:val="nil"/>
                    <w:tr2bl w:val="nil"/>
                  </w:tcBorders>
                  <w:vAlign w:val="center"/>
                </w:tcPr>
                <w:p w14:paraId="3AD037C5">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油罐区</w:t>
                  </w:r>
                </w:p>
              </w:tc>
              <w:tc>
                <w:tcPr>
                  <w:tcW w:w="2979" w:type="dxa"/>
                  <w:tcBorders>
                    <w:tl2br w:val="nil"/>
                    <w:tr2bl w:val="nil"/>
                  </w:tcBorders>
                  <w:vAlign w:val="center"/>
                </w:tcPr>
                <w:p w14:paraId="0597A366">
                  <w:pPr>
                    <w:keepNext w:val="0"/>
                    <w:keepLines w:val="0"/>
                    <w:suppressLineNumbers w:val="0"/>
                    <w:spacing w:before="0" w:beforeAutospacing="0" w:after="0" w:afterAutospacing="0" w:line="360" w:lineRule="exact"/>
                    <w:ind w:left="0" w:leftChars="0" w:right="0" w:rightChars="0"/>
                    <w:jc w:val="left"/>
                    <w:rPr>
                      <w:rFonts w:hint="eastAsia" w:ascii="宋体" w:hAnsi="宋体" w:eastAsia="宋体" w:cs="宋体"/>
                      <w:color w:val="auto"/>
                      <w:szCs w:val="21"/>
                      <w:highlight w:val="none"/>
                      <w:lang w:val="en-US" w:eastAsia="zh-CN"/>
                    </w:rPr>
                  </w:pPr>
                  <w:r>
                    <w:rPr>
                      <w:rFonts w:hint="eastAsia" w:ascii="宋体" w:hAnsi="宋体" w:eastAsia="宋体" w:cs="宋体"/>
                      <w:bCs/>
                      <w:color w:val="auto"/>
                      <w:szCs w:val="21"/>
                      <w:lang w:val="en-US" w:eastAsia="zh-CN"/>
                    </w:rPr>
                    <w:t>燃油锅炉用柴油燃料</w:t>
                  </w:r>
                  <w:r>
                    <w:rPr>
                      <w:rFonts w:hint="eastAsia" w:ascii="宋体" w:hAnsi="宋体" w:eastAsia="宋体" w:cs="宋体"/>
                      <w:color w:val="auto"/>
                      <w:szCs w:val="21"/>
                      <w:highlight w:val="none"/>
                      <w:lang w:val="en-US" w:eastAsia="zh-CN"/>
                    </w:rPr>
                    <w:t>依托现有地埋式油罐区柴油罐</w:t>
                  </w:r>
                </w:p>
              </w:tc>
              <w:tc>
                <w:tcPr>
                  <w:tcW w:w="546" w:type="dxa"/>
                  <w:vMerge w:val="restart"/>
                  <w:tcBorders>
                    <w:tl2br w:val="nil"/>
                    <w:tr2bl w:val="nil"/>
                  </w:tcBorders>
                  <w:vAlign w:val="center"/>
                </w:tcPr>
                <w:p w14:paraId="688B60E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依托</w:t>
                  </w:r>
                </w:p>
              </w:tc>
            </w:tr>
            <w:tr w14:paraId="72C4F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1" w:hRule="atLeast"/>
                <w:jc w:val="center"/>
              </w:trPr>
              <w:tc>
                <w:tcPr>
                  <w:tcW w:w="598" w:type="dxa"/>
                  <w:vMerge w:val="continue"/>
                  <w:tcBorders>
                    <w:tl2br w:val="nil"/>
                    <w:tr2bl w:val="nil"/>
                  </w:tcBorders>
                  <w:vAlign w:val="center"/>
                </w:tcPr>
                <w:p w14:paraId="555DD69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p>
              </w:tc>
              <w:tc>
                <w:tcPr>
                  <w:tcW w:w="990" w:type="dxa"/>
                  <w:gridSpan w:val="2"/>
                  <w:tcBorders>
                    <w:tl2br w:val="nil"/>
                    <w:tr2bl w:val="nil"/>
                  </w:tcBorders>
                  <w:vAlign w:val="center"/>
                </w:tcPr>
                <w:p w14:paraId="0E86A09B">
                  <w:pPr>
                    <w:keepNext w:val="0"/>
                    <w:keepLines w:val="0"/>
                    <w:suppressLineNumbers w:val="0"/>
                    <w:wordWrap w:val="0"/>
                    <w:spacing w:before="0" w:beforeAutospacing="0" w:after="0" w:afterAutospacing="0" w:line="360" w:lineRule="exact"/>
                    <w:ind w:left="0" w:leftChars="0" w:right="0" w:rightChars="0"/>
                    <w:jc w:val="center"/>
                    <w:rPr>
                      <w:rFonts w:hint="default" w:ascii="宋体" w:hAnsi="宋体" w:eastAsia="宋体" w:cs="宋体"/>
                      <w:color w:val="auto"/>
                      <w:szCs w:val="21"/>
                      <w:highlight w:val="none"/>
                      <w:lang w:val="en-US" w:eastAsia="zh-CN"/>
                    </w:rPr>
                  </w:pPr>
                  <w:r>
                    <w:rPr>
                      <w:rFonts w:hint="eastAsia" w:eastAsia="宋体" w:cs="宋体"/>
                      <w:color w:val="auto"/>
                      <w:szCs w:val="21"/>
                      <w:highlight w:val="none"/>
                      <w:lang w:val="en-US" w:eastAsia="zh-CN"/>
                    </w:rPr>
                    <w:t>污水暂存池</w:t>
                  </w:r>
                </w:p>
              </w:tc>
              <w:tc>
                <w:tcPr>
                  <w:tcW w:w="2093" w:type="dxa"/>
                  <w:tcBorders>
                    <w:tl2br w:val="nil"/>
                    <w:tr2bl w:val="nil"/>
                  </w:tcBorders>
                  <w:shd w:val="clear" w:color="auto" w:fill="auto"/>
                  <w:vAlign w:val="center"/>
                </w:tcPr>
                <w:p w14:paraId="756C747C">
                  <w:pPr>
                    <w:keepNext w:val="0"/>
                    <w:keepLines w:val="0"/>
                    <w:suppressLineNumbers w:val="0"/>
                    <w:wordWrap w:val="0"/>
                    <w:spacing w:before="0" w:beforeAutospacing="0" w:after="0" w:afterAutospacing="0" w:line="360" w:lineRule="exact"/>
                    <w:ind w:left="0" w:leftChars="0" w:right="0" w:rightChars="0"/>
                    <w:jc w:val="both"/>
                    <w:rPr>
                      <w:rFonts w:hint="eastAsia" w:ascii="宋体" w:hAnsi="宋体" w:eastAsia="宋体" w:cs="宋体"/>
                      <w:color w:val="auto"/>
                      <w:kern w:val="2"/>
                      <w:sz w:val="21"/>
                      <w:szCs w:val="21"/>
                      <w:highlight w:val="none"/>
                      <w:lang w:val="en-US" w:eastAsia="zh-CN" w:bidi="ar-SA"/>
                    </w:rPr>
                  </w:pPr>
                  <w:r>
                    <w:rPr>
                      <w:rFonts w:hint="eastAsia" w:eastAsia="宋体" w:cs="宋体"/>
                      <w:color w:val="auto"/>
                      <w:szCs w:val="21"/>
                      <w:highlight w:val="none"/>
                      <w:lang w:val="en-US" w:eastAsia="zh-CN"/>
                    </w:rPr>
                    <w:t>建成1座污水暂存池，不锈钢罐，容积为5.1m3，具体尺寸为φ1.8×2m</w:t>
                  </w:r>
                </w:p>
              </w:tc>
              <w:tc>
                <w:tcPr>
                  <w:tcW w:w="1050" w:type="dxa"/>
                  <w:tcBorders>
                    <w:tl2br w:val="nil"/>
                    <w:tr2bl w:val="nil"/>
                  </w:tcBorders>
                  <w:shd w:val="clear" w:color="auto" w:fill="auto"/>
                  <w:vAlign w:val="center"/>
                </w:tcPr>
                <w:p w14:paraId="42F626C7">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highlight w:val="none"/>
                      <w:lang w:val="en-US" w:eastAsia="zh-CN" w:bidi="ar-SA"/>
                    </w:rPr>
                  </w:pPr>
                  <w:r>
                    <w:rPr>
                      <w:rFonts w:hint="eastAsia" w:eastAsia="宋体" w:cs="宋体"/>
                      <w:color w:val="auto"/>
                      <w:szCs w:val="21"/>
                      <w:highlight w:val="none"/>
                      <w:lang w:val="en-US" w:eastAsia="zh-CN"/>
                    </w:rPr>
                    <w:t>污水暂存池</w:t>
                  </w:r>
                </w:p>
              </w:tc>
              <w:tc>
                <w:tcPr>
                  <w:tcW w:w="2979" w:type="dxa"/>
                  <w:tcBorders>
                    <w:tl2br w:val="nil"/>
                    <w:tr2bl w:val="nil"/>
                  </w:tcBorders>
                  <w:shd w:val="clear" w:color="auto" w:fill="auto"/>
                  <w:vAlign w:val="center"/>
                </w:tcPr>
                <w:p w14:paraId="3B25E98F">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highlight w:val="none"/>
                      <w:lang w:val="en-US" w:eastAsia="zh-CN" w:bidi="ar-SA"/>
                    </w:rPr>
                  </w:pPr>
                  <w:r>
                    <w:rPr>
                      <w:rFonts w:hint="eastAsia" w:eastAsia="宋体" w:cs="宋体"/>
                      <w:color w:val="auto"/>
                      <w:szCs w:val="21"/>
                      <w:highlight w:val="none"/>
                      <w:lang w:val="en-US" w:eastAsia="zh-CN"/>
                    </w:rPr>
                    <w:t>建成1座污水暂存池，不锈钢罐，容积为5.1m</w:t>
                  </w:r>
                  <w:r>
                    <w:rPr>
                      <w:rFonts w:hint="eastAsia" w:eastAsia="宋体" w:cs="宋体"/>
                      <w:color w:val="auto"/>
                      <w:szCs w:val="21"/>
                      <w:highlight w:val="none"/>
                      <w:vertAlign w:val="superscript"/>
                      <w:lang w:val="en-US" w:eastAsia="zh-CN"/>
                    </w:rPr>
                    <w:t>3</w:t>
                  </w:r>
                  <w:r>
                    <w:rPr>
                      <w:rFonts w:hint="eastAsia" w:eastAsia="宋体" w:cs="宋体"/>
                      <w:color w:val="auto"/>
                      <w:szCs w:val="21"/>
                      <w:highlight w:val="none"/>
                      <w:lang w:val="en-US" w:eastAsia="zh-CN"/>
                    </w:rPr>
                    <w:t>，具体尺寸为φ1.8×2m。</w:t>
                  </w:r>
                </w:p>
              </w:tc>
              <w:tc>
                <w:tcPr>
                  <w:tcW w:w="546" w:type="dxa"/>
                  <w:vMerge w:val="continue"/>
                  <w:tcBorders>
                    <w:tl2br w:val="nil"/>
                    <w:tr2bl w:val="nil"/>
                  </w:tcBorders>
                  <w:vAlign w:val="center"/>
                </w:tcPr>
                <w:p w14:paraId="0283473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p>
              </w:tc>
            </w:tr>
            <w:tr w14:paraId="38DAF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restart"/>
                  <w:tcBorders>
                    <w:tl2br w:val="nil"/>
                    <w:tr2bl w:val="nil"/>
                  </w:tcBorders>
                  <w:vAlign w:val="center"/>
                </w:tcPr>
                <w:p w14:paraId="4764EFD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公用工程</w:t>
                  </w:r>
                </w:p>
              </w:tc>
              <w:tc>
                <w:tcPr>
                  <w:tcW w:w="990" w:type="dxa"/>
                  <w:gridSpan w:val="2"/>
                  <w:tcBorders>
                    <w:tl2br w:val="nil"/>
                    <w:tr2bl w:val="nil"/>
                  </w:tcBorders>
                  <w:vAlign w:val="center"/>
                </w:tcPr>
                <w:p w14:paraId="4E074805">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给水</w:t>
                  </w:r>
                </w:p>
              </w:tc>
              <w:tc>
                <w:tcPr>
                  <w:tcW w:w="2093" w:type="dxa"/>
                  <w:tcBorders>
                    <w:tl2br w:val="nil"/>
                    <w:tr2bl w:val="nil"/>
                  </w:tcBorders>
                  <w:vAlign w:val="center"/>
                </w:tcPr>
                <w:p w14:paraId="005715EC">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由内蒙古太平矿业有限公司供给</w:t>
                  </w:r>
                </w:p>
              </w:tc>
              <w:tc>
                <w:tcPr>
                  <w:tcW w:w="1050" w:type="dxa"/>
                  <w:tcBorders>
                    <w:tl2br w:val="nil"/>
                    <w:tr2bl w:val="nil"/>
                  </w:tcBorders>
                  <w:vAlign w:val="center"/>
                </w:tcPr>
                <w:p w14:paraId="2FA88EB4">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rPr>
                    <w:t>给水</w:t>
                  </w:r>
                </w:p>
              </w:tc>
              <w:tc>
                <w:tcPr>
                  <w:tcW w:w="2979" w:type="dxa"/>
                  <w:tcBorders>
                    <w:tl2br w:val="nil"/>
                    <w:tr2bl w:val="nil"/>
                  </w:tcBorders>
                  <w:vAlign w:val="center"/>
                </w:tcPr>
                <w:p w14:paraId="6862586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依托现有给水设施，由内蒙古太平矿业有限公司供给</w:t>
                  </w:r>
                </w:p>
              </w:tc>
              <w:tc>
                <w:tcPr>
                  <w:tcW w:w="546" w:type="dxa"/>
                  <w:tcBorders>
                    <w:tl2br w:val="nil"/>
                    <w:tr2bl w:val="nil"/>
                  </w:tcBorders>
                  <w:vAlign w:val="center"/>
                </w:tcPr>
                <w:p w14:paraId="12B5E649">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依托</w:t>
                  </w:r>
                </w:p>
              </w:tc>
            </w:tr>
            <w:tr w14:paraId="0386D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4DF949D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90" w:type="dxa"/>
                  <w:gridSpan w:val="2"/>
                  <w:tcBorders>
                    <w:tl2br w:val="nil"/>
                    <w:tr2bl w:val="nil"/>
                  </w:tcBorders>
                  <w:vAlign w:val="center"/>
                </w:tcPr>
                <w:p w14:paraId="2F9744E1">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排水</w:t>
                  </w:r>
                </w:p>
              </w:tc>
              <w:tc>
                <w:tcPr>
                  <w:tcW w:w="2093" w:type="dxa"/>
                  <w:tcBorders>
                    <w:tl2br w:val="nil"/>
                    <w:tr2bl w:val="nil"/>
                  </w:tcBorders>
                  <w:vAlign w:val="center"/>
                </w:tcPr>
                <w:p w14:paraId="05F9FCF4">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szCs w:val="21"/>
                      <w:lang w:val="en-US" w:eastAsia="zh-CN"/>
                    </w:rPr>
                  </w:pPr>
                  <w:r>
                    <w:rPr>
                      <w:rFonts w:hint="eastAsia" w:ascii="宋体" w:hAnsi="宋体" w:eastAsia="宋体" w:cs="宋体"/>
                      <w:color w:val="auto"/>
                      <w:szCs w:val="21"/>
                    </w:rPr>
                    <w:t>锅炉及软水装置排污水</w:t>
                  </w:r>
                  <w:r>
                    <w:rPr>
                      <w:rFonts w:hint="eastAsia" w:eastAsia="宋体" w:cs="宋体"/>
                      <w:color w:val="auto"/>
                      <w:szCs w:val="21"/>
                      <w:lang w:val="en-US" w:eastAsia="zh-CN"/>
                    </w:rPr>
                    <w:t>暂存于污水暂存池，</w:t>
                  </w:r>
                  <w:r>
                    <w:rPr>
                      <w:rFonts w:hint="eastAsia" w:ascii="宋体" w:hAnsi="宋体" w:eastAsia="宋体" w:cs="宋体"/>
                      <w:color w:val="auto"/>
                      <w:szCs w:val="21"/>
                    </w:rPr>
                    <w:t>用于</w:t>
                  </w:r>
                  <w:r>
                    <w:rPr>
                      <w:rFonts w:hint="eastAsia" w:ascii="宋体" w:hAnsi="宋体" w:eastAsia="宋体" w:cs="宋体"/>
                      <w:color w:val="auto"/>
                      <w:szCs w:val="21"/>
                      <w:lang w:val="en-US" w:eastAsia="zh-CN"/>
                    </w:rPr>
                    <w:t>储煤场洒</w:t>
                  </w:r>
                  <w:r>
                    <w:rPr>
                      <w:rFonts w:hint="eastAsia" w:ascii="宋体" w:hAnsi="宋体" w:eastAsia="宋体" w:cs="宋体"/>
                      <w:color w:val="auto"/>
                      <w:szCs w:val="21"/>
                    </w:rPr>
                    <w:t>水抑尘</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不外排；</w:t>
                  </w:r>
                  <w:r>
                    <w:rPr>
                      <w:rFonts w:hint="eastAsia" w:ascii="宋体" w:hAnsi="宋体" w:eastAsia="宋体" w:cs="宋体"/>
                      <w:color w:val="auto"/>
                      <w:lang w:val="en-US" w:eastAsia="zh-CN"/>
                    </w:rPr>
                    <w:t>职工生活污水由化粪池收集后，委托内蒙古诚远服务有限公司拉运处理</w:t>
                  </w:r>
                </w:p>
              </w:tc>
              <w:tc>
                <w:tcPr>
                  <w:tcW w:w="1050" w:type="dxa"/>
                  <w:tcBorders>
                    <w:tl2br w:val="nil"/>
                    <w:tr2bl w:val="nil"/>
                  </w:tcBorders>
                  <w:vAlign w:val="center"/>
                </w:tcPr>
                <w:p w14:paraId="56730C25">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lang w:val="en-US" w:eastAsia="zh-CN"/>
                    </w:rPr>
                  </w:pPr>
                  <w:r>
                    <w:rPr>
                      <w:rFonts w:hint="eastAsia" w:ascii="宋体" w:hAnsi="宋体" w:eastAsia="宋体" w:cs="宋体"/>
                      <w:color w:val="auto"/>
                      <w:szCs w:val="21"/>
                    </w:rPr>
                    <w:t>排水</w:t>
                  </w:r>
                </w:p>
              </w:tc>
              <w:tc>
                <w:tcPr>
                  <w:tcW w:w="2979" w:type="dxa"/>
                  <w:tcBorders>
                    <w:tl2br w:val="nil"/>
                    <w:tr2bl w:val="nil"/>
                  </w:tcBorders>
                  <w:vAlign w:val="center"/>
                </w:tcPr>
                <w:p w14:paraId="7B9B50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eastAsia" w:ascii="宋体" w:hAnsi="宋体" w:eastAsia="宋体" w:cs="宋体"/>
                      <w:color w:val="auto"/>
                      <w:lang w:eastAsia="zh-CN"/>
                    </w:rPr>
                  </w:pPr>
                  <w:r>
                    <w:rPr>
                      <w:rFonts w:hint="eastAsia" w:ascii="宋体" w:hAnsi="宋体" w:eastAsia="宋体" w:cs="宋体"/>
                      <w:color w:val="auto"/>
                    </w:rPr>
                    <w:t>新建锅炉及软水装置排污水</w:t>
                  </w:r>
                  <w:r>
                    <w:rPr>
                      <w:rFonts w:hint="eastAsia" w:ascii="宋体" w:hAnsi="宋体" w:eastAsia="宋体" w:cs="宋体"/>
                      <w:color w:val="auto"/>
                      <w:lang w:eastAsia="zh-CN"/>
                    </w:rPr>
                    <w:t>暂存于</w:t>
                  </w:r>
                  <w:r>
                    <w:rPr>
                      <w:rFonts w:hint="eastAsia" w:ascii="宋体" w:hAnsi="宋体" w:eastAsia="宋体" w:cs="宋体"/>
                      <w:color w:val="auto"/>
                      <w:szCs w:val="21"/>
                      <w:lang w:eastAsia="zh-CN"/>
                    </w:rPr>
                    <w:t>污水暂存池</w:t>
                  </w:r>
                  <w:r>
                    <w:rPr>
                      <w:rFonts w:hint="eastAsia" w:ascii="宋体" w:hAnsi="宋体" w:eastAsia="宋体" w:cs="宋体"/>
                      <w:color w:val="auto"/>
                      <w:szCs w:val="21"/>
                    </w:rPr>
                    <w:t>，</w:t>
                  </w:r>
                  <w:r>
                    <w:rPr>
                      <w:rFonts w:hint="eastAsia" w:ascii="宋体" w:hAnsi="宋体" w:eastAsia="宋体" w:cs="宋体"/>
                      <w:color w:val="auto"/>
                      <w:szCs w:val="21"/>
                      <w:lang w:eastAsia="zh-CN"/>
                    </w:rPr>
                    <w:t>回用于水相在线制备</w:t>
                  </w:r>
                  <w:r>
                    <w:rPr>
                      <w:rFonts w:hint="eastAsia" w:ascii="宋体" w:hAnsi="宋体" w:eastAsia="宋体" w:cs="宋体"/>
                      <w:color w:val="auto"/>
                    </w:rPr>
                    <w:t>，不外排</w:t>
                  </w:r>
                  <w:r>
                    <w:rPr>
                      <w:rFonts w:hint="eastAsia" w:ascii="宋体" w:hAnsi="宋体" w:eastAsia="宋体" w:cs="宋体"/>
                      <w:color w:val="auto"/>
                      <w:lang w:eastAsia="zh-CN"/>
                    </w:rPr>
                    <w:t>；</w:t>
                  </w:r>
                </w:p>
                <w:p w14:paraId="5C788379">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firstLine="0" w:firstLineChars="0"/>
                    <w:textAlignment w:val="auto"/>
                    <w:rPr>
                      <w:rFonts w:hint="eastAsia" w:ascii="宋体" w:hAnsi="宋体" w:eastAsia="宋体" w:cs="宋体"/>
                      <w:color w:val="auto"/>
                      <w:kern w:val="2"/>
                      <w:sz w:val="21"/>
                      <w:szCs w:val="24"/>
                      <w:lang w:val="en-US" w:eastAsia="zh-CN" w:bidi="ar-SA"/>
                    </w:rPr>
                  </w:pPr>
                  <w:r>
                    <w:rPr>
                      <w:rFonts w:hint="eastAsia" w:ascii="宋体" w:hAnsi="宋体" w:eastAsia="宋体" w:cs="宋体"/>
                      <w:color w:val="auto"/>
                      <w:kern w:val="2"/>
                      <w:sz w:val="21"/>
                      <w:szCs w:val="24"/>
                      <w:lang w:val="en-US" w:eastAsia="zh-CN" w:bidi="ar-SA"/>
                    </w:rPr>
                    <w:t>技改项目不新增生活污水</w:t>
                  </w:r>
                </w:p>
              </w:tc>
              <w:tc>
                <w:tcPr>
                  <w:tcW w:w="546" w:type="dxa"/>
                  <w:tcBorders>
                    <w:tl2br w:val="nil"/>
                    <w:tr2bl w:val="nil"/>
                  </w:tcBorders>
                  <w:vAlign w:val="center"/>
                </w:tcPr>
                <w:p w14:paraId="57B76CC7">
                  <w:pPr>
                    <w:keepNext w:val="0"/>
                    <w:keepLines w:val="0"/>
                    <w:suppressLineNumbers w:val="0"/>
                    <w:wordWrap w:val="0"/>
                    <w:spacing w:before="0" w:beforeAutospacing="0" w:after="0" w:afterAutospacing="0" w:line="360" w:lineRule="exact"/>
                    <w:ind w:left="0" w:right="0"/>
                    <w:jc w:val="center"/>
                    <w:rPr>
                      <w:rFonts w:hint="default" w:ascii="宋体" w:hAnsi="宋体" w:eastAsia="宋体" w:cs="宋体"/>
                      <w:color w:val="auto"/>
                      <w:szCs w:val="21"/>
                      <w:lang w:val="en-US" w:eastAsia="zh-CN"/>
                    </w:rPr>
                  </w:pPr>
                  <w:r>
                    <w:rPr>
                      <w:rFonts w:hint="eastAsia" w:eastAsia="宋体" w:cs="宋体"/>
                      <w:color w:val="auto"/>
                      <w:szCs w:val="21"/>
                      <w:lang w:val="en-US" w:eastAsia="zh-CN"/>
                    </w:rPr>
                    <w:t>废水暂存池依托，废水去向改变</w:t>
                  </w:r>
                </w:p>
              </w:tc>
            </w:tr>
            <w:tr w14:paraId="4B3DF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0C92D7F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90" w:type="dxa"/>
                  <w:gridSpan w:val="2"/>
                  <w:tcBorders>
                    <w:tl2br w:val="nil"/>
                    <w:tr2bl w:val="nil"/>
                  </w:tcBorders>
                  <w:vAlign w:val="center"/>
                </w:tcPr>
                <w:p w14:paraId="44116FD5">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供电</w:t>
                  </w:r>
                </w:p>
              </w:tc>
              <w:tc>
                <w:tcPr>
                  <w:tcW w:w="2093" w:type="dxa"/>
                  <w:tcBorders>
                    <w:tl2br w:val="nil"/>
                    <w:tr2bl w:val="nil"/>
                  </w:tcBorders>
                  <w:vAlign w:val="center"/>
                </w:tcPr>
                <w:p w14:paraId="5D39B017">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rPr>
                  </w:pPr>
                  <w:r>
                    <w:rPr>
                      <w:rFonts w:hint="eastAsia" w:ascii="宋体" w:hAnsi="宋体" w:eastAsia="宋体" w:cs="宋体"/>
                      <w:color w:val="auto"/>
                      <w:szCs w:val="21"/>
                      <w:lang w:val="en-US" w:eastAsia="zh-CN"/>
                    </w:rPr>
                    <w:t>由内蒙古太平矿业有限公司10KV供电线路接入，厂区内安装了1台315KW▪h箱式变压器</w:t>
                  </w:r>
                </w:p>
              </w:tc>
              <w:tc>
                <w:tcPr>
                  <w:tcW w:w="1050" w:type="dxa"/>
                  <w:tcBorders>
                    <w:tl2br w:val="nil"/>
                    <w:tr2bl w:val="nil"/>
                  </w:tcBorders>
                  <w:vAlign w:val="center"/>
                </w:tcPr>
                <w:p w14:paraId="00909D42">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供电</w:t>
                  </w:r>
                </w:p>
              </w:tc>
              <w:tc>
                <w:tcPr>
                  <w:tcW w:w="2979" w:type="dxa"/>
                  <w:tcBorders>
                    <w:tl2br w:val="nil"/>
                    <w:tr2bl w:val="nil"/>
                  </w:tcBorders>
                  <w:vAlign w:val="center"/>
                </w:tcPr>
                <w:p w14:paraId="551F9BCD">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依托现有供电设施，由内蒙古太平矿业有限公司10KV供电线路接入</w:t>
                  </w:r>
                </w:p>
              </w:tc>
              <w:tc>
                <w:tcPr>
                  <w:tcW w:w="546" w:type="dxa"/>
                  <w:tcBorders>
                    <w:tl2br w:val="nil"/>
                    <w:tr2bl w:val="nil"/>
                  </w:tcBorders>
                  <w:vAlign w:val="center"/>
                </w:tcPr>
                <w:p w14:paraId="4580AFF5">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依托</w:t>
                  </w:r>
                </w:p>
              </w:tc>
            </w:tr>
            <w:tr w14:paraId="0C173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22FAAED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90" w:type="dxa"/>
                  <w:gridSpan w:val="2"/>
                  <w:tcBorders>
                    <w:tl2br w:val="nil"/>
                    <w:tr2bl w:val="nil"/>
                  </w:tcBorders>
                  <w:vAlign w:val="center"/>
                </w:tcPr>
                <w:p w14:paraId="4C079940">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供热</w:t>
                  </w:r>
                </w:p>
              </w:tc>
              <w:tc>
                <w:tcPr>
                  <w:tcW w:w="2093" w:type="dxa"/>
                  <w:tcBorders>
                    <w:tl2br w:val="nil"/>
                    <w:tr2bl w:val="nil"/>
                  </w:tcBorders>
                  <w:vAlign w:val="center"/>
                </w:tcPr>
                <w:p w14:paraId="4EE81DFC">
                  <w:pPr>
                    <w:keepNext w:val="0"/>
                    <w:keepLines w:val="0"/>
                    <w:suppressLineNumbers w:val="0"/>
                    <w:spacing w:before="0" w:beforeAutospacing="0" w:after="0" w:afterAutospacing="0" w:line="360" w:lineRule="exact"/>
                    <w:ind w:left="0" w:right="0"/>
                    <w:jc w:val="left"/>
                    <w:rPr>
                      <w:rFonts w:hint="eastAsia" w:eastAsia="宋体" w:cs="宋体"/>
                      <w:color w:val="auto"/>
                      <w:szCs w:val="21"/>
                      <w:lang w:eastAsia="zh-CN"/>
                    </w:rPr>
                  </w:pPr>
                  <w:r>
                    <w:rPr>
                      <w:rFonts w:hint="eastAsia" w:ascii="宋体" w:hAnsi="宋体" w:eastAsia="宋体" w:cs="宋体"/>
                      <w:color w:val="auto"/>
                      <w:szCs w:val="21"/>
                    </w:rPr>
                    <w:t>建成1台</w:t>
                  </w:r>
                  <w:r>
                    <w:rPr>
                      <w:rFonts w:hint="eastAsia" w:ascii="宋体" w:hAnsi="宋体" w:eastAsia="宋体" w:cs="宋体"/>
                      <w:color w:val="auto"/>
                      <w:szCs w:val="21"/>
                      <w:lang w:val="en-US" w:eastAsia="zh-CN"/>
                    </w:rPr>
                    <w:t>2</w:t>
                  </w:r>
                  <w:r>
                    <w:rPr>
                      <w:rFonts w:hint="eastAsia" w:ascii="宋体" w:hAnsi="宋体" w:eastAsia="宋体" w:cs="宋体"/>
                      <w:color w:val="auto"/>
                      <w:szCs w:val="21"/>
                    </w:rPr>
                    <w:t>t/h燃煤蒸汽锅炉为生产</w:t>
                  </w:r>
                  <w:r>
                    <w:rPr>
                      <w:rFonts w:hint="eastAsia" w:ascii="宋体" w:hAnsi="宋体" w:eastAsia="宋体" w:cs="宋体"/>
                      <w:color w:val="auto"/>
                      <w:szCs w:val="21"/>
                      <w:lang w:eastAsia="zh-CN"/>
                    </w:rPr>
                    <w:t>（水相和油相制备工段）</w:t>
                  </w:r>
                  <w:r>
                    <w:rPr>
                      <w:rFonts w:hint="eastAsia" w:ascii="宋体" w:hAnsi="宋体" w:eastAsia="宋体" w:cs="宋体"/>
                      <w:color w:val="auto"/>
                      <w:szCs w:val="21"/>
                    </w:rPr>
                    <w:t>供应热源</w:t>
                  </w:r>
                  <w:r>
                    <w:rPr>
                      <w:rFonts w:hint="eastAsia" w:eastAsia="宋体" w:cs="宋体"/>
                      <w:color w:val="auto"/>
                      <w:szCs w:val="21"/>
                      <w:lang w:eastAsia="zh-CN"/>
                    </w:rPr>
                    <w:t>；</w:t>
                  </w:r>
                </w:p>
                <w:p w14:paraId="19FA8CA6">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rPr>
                  </w:pPr>
                  <w:r>
                    <w:rPr>
                      <w:rFonts w:hint="eastAsia" w:ascii="宋体" w:hAnsi="宋体" w:eastAsia="宋体" w:cs="宋体"/>
                      <w:color w:val="auto"/>
                      <w:szCs w:val="21"/>
                      <w:lang w:eastAsia="zh-CN"/>
                    </w:rPr>
                    <w:t>厂区冬季采用空气能热泵采暖</w:t>
                  </w:r>
                </w:p>
              </w:tc>
              <w:tc>
                <w:tcPr>
                  <w:tcW w:w="1050" w:type="dxa"/>
                  <w:tcBorders>
                    <w:tl2br w:val="nil"/>
                    <w:tr2bl w:val="nil"/>
                  </w:tcBorders>
                  <w:vAlign w:val="center"/>
                </w:tcPr>
                <w:p w14:paraId="0DC0E77F">
                  <w:pPr>
                    <w:keepNext w:val="0"/>
                    <w:keepLines w:val="0"/>
                    <w:suppressLineNumbers w:val="0"/>
                    <w:wordWrap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rPr>
                    <w:t>供热</w:t>
                  </w:r>
                </w:p>
              </w:tc>
              <w:tc>
                <w:tcPr>
                  <w:tcW w:w="2979" w:type="dxa"/>
                  <w:tcBorders>
                    <w:tl2br w:val="nil"/>
                    <w:tr2bl w:val="nil"/>
                  </w:tcBorders>
                  <w:vAlign w:val="center"/>
                </w:tcPr>
                <w:p w14:paraId="0E161B70">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szCs w:val="21"/>
                      <w:lang w:val="en-US" w:eastAsia="zh-CN"/>
                    </w:rPr>
                  </w:pPr>
                  <w:r>
                    <w:rPr>
                      <w:rFonts w:hint="eastAsia"/>
                      <w:color w:val="auto"/>
                      <w:lang w:val="en-US" w:eastAsia="zh-CN"/>
                    </w:rPr>
                    <w:t>拆除现有的</w:t>
                  </w:r>
                  <w:r>
                    <w:rPr>
                      <w:rFonts w:hint="eastAsia" w:ascii="宋体" w:hAnsi="宋体" w:eastAsia="宋体" w:cs="宋体"/>
                      <w:color w:val="auto"/>
                      <w:szCs w:val="21"/>
                    </w:rPr>
                    <w:t>1台</w:t>
                  </w:r>
                  <w:r>
                    <w:rPr>
                      <w:rFonts w:hint="eastAsia" w:ascii="宋体" w:hAnsi="宋体" w:eastAsia="宋体" w:cs="宋体"/>
                      <w:color w:val="auto"/>
                      <w:szCs w:val="21"/>
                      <w:lang w:val="en-US" w:eastAsia="zh-CN"/>
                    </w:rPr>
                    <w:t>2</w:t>
                  </w:r>
                  <w:r>
                    <w:rPr>
                      <w:rFonts w:hint="eastAsia" w:ascii="宋体" w:hAnsi="宋体" w:eastAsia="宋体" w:cs="宋体"/>
                      <w:color w:val="auto"/>
                      <w:szCs w:val="21"/>
                    </w:rPr>
                    <w:t>t/h燃煤蒸汽锅炉</w:t>
                  </w:r>
                  <w:r>
                    <w:rPr>
                      <w:rFonts w:hint="eastAsia" w:ascii="宋体" w:hAnsi="宋体" w:eastAsia="宋体" w:cs="宋体"/>
                      <w:color w:val="auto"/>
                      <w:szCs w:val="21"/>
                      <w:lang w:eastAsia="zh-CN"/>
                    </w:rPr>
                    <w:t>，</w:t>
                  </w:r>
                  <w:r>
                    <w:rPr>
                      <w:rFonts w:hint="eastAsia" w:ascii="宋体" w:hAnsi="宋体" w:eastAsia="宋体" w:cs="宋体"/>
                      <w:color w:val="auto"/>
                      <w:szCs w:val="21"/>
                    </w:rPr>
                    <w:t>新建1台</w:t>
                  </w:r>
                  <w:r>
                    <w:rPr>
                      <w:rFonts w:hint="eastAsia" w:ascii="宋体" w:hAnsi="宋体" w:eastAsia="宋体" w:cs="宋体"/>
                      <w:color w:val="auto"/>
                      <w:szCs w:val="21"/>
                      <w:lang w:val="en-US" w:eastAsia="zh-CN"/>
                    </w:rPr>
                    <w:t>1</w:t>
                  </w:r>
                  <w:r>
                    <w:rPr>
                      <w:rFonts w:hint="eastAsia" w:ascii="宋体" w:hAnsi="宋体" w:eastAsia="宋体" w:cs="宋体"/>
                      <w:color w:val="auto"/>
                      <w:szCs w:val="21"/>
                    </w:rPr>
                    <w:t>t/h燃</w:t>
                  </w:r>
                  <w:r>
                    <w:rPr>
                      <w:rFonts w:hint="eastAsia" w:ascii="宋体" w:hAnsi="宋体" w:eastAsia="宋体" w:cs="宋体"/>
                      <w:color w:val="auto"/>
                      <w:szCs w:val="21"/>
                      <w:lang w:val="en-US" w:eastAsia="zh-CN"/>
                    </w:rPr>
                    <w:t>油</w:t>
                  </w:r>
                  <w:r>
                    <w:rPr>
                      <w:rFonts w:hint="eastAsia" w:ascii="宋体" w:hAnsi="宋体" w:eastAsia="宋体" w:cs="宋体"/>
                      <w:color w:val="auto"/>
                      <w:szCs w:val="21"/>
                    </w:rPr>
                    <w:t>蒸汽锅炉（型号</w:t>
                  </w:r>
                  <w:r>
                    <w:rPr>
                      <w:rFonts w:hint="eastAsia" w:ascii="宋体" w:hAnsi="宋体" w:eastAsia="宋体" w:cs="宋体"/>
                      <w:color w:val="auto"/>
                      <w:szCs w:val="21"/>
                      <w:lang w:val="en-US" w:eastAsia="zh-CN"/>
                    </w:rPr>
                    <w:t>WNS1</w:t>
                  </w:r>
                  <w:r>
                    <w:rPr>
                      <w:rFonts w:hint="eastAsia" w:ascii="宋体" w:hAnsi="宋体" w:eastAsia="宋体" w:cs="宋体"/>
                      <w:color w:val="auto"/>
                      <w:szCs w:val="21"/>
                    </w:rPr>
                    <w:t>-</w:t>
                  </w:r>
                  <w:r>
                    <w:rPr>
                      <w:rFonts w:hint="eastAsia" w:ascii="宋体" w:hAnsi="宋体" w:eastAsia="宋体" w:cs="宋体"/>
                      <w:color w:val="auto"/>
                      <w:szCs w:val="21"/>
                      <w:lang w:val="en-US" w:eastAsia="zh-CN"/>
                    </w:rPr>
                    <w:t>0.7</w:t>
                  </w:r>
                  <w:r>
                    <w:rPr>
                      <w:rFonts w:hint="eastAsia" w:ascii="宋体" w:hAnsi="宋体" w:eastAsia="宋体" w:cs="宋体"/>
                      <w:color w:val="auto"/>
                      <w:szCs w:val="21"/>
                    </w:rPr>
                    <w:t>-</w:t>
                  </w:r>
                  <w:r>
                    <w:rPr>
                      <w:rFonts w:hint="eastAsia" w:ascii="宋体" w:hAnsi="宋体" w:eastAsia="宋体" w:cs="宋体"/>
                      <w:color w:val="auto"/>
                      <w:szCs w:val="21"/>
                      <w:lang w:val="en-US" w:eastAsia="zh-CN"/>
                    </w:rPr>
                    <w:t>Q（Y）</w:t>
                  </w:r>
                  <w:r>
                    <w:rPr>
                      <w:rFonts w:hint="eastAsia" w:ascii="宋体" w:hAnsi="宋体" w:eastAsia="宋体" w:cs="宋体"/>
                      <w:color w:val="auto"/>
                      <w:szCs w:val="21"/>
                    </w:rPr>
                    <w:t>）</w:t>
                  </w:r>
                  <w:r>
                    <w:rPr>
                      <w:rFonts w:hint="eastAsia" w:ascii="宋体" w:hAnsi="宋体" w:eastAsia="宋体" w:cs="宋体"/>
                      <w:color w:val="auto"/>
                      <w:szCs w:val="21"/>
                      <w:lang w:val="en-US" w:eastAsia="zh-CN"/>
                    </w:rPr>
                    <w:t>为</w:t>
                  </w:r>
                  <w:r>
                    <w:rPr>
                      <w:rFonts w:hint="eastAsia" w:ascii="宋体" w:hAnsi="宋体" w:eastAsia="宋体" w:cs="宋体"/>
                      <w:color w:val="auto"/>
                      <w:szCs w:val="21"/>
                    </w:rPr>
                    <w:t>生产</w:t>
                  </w:r>
                  <w:r>
                    <w:rPr>
                      <w:rFonts w:hint="eastAsia" w:ascii="宋体" w:hAnsi="宋体" w:eastAsia="宋体" w:cs="宋体"/>
                      <w:color w:val="auto"/>
                      <w:szCs w:val="21"/>
                      <w:lang w:eastAsia="zh-CN"/>
                    </w:rPr>
                    <w:t>（水相和油相加热）</w:t>
                  </w:r>
                  <w:r>
                    <w:rPr>
                      <w:rFonts w:hint="eastAsia" w:ascii="宋体" w:hAnsi="宋体" w:eastAsia="宋体" w:cs="宋体"/>
                      <w:color w:val="auto"/>
                      <w:szCs w:val="21"/>
                    </w:rPr>
                    <w:t>供应热源，</w:t>
                  </w:r>
                  <w:r>
                    <w:rPr>
                      <w:rFonts w:hint="eastAsia" w:ascii="宋体" w:hAnsi="宋体" w:eastAsia="宋体" w:cs="宋体"/>
                      <w:color w:val="auto"/>
                      <w:szCs w:val="21"/>
                      <w:lang w:val="en-US" w:eastAsia="zh-CN"/>
                    </w:rPr>
                    <w:t>同时新建1台1</w:t>
                  </w:r>
                  <w:r>
                    <w:rPr>
                      <w:rFonts w:hint="eastAsia" w:ascii="宋体" w:hAnsi="宋体" w:eastAsia="宋体" w:cs="宋体"/>
                      <w:color w:val="auto"/>
                      <w:szCs w:val="21"/>
                    </w:rPr>
                    <w:t>t/h燃</w:t>
                  </w:r>
                  <w:r>
                    <w:rPr>
                      <w:rFonts w:hint="eastAsia" w:ascii="宋体" w:hAnsi="宋体" w:eastAsia="宋体" w:cs="宋体"/>
                      <w:color w:val="auto"/>
                      <w:szCs w:val="21"/>
                      <w:lang w:val="en-US" w:eastAsia="zh-CN"/>
                    </w:rPr>
                    <w:t>油</w:t>
                  </w:r>
                  <w:r>
                    <w:rPr>
                      <w:rFonts w:hint="eastAsia" w:ascii="宋体" w:hAnsi="宋体" w:eastAsia="宋体" w:cs="宋体"/>
                      <w:color w:val="auto"/>
                      <w:szCs w:val="21"/>
                    </w:rPr>
                    <w:t>蒸汽</w:t>
                  </w:r>
                  <w:r>
                    <w:rPr>
                      <w:rFonts w:hint="eastAsia" w:ascii="宋体" w:hAnsi="宋体" w:eastAsia="宋体" w:cs="宋体"/>
                      <w:color w:val="auto"/>
                      <w:szCs w:val="21"/>
                      <w:lang w:val="en-US" w:eastAsia="zh-CN"/>
                    </w:rPr>
                    <w:t>发生器</w:t>
                  </w:r>
                  <w:r>
                    <w:rPr>
                      <w:rFonts w:hint="eastAsia" w:ascii="宋体" w:hAnsi="宋体" w:eastAsia="宋体" w:cs="宋体"/>
                      <w:color w:val="auto"/>
                      <w:szCs w:val="21"/>
                    </w:rPr>
                    <w:t>（型号</w:t>
                  </w:r>
                  <w:r>
                    <w:rPr>
                      <w:rFonts w:hint="eastAsia" w:ascii="宋体" w:hAnsi="宋体" w:eastAsia="宋体" w:cs="宋体"/>
                      <w:color w:val="auto"/>
                      <w:szCs w:val="21"/>
                      <w:lang w:val="en-US" w:eastAsia="zh-CN"/>
                    </w:rPr>
                    <w:t>WSS1.0</w:t>
                  </w:r>
                  <w:r>
                    <w:rPr>
                      <w:rFonts w:hint="eastAsia" w:ascii="宋体" w:hAnsi="宋体" w:eastAsia="宋体" w:cs="宋体"/>
                      <w:color w:val="auto"/>
                      <w:szCs w:val="21"/>
                    </w:rPr>
                    <w:t>-</w:t>
                  </w:r>
                  <w:r>
                    <w:rPr>
                      <w:rFonts w:hint="eastAsia" w:ascii="宋体" w:hAnsi="宋体" w:eastAsia="宋体" w:cs="宋体"/>
                      <w:color w:val="auto"/>
                      <w:szCs w:val="21"/>
                      <w:lang w:val="en-US" w:eastAsia="zh-CN"/>
                    </w:rPr>
                    <w:t>0.7/1.3</w:t>
                  </w:r>
                  <w:r>
                    <w:rPr>
                      <w:rFonts w:hint="eastAsia" w:ascii="宋体" w:hAnsi="宋体" w:eastAsia="宋体" w:cs="宋体"/>
                      <w:color w:val="auto"/>
                      <w:szCs w:val="21"/>
                    </w:rPr>
                    <w:t>-</w:t>
                  </w:r>
                  <w:r>
                    <w:rPr>
                      <w:rFonts w:hint="eastAsia" w:ascii="宋体" w:hAnsi="宋体" w:eastAsia="宋体" w:cs="宋体"/>
                      <w:color w:val="auto"/>
                      <w:szCs w:val="21"/>
                      <w:lang w:val="en-US" w:eastAsia="zh-CN"/>
                    </w:rPr>
                    <w:t>Q</w:t>
                  </w:r>
                  <w:r>
                    <w:rPr>
                      <w:rFonts w:hint="eastAsia" w:ascii="宋体" w:hAnsi="宋体" w:eastAsia="宋体" w:cs="宋体"/>
                      <w:color w:val="auto"/>
                      <w:szCs w:val="21"/>
                    </w:rPr>
                    <w:t>）</w:t>
                  </w:r>
                  <w:r>
                    <w:rPr>
                      <w:rFonts w:hint="eastAsia" w:ascii="宋体" w:hAnsi="宋体" w:eastAsia="宋体" w:cs="宋体"/>
                      <w:color w:val="auto"/>
                      <w:szCs w:val="21"/>
                      <w:lang w:val="en-US" w:eastAsia="zh-CN"/>
                    </w:rPr>
                    <w:t>作为备用供热设施；</w:t>
                  </w:r>
                </w:p>
                <w:p w14:paraId="5636E1C0">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szCs w:val="21"/>
                    </w:rPr>
                  </w:pPr>
                  <w:r>
                    <w:rPr>
                      <w:rFonts w:hint="eastAsia" w:ascii="宋体" w:hAnsi="宋体" w:eastAsia="宋体" w:cs="宋体"/>
                      <w:color w:val="auto"/>
                      <w:szCs w:val="21"/>
                      <w:lang w:eastAsia="zh-CN"/>
                    </w:rPr>
                    <w:t>厂区冬季采用空气能热泵采暖</w:t>
                  </w:r>
                </w:p>
              </w:tc>
              <w:tc>
                <w:tcPr>
                  <w:tcW w:w="546" w:type="dxa"/>
                  <w:tcBorders>
                    <w:tl2br w:val="nil"/>
                    <w:tr2bl w:val="nil"/>
                  </w:tcBorders>
                  <w:vAlign w:val="center"/>
                </w:tcPr>
                <w:p w14:paraId="4A295B8B">
                  <w:pPr>
                    <w:keepNext w:val="0"/>
                    <w:keepLines w:val="0"/>
                    <w:suppressLineNumbers w:val="0"/>
                    <w:wordWrap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val="en-US" w:eastAsia="zh-CN"/>
                    </w:rPr>
                    <w:t>技改</w:t>
                  </w:r>
                </w:p>
              </w:tc>
            </w:tr>
            <w:tr w14:paraId="3691C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940" w:hRule="atLeast"/>
                <w:jc w:val="center"/>
              </w:trPr>
              <w:tc>
                <w:tcPr>
                  <w:tcW w:w="598" w:type="dxa"/>
                  <w:vMerge w:val="restart"/>
                  <w:tcBorders>
                    <w:tl2br w:val="nil"/>
                    <w:tr2bl w:val="nil"/>
                  </w:tcBorders>
                  <w:vAlign w:val="center"/>
                </w:tcPr>
                <w:p w14:paraId="503466C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环保</w:t>
                  </w:r>
                </w:p>
                <w:p w14:paraId="7C2A57D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工程</w:t>
                  </w:r>
                </w:p>
              </w:tc>
              <w:tc>
                <w:tcPr>
                  <w:tcW w:w="415" w:type="dxa"/>
                  <w:vMerge w:val="restart"/>
                  <w:tcBorders>
                    <w:tl2br w:val="nil"/>
                    <w:tr2bl w:val="nil"/>
                  </w:tcBorders>
                  <w:vAlign w:val="center"/>
                </w:tcPr>
                <w:p w14:paraId="0C177C2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废气</w:t>
                  </w:r>
                </w:p>
              </w:tc>
              <w:tc>
                <w:tcPr>
                  <w:tcW w:w="575" w:type="dxa"/>
                  <w:tcBorders>
                    <w:tl2br w:val="nil"/>
                    <w:tr2bl w:val="nil"/>
                  </w:tcBorders>
                  <w:vAlign w:val="center"/>
                </w:tcPr>
                <w:p w14:paraId="3ACF72B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w:t>
                  </w:r>
                </w:p>
                <w:p w14:paraId="673D842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烟气</w:t>
                  </w:r>
                </w:p>
              </w:tc>
              <w:tc>
                <w:tcPr>
                  <w:tcW w:w="2093" w:type="dxa"/>
                  <w:tcBorders>
                    <w:tl2br w:val="nil"/>
                    <w:tr2bl w:val="nil"/>
                  </w:tcBorders>
                  <w:vAlign w:val="center"/>
                </w:tcPr>
                <w:p w14:paraId="40B8D3FE">
                  <w:pPr>
                    <w:keepNext w:val="0"/>
                    <w:keepLines w:val="0"/>
                    <w:suppressLineNumbers w:val="0"/>
                    <w:adjustRightInd w:val="0"/>
                    <w:snapToGrid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燃煤锅炉配套</w:t>
                  </w:r>
                  <w:r>
                    <w:rPr>
                      <w:rFonts w:hint="eastAsia" w:eastAsia="宋体" w:cs="宋体"/>
                      <w:color w:val="auto"/>
                      <w:szCs w:val="21"/>
                      <w:lang w:val="en-US" w:eastAsia="zh-CN"/>
                    </w:rPr>
                    <w:t>单碱水浴除尘器</w:t>
                  </w:r>
                  <w:r>
                    <w:rPr>
                      <w:rFonts w:hint="eastAsia" w:ascii="宋体" w:hAnsi="宋体" w:eastAsia="宋体" w:cs="宋体"/>
                      <w:color w:val="auto"/>
                      <w:szCs w:val="21"/>
                      <w:lang w:val="en-US" w:eastAsia="zh-CN"/>
                    </w:rPr>
                    <w:t>，</w:t>
                  </w:r>
                  <w:r>
                    <w:rPr>
                      <w:rFonts w:hint="eastAsia" w:eastAsia="宋体" w:cs="宋体"/>
                      <w:color w:val="auto"/>
                      <w:szCs w:val="21"/>
                      <w:lang w:val="en-US" w:eastAsia="zh-CN"/>
                    </w:rPr>
                    <w:t>经脱硫除尘后</w:t>
                  </w:r>
                  <w:r>
                    <w:rPr>
                      <w:rFonts w:hint="eastAsia" w:ascii="宋体" w:hAnsi="宋体" w:eastAsia="宋体" w:cs="宋体"/>
                      <w:color w:val="auto"/>
                      <w:szCs w:val="21"/>
                      <w:lang w:val="en-US" w:eastAsia="zh-CN"/>
                    </w:rPr>
                    <w:t>由1根20m高排气筒排放</w:t>
                  </w:r>
                </w:p>
              </w:tc>
              <w:tc>
                <w:tcPr>
                  <w:tcW w:w="1050" w:type="dxa"/>
                  <w:tcBorders>
                    <w:tl2br w:val="nil"/>
                    <w:tr2bl w:val="nil"/>
                  </w:tcBorders>
                  <w:vAlign w:val="center"/>
                </w:tcPr>
                <w:p w14:paraId="6025596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w:t>
                  </w:r>
                </w:p>
                <w:p w14:paraId="43BB20C0">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烟气</w:t>
                  </w:r>
                </w:p>
              </w:tc>
              <w:tc>
                <w:tcPr>
                  <w:tcW w:w="2979" w:type="dxa"/>
                  <w:tcBorders>
                    <w:tl2br w:val="nil"/>
                    <w:tr2bl w:val="nil"/>
                  </w:tcBorders>
                  <w:vAlign w:val="center"/>
                </w:tcPr>
                <w:p w14:paraId="2C3B67D2">
                  <w:pPr>
                    <w:keepNext w:val="0"/>
                    <w:keepLines w:val="0"/>
                    <w:suppressLineNumbers w:val="0"/>
                    <w:spacing w:before="0" w:beforeAutospacing="0" w:after="0" w:afterAutospacing="0" w:line="360" w:lineRule="exact"/>
                    <w:ind w:left="0" w:right="0"/>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燃油锅炉燃用低硫油，锅炉烟气采用低氮燃烧技术处理后后经1根15m高排气筒（DA001）排放；</w:t>
                  </w:r>
                </w:p>
                <w:p w14:paraId="750AFAD5">
                  <w:pPr>
                    <w:keepNext w:val="0"/>
                    <w:keepLines w:val="0"/>
                    <w:suppressLineNumbers w:val="0"/>
                    <w:spacing w:before="0" w:beforeAutospacing="0" w:after="0" w:afterAutospacing="0" w:line="360" w:lineRule="exact"/>
                    <w:ind w:left="0" w:right="0"/>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备用燃油蒸汽发生器燃用低硫油，采用低氮燃烧技术+1根15m高排气筒（DA001）</w:t>
                  </w:r>
                </w:p>
              </w:tc>
              <w:tc>
                <w:tcPr>
                  <w:tcW w:w="546" w:type="dxa"/>
                  <w:tcBorders>
                    <w:tl2br w:val="nil"/>
                    <w:tr2bl w:val="nil"/>
                  </w:tcBorders>
                  <w:vAlign w:val="center"/>
                </w:tcPr>
                <w:p w14:paraId="39BAF80E">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技改</w:t>
                  </w:r>
                </w:p>
              </w:tc>
            </w:tr>
            <w:tr w14:paraId="54D40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0" w:hRule="atLeast"/>
                <w:jc w:val="center"/>
              </w:trPr>
              <w:tc>
                <w:tcPr>
                  <w:tcW w:w="598" w:type="dxa"/>
                  <w:vMerge w:val="continue"/>
                  <w:tcBorders>
                    <w:tl2br w:val="nil"/>
                    <w:tr2bl w:val="nil"/>
                  </w:tcBorders>
                  <w:vAlign w:val="center"/>
                </w:tcPr>
                <w:p w14:paraId="63D8D9A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continue"/>
                  <w:tcBorders>
                    <w:tl2br w:val="nil"/>
                    <w:tr2bl w:val="nil"/>
                  </w:tcBorders>
                  <w:vAlign w:val="center"/>
                </w:tcPr>
                <w:p w14:paraId="0923F04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75" w:type="dxa"/>
                  <w:tcBorders>
                    <w:tl2br w:val="nil"/>
                    <w:tr2bl w:val="nil"/>
                  </w:tcBorders>
                  <w:shd w:val="clear" w:color="auto" w:fill="auto"/>
                  <w:vAlign w:val="center"/>
                </w:tcPr>
                <w:p w14:paraId="61387606">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lang w:val="en-US" w:eastAsia="zh-CN"/>
                    </w:rPr>
                    <w:t>柴油挥发废气</w:t>
                  </w:r>
                </w:p>
              </w:tc>
              <w:tc>
                <w:tcPr>
                  <w:tcW w:w="2093" w:type="dxa"/>
                  <w:tcBorders>
                    <w:tl2br w:val="nil"/>
                    <w:tr2bl w:val="nil"/>
                  </w:tcBorders>
                  <w:shd w:val="clear" w:color="auto" w:fill="auto"/>
                  <w:vAlign w:val="center"/>
                </w:tcPr>
                <w:p w14:paraId="3F4A9116">
                  <w:pPr>
                    <w:keepNext w:val="0"/>
                    <w:keepLines w:val="0"/>
                    <w:suppressLineNumbers w:val="0"/>
                    <w:spacing w:before="0" w:beforeAutospacing="0" w:after="0" w:afterAutospacing="0" w:line="360" w:lineRule="exact"/>
                    <w:ind w:left="0" w:leftChars="0" w:right="0" w:rightChars="0"/>
                    <w:rPr>
                      <w:rFonts w:hint="eastAsia" w:ascii="宋体" w:hAnsi="宋体" w:eastAsia="宋体" w:cs="宋体"/>
                      <w:color w:val="auto"/>
                      <w:kern w:val="2"/>
                      <w:sz w:val="21"/>
                      <w:szCs w:val="24"/>
                      <w:lang w:val="en-US" w:eastAsia="zh-CN" w:bidi="ar-SA"/>
                    </w:rPr>
                  </w:pPr>
                  <w:r>
                    <w:rPr>
                      <w:rFonts w:hint="eastAsia" w:ascii="宋体" w:hAnsi="宋体" w:eastAsia="宋体" w:cs="宋体"/>
                      <w:color w:val="auto"/>
                      <w:szCs w:val="21"/>
                    </w:rPr>
                    <w:t>柴油</w:t>
                  </w:r>
                  <w:r>
                    <w:rPr>
                      <w:rFonts w:hint="eastAsia" w:ascii="宋体" w:hAnsi="宋体" w:eastAsia="宋体" w:cs="宋体"/>
                      <w:color w:val="auto"/>
                      <w:szCs w:val="21"/>
                      <w:lang w:eastAsia="zh-CN"/>
                    </w:rPr>
                    <w:t>由</w:t>
                  </w:r>
                  <w:r>
                    <w:rPr>
                      <w:rFonts w:hint="eastAsia" w:ascii="宋体" w:hAnsi="宋体" w:eastAsia="宋体" w:cs="宋体"/>
                      <w:color w:val="auto"/>
                      <w:szCs w:val="21"/>
                    </w:rPr>
                    <w:t>油罐车</w:t>
                  </w:r>
                  <w:r>
                    <w:rPr>
                      <w:rFonts w:hint="eastAsia" w:ascii="宋体" w:hAnsi="宋体" w:eastAsia="宋体" w:cs="宋体"/>
                      <w:color w:val="auto"/>
                      <w:szCs w:val="21"/>
                      <w:lang w:eastAsia="zh-CN"/>
                    </w:rPr>
                    <w:t>运输进厂</w:t>
                  </w:r>
                  <w:r>
                    <w:rPr>
                      <w:rFonts w:hint="eastAsia" w:ascii="宋体" w:hAnsi="宋体" w:eastAsia="宋体" w:cs="宋体"/>
                      <w:color w:val="auto"/>
                      <w:szCs w:val="21"/>
                    </w:rPr>
                    <w:t>，采用密闭卸油方式，通过柴油泵将柴油罐内的油料输送至</w:t>
                  </w:r>
                  <w:r>
                    <w:rPr>
                      <w:rFonts w:hint="eastAsia" w:ascii="宋体" w:hAnsi="宋体" w:eastAsia="宋体" w:cs="宋体"/>
                      <w:color w:val="auto"/>
                      <w:szCs w:val="21"/>
                      <w:lang w:eastAsia="zh-CN"/>
                    </w:rPr>
                    <w:t>加油机</w:t>
                  </w:r>
                  <w:r>
                    <w:rPr>
                      <w:rFonts w:hint="eastAsia" w:ascii="宋体" w:hAnsi="宋体" w:eastAsia="宋体" w:cs="宋体"/>
                      <w:color w:val="auto"/>
                      <w:szCs w:val="21"/>
                    </w:rPr>
                    <w:t>，整个卸油、储油和输油过程全密闭，废气挥发量很小，</w:t>
                  </w:r>
                  <w:r>
                    <w:rPr>
                      <w:rFonts w:hint="eastAsia" w:ascii="宋体" w:hAnsi="宋体" w:eastAsia="宋体" w:cs="宋体"/>
                      <w:color w:val="auto"/>
                      <w:szCs w:val="21"/>
                      <w:lang w:eastAsia="zh-CN"/>
                    </w:rPr>
                    <w:t>储油过程挥发的少量废气经</w:t>
                  </w:r>
                  <w:r>
                    <w:rPr>
                      <w:rFonts w:hint="eastAsia" w:ascii="宋体" w:hAnsi="宋体" w:eastAsia="宋体" w:cs="宋体"/>
                      <w:color w:val="auto"/>
                      <w:szCs w:val="21"/>
                      <w:lang w:val="en-US" w:eastAsia="zh-CN"/>
                    </w:rPr>
                    <w:t>1根</w:t>
                  </w:r>
                  <w:r>
                    <w:rPr>
                      <w:rFonts w:hint="eastAsia" w:ascii="宋体" w:hAnsi="宋体" w:eastAsia="宋体" w:cs="宋体"/>
                      <w:color w:val="auto"/>
                      <w:szCs w:val="21"/>
                    </w:rPr>
                    <w:t>4m高的通气管排放</w:t>
                  </w:r>
                </w:p>
              </w:tc>
              <w:tc>
                <w:tcPr>
                  <w:tcW w:w="1050" w:type="dxa"/>
                  <w:tcBorders>
                    <w:tl2br w:val="nil"/>
                    <w:tr2bl w:val="nil"/>
                  </w:tcBorders>
                  <w:shd w:val="clear" w:color="auto" w:fill="auto"/>
                  <w:vAlign w:val="center"/>
                </w:tcPr>
                <w:p w14:paraId="667F31E5">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lang w:val="en-US" w:eastAsia="zh-CN"/>
                    </w:rPr>
                    <w:t>柴油挥发废气</w:t>
                  </w:r>
                </w:p>
              </w:tc>
              <w:tc>
                <w:tcPr>
                  <w:tcW w:w="2979" w:type="dxa"/>
                  <w:tcBorders>
                    <w:tl2br w:val="nil"/>
                    <w:tr2bl w:val="nil"/>
                  </w:tcBorders>
                  <w:shd w:val="clear" w:color="auto" w:fill="auto"/>
                  <w:vAlign w:val="center"/>
                </w:tcPr>
                <w:p w14:paraId="7CD90865">
                  <w:pPr>
                    <w:keepNext w:val="0"/>
                    <w:keepLines w:val="0"/>
                    <w:suppressLineNumbers w:val="0"/>
                    <w:spacing w:before="0" w:beforeAutospacing="0" w:after="0" w:afterAutospacing="0" w:line="360" w:lineRule="exact"/>
                    <w:ind w:left="0" w:leftChars="0" w:right="0" w:rightChars="0"/>
                    <w:rPr>
                      <w:rFonts w:hint="eastAsia" w:ascii="宋体" w:hAnsi="宋体" w:eastAsia="宋体" w:cs="宋体"/>
                      <w:color w:val="auto"/>
                      <w:kern w:val="2"/>
                      <w:sz w:val="21"/>
                      <w:szCs w:val="24"/>
                      <w:lang w:val="en-US" w:eastAsia="zh-CN" w:bidi="ar-SA"/>
                    </w:rPr>
                  </w:pPr>
                  <w:r>
                    <w:rPr>
                      <w:rFonts w:hint="eastAsia" w:ascii="宋体" w:hAnsi="宋体" w:eastAsia="宋体" w:cs="宋体"/>
                      <w:color w:val="auto"/>
                      <w:szCs w:val="21"/>
                    </w:rPr>
                    <w:t>柴油</w:t>
                  </w:r>
                  <w:r>
                    <w:rPr>
                      <w:rFonts w:hint="eastAsia" w:ascii="宋体" w:hAnsi="宋体" w:eastAsia="宋体" w:cs="宋体"/>
                      <w:color w:val="auto"/>
                      <w:szCs w:val="21"/>
                      <w:lang w:eastAsia="zh-CN"/>
                    </w:rPr>
                    <w:t>由</w:t>
                  </w:r>
                  <w:r>
                    <w:rPr>
                      <w:rFonts w:hint="eastAsia" w:ascii="宋体" w:hAnsi="宋体" w:eastAsia="宋体" w:cs="宋体"/>
                      <w:color w:val="auto"/>
                      <w:szCs w:val="21"/>
                    </w:rPr>
                    <w:t>油罐车</w:t>
                  </w:r>
                  <w:r>
                    <w:rPr>
                      <w:rFonts w:hint="eastAsia" w:ascii="宋体" w:hAnsi="宋体" w:eastAsia="宋体" w:cs="宋体"/>
                      <w:color w:val="auto"/>
                      <w:szCs w:val="21"/>
                      <w:lang w:eastAsia="zh-CN"/>
                    </w:rPr>
                    <w:t>运输进厂</w:t>
                  </w:r>
                  <w:r>
                    <w:rPr>
                      <w:rFonts w:hint="eastAsia" w:ascii="宋体" w:hAnsi="宋体" w:eastAsia="宋体" w:cs="宋体"/>
                      <w:color w:val="auto"/>
                      <w:szCs w:val="21"/>
                    </w:rPr>
                    <w:t>，采用密闭卸油方式，通过柴油泵将柴油罐内的油料输送至</w:t>
                  </w:r>
                  <w:r>
                    <w:rPr>
                      <w:rFonts w:hint="eastAsia" w:ascii="宋体" w:hAnsi="宋体" w:eastAsia="宋体" w:cs="宋体"/>
                      <w:color w:val="auto"/>
                      <w:szCs w:val="21"/>
                      <w:lang w:eastAsia="zh-CN"/>
                    </w:rPr>
                    <w:t>加油机</w:t>
                  </w:r>
                  <w:r>
                    <w:rPr>
                      <w:rFonts w:hint="eastAsia" w:ascii="宋体" w:hAnsi="宋体" w:eastAsia="宋体" w:cs="宋体"/>
                      <w:color w:val="auto"/>
                      <w:szCs w:val="21"/>
                    </w:rPr>
                    <w:t>，整个卸油、储油和输油过程全密闭，废气挥发量很小，</w:t>
                  </w:r>
                  <w:r>
                    <w:rPr>
                      <w:rFonts w:hint="eastAsia" w:ascii="宋体" w:hAnsi="宋体" w:eastAsia="宋体" w:cs="宋体"/>
                      <w:color w:val="auto"/>
                      <w:szCs w:val="21"/>
                      <w:lang w:eastAsia="zh-CN"/>
                    </w:rPr>
                    <w:t>储油过程挥发的少量废气经</w:t>
                  </w:r>
                  <w:r>
                    <w:rPr>
                      <w:rFonts w:hint="eastAsia" w:ascii="宋体" w:hAnsi="宋体" w:eastAsia="宋体" w:cs="宋体"/>
                      <w:color w:val="auto"/>
                      <w:szCs w:val="21"/>
                      <w:lang w:val="en-US" w:eastAsia="zh-CN"/>
                    </w:rPr>
                    <w:t>1根</w:t>
                  </w:r>
                  <w:r>
                    <w:rPr>
                      <w:rFonts w:hint="eastAsia" w:ascii="宋体" w:hAnsi="宋体" w:eastAsia="宋体" w:cs="宋体"/>
                      <w:color w:val="auto"/>
                      <w:szCs w:val="21"/>
                    </w:rPr>
                    <w:t>4m高的通气管排放</w:t>
                  </w:r>
                </w:p>
              </w:tc>
              <w:tc>
                <w:tcPr>
                  <w:tcW w:w="546" w:type="dxa"/>
                  <w:tcBorders>
                    <w:tl2br w:val="nil"/>
                    <w:tr2bl w:val="nil"/>
                  </w:tcBorders>
                  <w:vAlign w:val="center"/>
                </w:tcPr>
                <w:p w14:paraId="5E59B3DF">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eastAsia="宋体" w:cs="宋体"/>
                      <w:color w:val="auto"/>
                      <w:szCs w:val="21"/>
                      <w:lang w:val="en-US" w:eastAsia="zh-CN"/>
                    </w:rPr>
                    <w:t>依托</w:t>
                  </w:r>
                </w:p>
              </w:tc>
            </w:tr>
            <w:tr w14:paraId="45DF0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1DD3F66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restart"/>
                  <w:tcBorders>
                    <w:tl2br w:val="nil"/>
                    <w:tr2bl w:val="nil"/>
                  </w:tcBorders>
                  <w:vAlign w:val="center"/>
                </w:tcPr>
                <w:p w14:paraId="7B0185E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废水</w:t>
                  </w:r>
                </w:p>
              </w:tc>
              <w:tc>
                <w:tcPr>
                  <w:tcW w:w="575" w:type="dxa"/>
                  <w:tcBorders>
                    <w:tl2br w:val="nil"/>
                    <w:tr2bl w:val="nil"/>
                  </w:tcBorders>
                  <w:vAlign w:val="center"/>
                </w:tcPr>
                <w:p w14:paraId="2F63747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生活</w:t>
                  </w:r>
                </w:p>
                <w:p w14:paraId="6C64805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污水</w:t>
                  </w:r>
                </w:p>
              </w:tc>
              <w:tc>
                <w:tcPr>
                  <w:tcW w:w="2093" w:type="dxa"/>
                  <w:tcBorders>
                    <w:tl2br w:val="nil"/>
                    <w:tr2bl w:val="nil"/>
                  </w:tcBorders>
                  <w:vAlign w:val="center"/>
                </w:tcPr>
                <w:p w14:paraId="3BC64950">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lang w:val="en-US" w:eastAsia="zh-CN"/>
                    </w:rPr>
                  </w:pPr>
                  <w:r>
                    <w:rPr>
                      <w:rFonts w:hint="eastAsia" w:ascii="宋体" w:hAnsi="宋体" w:eastAsia="宋体" w:cs="宋体"/>
                      <w:color w:val="auto"/>
                      <w:lang w:val="en-US" w:eastAsia="zh-CN"/>
                    </w:rPr>
                    <w:t>职工生活污水由化粪池收集后，委托内蒙古诚远服务有限公司拉运处理（排污处理协议见附件）。建成</w:t>
                  </w:r>
                  <w:r>
                    <w:rPr>
                      <w:rFonts w:hint="eastAsia" w:eastAsia="宋体" w:cs="宋体"/>
                      <w:color w:val="auto"/>
                      <w:lang w:val="en-US" w:eastAsia="zh-CN"/>
                    </w:rPr>
                    <w:t>1</w:t>
                  </w:r>
                  <w:r>
                    <w:rPr>
                      <w:rFonts w:hint="eastAsia" w:ascii="宋体" w:hAnsi="宋体" w:eastAsia="宋体" w:cs="宋体"/>
                      <w:color w:val="auto"/>
                      <w:lang w:val="en-US" w:eastAsia="zh-CN"/>
                    </w:rPr>
                    <w:t>座化粪池，钢筋混凝土结构，容积均为</w:t>
                  </w:r>
                  <w:r>
                    <w:rPr>
                      <w:rFonts w:hint="eastAsia" w:eastAsia="宋体" w:cs="宋体"/>
                      <w:color w:val="auto"/>
                      <w:lang w:val="en-US" w:eastAsia="zh-CN"/>
                    </w:rPr>
                    <w:t>30</w:t>
                  </w:r>
                  <w:r>
                    <w:rPr>
                      <w:rFonts w:hint="eastAsia" w:ascii="宋体" w:hAnsi="宋体" w:eastAsia="宋体" w:cs="宋体"/>
                      <w:color w:val="auto"/>
                      <w:lang w:val="en-US" w:eastAsia="zh-CN"/>
                    </w:rPr>
                    <w:t>m³</w:t>
                  </w:r>
                </w:p>
              </w:tc>
              <w:tc>
                <w:tcPr>
                  <w:tcW w:w="1050" w:type="dxa"/>
                  <w:tcBorders>
                    <w:tl2br w:val="nil"/>
                    <w:tr2bl w:val="nil"/>
                  </w:tcBorders>
                  <w:vAlign w:val="center"/>
                </w:tcPr>
                <w:p w14:paraId="35D2FCA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生活</w:t>
                  </w:r>
                </w:p>
                <w:p w14:paraId="3D68754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污水</w:t>
                  </w:r>
                </w:p>
              </w:tc>
              <w:tc>
                <w:tcPr>
                  <w:tcW w:w="2979" w:type="dxa"/>
                  <w:tcBorders>
                    <w:tl2br w:val="nil"/>
                    <w:tr2bl w:val="nil"/>
                  </w:tcBorders>
                  <w:vAlign w:val="center"/>
                </w:tcPr>
                <w:p w14:paraId="09FFDA43">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技改项目不新增劳动定员，无新增生活污水产生</w:t>
                  </w:r>
                </w:p>
              </w:tc>
              <w:tc>
                <w:tcPr>
                  <w:tcW w:w="546" w:type="dxa"/>
                  <w:tcBorders>
                    <w:tl2br w:val="nil"/>
                    <w:tr2bl w:val="nil"/>
                  </w:tcBorders>
                  <w:vAlign w:val="center"/>
                </w:tcPr>
                <w:p w14:paraId="36AD98B3">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r>
            <w:tr w14:paraId="19258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20" w:hRule="atLeast"/>
                <w:jc w:val="center"/>
              </w:trPr>
              <w:tc>
                <w:tcPr>
                  <w:tcW w:w="598" w:type="dxa"/>
                  <w:vMerge w:val="continue"/>
                  <w:tcBorders>
                    <w:tl2br w:val="nil"/>
                    <w:tr2bl w:val="nil"/>
                  </w:tcBorders>
                  <w:vAlign w:val="center"/>
                </w:tcPr>
                <w:p w14:paraId="3D1141F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continue"/>
                  <w:tcBorders>
                    <w:tl2br w:val="nil"/>
                    <w:tr2bl w:val="nil"/>
                  </w:tcBorders>
                  <w:vAlign w:val="center"/>
                </w:tcPr>
                <w:p w14:paraId="270107B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75" w:type="dxa"/>
                  <w:tcBorders>
                    <w:tl2br w:val="nil"/>
                    <w:tr2bl w:val="nil"/>
                  </w:tcBorders>
                  <w:vAlign w:val="center"/>
                </w:tcPr>
                <w:p w14:paraId="3D33B18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锅炉及软水装置排污水</w:t>
                  </w:r>
                </w:p>
              </w:tc>
              <w:tc>
                <w:tcPr>
                  <w:tcW w:w="2093" w:type="dxa"/>
                  <w:tcBorders>
                    <w:tl2br w:val="nil"/>
                    <w:tr2bl w:val="nil"/>
                  </w:tcBorders>
                  <w:vAlign w:val="center"/>
                </w:tcPr>
                <w:p w14:paraId="2BDB97AB">
                  <w:pPr>
                    <w:keepNext w:val="0"/>
                    <w:keepLines w:val="0"/>
                    <w:suppressLineNumbers w:val="0"/>
                    <w:spacing w:before="0" w:beforeAutospacing="0" w:after="0" w:afterAutospacing="0" w:line="360" w:lineRule="exact"/>
                    <w:ind w:left="0" w:right="0"/>
                    <w:jc w:val="both"/>
                    <w:rPr>
                      <w:rFonts w:hint="eastAsia" w:ascii="宋体" w:hAnsi="宋体" w:eastAsia="宋体" w:cs="宋体"/>
                      <w:color w:val="auto"/>
                    </w:rPr>
                  </w:pPr>
                  <w:r>
                    <w:rPr>
                      <w:rFonts w:hint="eastAsia" w:ascii="宋体" w:hAnsi="宋体" w:eastAsia="宋体" w:cs="宋体"/>
                      <w:color w:val="auto"/>
                      <w:szCs w:val="21"/>
                    </w:rPr>
                    <w:t>锅炉及软水装置排污水用于</w:t>
                  </w:r>
                  <w:r>
                    <w:rPr>
                      <w:rFonts w:hint="eastAsia" w:ascii="宋体" w:hAnsi="宋体" w:eastAsia="宋体" w:cs="宋体"/>
                      <w:color w:val="auto"/>
                      <w:szCs w:val="21"/>
                      <w:lang w:val="en-US" w:eastAsia="zh-CN"/>
                    </w:rPr>
                    <w:t>储煤场洒</w:t>
                  </w:r>
                  <w:r>
                    <w:rPr>
                      <w:rFonts w:hint="eastAsia" w:ascii="宋体" w:hAnsi="宋体" w:eastAsia="宋体" w:cs="宋体"/>
                      <w:color w:val="auto"/>
                      <w:szCs w:val="21"/>
                    </w:rPr>
                    <w:t>水抑尘</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不外排</w:t>
                  </w:r>
                </w:p>
              </w:tc>
              <w:tc>
                <w:tcPr>
                  <w:tcW w:w="1050" w:type="dxa"/>
                  <w:tcBorders>
                    <w:tl2br w:val="nil"/>
                    <w:tr2bl w:val="nil"/>
                  </w:tcBorders>
                  <w:vAlign w:val="center"/>
                </w:tcPr>
                <w:p w14:paraId="14D4A8A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rPr>
                    <w:t>锅炉及软水装置排污水</w:t>
                  </w:r>
                </w:p>
              </w:tc>
              <w:tc>
                <w:tcPr>
                  <w:tcW w:w="2979" w:type="dxa"/>
                  <w:tcBorders>
                    <w:tl2br w:val="nil"/>
                    <w:tr2bl w:val="nil"/>
                  </w:tcBorders>
                  <w:vAlign w:val="center"/>
                </w:tcPr>
                <w:p w14:paraId="201E8149">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rPr>
                  </w:pPr>
                  <w:r>
                    <w:rPr>
                      <w:rFonts w:hint="eastAsia" w:ascii="宋体" w:hAnsi="宋体" w:eastAsia="宋体" w:cs="宋体"/>
                      <w:color w:val="auto"/>
                      <w:szCs w:val="21"/>
                    </w:rPr>
                    <w:t>新建锅炉及软水装置排污水</w:t>
                  </w:r>
                  <w:r>
                    <w:rPr>
                      <w:rFonts w:hint="eastAsia" w:ascii="宋体" w:hAnsi="宋体" w:eastAsia="宋体" w:cs="宋体"/>
                      <w:color w:val="auto"/>
                      <w:szCs w:val="21"/>
                      <w:lang w:eastAsia="zh-CN"/>
                    </w:rPr>
                    <w:t>暂存于污水暂存池</w:t>
                  </w:r>
                  <w:r>
                    <w:rPr>
                      <w:rFonts w:hint="eastAsia" w:ascii="宋体" w:hAnsi="宋体" w:eastAsia="宋体" w:cs="宋体"/>
                      <w:color w:val="auto"/>
                      <w:szCs w:val="21"/>
                    </w:rPr>
                    <w:t>，</w:t>
                  </w:r>
                  <w:r>
                    <w:rPr>
                      <w:rFonts w:hint="eastAsia" w:ascii="宋体" w:hAnsi="宋体" w:eastAsia="宋体" w:cs="宋体"/>
                      <w:color w:val="auto"/>
                      <w:szCs w:val="21"/>
                      <w:lang w:eastAsia="zh-CN"/>
                    </w:rPr>
                    <w:t>回用于水相在线制备</w:t>
                  </w:r>
                  <w:r>
                    <w:rPr>
                      <w:rFonts w:hint="eastAsia" w:ascii="宋体" w:hAnsi="宋体" w:eastAsia="宋体" w:cs="宋体"/>
                      <w:color w:val="auto"/>
                      <w:szCs w:val="21"/>
                    </w:rPr>
                    <w:t>，不外排</w:t>
                  </w:r>
                </w:p>
              </w:tc>
              <w:tc>
                <w:tcPr>
                  <w:tcW w:w="546" w:type="dxa"/>
                  <w:vMerge w:val="restart"/>
                  <w:tcBorders>
                    <w:tl2br w:val="nil"/>
                    <w:tr2bl w:val="nil"/>
                  </w:tcBorders>
                  <w:vAlign w:val="center"/>
                </w:tcPr>
                <w:p w14:paraId="5CFA6F9C">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技改</w:t>
                  </w:r>
                </w:p>
              </w:tc>
            </w:tr>
            <w:tr w14:paraId="66323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90" w:hRule="atLeast"/>
                <w:jc w:val="center"/>
              </w:trPr>
              <w:tc>
                <w:tcPr>
                  <w:tcW w:w="598" w:type="dxa"/>
                  <w:vMerge w:val="continue"/>
                  <w:tcBorders>
                    <w:tl2br w:val="nil"/>
                    <w:tr2bl w:val="nil"/>
                  </w:tcBorders>
                  <w:vAlign w:val="center"/>
                </w:tcPr>
                <w:p w14:paraId="4AE8CD8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continue"/>
                  <w:tcBorders>
                    <w:tl2br w:val="nil"/>
                    <w:tr2bl w:val="nil"/>
                  </w:tcBorders>
                  <w:vAlign w:val="center"/>
                </w:tcPr>
                <w:p w14:paraId="01169D3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75" w:type="dxa"/>
                  <w:tcBorders>
                    <w:tl2br w:val="nil"/>
                    <w:tr2bl w:val="nil"/>
                  </w:tcBorders>
                  <w:shd w:val="clear" w:color="auto" w:fill="auto"/>
                  <w:vAlign w:val="center"/>
                </w:tcPr>
                <w:p w14:paraId="46C2560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eastAsia="宋体" w:cs="宋体"/>
                      <w:color w:val="auto"/>
                      <w:szCs w:val="21"/>
                      <w:lang w:eastAsia="zh-CN"/>
                    </w:rPr>
                    <w:t>脱硫除尘废水</w:t>
                  </w:r>
                </w:p>
              </w:tc>
              <w:tc>
                <w:tcPr>
                  <w:tcW w:w="2093" w:type="dxa"/>
                  <w:tcBorders>
                    <w:tl2br w:val="nil"/>
                    <w:tr2bl w:val="nil"/>
                  </w:tcBorders>
                  <w:shd w:val="clear" w:color="auto" w:fill="auto"/>
                  <w:vAlign w:val="center"/>
                </w:tcPr>
                <w:p w14:paraId="076205BD">
                  <w:pPr>
                    <w:keepNext w:val="0"/>
                    <w:keepLines w:val="0"/>
                    <w:suppressLineNumbers w:val="0"/>
                    <w:spacing w:before="0" w:beforeAutospacing="0" w:after="0" w:afterAutospacing="0" w:line="360" w:lineRule="exact"/>
                    <w:ind w:left="0" w:leftChars="0" w:right="0" w:rightChars="0"/>
                    <w:jc w:val="both"/>
                    <w:rPr>
                      <w:rFonts w:hint="eastAsia" w:ascii="宋体" w:hAnsi="宋体" w:eastAsia="宋体" w:cs="宋体"/>
                      <w:color w:val="auto"/>
                      <w:kern w:val="2"/>
                      <w:sz w:val="21"/>
                      <w:szCs w:val="21"/>
                      <w:lang w:val="en-US" w:eastAsia="zh-CN" w:bidi="ar-SA"/>
                    </w:rPr>
                  </w:pPr>
                  <w:r>
                    <w:rPr>
                      <w:rFonts w:hint="eastAsia" w:eastAsia="宋体" w:cs="宋体"/>
                      <w:color w:val="auto"/>
                      <w:szCs w:val="21"/>
                      <w:lang w:val="en-US" w:eastAsia="zh-CN"/>
                    </w:rPr>
                    <w:t>脱硫除尘废水循环使用，不外排</w:t>
                  </w:r>
                </w:p>
              </w:tc>
              <w:tc>
                <w:tcPr>
                  <w:tcW w:w="1050" w:type="dxa"/>
                  <w:tcBorders>
                    <w:tl2br w:val="nil"/>
                    <w:tr2bl w:val="nil"/>
                  </w:tcBorders>
                  <w:vAlign w:val="center"/>
                </w:tcPr>
                <w:p w14:paraId="6144094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eastAsia="宋体" w:cs="宋体"/>
                      <w:color w:val="auto"/>
                      <w:szCs w:val="21"/>
                      <w:lang w:eastAsia="zh-CN"/>
                    </w:rPr>
                    <w:t>脱硫除尘废水</w:t>
                  </w:r>
                </w:p>
              </w:tc>
              <w:tc>
                <w:tcPr>
                  <w:tcW w:w="2979" w:type="dxa"/>
                  <w:tcBorders>
                    <w:tl2br w:val="nil"/>
                    <w:tr2bl w:val="nil"/>
                  </w:tcBorders>
                  <w:vAlign w:val="center"/>
                </w:tcPr>
                <w:p w14:paraId="77719403">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eastAsia="宋体" w:cs="宋体"/>
                      <w:color w:val="auto"/>
                      <w:szCs w:val="21"/>
                      <w:lang w:val="en-US" w:eastAsia="zh-CN"/>
                    </w:rPr>
                    <w:t>技改后不产生</w:t>
                  </w:r>
                  <w:r>
                    <w:rPr>
                      <w:rFonts w:hint="eastAsia" w:eastAsia="宋体" w:cs="宋体"/>
                      <w:color w:val="auto"/>
                      <w:szCs w:val="21"/>
                      <w:lang w:eastAsia="zh-CN"/>
                    </w:rPr>
                    <w:t>脱硫除尘废水</w:t>
                  </w:r>
                </w:p>
              </w:tc>
              <w:tc>
                <w:tcPr>
                  <w:tcW w:w="546" w:type="dxa"/>
                  <w:vMerge w:val="continue"/>
                  <w:tcBorders>
                    <w:tl2br w:val="nil"/>
                    <w:tr2bl w:val="nil"/>
                  </w:tcBorders>
                  <w:vAlign w:val="center"/>
                </w:tcPr>
                <w:p w14:paraId="11EED71D">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eastAsia="zh-CN"/>
                    </w:rPr>
                  </w:pPr>
                </w:p>
              </w:tc>
            </w:tr>
            <w:tr w14:paraId="3D5C9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98" w:type="dxa"/>
                  <w:vMerge w:val="continue"/>
                  <w:tcBorders>
                    <w:tl2br w:val="nil"/>
                    <w:tr2bl w:val="nil"/>
                  </w:tcBorders>
                  <w:vAlign w:val="center"/>
                </w:tcPr>
                <w:p w14:paraId="61309C2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restart"/>
                  <w:tcBorders>
                    <w:tl2br w:val="nil"/>
                    <w:tr2bl w:val="nil"/>
                  </w:tcBorders>
                  <w:vAlign w:val="center"/>
                </w:tcPr>
                <w:p w14:paraId="3AFDBC0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固体废物</w:t>
                  </w:r>
                </w:p>
              </w:tc>
              <w:tc>
                <w:tcPr>
                  <w:tcW w:w="575" w:type="dxa"/>
                  <w:tcBorders>
                    <w:tl2br w:val="nil"/>
                    <w:tr2bl w:val="nil"/>
                  </w:tcBorders>
                  <w:vAlign w:val="center"/>
                </w:tcPr>
                <w:p w14:paraId="04041EB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锅炉房固废</w:t>
                  </w:r>
                </w:p>
              </w:tc>
              <w:tc>
                <w:tcPr>
                  <w:tcW w:w="2093" w:type="dxa"/>
                  <w:tcBorders>
                    <w:tl2br w:val="nil"/>
                    <w:tr2bl w:val="nil"/>
                  </w:tcBorders>
                  <w:vAlign w:val="center"/>
                </w:tcPr>
                <w:p w14:paraId="4C77EF50">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lang w:val="en-US" w:eastAsia="zh-CN"/>
                    </w:rPr>
                  </w:pPr>
                  <w:r>
                    <w:rPr>
                      <w:rFonts w:hint="eastAsia" w:ascii="宋体" w:hAnsi="宋体" w:eastAsia="宋体" w:cs="宋体"/>
                      <w:color w:val="auto"/>
                      <w:lang w:val="en-US" w:eastAsia="zh-CN"/>
                    </w:rPr>
                    <w:t>锅炉灰渣和脱硫渣暂存于渣池，用于矿区道路铺设</w:t>
                  </w:r>
                </w:p>
              </w:tc>
              <w:tc>
                <w:tcPr>
                  <w:tcW w:w="1050" w:type="dxa"/>
                  <w:tcBorders>
                    <w:tl2br w:val="nil"/>
                    <w:tr2bl w:val="nil"/>
                  </w:tcBorders>
                  <w:vAlign w:val="center"/>
                </w:tcPr>
                <w:p w14:paraId="015E822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锅炉房固废</w:t>
                  </w:r>
                </w:p>
              </w:tc>
              <w:tc>
                <w:tcPr>
                  <w:tcW w:w="2979" w:type="dxa"/>
                  <w:tcBorders>
                    <w:tl2br w:val="nil"/>
                    <w:tr2bl w:val="nil"/>
                  </w:tcBorders>
                  <w:vAlign w:val="center"/>
                </w:tcPr>
                <w:p w14:paraId="075E9C95">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技改后不再产生</w:t>
                  </w:r>
                </w:p>
              </w:tc>
              <w:tc>
                <w:tcPr>
                  <w:tcW w:w="546" w:type="dxa"/>
                  <w:tcBorders>
                    <w:tl2br w:val="nil"/>
                    <w:tr2bl w:val="nil"/>
                  </w:tcBorders>
                  <w:vAlign w:val="center"/>
                </w:tcPr>
                <w:p w14:paraId="7CB49C55">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技改</w:t>
                  </w:r>
                </w:p>
              </w:tc>
            </w:tr>
            <w:tr w14:paraId="46F20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1A1EA09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continue"/>
                  <w:tcBorders>
                    <w:tl2br w:val="nil"/>
                    <w:tr2bl w:val="nil"/>
                  </w:tcBorders>
                  <w:vAlign w:val="center"/>
                </w:tcPr>
                <w:p w14:paraId="13DCD91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75" w:type="dxa"/>
                  <w:tcBorders>
                    <w:tl2br w:val="nil"/>
                    <w:tr2bl w:val="nil"/>
                  </w:tcBorders>
                  <w:vAlign w:val="center"/>
                </w:tcPr>
                <w:p w14:paraId="276C4D6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废离子交换树脂</w:t>
                  </w:r>
                </w:p>
              </w:tc>
              <w:tc>
                <w:tcPr>
                  <w:tcW w:w="2093" w:type="dxa"/>
                  <w:tcBorders>
                    <w:tl2br w:val="nil"/>
                    <w:tr2bl w:val="nil"/>
                  </w:tcBorders>
                  <w:vAlign w:val="center"/>
                </w:tcPr>
                <w:p w14:paraId="28CA12E9">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软水装置产生的废离子交换树脂每5年更换一次，由厂家上门更换时直接带走，不在项目区暂存</w:t>
                  </w:r>
                </w:p>
              </w:tc>
              <w:tc>
                <w:tcPr>
                  <w:tcW w:w="1050" w:type="dxa"/>
                  <w:tcBorders>
                    <w:tl2br w:val="nil"/>
                    <w:tr2bl w:val="nil"/>
                  </w:tcBorders>
                  <w:vAlign w:val="center"/>
                </w:tcPr>
                <w:p w14:paraId="0DE76E36">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废离子交换树脂</w:t>
                  </w:r>
                </w:p>
              </w:tc>
              <w:tc>
                <w:tcPr>
                  <w:tcW w:w="2979" w:type="dxa"/>
                  <w:tcBorders>
                    <w:tl2br w:val="nil"/>
                    <w:tr2bl w:val="nil"/>
                  </w:tcBorders>
                  <w:vAlign w:val="center"/>
                </w:tcPr>
                <w:p w14:paraId="46D22060">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软水装置产生的废离子交换树脂每5年更换一次，由厂家上门更换时直接带走，不在项目区暂存</w:t>
                  </w:r>
                </w:p>
              </w:tc>
              <w:tc>
                <w:tcPr>
                  <w:tcW w:w="546" w:type="dxa"/>
                  <w:tcBorders>
                    <w:tl2br w:val="nil"/>
                    <w:tr2bl w:val="nil"/>
                  </w:tcBorders>
                  <w:vAlign w:val="center"/>
                </w:tcPr>
                <w:p w14:paraId="10A25757">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FF0000"/>
                      <w:szCs w:val="21"/>
                      <w:highlight w:val="none"/>
                      <w:lang w:eastAsia="zh-CN"/>
                    </w:rPr>
                    <w:t>技</w:t>
                  </w:r>
                  <w:r>
                    <w:rPr>
                      <w:rFonts w:hint="default"/>
                      <w:color w:val="FF0000"/>
                      <w:highlight w:val="none"/>
                    </w:rPr>
                    <w:commentReference w:id="0"/>
                  </w:r>
                  <w:r>
                    <w:rPr>
                      <w:rFonts w:hint="eastAsia" w:ascii="宋体" w:hAnsi="宋体" w:eastAsia="宋体" w:cs="宋体"/>
                      <w:color w:val="FF0000"/>
                      <w:szCs w:val="21"/>
                      <w:highlight w:val="none"/>
                      <w:lang w:eastAsia="zh-CN"/>
                    </w:rPr>
                    <w:t>改</w:t>
                  </w:r>
                </w:p>
              </w:tc>
            </w:tr>
            <w:tr w14:paraId="2E7EF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3891E48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415" w:type="dxa"/>
                  <w:vMerge w:val="continue"/>
                  <w:tcBorders>
                    <w:tl2br w:val="nil"/>
                    <w:tr2bl w:val="nil"/>
                  </w:tcBorders>
                  <w:vAlign w:val="center"/>
                </w:tcPr>
                <w:p w14:paraId="0FA61FB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575" w:type="dxa"/>
                  <w:tcBorders>
                    <w:tl2br w:val="nil"/>
                    <w:tr2bl w:val="nil"/>
                  </w:tcBorders>
                  <w:vAlign w:val="center"/>
                </w:tcPr>
                <w:p w14:paraId="181810A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生活</w:t>
                  </w:r>
                </w:p>
                <w:p w14:paraId="3ABB32A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垃圾</w:t>
                  </w:r>
                </w:p>
              </w:tc>
              <w:tc>
                <w:tcPr>
                  <w:tcW w:w="2093" w:type="dxa"/>
                  <w:tcBorders>
                    <w:tl2br w:val="nil"/>
                    <w:tr2bl w:val="nil"/>
                  </w:tcBorders>
                  <w:vAlign w:val="center"/>
                </w:tcPr>
                <w:p w14:paraId="021A3EF0">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项目区设有生活垃圾收集箱，定期送至内蒙古太平矿业有限公司垃圾收集点，集中处置</w:t>
                  </w:r>
                </w:p>
              </w:tc>
              <w:tc>
                <w:tcPr>
                  <w:tcW w:w="1050" w:type="dxa"/>
                  <w:tcBorders>
                    <w:tl2br w:val="nil"/>
                    <w:tr2bl w:val="nil"/>
                  </w:tcBorders>
                  <w:vAlign w:val="center"/>
                </w:tcPr>
                <w:p w14:paraId="418E0A2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生活</w:t>
                  </w:r>
                </w:p>
                <w:p w14:paraId="1CBD8E8A">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垃圾</w:t>
                  </w:r>
                </w:p>
              </w:tc>
              <w:tc>
                <w:tcPr>
                  <w:tcW w:w="2979" w:type="dxa"/>
                  <w:tcBorders>
                    <w:tl2br w:val="nil"/>
                    <w:tr2bl w:val="nil"/>
                  </w:tcBorders>
                  <w:vAlign w:val="center"/>
                </w:tcPr>
                <w:p w14:paraId="2FF05C2D">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技改项目不新增劳动定员，无新增生活垃圾产生</w:t>
                  </w:r>
                </w:p>
              </w:tc>
              <w:tc>
                <w:tcPr>
                  <w:tcW w:w="546" w:type="dxa"/>
                  <w:tcBorders>
                    <w:tl2br w:val="nil"/>
                    <w:tr2bl w:val="nil"/>
                  </w:tcBorders>
                  <w:vAlign w:val="center"/>
                </w:tcPr>
                <w:p w14:paraId="3E28CC69">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依托</w:t>
                  </w:r>
                </w:p>
              </w:tc>
            </w:tr>
            <w:tr w14:paraId="2608C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598" w:type="dxa"/>
                  <w:vMerge w:val="continue"/>
                  <w:tcBorders>
                    <w:tl2br w:val="nil"/>
                    <w:tr2bl w:val="nil"/>
                  </w:tcBorders>
                  <w:vAlign w:val="center"/>
                </w:tcPr>
                <w:p w14:paraId="2CC40C9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90" w:type="dxa"/>
                  <w:gridSpan w:val="2"/>
                  <w:tcBorders>
                    <w:tl2br w:val="nil"/>
                    <w:tr2bl w:val="nil"/>
                  </w:tcBorders>
                  <w:vAlign w:val="center"/>
                </w:tcPr>
                <w:p w14:paraId="2143A49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噪声</w:t>
                  </w:r>
                </w:p>
              </w:tc>
              <w:tc>
                <w:tcPr>
                  <w:tcW w:w="2093" w:type="dxa"/>
                  <w:tcBorders>
                    <w:tl2br w:val="nil"/>
                    <w:tr2bl w:val="nil"/>
                  </w:tcBorders>
                  <w:vAlign w:val="center"/>
                </w:tcPr>
                <w:p w14:paraId="7A21E844">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rPr>
                  </w:pPr>
                  <w:r>
                    <w:rPr>
                      <w:rFonts w:hint="eastAsia" w:ascii="宋体" w:hAnsi="宋体" w:eastAsia="宋体" w:cs="宋体"/>
                      <w:color w:val="auto"/>
                      <w:szCs w:val="21"/>
                    </w:rPr>
                    <w:t>选购低噪声设备，生产设备均布置在全封闭厂房内，高噪声设备设置减振基础</w:t>
                  </w:r>
                </w:p>
              </w:tc>
              <w:tc>
                <w:tcPr>
                  <w:tcW w:w="1050" w:type="dxa"/>
                  <w:tcBorders>
                    <w:tl2br w:val="nil"/>
                    <w:tr2bl w:val="nil"/>
                  </w:tcBorders>
                  <w:vAlign w:val="center"/>
                </w:tcPr>
                <w:p w14:paraId="3C068EEE">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szCs w:val="21"/>
                    </w:rPr>
                    <w:t>噪声</w:t>
                  </w:r>
                </w:p>
              </w:tc>
              <w:tc>
                <w:tcPr>
                  <w:tcW w:w="2979" w:type="dxa"/>
                  <w:tcBorders>
                    <w:tl2br w:val="nil"/>
                    <w:tr2bl w:val="nil"/>
                  </w:tcBorders>
                  <w:vAlign w:val="center"/>
                </w:tcPr>
                <w:p w14:paraId="6638D5A3">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Cs w:val="21"/>
                    </w:rPr>
                  </w:pPr>
                  <w:r>
                    <w:rPr>
                      <w:rFonts w:hint="eastAsia" w:ascii="宋体" w:hAnsi="宋体" w:eastAsia="宋体" w:cs="宋体"/>
                      <w:color w:val="auto"/>
                      <w:szCs w:val="21"/>
                    </w:rPr>
                    <w:t>选购低噪声设备，设备均布置在全封闭厂房内，</w:t>
                  </w:r>
                  <w:r>
                    <w:rPr>
                      <w:rFonts w:hint="default"/>
                    </w:rPr>
                    <w:commentReference w:id="1"/>
                  </w:r>
                  <w:r>
                    <w:rPr>
                      <w:rFonts w:hint="eastAsia" w:ascii="宋体" w:hAnsi="宋体" w:eastAsia="宋体" w:cs="宋体"/>
                      <w:color w:val="FF0000"/>
                      <w:szCs w:val="21"/>
                    </w:rPr>
                    <w:t>设备设置减振基础</w:t>
                  </w:r>
                </w:p>
              </w:tc>
              <w:tc>
                <w:tcPr>
                  <w:tcW w:w="546" w:type="dxa"/>
                  <w:tcBorders>
                    <w:tl2br w:val="nil"/>
                    <w:tr2bl w:val="nil"/>
                  </w:tcBorders>
                  <w:vAlign w:val="center"/>
                </w:tcPr>
                <w:p w14:paraId="4A026C6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技改</w:t>
                  </w:r>
                </w:p>
              </w:tc>
            </w:tr>
          </w:tbl>
          <w:p w14:paraId="26F6D4F7">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val="0"/>
                <w:bCs/>
                <w:color w:val="auto"/>
                <w:sz w:val="28"/>
                <w:szCs w:val="28"/>
              </w:rPr>
            </w:pPr>
            <w:r>
              <w:rPr>
                <w:rFonts w:hint="eastAsia" w:eastAsia="宋体" w:cs="宋体"/>
                <w:b w:val="0"/>
                <w:bCs/>
                <w:color w:val="auto"/>
                <w:sz w:val="28"/>
                <w:szCs w:val="28"/>
                <w:lang w:val="en-US" w:eastAsia="zh-CN"/>
              </w:rPr>
              <w:t>4、</w:t>
            </w:r>
            <w:r>
              <w:rPr>
                <w:rFonts w:hint="eastAsia" w:ascii="宋体" w:hAnsi="宋体" w:eastAsia="宋体" w:cs="宋体"/>
                <w:b w:val="0"/>
                <w:bCs/>
                <w:color w:val="auto"/>
                <w:sz w:val="28"/>
                <w:szCs w:val="28"/>
              </w:rPr>
              <w:t>主要设备</w:t>
            </w:r>
          </w:p>
          <w:p w14:paraId="2A327468">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本次</w:t>
            </w:r>
            <w:r>
              <w:rPr>
                <w:rFonts w:hint="eastAsia" w:ascii="宋体" w:hAnsi="宋体" w:eastAsia="宋体" w:cs="宋体"/>
                <w:color w:val="auto"/>
                <w:sz w:val="24"/>
                <w:lang w:eastAsia="zh-CN"/>
              </w:rPr>
              <w:t>技改项目</w:t>
            </w:r>
            <w:r>
              <w:rPr>
                <w:rFonts w:hint="eastAsia" w:ascii="宋体" w:hAnsi="宋体" w:eastAsia="宋体" w:cs="宋体"/>
                <w:color w:val="auto"/>
                <w:sz w:val="24"/>
              </w:rPr>
              <w:t>主要设备详见表</w:t>
            </w:r>
            <w:r>
              <w:rPr>
                <w:rFonts w:hint="eastAsia" w:ascii="宋体" w:hAnsi="宋体" w:eastAsia="宋体" w:cs="宋体"/>
                <w:color w:val="auto"/>
                <w:sz w:val="24"/>
                <w:lang w:val="en-US" w:eastAsia="zh-CN"/>
              </w:rPr>
              <w:t>2-6</w:t>
            </w:r>
            <w:r>
              <w:rPr>
                <w:rFonts w:hint="eastAsia" w:ascii="宋体" w:hAnsi="宋体" w:eastAsia="宋体" w:cs="宋体"/>
                <w:color w:val="auto"/>
                <w:sz w:val="24"/>
              </w:rPr>
              <w:t>。</w:t>
            </w:r>
          </w:p>
          <w:p w14:paraId="1812920D">
            <w:pPr>
              <w:keepNext w:val="0"/>
              <w:keepLines w:val="0"/>
              <w:suppressLineNumbers w:val="0"/>
              <w:tabs>
                <w:tab w:val="left" w:pos="6930"/>
              </w:tabs>
              <w:spacing w:before="0" w:beforeAutospacing="0" w:after="0" w:afterAutospacing="0"/>
              <w:ind w:left="0" w:right="0" w:firstLine="482" w:firstLineChars="200"/>
              <w:jc w:val="center"/>
              <w:rPr>
                <w:rFonts w:hint="eastAsia" w:ascii="宋体" w:hAnsi="宋体" w:eastAsia="宋体" w:cs="宋体"/>
                <w:b/>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2-6</w:t>
            </w:r>
            <w:r>
              <w:rPr>
                <w:rFonts w:hint="eastAsia" w:ascii="宋体" w:hAnsi="宋体" w:eastAsia="宋体" w:cs="宋体"/>
                <w:b/>
                <w:color w:val="auto"/>
                <w:sz w:val="24"/>
              </w:rPr>
              <w:t xml:space="preserve"> </w:t>
            </w:r>
            <w:r>
              <w:rPr>
                <w:rFonts w:hint="eastAsia" w:ascii="宋体" w:hAnsi="宋体" w:eastAsia="宋体" w:cs="宋体"/>
                <w:b/>
                <w:color w:val="auto"/>
                <w:sz w:val="24"/>
                <w:lang w:eastAsia="zh-CN"/>
              </w:rPr>
              <w:t>技改项目</w:t>
            </w:r>
            <w:r>
              <w:rPr>
                <w:rFonts w:hint="eastAsia" w:ascii="宋体" w:hAnsi="宋体" w:eastAsia="宋体" w:cs="宋体"/>
                <w:b/>
                <w:color w:val="auto"/>
                <w:sz w:val="24"/>
              </w:rPr>
              <w:t>主要设备一览表</w:t>
            </w:r>
          </w:p>
          <w:tbl>
            <w:tblPr>
              <w:tblStyle w:val="26"/>
              <w:tblW w:w="82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2135"/>
              <w:gridCol w:w="2041"/>
              <w:gridCol w:w="988"/>
              <w:gridCol w:w="1054"/>
              <w:gridCol w:w="1309"/>
            </w:tblGrid>
            <w:tr w14:paraId="7709C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vAlign w:val="center"/>
                </w:tcPr>
                <w:p w14:paraId="735A80F3">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rPr>
                  </w:pPr>
                  <w:r>
                    <w:rPr>
                      <w:rFonts w:hint="eastAsia" w:ascii="宋体" w:hAnsi="宋体" w:eastAsia="宋体" w:cs="宋体"/>
                      <w:b/>
                      <w:color w:val="auto"/>
                      <w:szCs w:val="21"/>
                    </w:rPr>
                    <w:t>序号</w:t>
                  </w:r>
                </w:p>
              </w:tc>
              <w:tc>
                <w:tcPr>
                  <w:tcW w:w="2135" w:type="dxa"/>
                  <w:tcBorders>
                    <w:tl2br w:val="nil"/>
                    <w:tr2bl w:val="nil"/>
                  </w:tcBorders>
                  <w:vAlign w:val="center"/>
                </w:tcPr>
                <w:p w14:paraId="2CE37C92">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rPr>
                  </w:pPr>
                  <w:r>
                    <w:rPr>
                      <w:rFonts w:hint="eastAsia" w:ascii="宋体" w:hAnsi="宋体" w:eastAsia="宋体" w:cs="宋体"/>
                      <w:b/>
                      <w:color w:val="auto"/>
                      <w:szCs w:val="21"/>
                    </w:rPr>
                    <w:t>设备名称</w:t>
                  </w:r>
                </w:p>
              </w:tc>
              <w:tc>
                <w:tcPr>
                  <w:tcW w:w="2041" w:type="dxa"/>
                  <w:tcBorders>
                    <w:tl2br w:val="nil"/>
                    <w:tr2bl w:val="nil"/>
                  </w:tcBorders>
                  <w:vAlign w:val="center"/>
                </w:tcPr>
                <w:p w14:paraId="030E54AC">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eastAsia="zh-CN"/>
                    </w:rPr>
                  </w:pPr>
                  <w:r>
                    <w:rPr>
                      <w:rFonts w:hint="eastAsia" w:ascii="宋体" w:hAnsi="宋体" w:eastAsia="宋体" w:cs="宋体"/>
                      <w:b/>
                      <w:color w:val="auto"/>
                      <w:szCs w:val="21"/>
                    </w:rPr>
                    <w:t>型号</w:t>
                  </w:r>
                  <w:r>
                    <w:rPr>
                      <w:rFonts w:hint="eastAsia" w:ascii="宋体" w:hAnsi="宋体" w:eastAsia="宋体" w:cs="宋体"/>
                      <w:b/>
                      <w:color w:val="auto"/>
                      <w:szCs w:val="21"/>
                      <w:lang w:eastAsia="zh-CN"/>
                    </w:rPr>
                    <w:t>和规格</w:t>
                  </w:r>
                </w:p>
              </w:tc>
              <w:tc>
                <w:tcPr>
                  <w:tcW w:w="988" w:type="dxa"/>
                  <w:tcBorders>
                    <w:tl2br w:val="nil"/>
                    <w:tr2bl w:val="nil"/>
                  </w:tcBorders>
                  <w:vAlign w:val="center"/>
                </w:tcPr>
                <w:p w14:paraId="7CCBE4D1">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val="en-US" w:eastAsia="zh-CN"/>
                    </w:rPr>
                  </w:pPr>
                  <w:r>
                    <w:rPr>
                      <w:rFonts w:hint="eastAsia" w:ascii="宋体" w:hAnsi="宋体" w:eastAsia="宋体" w:cs="宋体"/>
                      <w:b/>
                      <w:color w:val="auto"/>
                      <w:szCs w:val="21"/>
                      <w:lang w:val="en-US" w:eastAsia="zh-CN"/>
                    </w:rPr>
                    <w:t>单位</w:t>
                  </w:r>
                </w:p>
              </w:tc>
              <w:tc>
                <w:tcPr>
                  <w:tcW w:w="1054" w:type="dxa"/>
                  <w:tcBorders>
                    <w:tl2br w:val="nil"/>
                    <w:tr2bl w:val="nil"/>
                  </w:tcBorders>
                  <w:vAlign w:val="center"/>
                </w:tcPr>
                <w:p w14:paraId="1A8510B6">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eastAsia="zh-CN"/>
                    </w:rPr>
                  </w:pPr>
                  <w:r>
                    <w:rPr>
                      <w:rFonts w:hint="eastAsia" w:ascii="宋体" w:hAnsi="宋体" w:eastAsia="宋体" w:cs="宋体"/>
                      <w:b/>
                      <w:color w:val="auto"/>
                      <w:szCs w:val="21"/>
                      <w:lang w:val="en-US" w:eastAsia="zh-CN"/>
                    </w:rPr>
                    <w:t>数量</w:t>
                  </w:r>
                </w:p>
              </w:tc>
              <w:tc>
                <w:tcPr>
                  <w:tcW w:w="1309" w:type="dxa"/>
                  <w:tcBorders>
                    <w:tl2br w:val="nil"/>
                    <w:tr2bl w:val="nil"/>
                  </w:tcBorders>
                  <w:vAlign w:val="center"/>
                </w:tcPr>
                <w:p w14:paraId="2305ABD5">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rPr>
                  </w:pPr>
                  <w:r>
                    <w:rPr>
                      <w:rFonts w:hint="eastAsia" w:ascii="宋体" w:hAnsi="宋体" w:eastAsia="宋体" w:cs="宋体"/>
                      <w:b/>
                      <w:color w:val="auto"/>
                      <w:szCs w:val="21"/>
                    </w:rPr>
                    <w:t>备注</w:t>
                  </w:r>
                </w:p>
              </w:tc>
            </w:tr>
            <w:tr w14:paraId="6C19C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05" w:type="dxa"/>
                  <w:gridSpan w:val="6"/>
                  <w:tcBorders>
                    <w:tl2br w:val="nil"/>
                    <w:tr2bl w:val="nil"/>
                  </w:tcBorders>
                  <w:vAlign w:val="center"/>
                </w:tcPr>
                <w:p w14:paraId="0D603308">
                  <w:pPr>
                    <w:keepNext w:val="0"/>
                    <w:keepLines w:val="0"/>
                    <w:suppressLineNumbers w:val="0"/>
                    <w:spacing w:before="0" w:beforeAutospacing="0" w:after="0" w:afterAutospacing="0" w:line="360" w:lineRule="exact"/>
                    <w:ind w:left="0" w:right="0"/>
                    <w:jc w:val="center"/>
                    <w:rPr>
                      <w:rFonts w:hint="eastAsia" w:ascii="宋体" w:hAnsi="宋体" w:eastAsia="宋体" w:cs="宋体"/>
                      <w:b/>
                      <w:color w:val="auto"/>
                      <w:szCs w:val="21"/>
                      <w:lang w:val="en-US" w:eastAsia="zh-CN"/>
                    </w:rPr>
                  </w:pPr>
                  <w:r>
                    <w:rPr>
                      <w:rFonts w:hint="eastAsia" w:ascii="宋体" w:hAnsi="宋体" w:eastAsia="宋体" w:cs="宋体"/>
                      <w:b/>
                      <w:color w:val="auto"/>
                      <w:szCs w:val="21"/>
                      <w:lang w:val="en-US" w:eastAsia="zh-CN"/>
                    </w:rPr>
                    <w:t>供热系统</w:t>
                  </w:r>
                </w:p>
              </w:tc>
            </w:tr>
            <w:tr w14:paraId="47433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vAlign w:val="center"/>
                </w:tcPr>
                <w:p w14:paraId="63F2000F">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1</w:t>
                  </w:r>
                </w:p>
              </w:tc>
              <w:tc>
                <w:tcPr>
                  <w:tcW w:w="2135" w:type="dxa"/>
                  <w:tcBorders>
                    <w:tl2br w:val="nil"/>
                    <w:tr2bl w:val="nil"/>
                  </w:tcBorders>
                  <w:vAlign w:val="center"/>
                </w:tcPr>
                <w:p w14:paraId="62D5B981">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燃</w:t>
                  </w:r>
                  <w:r>
                    <w:rPr>
                      <w:rFonts w:hint="eastAsia" w:ascii="宋体" w:hAnsi="宋体" w:eastAsia="宋体" w:cs="宋体"/>
                      <w:bCs/>
                      <w:color w:val="auto"/>
                      <w:szCs w:val="21"/>
                      <w:lang w:val="en-US" w:eastAsia="zh-CN"/>
                    </w:rPr>
                    <w:t>油</w:t>
                  </w:r>
                  <w:r>
                    <w:rPr>
                      <w:rFonts w:hint="eastAsia" w:ascii="宋体" w:hAnsi="宋体" w:eastAsia="宋体" w:cs="宋体"/>
                      <w:bCs/>
                      <w:color w:val="auto"/>
                      <w:szCs w:val="21"/>
                    </w:rPr>
                    <w:t>蒸汽锅炉</w:t>
                  </w:r>
                </w:p>
              </w:tc>
              <w:tc>
                <w:tcPr>
                  <w:tcW w:w="2041" w:type="dxa"/>
                  <w:tcBorders>
                    <w:tl2br w:val="nil"/>
                    <w:tr2bl w:val="nil"/>
                  </w:tcBorders>
                  <w:vAlign w:val="center"/>
                </w:tcPr>
                <w:p w14:paraId="6CB7BB9C">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color w:val="auto"/>
                      <w:szCs w:val="21"/>
                      <w:lang w:val="en-US" w:eastAsia="zh-CN"/>
                    </w:rPr>
                    <w:t>WNS1</w:t>
                  </w:r>
                  <w:r>
                    <w:rPr>
                      <w:rFonts w:hint="eastAsia" w:ascii="宋体" w:hAnsi="宋体" w:eastAsia="宋体" w:cs="宋体"/>
                      <w:color w:val="auto"/>
                      <w:szCs w:val="21"/>
                    </w:rPr>
                    <w:t>-</w:t>
                  </w:r>
                  <w:r>
                    <w:rPr>
                      <w:rFonts w:hint="eastAsia" w:ascii="宋体" w:hAnsi="宋体" w:eastAsia="宋体" w:cs="宋体"/>
                      <w:color w:val="auto"/>
                      <w:szCs w:val="21"/>
                      <w:lang w:val="en-US" w:eastAsia="zh-CN"/>
                    </w:rPr>
                    <w:t>0.7</w:t>
                  </w:r>
                  <w:r>
                    <w:rPr>
                      <w:rFonts w:hint="eastAsia" w:ascii="宋体" w:hAnsi="宋体" w:eastAsia="宋体" w:cs="宋体"/>
                      <w:color w:val="auto"/>
                      <w:szCs w:val="21"/>
                    </w:rPr>
                    <w:t>-</w:t>
                  </w:r>
                  <w:r>
                    <w:rPr>
                      <w:rFonts w:hint="eastAsia" w:ascii="宋体" w:hAnsi="宋体" w:eastAsia="宋体" w:cs="宋体"/>
                      <w:color w:val="auto"/>
                      <w:szCs w:val="21"/>
                      <w:lang w:val="en-US" w:eastAsia="zh-CN"/>
                    </w:rPr>
                    <w:t>Q（Y）</w:t>
                  </w:r>
                </w:p>
              </w:tc>
              <w:tc>
                <w:tcPr>
                  <w:tcW w:w="988" w:type="dxa"/>
                  <w:tcBorders>
                    <w:tl2br w:val="nil"/>
                    <w:tr2bl w:val="nil"/>
                  </w:tcBorders>
                  <w:vAlign w:val="center"/>
                </w:tcPr>
                <w:p w14:paraId="4CA5AAE1">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台</w:t>
                  </w:r>
                </w:p>
              </w:tc>
              <w:tc>
                <w:tcPr>
                  <w:tcW w:w="1054" w:type="dxa"/>
                  <w:tcBorders>
                    <w:tl2br w:val="nil"/>
                    <w:tr2bl w:val="nil"/>
                  </w:tcBorders>
                  <w:vAlign w:val="center"/>
                </w:tcPr>
                <w:p w14:paraId="06FF63A5">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1</w:t>
                  </w:r>
                </w:p>
              </w:tc>
              <w:tc>
                <w:tcPr>
                  <w:tcW w:w="1309" w:type="dxa"/>
                  <w:tcBorders>
                    <w:tl2br w:val="nil"/>
                    <w:tr2bl w:val="nil"/>
                  </w:tcBorders>
                  <w:vAlign w:val="center"/>
                </w:tcPr>
                <w:p w14:paraId="346060EE">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新建</w:t>
                  </w:r>
                </w:p>
              </w:tc>
            </w:tr>
            <w:tr w14:paraId="7F1C3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vAlign w:val="center"/>
                </w:tcPr>
                <w:p w14:paraId="7313BCB5">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2</w:t>
                  </w:r>
                </w:p>
              </w:tc>
              <w:tc>
                <w:tcPr>
                  <w:tcW w:w="2135" w:type="dxa"/>
                  <w:tcBorders>
                    <w:tl2br w:val="nil"/>
                    <w:tr2bl w:val="nil"/>
                  </w:tcBorders>
                  <w:vAlign w:val="center"/>
                </w:tcPr>
                <w:p w14:paraId="1C92D603">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燃油蒸汽发生器</w:t>
                  </w:r>
                </w:p>
              </w:tc>
              <w:tc>
                <w:tcPr>
                  <w:tcW w:w="2041" w:type="dxa"/>
                  <w:tcBorders>
                    <w:tl2br w:val="nil"/>
                    <w:tr2bl w:val="nil"/>
                  </w:tcBorders>
                  <w:vAlign w:val="center"/>
                </w:tcPr>
                <w:p w14:paraId="2B6450F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WSS1.0</w:t>
                  </w:r>
                  <w:r>
                    <w:rPr>
                      <w:rFonts w:hint="eastAsia" w:ascii="宋体" w:hAnsi="宋体" w:eastAsia="宋体" w:cs="宋体"/>
                      <w:color w:val="auto"/>
                      <w:szCs w:val="21"/>
                    </w:rPr>
                    <w:t>-</w:t>
                  </w:r>
                  <w:r>
                    <w:rPr>
                      <w:rFonts w:hint="eastAsia" w:ascii="宋体" w:hAnsi="宋体" w:eastAsia="宋体" w:cs="宋体"/>
                      <w:color w:val="auto"/>
                      <w:szCs w:val="21"/>
                      <w:lang w:val="en-US" w:eastAsia="zh-CN"/>
                    </w:rPr>
                    <w:t>0.7/1.3</w:t>
                  </w:r>
                  <w:r>
                    <w:rPr>
                      <w:rFonts w:hint="eastAsia" w:ascii="宋体" w:hAnsi="宋体" w:eastAsia="宋体" w:cs="宋体"/>
                      <w:color w:val="auto"/>
                      <w:szCs w:val="21"/>
                    </w:rPr>
                    <w:t>-</w:t>
                  </w:r>
                  <w:r>
                    <w:rPr>
                      <w:rFonts w:hint="eastAsia" w:ascii="宋体" w:hAnsi="宋体" w:eastAsia="宋体" w:cs="宋体"/>
                      <w:color w:val="auto"/>
                      <w:szCs w:val="21"/>
                      <w:lang w:val="en-US" w:eastAsia="zh-CN"/>
                    </w:rPr>
                    <w:t>Q</w:t>
                  </w:r>
                </w:p>
              </w:tc>
              <w:tc>
                <w:tcPr>
                  <w:tcW w:w="988" w:type="dxa"/>
                  <w:tcBorders>
                    <w:tl2br w:val="nil"/>
                    <w:tr2bl w:val="nil"/>
                  </w:tcBorders>
                  <w:vAlign w:val="center"/>
                </w:tcPr>
                <w:p w14:paraId="77B50D43">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台</w:t>
                  </w:r>
                </w:p>
              </w:tc>
              <w:tc>
                <w:tcPr>
                  <w:tcW w:w="1054" w:type="dxa"/>
                  <w:tcBorders>
                    <w:tl2br w:val="nil"/>
                    <w:tr2bl w:val="nil"/>
                  </w:tcBorders>
                  <w:vAlign w:val="center"/>
                </w:tcPr>
                <w:p w14:paraId="1E3F7C22">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1</w:t>
                  </w:r>
                </w:p>
              </w:tc>
              <w:tc>
                <w:tcPr>
                  <w:tcW w:w="1309" w:type="dxa"/>
                  <w:tcBorders>
                    <w:tl2br w:val="nil"/>
                    <w:tr2bl w:val="nil"/>
                  </w:tcBorders>
                  <w:vAlign w:val="center"/>
                </w:tcPr>
                <w:p w14:paraId="2C5E3ACB">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新建，备用</w:t>
                  </w:r>
                </w:p>
              </w:tc>
            </w:tr>
            <w:tr w14:paraId="0AC4D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vAlign w:val="center"/>
                </w:tcPr>
                <w:p w14:paraId="10BFE193">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3</w:t>
                  </w:r>
                </w:p>
              </w:tc>
              <w:tc>
                <w:tcPr>
                  <w:tcW w:w="2135" w:type="dxa"/>
                  <w:tcBorders>
                    <w:tl2br w:val="nil"/>
                    <w:tr2bl w:val="nil"/>
                  </w:tcBorders>
                  <w:vAlign w:val="center"/>
                </w:tcPr>
                <w:p w14:paraId="35F646F6">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rPr>
                    <w:t>软水</w:t>
                  </w:r>
                  <w:r>
                    <w:rPr>
                      <w:rFonts w:hint="eastAsia" w:ascii="宋体" w:hAnsi="宋体" w:eastAsia="宋体" w:cs="宋体"/>
                      <w:bCs/>
                      <w:color w:val="auto"/>
                      <w:szCs w:val="21"/>
                      <w:lang w:eastAsia="zh-CN"/>
                    </w:rPr>
                    <w:t>器</w:t>
                  </w:r>
                </w:p>
              </w:tc>
              <w:tc>
                <w:tcPr>
                  <w:tcW w:w="2041" w:type="dxa"/>
                  <w:tcBorders>
                    <w:tl2br w:val="nil"/>
                    <w:tr2bl w:val="nil"/>
                  </w:tcBorders>
                  <w:vAlign w:val="center"/>
                </w:tcPr>
                <w:p w14:paraId="129AD93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lang w:val="en-US" w:eastAsia="zh-CN"/>
                    </w:rPr>
                    <w:t>1m³</w:t>
                  </w:r>
                  <w:r>
                    <w:rPr>
                      <w:rFonts w:hint="eastAsia" w:ascii="宋体" w:hAnsi="宋体" w:eastAsia="宋体" w:cs="宋体"/>
                      <w:color w:val="auto"/>
                    </w:rPr>
                    <w:t>/h</w:t>
                  </w:r>
                </w:p>
              </w:tc>
              <w:tc>
                <w:tcPr>
                  <w:tcW w:w="988" w:type="dxa"/>
                  <w:tcBorders>
                    <w:tl2br w:val="nil"/>
                    <w:tr2bl w:val="nil"/>
                  </w:tcBorders>
                  <w:vAlign w:val="center"/>
                </w:tcPr>
                <w:p w14:paraId="6815CD47">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val="en-US" w:eastAsia="zh-CN"/>
                    </w:rPr>
                    <w:t>套</w:t>
                  </w:r>
                </w:p>
              </w:tc>
              <w:tc>
                <w:tcPr>
                  <w:tcW w:w="1054" w:type="dxa"/>
                  <w:tcBorders>
                    <w:tl2br w:val="nil"/>
                    <w:tr2bl w:val="nil"/>
                  </w:tcBorders>
                  <w:vAlign w:val="center"/>
                </w:tcPr>
                <w:p w14:paraId="5837992D">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1</w:t>
                  </w:r>
                </w:p>
              </w:tc>
              <w:tc>
                <w:tcPr>
                  <w:tcW w:w="1309" w:type="dxa"/>
                  <w:tcBorders>
                    <w:tl2br w:val="nil"/>
                    <w:tr2bl w:val="nil"/>
                  </w:tcBorders>
                  <w:vAlign w:val="center"/>
                </w:tcPr>
                <w:p w14:paraId="491F5607">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利旧</w:t>
                  </w:r>
                </w:p>
              </w:tc>
            </w:tr>
            <w:tr w14:paraId="6C2B7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vAlign w:val="center"/>
                </w:tcPr>
                <w:p w14:paraId="0FC4A350">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4</w:t>
                  </w:r>
                </w:p>
              </w:tc>
              <w:tc>
                <w:tcPr>
                  <w:tcW w:w="2135" w:type="dxa"/>
                  <w:tcBorders>
                    <w:tl2br w:val="nil"/>
                    <w:tr2bl w:val="nil"/>
                  </w:tcBorders>
                  <w:vAlign w:val="center"/>
                </w:tcPr>
                <w:p w14:paraId="752F596C">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eastAsia="zh-CN"/>
                    </w:rPr>
                    <w:t>空气源热泵机组</w:t>
                  </w:r>
                </w:p>
              </w:tc>
              <w:tc>
                <w:tcPr>
                  <w:tcW w:w="2041" w:type="dxa"/>
                  <w:tcBorders>
                    <w:tl2br w:val="nil"/>
                    <w:tr2bl w:val="nil"/>
                  </w:tcBorders>
                  <w:vAlign w:val="center"/>
                </w:tcPr>
                <w:p w14:paraId="7E33431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制热量为85KW</w:t>
                  </w:r>
                </w:p>
              </w:tc>
              <w:tc>
                <w:tcPr>
                  <w:tcW w:w="988" w:type="dxa"/>
                  <w:tcBorders>
                    <w:tl2br w:val="nil"/>
                    <w:tr2bl w:val="nil"/>
                  </w:tcBorders>
                  <w:vAlign w:val="center"/>
                </w:tcPr>
                <w:p w14:paraId="6ED432AD">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台</w:t>
                  </w:r>
                </w:p>
              </w:tc>
              <w:tc>
                <w:tcPr>
                  <w:tcW w:w="1054" w:type="dxa"/>
                  <w:tcBorders>
                    <w:tl2br w:val="nil"/>
                    <w:tr2bl w:val="nil"/>
                  </w:tcBorders>
                  <w:vAlign w:val="center"/>
                </w:tcPr>
                <w:p w14:paraId="55D6450D">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2</w:t>
                  </w:r>
                </w:p>
              </w:tc>
              <w:tc>
                <w:tcPr>
                  <w:tcW w:w="1309" w:type="dxa"/>
                  <w:tcBorders>
                    <w:tl2br w:val="nil"/>
                    <w:tr2bl w:val="nil"/>
                  </w:tcBorders>
                  <w:vAlign w:val="center"/>
                </w:tcPr>
                <w:p w14:paraId="0D1825AE">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利旧</w:t>
                  </w:r>
                </w:p>
              </w:tc>
            </w:tr>
            <w:tr w14:paraId="56246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shd w:val="clear" w:color="auto" w:fill="auto"/>
                  <w:vAlign w:val="center"/>
                </w:tcPr>
                <w:p w14:paraId="37BBD773">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Cs w:val="21"/>
                      <w:lang w:val="en-US" w:eastAsia="zh-CN"/>
                    </w:rPr>
                    <w:t>5</w:t>
                  </w:r>
                </w:p>
              </w:tc>
              <w:tc>
                <w:tcPr>
                  <w:tcW w:w="2135" w:type="dxa"/>
                  <w:tcBorders>
                    <w:tl2br w:val="nil"/>
                    <w:tr2bl w:val="nil"/>
                  </w:tcBorders>
                  <w:shd w:val="clear" w:color="auto" w:fill="auto"/>
                  <w:vAlign w:val="center"/>
                </w:tcPr>
                <w:p w14:paraId="09D4A2FE">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color w:val="auto"/>
                      <w:szCs w:val="21"/>
                    </w:rPr>
                    <w:t>柴油</w:t>
                  </w:r>
                  <w:r>
                    <w:rPr>
                      <w:rFonts w:hint="eastAsia" w:ascii="宋体" w:hAnsi="宋体" w:eastAsia="宋体" w:cs="宋体"/>
                      <w:color w:val="auto"/>
                      <w:szCs w:val="21"/>
                      <w:lang w:eastAsia="zh-CN"/>
                    </w:rPr>
                    <w:t>箱</w:t>
                  </w:r>
                </w:p>
              </w:tc>
              <w:tc>
                <w:tcPr>
                  <w:tcW w:w="2041" w:type="dxa"/>
                  <w:tcBorders>
                    <w:tl2br w:val="nil"/>
                    <w:tr2bl w:val="nil"/>
                  </w:tcBorders>
                  <w:shd w:val="clear" w:color="auto" w:fill="auto"/>
                  <w:vAlign w:val="center"/>
                </w:tcPr>
                <w:p w14:paraId="66C97F1E">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highlight w:val="none"/>
                    </w:rPr>
                    <w:t>V=</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m³</w:t>
                  </w:r>
                </w:p>
              </w:tc>
              <w:tc>
                <w:tcPr>
                  <w:tcW w:w="988" w:type="dxa"/>
                  <w:tcBorders>
                    <w:tl2br w:val="nil"/>
                    <w:tr2bl w:val="nil"/>
                  </w:tcBorders>
                  <w:shd w:val="clear" w:color="auto" w:fill="auto"/>
                  <w:vAlign w:val="center"/>
                </w:tcPr>
                <w:p w14:paraId="4051126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color w:val="auto"/>
                      <w:szCs w:val="21"/>
                    </w:rPr>
                    <w:t>座</w:t>
                  </w:r>
                </w:p>
              </w:tc>
              <w:tc>
                <w:tcPr>
                  <w:tcW w:w="1054" w:type="dxa"/>
                  <w:tcBorders>
                    <w:tl2br w:val="nil"/>
                    <w:tr2bl w:val="nil"/>
                  </w:tcBorders>
                  <w:shd w:val="clear" w:color="auto" w:fill="auto"/>
                  <w:vAlign w:val="center"/>
                </w:tcPr>
                <w:p w14:paraId="40BD4F9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color w:val="auto"/>
                      <w:szCs w:val="21"/>
                    </w:rPr>
                    <w:t>1</w:t>
                  </w:r>
                </w:p>
              </w:tc>
              <w:tc>
                <w:tcPr>
                  <w:tcW w:w="1309" w:type="dxa"/>
                  <w:tcBorders>
                    <w:tl2br w:val="nil"/>
                    <w:tr2bl w:val="nil"/>
                  </w:tcBorders>
                  <w:shd w:val="clear" w:color="auto" w:fill="auto"/>
                  <w:vAlign w:val="center"/>
                </w:tcPr>
                <w:p w14:paraId="4F0AC35D">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color w:val="auto"/>
                      <w:szCs w:val="21"/>
                      <w:lang w:val="en-US" w:eastAsia="zh-CN"/>
                    </w:rPr>
                    <w:t>新建，</w:t>
                  </w:r>
                  <w:r>
                    <w:rPr>
                      <w:rFonts w:hint="eastAsia" w:ascii="宋体" w:hAnsi="宋体" w:eastAsia="宋体" w:cs="宋体"/>
                      <w:color w:val="auto"/>
                      <w:szCs w:val="21"/>
                      <w:lang w:eastAsia="zh-CN"/>
                    </w:rPr>
                    <w:t>钢制</w:t>
                  </w:r>
                  <w:r>
                    <w:rPr>
                      <w:rFonts w:hint="eastAsia" w:ascii="宋体" w:hAnsi="宋体" w:eastAsia="宋体" w:cs="宋体"/>
                      <w:color w:val="auto"/>
                      <w:szCs w:val="21"/>
                    </w:rPr>
                    <w:t>油</w:t>
                  </w:r>
                  <w:r>
                    <w:rPr>
                      <w:rFonts w:hint="eastAsia" w:ascii="宋体" w:hAnsi="宋体" w:eastAsia="宋体" w:cs="宋体"/>
                      <w:color w:val="auto"/>
                      <w:szCs w:val="21"/>
                      <w:lang w:eastAsia="zh-CN"/>
                    </w:rPr>
                    <w:t>箱</w:t>
                  </w:r>
                </w:p>
              </w:tc>
            </w:tr>
            <w:tr w14:paraId="588C5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shd w:val="clear" w:color="auto" w:fill="auto"/>
                  <w:vAlign w:val="center"/>
                </w:tcPr>
                <w:p w14:paraId="5571062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Cs w:val="21"/>
                      <w:lang w:val="en-US" w:eastAsia="zh-CN"/>
                    </w:rPr>
                    <w:t>6</w:t>
                  </w:r>
                </w:p>
              </w:tc>
              <w:tc>
                <w:tcPr>
                  <w:tcW w:w="2135" w:type="dxa"/>
                  <w:tcBorders>
                    <w:tl2br w:val="nil"/>
                    <w:tr2bl w:val="nil"/>
                  </w:tcBorders>
                  <w:shd w:val="clear" w:color="auto" w:fill="auto"/>
                  <w:vAlign w:val="center"/>
                </w:tcPr>
                <w:p w14:paraId="600C4E8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color w:val="auto"/>
                      <w:szCs w:val="21"/>
                    </w:rPr>
                    <w:t>柴油输送泵</w:t>
                  </w:r>
                </w:p>
              </w:tc>
              <w:tc>
                <w:tcPr>
                  <w:tcW w:w="2041" w:type="dxa"/>
                  <w:tcBorders>
                    <w:tl2br w:val="nil"/>
                    <w:tr2bl w:val="nil"/>
                  </w:tcBorders>
                  <w:shd w:val="clear" w:color="auto" w:fill="auto"/>
                  <w:vAlign w:val="center"/>
                </w:tcPr>
                <w:p w14:paraId="40F4718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N=1.5kW，P=1MPa，</w:t>
                  </w:r>
                </w:p>
                <w:p w14:paraId="431312FC">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 xml:space="preserve">Q=2m³/h </w:t>
                  </w:r>
                </w:p>
              </w:tc>
              <w:tc>
                <w:tcPr>
                  <w:tcW w:w="988" w:type="dxa"/>
                  <w:tcBorders>
                    <w:tl2br w:val="nil"/>
                    <w:tr2bl w:val="nil"/>
                  </w:tcBorders>
                  <w:shd w:val="clear" w:color="auto" w:fill="auto"/>
                  <w:vAlign w:val="center"/>
                </w:tcPr>
                <w:p w14:paraId="591D201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Cs w:val="21"/>
                      <w:lang w:val="en-US" w:eastAsia="zh-CN"/>
                    </w:rPr>
                    <w:t>台</w:t>
                  </w:r>
                </w:p>
              </w:tc>
              <w:tc>
                <w:tcPr>
                  <w:tcW w:w="1054" w:type="dxa"/>
                  <w:tcBorders>
                    <w:tl2br w:val="nil"/>
                    <w:tr2bl w:val="nil"/>
                  </w:tcBorders>
                  <w:shd w:val="clear" w:color="auto" w:fill="auto"/>
                  <w:vAlign w:val="center"/>
                </w:tcPr>
                <w:p w14:paraId="06F25206">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Cs w:val="21"/>
                      <w:lang w:val="en-US" w:eastAsia="zh-CN"/>
                    </w:rPr>
                    <w:t>1</w:t>
                  </w:r>
                </w:p>
              </w:tc>
              <w:tc>
                <w:tcPr>
                  <w:tcW w:w="1309" w:type="dxa"/>
                  <w:tcBorders>
                    <w:tl2br w:val="nil"/>
                    <w:tr2bl w:val="nil"/>
                  </w:tcBorders>
                  <w:shd w:val="clear" w:color="auto" w:fill="auto"/>
                  <w:vAlign w:val="center"/>
                </w:tcPr>
                <w:p w14:paraId="157D402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color w:val="auto"/>
                      <w:szCs w:val="21"/>
                      <w:lang w:val="en-US" w:eastAsia="zh-CN"/>
                    </w:rPr>
                    <w:t>新建</w:t>
                  </w:r>
                </w:p>
              </w:tc>
            </w:tr>
            <w:tr w14:paraId="57653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05" w:type="dxa"/>
                  <w:gridSpan w:val="6"/>
                  <w:tcBorders>
                    <w:tl2br w:val="nil"/>
                    <w:tr2bl w:val="nil"/>
                  </w:tcBorders>
                  <w:vAlign w:val="center"/>
                </w:tcPr>
                <w:p w14:paraId="3F4CA474">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
                      <w:bCs w:val="0"/>
                      <w:color w:val="auto"/>
                      <w:szCs w:val="21"/>
                      <w:lang w:val="en-US" w:eastAsia="zh-CN"/>
                    </w:rPr>
                    <w:t>柴油储存设施</w:t>
                  </w:r>
                </w:p>
              </w:tc>
            </w:tr>
            <w:tr w14:paraId="4BB0C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8" w:type="dxa"/>
                  <w:tcBorders>
                    <w:tl2br w:val="nil"/>
                    <w:tr2bl w:val="nil"/>
                  </w:tcBorders>
                  <w:vAlign w:val="center"/>
                </w:tcPr>
                <w:p w14:paraId="5736512B">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1</w:t>
                  </w:r>
                </w:p>
              </w:tc>
              <w:tc>
                <w:tcPr>
                  <w:tcW w:w="2135" w:type="dxa"/>
                  <w:tcBorders>
                    <w:tl2br w:val="nil"/>
                    <w:tr2bl w:val="nil"/>
                  </w:tcBorders>
                  <w:vAlign w:val="center"/>
                </w:tcPr>
                <w:p w14:paraId="2A094222">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eastAsia="zh-CN"/>
                    </w:rPr>
                    <w:t>柴油罐</w:t>
                  </w:r>
                </w:p>
              </w:tc>
              <w:tc>
                <w:tcPr>
                  <w:tcW w:w="2041" w:type="dxa"/>
                  <w:tcBorders>
                    <w:tl2br w:val="nil"/>
                    <w:tr2bl w:val="nil"/>
                  </w:tcBorders>
                  <w:vAlign w:val="center"/>
                </w:tcPr>
                <w:p w14:paraId="71B46A7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50m³</w:t>
                  </w:r>
                </w:p>
              </w:tc>
              <w:tc>
                <w:tcPr>
                  <w:tcW w:w="988" w:type="dxa"/>
                  <w:tcBorders>
                    <w:tl2br w:val="nil"/>
                    <w:tr2bl w:val="nil"/>
                  </w:tcBorders>
                  <w:vAlign w:val="center"/>
                </w:tcPr>
                <w:p w14:paraId="3F85B2E4">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座</w:t>
                  </w:r>
                </w:p>
              </w:tc>
              <w:tc>
                <w:tcPr>
                  <w:tcW w:w="1054" w:type="dxa"/>
                  <w:tcBorders>
                    <w:tl2br w:val="nil"/>
                    <w:tr2bl w:val="nil"/>
                  </w:tcBorders>
                  <w:vAlign w:val="center"/>
                </w:tcPr>
                <w:p w14:paraId="018130B2">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color w:val="auto"/>
                      <w:szCs w:val="21"/>
                      <w:lang w:val="en-US" w:eastAsia="zh-CN"/>
                    </w:rPr>
                    <w:t>1</w:t>
                  </w:r>
                </w:p>
              </w:tc>
              <w:tc>
                <w:tcPr>
                  <w:tcW w:w="1309" w:type="dxa"/>
                  <w:tcBorders>
                    <w:tl2br w:val="nil"/>
                    <w:tr2bl w:val="nil"/>
                  </w:tcBorders>
                  <w:vAlign w:val="center"/>
                </w:tcPr>
                <w:p w14:paraId="0CBC196B">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val="en-US" w:eastAsia="zh-CN"/>
                    </w:rPr>
                  </w:pPr>
                  <w:r>
                    <w:rPr>
                      <w:rFonts w:hint="eastAsia" w:ascii="宋体" w:hAnsi="宋体" w:eastAsia="宋体" w:cs="宋体"/>
                      <w:bCs/>
                      <w:color w:val="auto"/>
                      <w:szCs w:val="21"/>
                      <w:lang w:val="en-US" w:eastAsia="zh-CN"/>
                    </w:rPr>
                    <w:t>利旧</w:t>
                  </w:r>
                </w:p>
              </w:tc>
            </w:tr>
          </w:tbl>
          <w:p w14:paraId="168F0014">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val="0"/>
                <w:bCs/>
                <w:color w:val="auto"/>
                <w:sz w:val="28"/>
                <w:szCs w:val="28"/>
              </w:rPr>
            </w:pPr>
            <w:r>
              <w:rPr>
                <w:rFonts w:hint="eastAsia" w:eastAsia="宋体" w:cs="宋体"/>
                <w:b w:val="0"/>
                <w:bCs/>
                <w:color w:val="auto"/>
                <w:sz w:val="28"/>
                <w:szCs w:val="28"/>
                <w:lang w:val="en-US" w:eastAsia="zh-CN"/>
              </w:rPr>
              <w:t>5、</w:t>
            </w:r>
            <w:r>
              <w:rPr>
                <w:rFonts w:hint="eastAsia" w:ascii="宋体" w:hAnsi="宋体" w:eastAsia="宋体" w:cs="宋体"/>
                <w:b w:val="0"/>
                <w:bCs/>
                <w:color w:val="auto"/>
                <w:sz w:val="28"/>
                <w:szCs w:val="28"/>
              </w:rPr>
              <w:t>主要原辅材料消耗</w:t>
            </w:r>
          </w:p>
          <w:p w14:paraId="78A6563D">
            <w:pPr>
              <w:keepNext w:val="0"/>
              <w:keepLines w:val="0"/>
              <w:suppressLineNumbers w:val="0"/>
              <w:tabs>
                <w:tab w:val="left" w:pos="6930"/>
              </w:tabs>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eastAsia="zh-CN"/>
              </w:rPr>
              <w:t>技改</w:t>
            </w:r>
            <w:r>
              <w:rPr>
                <w:rFonts w:hint="eastAsia" w:eastAsia="宋体" w:cs="宋体"/>
                <w:color w:val="auto"/>
                <w:sz w:val="24"/>
                <w:lang w:val="en-US" w:eastAsia="zh-CN"/>
              </w:rPr>
              <w:t>锅炉燃料由原来的煤炭改为</w:t>
            </w:r>
            <w:r>
              <w:rPr>
                <w:rFonts w:hint="eastAsia" w:ascii="宋体" w:hAnsi="宋体" w:eastAsia="宋体" w:cs="宋体"/>
                <w:color w:val="auto"/>
                <w:sz w:val="24"/>
                <w:lang w:val="en-US" w:eastAsia="zh-CN"/>
              </w:rPr>
              <w:t>柴油</w:t>
            </w:r>
            <w:r>
              <w:rPr>
                <w:rFonts w:hint="eastAsia" w:ascii="宋体" w:hAnsi="宋体" w:eastAsia="宋体" w:cs="宋体"/>
                <w:color w:val="auto"/>
                <w:sz w:val="24"/>
              </w:rPr>
              <w:t>，</w:t>
            </w:r>
            <w:r>
              <w:rPr>
                <w:rFonts w:hint="eastAsia" w:ascii="宋体" w:hAnsi="宋体" w:eastAsia="宋体" w:cs="宋体"/>
                <w:color w:val="auto"/>
                <w:sz w:val="24"/>
                <w:lang w:val="en-US" w:eastAsia="zh-CN"/>
              </w:rPr>
              <w:t>主要原辅材料消耗情况</w:t>
            </w:r>
            <w:r>
              <w:rPr>
                <w:rFonts w:hint="eastAsia" w:ascii="宋体" w:hAnsi="宋体" w:eastAsia="宋体" w:cs="宋体"/>
                <w:color w:val="auto"/>
                <w:sz w:val="24"/>
              </w:rPr>
              <w:t>详见下表：</w:t>
            </w:r>
          </w:p>
          <w:p w14:paraId="1FB44819">
            <w:pPr>
              <w:keepNext w:val="0"/>
              <w:keepLines w:val="0"/>
              <w:suppressLineNumbers w:val="0"/>
              <w:tabs>
                <w:tab w:val="left" w:pos="6930"/>
              </w:tabs>
              <w:spacing w:before="0" w:beforeAutospacing="0" w:after="0" w:afterAutospacing="0"/>
              <w:ind w:left="0" w:right="0" w:firstLine="482" w:firstLineChars="200"/>
              <w:jc w:val="center"/>
              <w:rPr>
                <w:rFonts w:hint="default"/>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2-7</w:t>
            </w:r>
            <w:r>
              <w:rPr>
                <w:rFonts w:hint="eastAsia" w:ascii="宋体" w:hAnsi="宋体" w:eastAsia="宋体" w:cs="宋体"/>
                <w:b/>
                <w:bCs/>
                <w:color w:val="auto"/>
                <w:sz w:val="24"/>
              </w:rPr>
              <w:t xml:space="preserve"> </w:t>
            </w:r>
            <w:r>
              <w:rPr>
                <w:rFonts w:hint="eastAsia" w:ascii="宋体" w:hAnsi="宋体" w:eastAsia="宋体" w:cs="宋体"/>
                <w:b/>
                <w:bCs/>
                <w:color w:val="auto"/>
                <w:sz w:val="24"/>
                <w:lang w:eastAsia="zh-CN"/>
              </w:rPr>
              <w:t>技改</w:t>
            </w:r>
            <w:r>
              <w:rPr>
                <w:rFonts w:hint="eastAsia" w:eastAsia="宋体" w:cs="宋体"/>
                <w:b/>
                <w:bCs/>
                <w:color w:val="auto"/>
                <w:sz w:val="24"/>
                <w:lang w:val="en-US" w:eastAsia="zh-CN"/>
              </w:rPr>
              <w:t>前后锅炉</w:t>
            </w:r>
            <w:r>
              <w:rPr>
                <w:rFonts w:hint="eastAsia" w:ascii="宋体" w:hAnsi="宋体" w:eastAsia="宋体" w:cs="宋体"/>
                <w:b/>
                <w:bCs/>
                <w:color w:val="auto"/>
                <w:sz w:val="24"/>
              </w:rPr>
              <w:t>原辅材料消耗情况一览表</w:t>
            </w:r>
          </w:p>
          <w:tbl>
            <w:tblPr>
              <w:tblStyle w:val="26"/>
              <w:tblW w:w="82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52"/>
              <w:gridCol w:w="753"/>
              <w:gridCol w:w="1300"/>
              <w:gridCol w:w="1212"/>
              <w:gridCol w:w="1027"/>
              <w:gridCol w:w="876"/>
              <w:gridCol w:w="1910"/>
            </w:tblGrid>
            <w:tr w14:paraId="6DD39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426" w:type="dxa"/>
                  <w:vMerge w:val="restart"/>
                  <w:tcBorders>
                    <w:tl2br w:val="nil"/>
                    <w:tr2bl w:val="nil"/>
                  </w:tcBorders>
                  <w:vAlign w:val="center"/>
                </w:tcPr>
                <w:p w14:paraId="1CF347C7">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r>
                    <w:rPr>
                      <w:rFonts w:hint="eastAsia" w:ascii="宋体" w:hAnsi="宋体" w:eastAsia="宋体" w:cs="宋体"/>
                      <w:b w:val="0"/>
                      <w:bCs/>
                      <w:color w:val="auto"/>
                      <w:szCs w:val="21"/>
                    </w:rPr>
                    <w:t>序号</w:t>
                  </w:r>
                </w:p>
              </w:tc>
              <w:tc>
                <w:tcPr>
                  <w:tcW w:w="1505" w:type="dxa"/>
                  <w:gridSpan w:val="2"/>
                  <w:vMerge w:val="restart"/>
                  <w:tcBorders>
                    <w:tl2br w:val="nil"/>
                    <w:tr2bl w:val="nil"/>
                  </w:tcBorders>
                  <w:vAlign w:val="center"/>
                </w:tcPr>
                <w:p w14:paraId="3BB507F6">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r>
                    <w:rPr>
                      <w:rFonts w:hint="eastAsia" w:ascii="宋体" w:hAnsi="宋体" w:eastAsia="宋体" w:cs="宋体"/>
                      <w:b w:val="0"/>
                      <w:bCs/>
                      <w:color w:val="auto"/>
                      <w:szCs w:val="21"/>
                    </w:rPr>
                    <w:t>原料名称</w:t>
                  </w:r>
                </w:p>
              </w:tc>
              <w:tc>
                <w:tcPr>
                  <w:tcW w:w="1300" w:type="dxa"/>
                  <w:tcBorders>
                    <w:tl2br w:val="nil"/>
                    <w:tr2bl w:val="nil"/>
                  </w:tcBorders>
                  <w:vAlign w:val="center"/>
                </w:tcPr>
                <w:p w14:paraId="01A600F2">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技改前</w:t>
                  </w:r>
                </w:p>
              </w:tc>
              <w:tc>
                <w:tcPr>
                  <w:tcW w:w="2239" w:type="dxa"/>
                  <w:gridSpan w:val="2"/>
                  <w:tcBorders>
                    <w:tl2br w:val="nil"/>
                    <w:tr2bl w:val="nil"/>
                  </w:tcBorders>
                  <w:vAlign w:val="center"/>
                </w:tcPr>
                <w:p w14:paraId="3B8EDEB2">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技改</w:t>
                  </w:r>
                  <w:r>
                    <w:rPr>
                      <w:rFonts w:hint="eastAsia" w:eastAsia="宋体" w:cs="宋体"/>
                      <w:b w:val="0"/>
                      <w:bCs/>
                      <w:color w:val="auto"/>
                      <w:szCs w:val="21"/>
                      <w:lang w:val="en-US" w:eastAsia="zh-CN"/>
                    </w:rPr>
                    <w:t>项目</w:t>
                  </w:r>
                </w:p>
              </w:tc>
              <w:tc>
                <w:tcPr>
                  <w:tcW w:w="876" w:type="dxa"/>
                  <w:tcBorders>
                    <w:tl2br w:val="nil"/>
                    <w:tr2bl w:val="nil"/>
                  </w:tcBorders>
                  <w:vAlign w:val="center"/>
                </w:tcPr>
                <w:p w14:paraId="1F1287D3">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r>
                    <w:rPr>
                      <w:rFonts w:hint="eastAsia" w:eastAsia="宋体" w:cs="宋体"/>
                      <w:b w:val="0"/>
                      <w:bCs/>
                      <w:color w:val="auto"/>
                      <w:szCs w:val="21"/>
                      <w:lang w:val="en-US" w:eastAsia="zh-CN"/>
                    </w:rPr>
                    <w:t>技改后全厂</w:t>
                  </w:r>
                </w:p>
              </w:tc>
              <w:tc>
                <w:tcPr>
                  <w:tcW w:w="1910" w:type="dxa"/>
                  <w:vMerge w:val="restart"/>
                  <w:tcBorders>
                    <w:tl2br w:val="nil"/>
                    <w:tr2bl w:val="nil"/>
                  </w:tcBorders>
                  <w:vAlign w:val="center"/>
                </w:tcPr>
                <w:p w14:paraId="3158897A">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r>
                    <w:rPr>
                      <w:rFonts w:hint="eastAsia" w:ascii="宋体" w:hAnsi="宋体" w:eastAsia="宋体" w:cs="宋体"/>
                      <w:b w:val="0"/>
                      <w:bCs/>
                      <w:color w:val="auto"/>
                      <w:szCs w:val="21"/>
                    </w:rPr>
                    <w:t>备注</w:t>
                  </w:r>
                </w:p>
              </w:tc>
            </w:tr>
            <w:tr w14:paraId="40269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26" w:type="dxa"/>
                  <w:vMerge w:val="continue"/>
                  <w:tcBorders>
                    <w:tl2br w:val="nil"/>
                    <w:tr2bl w:val="nil"/>
                  </w:tcBorders>
                  <w:vAlign w:val="center"/>
                </w:tcPr>
                <w:p w14:paraId="5177DE43">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p>
              </w:tc>
              <w:tc>
                <w:tcPr>
                  <w:tcW w:w="1505" w:type="dxa"/>
                  <w:gridSpan w:val="2"/>
                  <w:vMerge w:val="continue"/>
                  <w:tcBorders>
                    <w:tl2br w:val="nil"/>
                    <w:tr2bl w:val="nil"/>
                  </w:tcBorders>
                  <w:vAlign w:val="center"/>
                </w:tcPr>
                <w:p w14:paraId="76C4B38E">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p>
              </w:tc>
              <w:tc>
                <w:tcPr>
                  <w:tcW w:w="1300" w:type="dxa"/>
                  <w:tcBorders>
                    <w:tl2br w:val="nil"/>
                    <w:tr2bl w:val="nil"/>
                  </w:tcBorders>
                  <w:vAlign w:val="center"/>
                </w:tcPr>
                <w:p w14:paraId="48B24E6D">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消耗量</w:t>
                  </w:r>
                </w:p>
              </w:tc>
              <w:tc>
                <w:tcPr>
                  <w:tcW w:w="1212" w:type="dxa"/>
                  <w:tcBorders>
                    <w:tl2br w:val="nil"/>
                    <w:tr2bl w:val="nil"/>
                  </w:tcBorders>
                  <w:shd w:val="clear" w:color="auto" w:fill="auto"/>
                  <w:vAlign w:val="center"/>
                </w:tcPr>
                <w:p w14:paraId="6E8280F0">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消耗量</w:t>
                  </w:r>
                </w:p>
              </w:tc>
              <w:tc>
                <w:tcPr>
                  <w:tcW w:w="1027" w:type="dxa"/>
                  <w:tcBorders>
                    <w:tl2br w:val="nil"/>
                    <w:tr2bl w:val="nil"/>
                  </w:tcBorders>
                  <w:shd w:val="clear" w:color="auto" w:fill="auto"/>
                  <w:vAlign w:val="center"/>
                </w:tcPr>
                <w:p w14:paraId="4A6F1B8E">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szCs w:val="21"/>
                    </w:rPr>
                  </w:pPr>
                  <w:r>
                    <w:rPr>
                      <w:rFonts w:hint="eastAsia" w:ascii="宋体" w:hAnsi="宋体" w:eastAsia="宋体" w:cs="宋体"/>
                      <w:b w:val="0"/>
                      <w:bCs/>
                      <w:color w:val="auto"/>
                      <w:szCs w:val="21"/>
                      <w:lang w:val="en-US" w:eastAsia="zh-CN"/>
                    </w:rPr>
                    <w:t>最大贮存量</w:t>
                  </w:r>
                </w:p>
              </w:tc>
              <w:tc>
                <w:tcPr>
                  <w:tcW w:w="876" w:type="dxa"/>
                  <w:tcBorders>
                    <w:tl2br w:val="nil"/>
                    <w:tr2bl w:val="nil"/>
                  </w:tcBorders>
                  <w:shd w:val="clear" w:color="auto" w:fill="auto"/>
                  <w:vAlign w:val="center"/>
                </w:tcPr>
                <w:p w14:paraId="04659A97">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default" w:ascii="宋体" w:hAnsi="宋体" w:eastAsia="宋体" w:cs="宋体"/>
                      <w:b w:val="0"/>
                      <w:bCs/>
                      <w:color w:val="auto"/>
                      <w:kern w:val="2"/>
                      <w:sz w:val="21"/>
                      <w:szCs w:val="21"/>
                      <w:lang w:val="en-US" w:eastAsia="zh-CN" w:bidi="ar-SA"/>
                    </w:rPr>
                  </w:pPr>
                  <w:r>
                    <w:rPr>
                      <w:rFonts w:hint="eastAsia" w:eastAsia="宋体" w:cs="宋体"/>
                      <w:b w:val="0"/>
                      <w:bCs/>
                      <w:color w:val="auto"/>
                      <w:kern w:val="2"/>
                      <w:sz w:val="21"/>
                      <w:szCs w:val="21"/>
                      <w:lang w:val="en-US" w:eastAsia="zh-CN" w:bidi="ar-SA"/>
                    </w:rPr>
                    <w:t>消耗量</w:t>
                  </w:r>
                </w:p>
              </w:tc>
              <w:tc>
                <w:tcPr>
                  <w:tcW w:w="1910" w:type="dxa"/>
                  <w:vMerge w:val="continue"/>
                  <w:tcBorders>
                    <w:tl2br w:val="nil"/>
                    <w:tr2bl w:val="nil"/>
                  </w:tcBorders>
                  <w:vAlign w:val="center"/>
                </w:tcPr>
                <w:p w14:paraId="5BD68E1C">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p>
              </w:tc>
            </w:tr>
            <w:tr w14:paraId="61E8A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426" w:type="dxa"/>
                  <w:vMerge w:val="restart"/>
                  <w:tcBorders>
                    <w:tl2br w:val="nil"/>
                    <w:tr2bl w:val="nil"/>
                  </w:tcBorders>
                  <w:vAlign w:val="center"/>
                </w:tcPr>
                <w:p w14:paraId="28BCE4FD">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1</w:t>
                  </w:r>
                </w:p>
              </w:tc>
              <w:tc>
                <w:tcPr>
                  <w:tcW w:w="752" w:type="dxa"/>
                  <w:vMerge w:val="restart"/>
                  <w:tcBorders>
                    <w:tl2br w:val="nil"/>
                    <w:tr2bl w:val="nil"/>
                  </w:tcBorders>
                  <w:vAlign w:val="center"/>
                </w:tcPr>
                <w:p w14:paraId="3ED17814">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r>
                    <w:rPr>
                      <w:rFonts w:hint="eastAsia" w:ascii="宋体" w:hAnsi="宋体" w:eastAsia="宋体" w:cs="宋体"/>
                      <w:b w:val="0"/>
                      <w:bCs/>
                      <w:color w:val="auto"/>
                      <w:szCs w:val="21"/>
                      <w:lang w:val="en-US" w:eastAsia="zh-CN"/>
                    </w:rPr>
                    <w:t>燃料</w:t>
                  </w:r>
                </w:p>
              </w:tc>
              <w:tc>
                <w:tcPr>
                  <w:tcW w:w="753" w:type="dxa"/>
                  <w:tcBorders>
                    <w:tl2br w:val="nil"/>
                    <w:tr2bl w:val="nil"/>
                  </w:tcBorders>
                  <w:vAlign w:val="center"/>
                </w:tcPr>
                <w:p w14:paraId="6FDC8214">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煤</w:t>
                  </w:r>
                </w:p>
              </w:tc>
              <w:tc>
                <w:tcPr>
                  <w:tcW w:w="1300" w:type="dxa"/>
                  <w:tcBorders>
                    <w:tl2br w:val="nil"/>
                    <w:tr2bl w:val="nil"/>
                  </w:tcBorders>
                  <w:vAlign w:val="center"/>
                </w:tcPr>
                <w:p w14:paraId="33AAA984">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eastAsia="宋体" w:cs="宋体"/>
                      <w:b w:val="0"/>
                      <w:bCs/>
                      <w:color w:val="auto"/>
                      <w:szCs w:val="21"/>
                      <w:lang w:val="en-US" w:eastAsia="zh-CN"/>
                    </w:rPr>
                    <w:t>5</w:t>
                  </w:r>
                  <w:r>
                    <w:rPr>
                      <w:rFonts w:hint="eastAsia" w:ascii="宋体" w:hAnsi="宋体" w:eastAsia="宋体" w:cs="宋体"/>
                      <w:b w:val="0"/>
                      <w:bCs/>
                      <w:color w:val="auto"/>
                      <w:szCs w:val="21"/>
                      <w:lang w:val="en-US" w:eastAsia="zh-CN"/>
                    </w:rPr>
                    <w:t>00</w:t>
                  </w:r>
                  <w:r>
                    <w:rPr>
                      <w:rFonts w:hint="eastAsia" w:ascii="宋体" w:hAnsi="宋体" w:eastAsia="宋体" w:cs="宋体"/>
                      <w:b w:val="0"/>
                      <w:bCs/>
                      <w:color w:val="auto"/>
                      <w:szCs w:val="21"/>
                      <w:highlight w:val="none"/>
                    </w:rPr>
                    <w:t>t/a</w:t>
                  </w:r>
                </w:p>
              </w:tc>
              <w:tc>
                <w:tcPr>
                  <w:tcW w:w="1212" w:type="dxa"/>
                  <w:tcBorders>
                    <w:tl2br w:val="nil"/>
                    <w:tr2bl w:val="nil"/>
                  </w:tcBorders>
                  <w:vAlign w:val="center"/>
                </w:tcPr>
                <w:p w14:paraId="41CC1E89">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w:t>
                  </w:r>
                </w:p>
              </w:tc>
              <w:tc>
                <w:tcPr>
                  <w:tcW w:w="1027" w:type="dxa"/>
                  <w:tcBorders>
                    <w:tl2br w:val="nil"/>
                    <w:tr2bl w:val="nil"/>
                  </w:tcBorders>
                  <w:vAlign w:val="center"/>
                </w:tcPr>
                <w:p w14:paraId="03159033">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w:t>
                  </w:r>
                </w:p>
              </w:tc>
              <w:tc>
                <w:tcPr>
                  <w:tcW w:w="876" w:type="dxa"/>
                  <w:tcBorders>
                    <w:tl2br w:val="nil"/>
                    <w:tr2bl w:val="nil"/>
                  </w:tcBorders>
                  <w:vAlign w:val="center"/>
                </w:tcPr>
                <w:p w14:paraId="25E18EF4">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eastAsia="宋体" w:cs="宋体"/>
                      <w:b w:val="0"/>
                      <w:bCs/>
                      <w:color w:val="auto"/>
                      <w:szCs w:val="21"/>
                      <w:lang w:val="en-US" w:eastAsia="zh-CN"/>
                    </w:rPr>
                    <w:t>0</w:t>
                  </w:r>
                </w:p>
              </w:tc>
              <w:tc>
                <w:tcPr>
                  <w:tcW w:w="1910" w:type="dxa"/>
                  <w:tcBorders>
                    <w:tl2br w:val="nil"/>
                    <w:tr2bl w:val="nil"/>
                  </w:tcBorders>
                  <w:vAlign w:val="center"/>
                </w:tcPr>
                <w:p w14:paraId="009A21CC">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周边采购</w:t>
                  </w:r>
                </w:p>
              </w:tc>
            </w:tr>
            <w:tr w14:paraId="71D2C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426" w:type="dxa"/>
                  <w:vMerge w:val="continue"/>
                  <w:tcBorders>
                    <w:tl2br w:val="nil"/>
                    <w:tr2bl w:val="nil"/>
                  </w:tcBorders>
                  <w:vAlign w:val="center"/>
                </w:tcPr>
                <w:p w14:paraId="0707A1B1">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p>
              </w:tc>
              <w:tc>
                <w:tcPr>
                  <w:tcW w:w="752" w:type="dxa"/>
                  <w:vMerge w:val="continue"/>
                  <w:tcBorders>
                    <w:tl2br w:val="nil"/>
                    <w:tr2bl w:val="nil"/>
                  </w:tcBorders>
                  <w:vAlign w:val="center"/>
                </w:tcPr>
                <w:p w14:paraId="72B87AEB">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p>
              </w:tc>
              <w:tc>
                <w:tcPr>
                  <w:tcW w:w="753" w:type="dxa"/>
                  <w:tcBorders>
                    <w:tl2br w:val="nil"/>
                    <w:tr2bl w:val="nil"/>
                  </w:tcBorders>
                  <w:vAlign w:val="center"/>
                </w:tcPr>
                <w:p w14:paraId="53D809F2">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柴油</w:t>
                  </w:r>
                </w:p>
              </w:tc>
              <w:tc>
                <w:tcPr>
                  <w:tcW w:w="1300" w:type="dxa"/>
                  <w:tcBorders>
                    <w:tl2br w:val="nil"/>
                    <w:tr2bl w:val="nil"/>
                  </w:tcBorders>
                  <w:vAlign w:val="center"/>
                </w:tcPr>
                <w:p w14:paraId="5F93D8AB">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eastAsia="宋体" w:cs="宋体"/>
                      <w:b w:val="0"/>
                      <w:bCs/>
                      <w:color w:val="auto"/>
                      <w:szCs w:val="21"/>
                      <w:lang w:val="en-US" w:eastAsia="zh-CN"/>
                    </w:rPr>
                    <w:t>200t/a</w:t>
                  </w:r>
                </w:p>
              </w:tc>
              <w:tc>
                <w:tcPr>
                  <w:tcW w:w="1212" w:type="dxa"/>
                  <w:tcBorders>
                    <w:tl2br w:val="nil"/>
                    <w:tr2bl w:val="nil"/>
                  </w:tcBorders>
                  <w:shd w:val="clear" w:color="auto" w:fill="auto"/>
                  <w:vAlign w:val="center"/>
                </w:tcPr>
                <w:p w14:paraId="50B67629">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highlight w:val="none"/>
                      <w:lang w:val="en-US" w:eastAsia="zh-CN"/>
                    </w:rPr>
                    <w:t>300</w:t>
                  </w:r>
                  <w:r>
                    <w:rPr>
                      <w:rFonts w:hint="eastAsia" w:ascii="宋体" w:hAnsi="宋体" w:eastAsia="宋体" w:cs="宋体"/>
                      <w:b w:val="0"/>
                      <w:bCs/>
                      <w:color w:val="auto"/>
                      <w:szCs w:val="21"/>
                      <w:highlight w:val="none"/>
                    </w:rPr>
                    <w:t>t/a</w:t>
                  </w:r>
                  <w:r>
                    <w:rPr>
                      <w:rFonts w:hint="default"/>
                    </w:rPr>
                    <w:commentReference w:id="2"/>
                  </w:r>
                </w:p>
              </w:tc>
              <w:tc>
                <w:tcPr>
                  <w:tcW w:w="1027" w:type="dxa"/>
                  <w:tcBorders>
                    <w:tl2br w:val="nil"/>
                    <w:tr2bl w:val="nil"/>
                  </w:tcBorders>
                  <w:shd w:val="clear" w:color="auto" w:fill="auto"/>
                  <w:vAlign w:val="center"/>
                </w:tcPr>
                <w:p w14:paraId="1859EA1D">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lang w:val="en-US" w:eastAsia="zh-CN"/>
                    </w:rPr>
                    <w:t>42</w:t>
                  </w:r>
                  <w:r>
                    <w:rPr>
                      <w:rFonts w:hint="eastAsia" w:ascii="宋体" w:hAnsi="宋体" w:eastAsia="宋体" w:cs="宋体"/>
                      <w:b w:val="0"/>
                      <w:bCs/>
                      <w:color w:val="auto"/>
                      <w:szCs w:val="21"/>
                      <w:highlight w:val="none"/>
                    </w:rPr>
                    <w:t>t</w:t>
                  </w:r>
                </w:p>
              </w:tc>
              <w:tc>
                <w:tcPr>
                  <w:tcW w:w="876" w:type="dxa"/>
                  <w:tcBorders>
                    <w:tl2br w:val="nil"/>
                    <w:tr2bl w:val="nil"/>
                  </w:tcBorders>
                  <w:shd w:val="clear" w:color="auto" w:fill="auto"/>
                  <w:vAlign w:val="center"/>
                </w:tcPr>
                <w:p w14:paraId="702CA058">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default" w:ascii="宋体" w:hAnsi="宋体" w:eastAsia="宋体" w:cs="宋体"/>
                      <w:b w:val="0"/>
                      <w:bCs/>
                      <w:color w:val="auto"/>
                      <w:kern w:val="2"/>
                      <w:sz w:val="21"/>
                      <w:szCs w:val="21"/>
                      <w:lang w:val="en-US" w:eastAsia="zh-CN" w:bidi="ar-SA"/>
                    </w:rPr>
                  </w:pPr>
                  <w:r>
                    <w:rPr>
                      <w:rFonts w:hint="eastAsia" w:eastAsia="宋体" w:cs="宋体"/>
                      <w:b w:val="0"/>
                      <w:bCs/>
                      <w:color w:val="auto"/>
                      <w:kern w:val="2"/>
                      <w:sz w:val="21"/>
                      <w:szCs w:val="21"/>
                      <w:lang w:val="en-US" w:eastAsia="zh-CN" w:bidi="ar-SA"/>
                    </w:rPr>
                    <w:t>500t/a</w:t>
                  </w:r>
                </w:p>
              </w:tc>
              <w:tc>
                <w:tcPr>
                  <w:tcW w:w="1910" w:type="dxa"/>
                  <w:tcBorders>
                    <w:tl2br w:val="nil"/>
                    <w:tr2bl w:val="nil"/>
                  </w:tcBorders>
                  <w:vAlign w:val="center"/>
                </w:tcPr>
                <w:p w14:paraId="58E8CB5D">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rPr>
                  </w:pPr>
                  <w:r>
                    <w:rPr>
                      <w:rFonts w:hint="eastAsia" w:ascii="宋体" w:hAnsi="宋体" w:eastAsia="宋体" w:cs="宋体"/>
                      <w:bCs/>
                      <w:color w:val="auto"/>
                      <w:szCs w:val="21"/>
                      <w:lang w:val="en-US" w:eastAsia="zh-CN"/>
                    </w:rPr>
                    <w:t>锅炉燃料</w:t>
                  </w:r>
                  <w:r>
                    <w:rPr>
                      <w:rFonts w:hint="eastAsia" w:eastAsia="宋体" w:cs="宋体"/>
                      <w:bCs/>
                      <w:color w:val="auto"/>
                      <w:szCs w:val="21"/>
                      <w:lang w:val="en-US" w:eastAsia="zh-CN"/>
                    </w:rPr>
                    <w:t>及</w:t>
                  </w:r>
                  <w:r>
                    <w:rPr>
                      <w:rFonts w:hint="eastAsia"/>
                      <w:color w:val="auto"/>
                      <w:lang w:val="en-US" w:eastAsia="zh-CN"/>
                    </w:rPr>
                    <w:t>现场混装车辆用柴油</w:t>
                  </w:r>
                  <w:r>
                    <w:rPr>
                      <w:rFonts w:hint="eastAsia" w:ascii="宋体" w:hAnsi="宋体" w:eastAsia="宋体" w:cs="宋体"/>
                      <w:bCs/>
                      <w:color w:val="auto"/>
                      <w:szCs w:val="21"/>
                      <w:lang w:val="en-US" w:eastAsia="zh-CN"/>
                    </w:rPr>
                    <w:t>，</w:t>
                  </w:r>
                  <w:r>
                    <w:rPr>
                      <w:rFonts w:hint="eastAsia" w:ascii="宋体" w:hAnsi="宋体" w:eastAsia="宋体" w:cs="宋体"/>
                      <w:b w:val="0"/>
                      <w:bCs/>
                      <w:color w:val="auto"/>
                      <w:szCs w:val="21"/>
                      <w:lang w:val="en-US" w:eastAsia="zh-CN"/>
                    </w:rPr>
                    <w:t>由石油公司罐车直接送至项目区，由卸车泵打入柴油罐储存</w:t>
                  </w:r>
                </w:p>
              </w:tc>
            </w:tr>
            <w:tr w14:paraId="16172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426" w:type="dxa"/>
                  <w:tcBorders>
                    <w:tl2br w:val="nil"/>
                    <w:tr2bl w:val="nil"/>
                  </w:tcBorders>
                  <w:vAlign w:val="center"/>
                </w:tcPr>
                <w:p w14:paraId="582AC807">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2</w:t>
                  </w:r>
                </w:p>
              </w:tc>
              <w:tc>
                <w:tcPr>
                  <w:tcW w:w="752" w:type="dxa"/>
                  <w:vMerge w:val="restart"/>
                  <w:tcBorders>
                    <w:tl2br w:val="nil"/>
                    <w:tr2bl w:val="nil"/>
                  </w:tcBorders>
                  <w:vAlign w:val="center"/>
                </w:tcPr>
                <w:p w14:paraId="58CEA567">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能源</w:t>
                  </w:r>
                </w:p>
              </w:tc>
              <w:tc>
                <w:tcPr>
                  <w:tcW w:w="753" w:type="dxa"/>
                  <w:tcBorders>
                    <w:tl2br w:val="nil"/>
                    <w:tr2bl w:val="nil"/>
                  </w:tcBorders>
                  <w:shd w:val="clear" w:color="auto" w:fill="auto"/>
                  <w:vAlign w:val="center"/>
                </w:tcPr>
                <w:p w14:paraId="6E1A5791">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锅炉用水</w:t>
                  </w:r>
                </w:p>
              </w:tc>
              <w:tc>
                <w:tcPr>
                  <w:tcW w:w="1300" w:type="dxa"/>
                  <w:tcBorders>
                    <w:tl2br w:val="nil"/>
                    <w:tr2bl w:val="nil"/>
                  </w:tcBorders>
                  <w:shd w:val="clear" w:color="auto" w:fill="auto"/>
                  <w:vAlign w:val="center"/>
                </w:tcPr>
                <w:p w14:paraId="45CCBCBA">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Cs w:val="21"/>
                      <w:highlight w:val="none"/>
                      <w:lang w:val="en-US" w:eastAsia="zh-CN"/>
                    </w:rPr>
                    <w:t>200</w:t>
                  </w:r>
                  <w:r>
                    <w:rPr>
                      <w:rFonts w:hint="eastAsia" w:ascii="宋体" w:hAnsi="宋体" w:eastAsia="宋体" w:cs="宋体"/>
                      <w:b w:val="0"/>
                      <w:bCs/>
                      <w:color w:val="auto"/>
                      <w:szCs w:val="21"/>
                      <w:highlight w:val="none"/>
                    </w:rPr>
                    <w:t>m³/a</w:t>
                  </w:r>
                </w:p>
              </w:tc>
              <w:tc>
                <w:tcPr>
                  <w:tcW w:w="1212" w:type="dxa"/>
                  <w:tcBorders>
                    <w:tl2br w:val="nil"/>
                    <w:tr2bl w:val="nil"/>
                  </w:tcBorders>
                  <w:shd w:val="clear" w:color="auto" w:fill="auto"/>
                  <w:vAlign w:val="center"/>
                </w:tcPr>
                <w:p w14:paraId="4D1ACFC9">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Cs w:val="21"/>
                      <w:highlight w:val="none"/>
                      <w:lang w:val="en-US" w:eastAsia="zh-CN"/>
                    </w:rPr>
                    <w:t>165</w:t>
                  </w:r>
                  <w:r>
                    <w:rPr>
                      <w:rFonts w:hint="eastAsia" w:ascii="宋体" w:hAnsi="宋体" w:eastAsia="宋体" w:cs="宋体"/>
                      <w:b w:val="0"/>
                      <w:bCs/>
                      <w:color w:val="auto"/>
                      <w:szCs w:val="21"/>
                      <w:highlight w:val="none"/>
                    </w:rPr>
                    <w:t>m³/a</w:t>
                  </w:r>
                </w:p>
              </w:tc>
              <w:tc>
                <w:tcPr>
                  <w:tcW w:w="1027" w:type="dxa"/>
                  <w:tcBorders>
                    <w:tl2br w:val="nil"/>
                    <w:tr2bl w:val="nil"/>
                  </w:tcBorders>
                  <w:shd w:val="clear" w:color="auto" w:fill="auto"/>
                  <w:vAlign w:val="center"/>
                </w:tcPr>
                <w:p w14:paraId="518338BA">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不储存</w:t>
                  </w:r>
                </w:p>
              </w:tc>
              <w:tc>
                <w:tcPr>
                  <w:tcW w:w="876" w:type="dxa"/>
                  <w:tcBorders>
                    <w:tl2br w:val="nil"/>
                    <w:tr2bl w:val="nil"/>
                  </w:tcBorders>
                  <w:shd w:val="clear" w:color="auto" w:fill="auto"/>
                  <w:vAlign w:val="center"/>
                </w:tcPr>
                <w:p w14:paraId="419D6748">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Cs w:val="21"/>
                      <w:highlight w:val="none"/>
                      <w:lang w:val="en-US" w:eastAsia="zh-CN"/>
                    </w:rPr>
                    <w:t>165</w:t>
                  </w:r>
                  <w:r>
                    <w:rPr>
                      <w:rFonts w:hint="eastAsia" w:ascii="宋体" w:hAnsi="宋体" w:eastAsia="宋体" w:cs="宋体"/>
                      <w:b w:val="0"/>
                      <w:bCs/>
                      <w:color w:val="auto"/>
                      <w:szCs w:val="21"/>
                      <w:highlight w:val="none"/>
                    </w:rPr>
                    <w:t>m³/a</w:t>
                  </w:r>
                </w:p>
              </w:tc>
              <w:tc>
                <w:tcPr>
                  <w:tcW w:w="1910" w:type="dxa"/>
                  <w:tcBorders>
                    <w:tl2br w:val="nil"/>
                    <w:tr2bl w:val="nil"/>
                  </w:tcBorders>
                  <w:shd w:val="clear" w:color="auto" w:fill="auto"/>
                  <w:vAlign w:val="center"/>
                </w:tcPr>
                <w:p w14:paraId="706110D2">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lang w:val="en-US" w:eastAsia="zh-CN"/>
                    </w:rPr>
                    <w:t>由内蒙古太平矿业有限公司供水设施供给</w:t>
                  </w:r>
                </w:p>
              </w:tc>
            </w:tr>
            <w:tr w14:paraId="1D5B8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426" w:type="dxa"/>
                  <w:tcBorders>
                    <w:tl2br w:val="nil"/>
                    <w:tr2bl w:val="nil"/>
                  </w:tcBorders>
                  <w:vAlign w:val="center"/>
                </w:tcPr>
                <w:p w14:paraId="4EFF37A8">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default" w:ascii="宋体" w:hAnsi="宋体" w:eastAsia="宋体" w:cs="宋体"/>
                      <w:b w:val="0"/>
                      <w:bCs/>
                      <w:color w:val="auto"/>
                      <w:szCs w:val="21"/>
                      <w:lang w:val="en-US" w:eastAsia="zh-CN"/>
                    </w:rPr>
                  </w:pPr>
                  <w:r>
                    <w:rPr>
                      <w:rFonts w:hint="eastAsia" w:ascii="宋体" w:hAnsi="宋体" w:eastAsia="宋体" w:cs="宋体"/>
                      <w:b w:val="0"/>
                      <w:bCs/>
                      <w:color w:val="auto"/>
                      <w:szCs w:val="21"/>
                      <w:lang w:val="en-US" w:eastAsia="zh-CN"/>
                    </w:rPr>
                    <w:t>3</w:t>
                  </w:r>
                </w:p>
              </w:tc>
              <w:tc>
                <w:tcPr>
                  <w:tcW w:w="752" w:type="dxa"/>
                  <w:vMerge w:val="continue"/>
                  <w:tcBorders>
                    <w:tl2br w:val="nil"/>
                    <w:tr2bl w:val="nil"/>
                  </w:tcBorders>
                  <w:vAlign w:val="center"/>
                </w:tcPr>
                <w:p w14:paraId="3C79C6D1">
                  <w:pPr>
                    <w:keepNext w:val="0"/>
                    <w:keepLines w:val="0"/>
                    <w:pageBreakBefore w:val="0"/>
                    <w:widowControl w:val="0"/>
                    <w:suppressLineNumbers w:val="0"/>
                    <w:kinsoku/>
                    <w:wordWrap/>
                    <w:overflowPunct/>
                    <w:topLinePunct w:val="0"/>
                    <w:autoSpaceDE w:val="0"/>
                    <w:autoSpaceDN w:val="0"/>
                    <w:bidi w:val="0"/>
                    <w:spacing w:before="0" w:beforeAutospacing="0" w:after="0" w:afterAutospacing="0" w:line="360" w:lineRule="exact"/>
                    <w:ind w:left="0" w:right="0"/>
                    <w:jc w:val="center"/>
                    <w:textAlignment w:val="auto"/>
                    <w:rPr>
                      <w:rFonts w:hint="eastAsia" w:ascii="宋体" w:hAnsi="宋体" w:eastAsia="宋体" w:cs="宋体"/>
                      <w:b w:val="0"/>
                      <w:bCs/>
                      <w:color w:val="auto"/>
                      <w:szCs w:val="21"/>
                      <w:lang w:val="en-US" w:eastAsia="zh-CN"/>
                    </w:rPr>
                  </w:pPr>
                </w:p>
              </w:tc>
              <w:tc>
                <w:tcPr>
                  <w:tcW w:w="753" w:type="dxa"/>
                  <w:tcBorders>
                    <w:tl2br w:val="nil"/>
                    <w:tr2bl w:val="nil"/>
                  </w:tcBorders>
                  <w:shd w:val="clear" w:color="auto" w:fill="auto"/>
                  <w:vAlign w:val="center"/>
                </w:tcPr>
                <w:p w14:paraId="4DCE1078">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电</w:t>
                  </w:r>
                </w:p>
              </w:tc>
              <w:tc>
                <w:tcPr>
                  <w:tcW w:w="1300" w:type="dxa"/>
                  <w:tcBorders>
                    <w:tl2br w:val="nil"/>
                    <w:tr2bl w:val="nil"/>
                  </w:tcBorders>
                  <w:shd w:val="clear" w:color="auto" w:fill="auto"/>
                  <w:vAlign w:val="center"/>
                </w:tcPr>
                <w:p w14:paraId="62F65B24">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Cs w:val="21"/>
                      <w:highlight w:val="none"/>
                      <w:lang w:val="en-US" w:eastAsia="zh-CN"/>
                    </w:rPr>
                    <w:t>1</w:t>
                  </w:r>
                  <w:r>
                    <w:rPr>
                      <w:rFonts w:hint="eastAsia" w:eastAsia="宋体" w:cs="宋体"/>
                      <w:b w:val="0"/>
                      <w:bCs/>
                      <w:color w:val="auto"/>
                      <w:szCs w:val="21"/>
                      <w:highlight w:val="none"/>
                      <w:lang w:val="en-US" w:eastAsia="zh-CN"/>
                    </w:rPr>
                    <w:t>200</w:t>
                  </w:r>
                  <w:r>
                    <w:rPr>
                      <w:rFonts w:hint="eastAsia" w:ascii="宋体" w:hAnsi="宋体" w:eastAsia="宋体" w:cs="宋体"/>
                      <w:b w:val="0"/>
                      <w:bCs/>
                      <w:color w:val="auto"/>
                      <w:szCs w:val="21"/>
                      <w:highlight w:val="none"/>
                    </w:rPr>
                    <w:t>KW·h</w:t>
                  </w:r>
                </w:p>
              </w:tc>
              <w:tc>
                <w:tcPr>
                  <w:tcW w:w="1212" w:type="dxa"/>
                  <w:tcBorders>
                    <w:tl2br w:val="nil"/>
                    <w:tr2bl w:val="nil"/>
                  </w:tcBorders>
                  <w:shd w:val="clear" w:color="auto" w:fill="auto"/>
                  <w:vAlign w:val="center"/>
                </w:tcPr>
                <w:p w14:paraId="17BAA347">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Cs w:val="21"/>
                      <w:highlight w:val="none"/>
                      <w:lang w:val="en-US" w:eastAsia="zh-CN"/>
                    </w:rPr>
                    <w:t>1000</w:t>
                  </w:r>
                  <w:r>
                    <w:rPr>
                      <w:rFonts w:hint="eastAsia" w:ascii="宋体" w:hAnsi="宋体" w:eastAsia="宋体" w:cs="宋体"/>
                      <w:b w:val="0"/>
                      <w:bCs/>
                      <w:color w:val="auto"/>
                      <w:szCs w:val="21"/>
                      <w:highlight w:val="none"/>
                    </w:rPr>
                    <w:t>KW·h</w:t>
                  </w:r>
                </w:p>
              </w:tc>
              <w:tc>
                <w:tcPr>
                  <w:tcW w:w="1027" w:type="dxa"/>
                  <w:tcBorders>
                    <w:tl2br w:val="nil"/>
                    <w:tr2bl w:val="nil"/>
                  </w:tcBorders>
                  <w:shd w:val="clear" w:color="auto" w:fill="auto"/>
                  <w:vAlign w:val="center"/>
                </w:tcPr>
                <w:p w14:paraId="76496610">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不储存</w:t>
                  </w:r>
                </w:p>
              </w:tc>
              <w:tc>
                <w:tcPr>
                  <w:tcW w:w="876" w:type="dxa"/>
                  <w:tcBorders>
                    <w:tl2br w:val="nil"/>
                    <w:tr2bl w:val="nil"/>
                  </w:tcBorders>
                  <w:shd w:val="clear" w:color="auto" w:fill="auto"/>
                  <w:vAlign w:val="center"/>
                </w:tcPr>
                <w:p w14:paraId="026F74D1">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Cs w:val="21"/>
                      <w:highlight w:val="none"/>
                      <w:lang w:val="en-US" w:eastAsia="zh-CN"/>
                    </w:rPr>
                    <w:t>1000</w:t>
                  </w:r>
                  <w:r>
                    <w:rPr>
                      <w:rFonts w:hint="eastAsia" w:ascii="宋体" w:hAnsi="宋体" w:eastAsia="宋体" w:cs="宋体"/>
                      <w:b w:val="0"/>
                      <w:bCs/>
                      <w:color w:val="auto"/>
                      <w:szCs w:val="21"/>
                      <w:highlight w:val="none"/>
                    </w:rPr>
                    <w:t>KW·h</w:t>
                  </w:r>
                </w:p>
              </w:tc>
              <w:tc>
                <w:tcPr>
                  <w:tcW w:w="1910" w:type="dxa"/>
                  <w:tcBorders>
                    <w:tl2br w:val="nil"/>
                    <w:tr2bl w:val="nil"/>
                  </w:tcBorders>
                  <w:shd w:val="clear" w:color="auto" w:fill="auto"/>
                  <w:vAlign w:val="center"/>
                </w:tcPr>
                <w:p w14:paraId="3481F234">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textAlignment w:val="auto"/>
                    <w:rPr>
                      <w:rFonts w:hint="eastAsia" w:ascii="宋体" w:hAnsi="宋体" w:eastAsia="宋体" w:cs="宋体"/>
                      <w:b w:val="0"/>
                      <w:bCs/>
                      <w:color w:val="auto"/>
                      <w:kern w:val="2"/>
                      <w:sz w:val="21"/>
                      <w:szCs w:val="21"/>
                      <w:lang w:val="en-US" w:eastAsia="zh-CN" w:bidi="ar-SA"/>
                    </w:rPr>
                  </w:pPr>
                  <w:r>
                    <w:rPr>
                      <w:rFonts w:hint="eastAsia" w:ascii="宋体" w:hAnsi="宋体" w:eastAsia="宋体" w:cs="宋体"/>
                      <w:b w:val="0"/>
                      <w:bCs/>
                      <w:color w:val="auto"/>
                      <w:szCs w:val="21"/>
                    </w:rPr>
                    <w:t>由</w:t>
                  </w:r>
                  <w:r>
                    <w:rPr>
                      <w:rFonts w:hint="eastAsia" w:ascii="宋体" w:hAnsi="宋体" w:eastAsia="宋体" w:cs="宋体"/>
                      <w:b w:val="0"/>
                      <w:bCs/>
                      <w:color w:val="auto"/>
                      <w:szCs w:val="21"/>
                      <w:lang w:val="en-US" w:eastAsia="zh-CN"/>
                    </w:rPr>
                    <w:t>内蒙古太平矿业有限公司10KV供电线路</w:t>
                  </w:r>
                  <w:r>
                    <w:rPr>
                      <w:rFonts w:hint="eastAsia" w:ascii="宋体" w:hAnsi="宋体" w:eastAsia="宋体" w:cs="宋体"/>
                      <w:b w:val="0"/>
                      <w:bCs/>
                      <w:color w:val="auto"/>
                      <w:szCs w:val="21"/>
                    </w:rPr>
                    <w:t>接入</w:t>
                  </w:r>
                </w:p>
              </w:tc>
            </w:tr>
            <w:tr w14:paraId="225FB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8256" w:type="dxa"/>
                  <w:gridSpan w:val="8"/>
                  <w:tcBorders>
                    <w:tl2br w:val="nil"/>
                    <w:tr2bl w:val="nil"/>
                  </w:tcBorders>
                  <w:vAlign w:val="center"/>
                </w:tcPr>
                <w:p w14:paraId="5E23D314">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both"/>
                    <w:textAlignment w:val="auto"/>
                    <w:rPr>
                      <w:rFonts w:hint="eastAsia" w:ascii="宋体" w:hAnsi="宋体" w:eastAsia="宋体" w:cs="宋体"/>
                      <w:b w:val="0"/>
                      <w:bCs/>
                      <w:color w:val="auto"/>
                      <w:szCs w:val="21"/>
                    </w:rPr>
                  </w:pPr>
                  <w:r>
                    <w:rPr>
                      <w:rFonts w:hint="eastAsia" w:ascii="宋体" w:hAnsi="宋体" w:eastAsia="宋体" w:cs="宋体"/>
                      <w:b w:val="0"/>
                      <w:bCs/>
                      <w:color w:val="auto"/>
                      <w:szCs w:val="21"/>
                      <w:lang w:val="en-US" w:eastAsia="zh-CN"/>
                    </w:rPr>
                    <w:t>备注：本项目使用</w:t>
                  </w:r>
                  <w:bookmarkStart w:id="1" w:name="OLE_LINK3"/>
                  <w:r>
                    <w:rPr>
                      <w:rFonts w:hint="eastAsia" w:ascii="宋体" w:hAnsi="宋体" w:eastAsia="宋体" w:cs="宋体"/>
                      <w:b w:val="0"/>
                      <w:bCs/>
                      <w:color w:val="auto"/>
                      <w:szCs w:val="21"/>
                      <w:lang w:val="en-US" w:eastAsia="zh-CN"/>
                    </w:rPr>
                    <w:t>国V标准</w:t>
                  </w:r>
                  <w:bookmarkEnd w:id="1"/>
                  <w:r>
                    <w:rPr>
                      <w:rFonts w:hint="eastAsia" w:ascii="宋体" w:hAnsi="宋体" w:eastAsia="宋体" w:cs="宋体"/>
                      <w:b w:val="0"/>
                      <w:bCs/>
                      <w:color w:val="auto"/>
                      <w:szCs w:val="21"/>
                      <w:lang w:val="en-US" w:eastAsia="zh-CN"/>
                    </w:rPr>
                    <w:t>的0#柴油和-35#柴油（气温较低时），属于轻油，其硫含量（质量分数）不大于0.001%。</w:t>
                  </w:r>
                </w:p>
              </w:tc>
            </w:tr>
          </w:tbl>
          <w:p w14:paraId="3D32C988">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rPr>
            </w:pPr>
            <w:r>
              <w:rPr>
                <w:rFonts w:hint="eastAsia" w:ascii="宋体" w:hAnsi="宋体" w:eastAsia="宋体" w:cs="宋体"/>
                <w:b w:val="0"/>
                <w:bCs/>
                <w:color w:val="auto"/>
                <w:sz w:val="28"/>
                <w:szCs w:val="28"/>
                <w:lang w:val="en-US" w:eastAsia="zh-CN"/>
              </w:rPr>
              <w:t>7</w:t>
            </w:r>
            <w:r>
              <w:rPr>
                <w:rFonts w:hint="eastAsia" w:ascii="宋体" w:hAnsi="宋体" w:eastAsia="宋体" w:cs="宋体"/>
                <w:b w:val="0"/>
                <w:bCs/>
                <w:color w:val="auto"/>
                <w:sz w:val="28"/>
                <w:szCs w:val="28"/>
              </w:rPr>
              <w:t>、工作制度及劳动定员</w:t>
            </w:r>
          </w:p>
          <w:p w14:paraId="7682490B">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现有项目</w:t>
            </w:r>
            <w:r>
              <w:rPr>
                <w:rFonts w:hint="eastAsia" w:ascii="宋体" w:hAnsi="宋体" w:eastAsia="宋体" w:cs="宋体"/>
                <w:color w:val="auto"/>
                <w:sz w:val="24"/>
              </w:rPr>
              <w:t>劳动定员</w:t>
            </w:r>
            <w:r>
              <w:rPr>
                <w:rFonts w:hint="eastAsia" w:ascii="宋体" w:hAnsi="宋体" w:eastAsia="宋体" w:cs="宋体"/>
                <w:color w:val="auto"/>
                <w:sz w:val="24"/>
                <w:lang w:val="en-US" w:eastAsia="zh-CN"/>
              </w:rPr>
              <w:t>23</w:t>
            </w:r>
            <w:r>
              <w:rPr>
                <w:rFonts w:hint="eastAsia" w:ascii="宋体" w:hAnsi="宋体" w:eastAsia="宋体" w:cs="宋体"/>
                <w:color w:val="auto"/>
                <w:sz w:val="24"/>
              </w:rPr>
              <w:t>人，本次</w:t>
            </w:r>
            <w:r>
              <w:rPr>
                <w:rFonts w:hint="eastAsia" w:ascii="宋体" w:hAnsi="宋体" w:eastAsia="宋体" w:cs="宋体"/>
                <w:color w:val="auto"/>
                <w:sz w:val="24"/>
                <w:lang w:eastAsia="zh-CN"/>
              </w:rPr>
              <w:t>技改项目</w:t>
            </w:r>
            <w:r>
              <w:rPr>
                <w:rFonts w:hint="eastAsia" w:ascii="宋体" w:hAnsi="宋体" w:eastAsia="宋体" w:cs="宋体"/>
                <w:color w:val="auto"/>
                <w:sz w:val="24"/>
              </w:rPr>
              <w:t>不新增劳动定员；</w:t>
            </w:r>
            <w:r>
              <w:rPr>
                <w:rFonts w:hint="eastAsia" w:ascii="宋体" w:hAnsi="宋体" w:eastAsia="宋体" w:cs="宋体"/>
                <w:color w:val="auto"/>
                <w:sz w:val="24"/>
                <w:szCs w:val="21"/>
                <w:lang w:eastAsia="zh-CN"/>
              </w:rPr>
              <w:t>燃油</w:t>
            </w:r>
            <w:r>
              <w:rPr>
                <w:rFonts w:hint="eastAsia" w:ascii="宋体" w:hAnsi="宋体" w:eastAsia="宋体" w:cs="宋体"/>
                <w:color w:val="auto"/>
                <w:sz w:val="24"/>
                <w:szCs w:val="21"/>
              </w:rPr>
              <w:t>蒸汽锅炉年运行时间为</w:t>
            </w:r>
            <w:r>
              <w:rPr>
                <w:rFonts w:hint="eastAsia" w:ascii="宋体" w:hAnsi="宋体" w:eastAsia="宋体" w:cs="宋体"/>
                <w:color w:val="auto"/>
                <w:sz w:val="24"/>
                <w:szCs w:val="21"/>
                <w:lang w:val="en-US" w:eastAsia="zh-CN"/>
              </w:rPr>
              <w:t>1200</w:t>
            </w:r>
            <w:r>
              <w:rPr>
                <w:rFonts w:hint="eastAsia" w:ascii="宋体" w:hAnsi="宋体" w:eastAsia="宋体" w:cs="宋体"/>
                <w:color w:val="auto"/>
                <w:sz w:val="24"/>
                <w:szCs w:val="21"/>
              </w:rPr>
              <w:t>h</w:t>
            </w:r>
            <w:r>
              <w:rPr>
                <w:rFonts w:hint="eastAsia" w:ascii="宋体" w:hAnsi="宋体" w:eastAsia="宋体" w:cs="宋体"/>
                <w:color w:val="auto"/>
                <w:sz w:val="24"/>
                <w:szCs w:val="21"/>
                <w:lang w:eastAsia="zh-CN"/>
              </w:rPr>
              <w:t>。</w:t>
            </w:r>
          </w:p>
          <w:p w14:paraId="4CC9109E">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8、公用工程</w:t>
            </w:r>
          </w:p>
          <w:p w14:paraId="6D75E417">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（1）给水</w:t>
            </w:r>
          </w:p>
          <w:p w14:paraId="4FD04187">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val="en-US" w:eastAsia="zh-CN"/>
              </w:rPr>
            </w:pPr>
            <w:r>
              <w:rPr>
                <w:rFonts w:hint="eastAsia" w:ascii="宋体" w:hAnsi="宋体" w:eastAsia="宋体" w:cs="宋体"/>
                <w:color w:val="auto"/>
                <w:sz w:val="24"/>
              </w:rPr>
              <w:t>本次</w:t>
            </w:r>
            <w:r>
              <w:rPr>
                <w:rFonts w:hint="eastAsia" w:ascii="宋体" w:hAnsi="宋体" w:eastAsia="宋体" w:cs="宋体"/>
                <w:color w:val="auto"/>
                <w:sz w:val="24"/>
                <w:lang w:eastAsia="zh-CN"/>
              </w:rPr>
              <w:t>技改项目</w:t>
            </w:r>
            <w:r>
              <w:rPr>
                <w:rFonts w:hint="eastAsia" w:ascii="宋体" w:hAnsi="宋体" w:eastAsia="宋体" w:cs="宋体"/>
                <w:color w:val="auto"/>
                <w:sz w:val="24"/>
              </w:rPr>
              <w:t>不新增劳动定员，</w:t>
            </w:r>
            <w:r>
              <w:rPr>
                <w:rFonts w:hint="eastAsia" w:ascii="宋体" w:hAnsi="宋体" w:eastAsia="宋体" w:cs="宋体"/>
                <w:color w:val="auto"/>
                <w:sz w:val="24"/>
                <w:lang w:val="en-US" w:eastAsia="zh-CN"/>
              </w:rPr>
              <w:t>不新增</w:t>
            </w:r>
            <w:r>
              <w:rPr>
                <w:rFonts w:hint="eastAsia" w:ascii="宋体" w:hAnsi="宋体" w:eastAsia="宋体" w:cs="宋体"/>
                <w:color w:val="auto"/>
                <w:sz w:val="24"/>
              </w:rPr>
              <w:t>生活用水量</w:t>
            </w:r>
            <w:r>
              <w:rPr>
                <w:rFonts w:hint="eastAsia" w:ascii="宋体" w:hAnsi="宋体" w:eastAsia="宋体" w:cs="宋体"/>
                <w:color w:val="auto"/>
                <w:sz w:val="24"/>
                <w:lang w:eastAsia="zh-CN"/>
              </w:rPr>
              <w:t>；</w:t>
            </w:r>
            <w:r>
              <w:rPr>
                <w:rFonts w:hint="eastAsia" w:ascii="宋体" w:hAnsi="宋体" w:eastAsia="宋体" w:cs="宋体"/>
                <w:color w:val="auto"/>
                <w:sz w:val="24"/>
              </w:rPr>
              <w:t>项目用水</w:t>
            </w:r>
            <w:r>
              <w:rPr>
                <w:rFonts w:hint="eastAsia" w:ascii="宋体" w:hAnsi="宋体" w:eastAsia="宋体" w:cs="宋体"/>
                <w:color w:val="auto"/>
                <w:sz w:val="24"/>
                <w:lang w:eastAsia="zh-CN"/>
              </w:rPr>
              <w:t>环节</w:t>
            </w:r>
            <w:r>
              <w:rPr>
                <w:rFonts w:hint="eastAsia" w:ascii="宋体" w:hAnsi="宋体" w:eastAsia="宋体" w:cs="宋体"/>
                <w:color w:val="auto"/>
                <w:sz w:val="24"/>
              </w:rPr>
              <w:t>主要为</w:t>
            </w:r>
            <w:r>
              <w:rPr>
                <w:rFonts w:hint="eastAsia" w:ascii="宋体" w:hAnsi="宋体" w:eastAsia="宋体" w:cs="宋体"/>
                <w:color w:val="auto"/>
                <w:sz w:val="24"/>
                <w:lang w:val="en-US" w:eastAsia="zh-CN"/>
              </w:rPr>
              <w:t>新建燃油锅炉</w:t>
            </w:r>
            <w:r>
              <w:rPr>
                <w:rFonts w:hint="eastAsia" w:ascii="宋体" w:hAnsi="宋体" w:eastAsia="宋体" w:cs="宋体"/>
                <w:color w:val="auto"/>
                <w:sz w:val="24"/>
              </w:rPr>
              <w:t>用水</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备用的1台1t/h燃油蒸汽发生器正常情况下不启用，只有在燃油锅炉故障时才启用，其用水量已包含在燃油锅炉用水量内，不再重复计算。</w:t>
            </w:r>
          </w:p>
          <w:p w14:paraId="1E45A4FC">
            <w:pPr>
              <w:pStyle w:val="32"/>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360" w:lineRule="auto"/>
              <w:ind w:left="0" w:right="0" w:firstLine="480" w:firstLineChars="200"/>
              <w:jc w:val="both"/>
              <w:textAlignment w:val="auto"/>
              <w:rPr>
                <w:rFonts w:hint="eastAsia" w:ascii="宋体" w:hAnsi="宋体" w:eastAsia="宋体" w:cs="宋体"/>
                <w:b w:val="0"/>
                <w:bCs/>
                <w:color w:val="auto"/>
                <w:lang w:val="en-US" w:eastAsia="zh-CN"/>
              </w:rPr>
            </w:pPr>
            <w:r>
              <w:rPr>
                <w:rFonts w:hint="eastAsia" w:ascii="宋体" w:hAnsi="宋体" w:eastAsia="宋体" w:cs="宋体"/>
                <w:b w:val="0"/>
                <w:bCs/>
                <w:color w:val="auto"/>
                <w:lang w:val="en-US" w:eastAsia="zh-CN"/>
              </w:rPr>
              <w:t>1t/h燃油蒸汽锅炉在环境气温较低时为生产系统（油相加热</w:t>
            </w:r>
            <w:r>
              <w:rPr>
                <w:rFonts w:hint="eastAsia" w:hAnsi="宋体" w:cs="宋体"/>
                <w:b w:val="0"/>
                <w:bCs/>
                <w:color w:val="auto"/>
                <w:lang w:val="en-US" w:eastAsia="zh-CN"/>
              </w:rPr>
              <w:t>，</w:t>
            </w:r>
            <w:r>
              <w:rPr>
                <w:rFonts w:hint="eastAsia" w:eastAsia="宋体" w:cs="宋体"/>
                <w:color w:val="auto"/>
                <w:sz w:val="24"/>
                <w:lang w:val="en-US" w:eastAsia="zh-CN"/>
              </w:rPr>
              <w:t>硝酸铵溶液稀释时自身放热，不需要额外加热</w:t>
            </w:r>
            <w:r>
              <w:rPr>
                <w:rFonts w:hint="eastAsia" w:ascii="宋体" w:hAnsi="宋体" w:eastAsia="宋体" w:cs="宋体"/>
                <w:b w:val="0"/>
                <w:bCs/>
                <w:color w:val="auto"/>
                <w:lang w:val="en-US" w:eastAsia="zh-CN"/>
              </w:rPr>
              <w:t>）供应热源，</w:t>
            </w:r>
            <w:r>
              <w:rPr>
                <w:rFonts w:hint="eastAsia" w:ascii="宋体" w:hAnsi="宋体" w:eastAsia="宋体" w:cs="宋体"/>
                <w:b w:val="0"/>
                <w:bCs/>
                <w:color w:val="auto"/>
              </w:rPr>
              <w:t>锅炉</w:t>
            </w:r>
            <w:r>
              <w:rPr>
                <w:rFonts w:hint="eastAsia" w:ascii="宋体" w:hAnsi="宋体" w:eastAsia="宋体" w:cs="宋体"/>
                <w:b w:val="0"/>
                <w:bCs/>
                <w:color w:val="auto"/>
                <w:lang w:eastAsia="zh-CN"/>
              </w:rPr>
              <w:t>年平均</w:t>
            </w:r>
            <w:r>
              <w:rPr>
                <w:rFonts w:hint="eastAsia" w:ascii="宋体" w:hAnsi="宋体" w:eastAsia="宋体" w:cs="宋体"/>
                <w:b w:val="0"/>
                <w:bCs/>
                <w:color w:val="auto"/>
                <w:lang w:val="en-US" w:eastAsia="zh-CN"/>
              </w:rPr>
              <w:t>150d，日平均</w:t>
            </w:r>
            <w:r>
              <w:rPr>
                <w:rFonts w:hint="eastAsia" w:ascii="宋体" w:hAnsi="宋体" w:eastAsia="宋体" w:cs="宋体"/>
                <w:b w:val="0"/>
                <w:bCs/>
                <w:color w:val="auto"/>
              </w:rPr>
              <w:t>运行</w:t>
            </w:r>
            <w:r>
              <w:rPr>
                <w:rFonts w:hint="eastAsia" w:ascii="宋体" w:hAnsi="宋体" w:eastAsia="宋体" w:cs="宋体"/>
                <w:b w:val="0"/>
                <w:bCs/>
                <w:color w:val="auto"/>
                <w:lang w:val="en-US" w:eastAsia="zh-CN"/>
              </w:rPr>
              <w:t>8</w:t>
            </w:r>
            <w:r>
              <w:rPr>
                <w:rFonts w:hint="eastAsia" w:ascii="宋体" w:hAnsi="宋体" w:eastAsia="宋体" w:cs="宋体"/>
                <w:b w:val="0"/>
                <w:bCs/>
                <w:color w:val="auto"/>
              </w:rPr>
              <w:t>h</w:t>
            </w:r>
            <w:r>
              <w:rPr>
                <w:rFonts w:hint="eastAsia" w:ascii="宋体" w:hAnsi="宋体" w:eastAsia="宋体" w:cs="宋体"/>
                <w:b w:val="0"/>
                <w:bCs/>
                <w:color w:val="auto"/>
                <w:lang w:val="en-US" w:eastAsia="zh-CN"/>
              </w:rPr>
              <w:t>。环境气温高</w:t>
            </w:r>
            <w:r>
              <w:rPr>
                <w:rFonts w:hint="eastAsia" w:hAnsi="宋体" w:cs="宋体"/>
                <w:b w:val="0"/>
                <w:bCs/>
                <w:color w:val="FF0000"/>
                <w:lang w:val="en-US" w:eastAsia="zh-CN"/>
              </w:rPr>
              <w:t>（20℃以上）</w:t>
            </w:r>
            <w:r>
              <w:rPr>
                <w:rFonts w:hint="eastAsia" w:ascii="宋体" w:hAnsi="宋体" w:eastAsia="宋体" w:cs="宋体"/>
                <w:b w:val="0"/>
                <w:bCs/>
                <w:color w:val="auto"/>
                <w:lang w:val="en-US" w:eastAsia="zh-CN"/>
              </w:rPr>
              <w:t>时</w:t>
            </w:r>
            <w:r>
              <w:rPr>
                <w:rFonts w:hint="default"/>
              </w:rPr>
              <w:commentReference w:id="3"/>
            </w:r>
            <w:r>
              <w:rPr>
                <w:rFonts w:hint="eastAsia" w:ascii="宋体" w:hAnsi="宋体" w:eastAsia="宋体" w:cs="宋体"/>
                <w:b w:val="0"/>
                <w:bCs/>
                <w:color w:val="auto"/>
                <w:lang w:val="en-US" w:eastAsia="zh-CN"/>
              </w:rPr>
              <w:t>，不启动锅炉。</w:t>
            </w:r>
          </w:p>
          <w:p w14:paraId="4604C662">
            <w:pPr>
              <w:pStyle w:val="32"/>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360" w:lineRule="auto"/>
              <w:ind w:left="0" w:right="0" w:firstLine="480" w:firstLineChars="200"/>
              <w:jc w:val="both"/>
              <w:textAlignment w:val="auto"/>
              <w:rPr>
                <w:rFonts w:hint="eastAsia" w:ascii="宋体" w:hAnsi="宋体" w:eastAsia="宋体" w:cs="宋体"/>
                <w:b w:val="0"/>
                <w:bCs/>
                <w:color w:val="auto"/>
              </w:rPr>
            </w:pPr>
            <w:r>
              <w:rPr>
                <w:rFonts w:hint="eastAsia" w:ascii="宋体" w:hAnsi="宋体" w:eastAsia="宋体" w:cs="宋体"/>
                <w:b w:val="0"/>
                <w:bCs/>
                <w:color w:val="auto"/>
              </w:rPr>
              <w:t>锅炉用水包括</w:t>
            </w:r>
            <w:r>
              <w:rPr>
                <w:rFonts w:hint="eastAsia" w:ascii="宋体" w:hAnsi="宋体" w:eastAsia="宋体" w:cs="宋体"/>
                <w:b w:val="0"/>
                <w:bCs/>
                <w:color w:val="auto"/>
                <w:lang w:val="en-US" w:eastAsia="zh-CN"/>
              </w:rPr>
              <w:t>循环水、</w:t>
            </w:r>
            <w:r>
              <w:rPr>
                <w:rFonts w:hint="eastAsia" w:ascii="宋体" w:hAnsi="宋体" w:eastAsia="宋体" w:cs="宋体"/>
                <w:b w:val="0"/>
                <w:bCs/>
                <w:color w:val="auto"/>
              </w:rPr>
              <w:t>损耗用水</w:t>
            </w:r>
            <w:r>
              <w:rPr>
                <w:rFonts w:hint="eastAsia" w:ascii="宋体" w:hAnsi="宋体" w:eastAsia="宋体" w:cs="宋体"/>
                <w:b w:val="0"/>
                <w:bCs/>
                <w:color w:val="auto"/>
                <w:lang w:val="en-US" w:eastAsia="zh-CN"/>
              </w:rPr>
              <w:t>和</w:t>
            </w:r>
            <w:r>
              <w:rPr>
                <w:rFonts w:hint="eastAsia" w:ascii="宋体" w:hAnsi="宋体" w:eastAsia="宋体" w:cs="宋体"/>
                <w:b w:val="0"/>
                <w:bCs/>
                <w:color w:val="auto"/>
              </w:rPr>
              <w:t>锅炉定期排污水，循环水量为</w:t>
            </w:r>
            <w:r>
              <w:rPr>
                <w:rFonts w:hint="eastAsia" w:ascii="宋体" w:hAnsi="宋体" w:eastAsia="宋体" w:cs="宋体"/>
                <w:b w:val="0"/>
                <w:bCs/>
                <w:color w:val="auto"/>
                <w:lang w:val="en-US" w:eastAsia="zh-CN"/>
              </w:rPr>
              <w:t>1</w:t>
            </w:r>
            <w:r>
              <w:rPr>
                <w:rFonts w:hint="eastAsia" w:ascii="宋体" w:hAnsi="宋体" w:eastAsia="宋体" w:cs="宋体"/>
                <w:b w:val="0"/>
                <w:bCs/>
                <w:color w:val="auto"/>
              </w:rPr>
              <w:t>m</w:t>
            </w:r>
            <w:r>
              <w:rPr>
                <w:rFonts w:hint="eastAsia" w:ascii="宋体" w:hAnsi="宋体" w:eastAsia="宋体" w:cs="宋体"/>
                <w:b w:val="0"/>
                <w:bCs/>
                <w:color w:val="auto"/>
                <w:vertAlign w:val="superscript"/>
              </w:rPr>
              <w:t>3</w:t>
            </w:r>
            <w:r>
              <w:rPr>
                <w:rFonts w:hint="eastAsia" w:ascii="宋体" w:hAnsi="宋体" w:eastAsia="宋体" w:cs="宋体"/>
                <w:b w:val="0"/>
                <w:bCs/>
                <w:color w:val="auto"/>
              </w:rPr>
              <w:t>/h</w:t>
            </w:r>
            <w:r>
              <w:rPr>
                <w:rFonts w:hint="eastAsia" w:ascii="宋体" w:hAnsi="宋体" w:eastAsia="宋体" w:cs="宋体"/>
                <w:b w:val="0"/>
                <w:bCs/>
                <w:color w:val="auto"/>
                <w:lang w:eastAsia="zh-CN"/>
              </w:rPr>
              <w:t>，</w:t>
            </w:r>
            <w:r>
              <w:rPr>
                <w:rFonts w:hint="eastAsia" w:ascii="宋体" w:hAnsi="宋体" w:eastAsia="宋体" w:cs="宋体"/>
                <w:b w:val="0"/>
                <w:bCs/>
                <w:color w:val="auto"/>
              </w:rPr>
              <w:t>锅炉损耗水量按循环水量的1%计，则损耗水量</w:t>
            </w:r>
            <w:bookmarkStart w:id="2" w:name="OLE_LINK42"/>
            <w:r>
              <w:rPr>
                <w:rFonts w:hint="eastAsia" w:ascii="宋体" w:hAnsi="宋体" w:eastAsia="宋体" w:cs="宋体"/>
                <w:b w:val="0"/>
                <w:bCs/>
                <w:color w:val="auto"/>
                <w:lang w:val="en-US" w:eastAsia="zh-CN"/>
              </w:rPr>
              <w:t>0.08</w:t>
            </w:r>
            <w:r>
              <w:rPr>
                <w:rFonts w:hint="eastAsia" w:ascii="宋体" w:hAnsi="宋体" w:eastAsia="宋体" w:cs="宋体"/>
                <w:b w:val="0"/>
                <w:bCs/>
                <w:color w:val="auto"/>
              </w:rPr>
              <w:t>m</w:t>
            </w:r>
            <w:r>
              <w:rPr>
                <w:rFonts w:hint="eastAsia" w:ascii="宋体" w:hAnsi="宋体" w:eastAsia="宋体" w:cs="宋体"/>
                <w:b w:val="0"/>
                <w:bCs/>
                <w:color w:val="auto"/>
                <w:vertAlign w:val="superscript"/>
              </w:rPr>
              <w:t>3</w:t>
            </w:r>
            <w:r>
              <w:rPr>
                <w:rFonts w:hint="eastAsia" w:ascii="宋体" w:hAnsi="宋体" w:eastAsia="宋体" w:cs="宋体"/>
                <w:b w:val="0"/>
                <w:bCs/>
                <w:color w:val="auto"/>
              </w:rPr>
              <w:t>/d</w:t>
            </w:r>
            <w:bookmarkEnd w:id="2"/>
            <w:r>
              <w:rPr>
                <w:rFonts w:hint="eastAsia" w:ascii="宋体" w:hAnsi="宋体" w:eastAsia="宋体" w:cs="宋体"/>
                <w:b w:val="0"/>
                <w:bCs/>
                <w:color w:val="auto"/>
              </w:rPr>
              <w:t>；参考《锅炉房设计标准》（GB50041-2020）中的相关内容，锅炉定期排污水约占</w:t>
            </w:r>
            <w:r>
              <w:rPr>
                <w:rFonts w:hint="eastAsia" w:ascii="宋体" w:hAnsi="宋体" w:eastAsia="宋体" w:cs="宋体"/>
                <w:b w:val="0"/>
                <w:bCs/>
                <w:color w:val="auto"/>
                <w:lang w:eastAsia="zh-CN"/>
              </w:rPr>
              <w:t>循环</w:t>
            </w:r>
            <w:r>
              <w:rPr>
                <w:rFonts w:hint="eastAsia" w:ascii="宋体" w:hAnsi="宋体" w:eastAsia="宋体" w:cs="宋体"/>
                <w:b w:val="0"/>
                <w:bCs/>
                <w:color w:val="auto"/>
              </w:rPr>
              <w:t>水量的10%，则</w:t>
            </w:r>
            <w:bookmarkStart w:id="3" w:name="OLE_LINK43"/>
            <w:r>
              <w:rPr>
                <w:rFonts w:hint="eastAsia" w:ascii="宋体" w:hAnsi="宋体" w:eastAsia="宋体" w:cs="宋体"/>
                <w:b w:val="0"/>
                <w:bCs/>
                <w:color w:val="auto"/>
              </w:rPr>
              <w:t>排污水量为</w:t>
            </w:r>
            <w:r>
              <w:rPr>
                <w:rFonts w:hint="eastAsia" w:ascii="宋体" w:hAnsi="宋体" w:eastAsia="宋体" w:cs="宋体"/>
                <w:b w:val="0"/>
                <w:bCs/>
                <w:color w:val="auto"/>
                <w:lang w:val="en-US" w:eastAsia="zh-CN"/>
              </w:rPr>
              <w:t>0.8</w:t>
            </w:r>
            <w:r>
              <w:rPr>
                <w:rFonts w:hint="eastAsia" w:ascii="宋体" w:hAnsi="宋体" w:eastAsia="宋体" w:cs="宋体"/>
                <w:b w:val="0"/>
                <w:bCs/>
                <w:color w:val="auto"/>
              </w:rPr>
              <w:t>m</w:t>
            </w:r>
            <w:r>
              <w:rPr>
                <w:rFonts w:hint="eastAsia" w:ascii="宋体" w:hAnsi="宋体" w:eastAsia="宋体" w:cs="宋体"/>
                <w:b w:val="0"/>
                <w:bCs/>
                <w:color w:val="auto"/>
                <w:vertAlign w:val="superscript"/>
              </w:rPr>
              <w:t>3</w:t>
            </w:r>
            <w:r>
              <w:rPr>
                <w:rFonts w:hint="eastAsia" w:ascii="宋体" w:hAnsi="宋体" w:eastAsia="宋体" w:cs="宋体"/>
                <w:b w:val="0"/>
                <w:bCs/>
                <w:color w:val="auto"/>
              </w:rPr>
              <w:t>/d</w:t>
            </w:r>
            <w:bookmarkEnd w:id="3"/>
            <w:r>
              <w:rPr>
                <w:rFonts w:hint="eastAsia" w:ascii="宋体" w:hAnsi="宋体" w:eastAsia="宋体" w:cs="宋体"/>
                <w:b w:val="0"/>
                <w:bCs/>
                <w:color w:val="auto"/>
              </w:rPr>
              <w:t>，经计算锅炉补水量为</w:t>
            </w:r>
            <w:bookmarkStart w:id="4" w:name="OLE_LINK44"/>
            <w:r>
              <w:rPr>
                <w:rFonts w:hint="eastAsia" w:ascii="宋体" w:hAnsi="宋体" w:eastAsia="宋体" w:cs="宋体"/>
                <w:b w:val="0"/>
                <w:bCs/>
                <w:color w:val="auto"/>
                <w:lang w:val="en-US" w:eastAsia="zh-CN"/>
              </w:rPr>
              <w:t>0.88</w:t>
            </w:r>
            <w:r>
              <w:rPr>
                <w:rFonts w:hint="eastAsia" w:ascii="宋体" w:hAnsi="宋体" w:eastAsia="宋体" w:cs="宋体"/>
                <w:b w:val="0"/>
                <w:bCs/>
                <w:color w:val="auto"/>
              </w:rPr>
              <w:t>m</w:t>
            </w:r>
            <w:r>
              <w:rPr>
                <w:rFonts w:hint="eastAsia" w:ascii="宋体" w:hAnsi="宋体" w:eastAsia="宋体" w:cs="宋体"/>
                <w:b w:val="0"/>
                <w:bCs/>
                <w:color w:val="auto"/>
                <w:vertAlign w:val="superscript"/>
              </w:rPr>
              <w:t>3</w:t>
            </w:r>
            <w:r>
              <w:rPr>
                <w:rFonts w:hint="eastAsia" w:ascii="宋体" w:hAnsi="宋体" w:eastAsia="宋体" w:cs="宋体"/>
                <w:b w:val="0"/>
                <w:bCs/>
                <w:color w:val="auto"/>
              </w:rPr>
              <w:t>/d（</w:t>
            </w:r>
            <w:r>
              <w:rPr>
                <w:rFonts w:hint="eastAsia" w:ascii="宋体" w:hAnsi="宋体" w:eastAsia="宋体" w:cs="宋体"/>
                <w:b w:val="0"/>
                <w:bCs/>
                <w:color w:val="auto"/>
                <w:lang w:val="en-US" w:eastAsia="zh-CN"/>
              </w:rPr>
              <w:t>132</w:t>
            </w:r>
            <w:r>
              <w:rPr>
                <w:rFonts w:hint="eastAsia" w:ascii="宋体" w:hAnsi="宋体" w:eastAsia="宋体" w:cs="宋体"/>
                <w:b w:val="0"/>
                <w:bCs/>
                <w:color w:val="auto"/>
              </w:rPr>
              <w:t>m</w:t>
            </w:r>
            <w:r>
              <w:rPr>
                <w:rFonts w:hint="eastAsia" w:ascii="宋体" w:hAnsi="宋体" w:eastAsia="宋体" w:cs="宋体"/>
                <w:b w:val="0"/>
                <w:bCs/>
                <w:color w:val="auto"/>
                <w:vertAlign w:val="superscript"/>
              </w:rPr>
              <w:t>3</w:t>
            </w:r>
            <w:r>
              <w:rPr>
                <w:rFonts w:hint="eastAsia" w:ascii="宋体" w:hAnsi="宋体" w:eastAsia="宋体" w:cs="宋体"/>
                <w:b w:val="0"/>
                <w:bCs/>
                <w:color w:val="auto"/>
              </w:rPr>
              <w:t>/a）</w:t>
            </w:r>
            <w:bookmarkEnd w:id="4"/>
            <w:r>
              <w:rPr>
                <w:rFonts w:hint="eastAsia" w:ascii="宋体" w:hAnsi="宋体" w:eastAsia="宋体" w:cs="宋体"/>
                <w:b w:val="0"/>
                <w:bCs/>
                <w:color w:val="auto"/>
              </w:rPr>
              <w:t>。</w:t>
            </w:r>
          </w:p>
          <w:p w14:paraId="510FC197">
            <w:pPr>
              <w:pStyle w:val="32"/>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360" w:lineRule="auto"/>
              <w:ind w:left="0" w:right="0" w:firstLine="480" w:firstLineChars="200"/>
              <w:jc w:val="both"/>
              <w:textAlignment w:val="auto"/>
              <w:rPr>
                <w:rFonts w:hint="eastAsia" w:ascii="宋体" w:hAnsi="宋体" w:eastAsia="宋体" w:cs="宋体"/>
                <w:b w:val="0"/>
                <w:bCs/>
                <w:color w:val="auto"/>
              </w:rPr>
            </w:pPr>
            <w:r>
              <w:rPr>
                <w:rFonts w:hint="eastAsia" w:ascii="宋体" w:hAnsi="宋体" w:eastAsia="宋体" w:cs="宋体"/>
                <w:b w:val="0"/>
                <w:bCs/>
                <w:color w:val="auto"/>
                <w:lang w:val="en-US" w:eastAsia="zh-CN"/>
              </w:rPr>
              <w:t>锅炉需使用软水，配套1</w:t>
            </w:r>
            <w:r>
              <w:rPr>
                <w:rFonts w:hint="eastAsia" w:ascii="宋体" w:hAnsi="宋体" w:eastAsia="宋体" w:cs="宋体"/>
                <w:b w:val="0"/>
                <w:bCs/>
                <w:color w:val="auto"/>
              </w:rPr>
              <w:t>套软</w:t>
            </w:r>
            <w:r>
              <w:rPr>
                <w:rFonts w:hint="eastAsia" w:ascii="宋体" w:hAnsi="宋体" w:eastAsia="宋体" w:cs="宋体"/>
                <w:b w:val="0"/>
                <w:bCs/>
                <w:color w:val="auto"/>
                <w:lang w:eastAsia="zh-CN"/>
              </w:rPr>
              <w:t>水器</w:t>
            </w:r>
            <w:r>
              <w:rPr>
                <w:rFonts w:hint="eastAsia" w:ascii="宋体" w:hAnsi="宋体" w:eastAsia="宋体" w:cs="宋体"/>
                <w:b w:val="0"/>
                <w:bCs/>
                <w:color w:val="auto"/>
              </w:rPr>
              <w:t>，软</w:t>
            </w:r>
            <w:r>
              <w:rPr>
                <w:rFonts w:hint="eastAsia" w:ascii="宋体" w:hAnsi="宋体" w:eastAsia="宋体" w:cs="宋体"/>
                <w:b w:val="0"/>
                <w:bCs/>
                <w:color w:val="auto"/>
                <w:lang w:val="en-US" w:eastAsia="zh-CN"/>
              </w:rPr>
              <w:t>水器</w:t>
            </w:r>
            <w:r>
              <w:rPr>
                <w:rFonts w:hint="eastAsia" w:ascii="宋体" w:hAnsi="宋体" w:eastAsia="宋体" w:cs="宋体"/>
                <w:b w:val="0"/>
                <w:bCs/>
                <w:color w:val="auto"/>
              </w:rPr>
              <w:t>采用离子交换树脂法，</w:t>
            </w:r>
            <w:r>
              <w:rPr>
                <w:rFonts w:hint="eastAsia" w:ascii="宋体" w:hAnsi="宋体" w:eastAsia="宋体" w:cs="宋体"/>
                <w:b w:val="0"/>
                <w:bCs/>
                <w:color w:val="auto"/>
                <w:lang w:val="en-US" w:eastAsia="zh-CN"/>
              </w:rPr>
              <w:t>软水制备</w:t>
            </w:r>
            <w:r>
              <w:rPr>
                <w:rFonts w:hint="eastAsia" w:ascii="宋体" w:hAnsi="宋体" w:eastAsia="宋体" w:cs="宋体"/>
                <w:b w:val="0"/>
                <w:bCs/>
                <w:color w:val="auto"/>
              </w:rPr>
              <w:t>效率约8</w:t>
            </w:r>
            <w:r>
              <w:rPr>
                <w:rFonts w:hint="eastAsia" w:ascii="宋体" w:hAnsi="宋体" w:eastAsia="宋体" w:cs="宋体"/>
                <w:b w:val="0"/>
                <w:bCs/>
                <w:color w:val="auto"/>
                <w:lang w:val="en-US" w:eastAsia="zh-CN"/>
              </w:rPr>
              <w:t>0</w:t>
            </w:r>
            <w:r>
              <w:rPr>
                <w:rFonts w:hint="eastAsia" w:ascii="宋体" w:hAnsi="宋体" w:eastAsia="宋体" w:cs="宋体"/>
                <w:b w:val="0"/>
                <w:bCs/>
                <w:color w:val="auto"/>
              </w:rPr>
              <w:t>%，则</w:t>
            </w:r>
            <w:r>
              <w:rPr>
                <w:rFonts w:hint="eastAsia" w:ascii="宋体" w:hAnsi="宋体" w:eastAsia="宋体" w:cs="宋体"/>
                <w:b w:val="0"/>
                <w:bCs/>
                <w:color w:val="auto"/>
                <w:lang w:val="en-US" w:eastAsia="zh-CN"/>
              </w:rPr>
              <w:t>锅炉</w:t>
            </w:r>
            <w:r>
              <w:rPr>
                <w:rFonts w:hint="eastAsia" w:ascii="宋体" w:hAnsi="宋体" w:eastAsia="宋体" w:cs="宋体"/>
                <w:b w:val="0"/>
                <w:bCs/>
                <w:color w:val="auto"/>
              </w:rPr>
              <w:t>系统需用新鲜水</w:t>
            </w:r>
            <w:bookmarkStart w:id="5" w:name="OLE_LINK45"/>
            <w:r>
              <w:rPr>
                <w:rFonts w:hint="eastAsia" w:ascii="宋体" w:hAnsi="宋体" w:eastAsia="宋体" w:cs="宋体"/>
                <w:b w:val="0"/>
                <w:bCs/>
                <w:color w:val="auto"/>
                <w:lang w:val="en-US" w:eastAsia="zh-CN"/>
              </w:rPr>
              <w:t>165</w:t>
            </w:r>
            <w:r>
              <w:rPr>
                <w:rFonts w:hint="eastAsia" w:ascii="宋体" w:hAnsi="宋体" w:eastAsia="宋体" w:cs="宋体"/>
                <w:b w:val="0"/>
                <w:bCs/>
                <w:color w:val="auto"/>
              </w:rPr>
              <w:t>m³/a</w:t>
            </w:r>
            <w:bookmarkEnd w:id="5"/>
            <w:r>
              <w:rPr>
                <w:rFonts w:hint="eastAsia" w:ascii="宋体" w:hAnsi="宋体" w:eastAsia="宋体" w:cs="宋体"/>
                <w:b w:val="0"/>
                <w:bCs/>
                <w:color w:val="auto"/>
              </w:rPr>
              <w:t>。</w:t>
            </w:r>
          </w:p>
          <w:p w14:paraId="1CF6528D">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val="en-US" w:eastAsia="zh-CN"/>
              </w:rPr>
            </w:pPr>
            <w:r>
              <w:rPr>
                <w:rFonts w:hint="eastAsia" w:ascii="宋体" w:hAnsi="宋体" w:eastAsia="宋体" w:cs="宋体"/>
                <w:color w:val="auto"/>
                <w:sz w:val="24"/>
                <w:lang w:eastAsia="zh-CN"/>
              </w:rPr>
              <w:t>综上，现有项目燃煤锅炉用水量为</w:t>
            </w:r>
            <w:r>
              <w:rPr>
                <w:rFonts w:hint="eastAsia" w:ascii="宋体" w:hAnsi="宋体" w:eastAsia="宋体" w:cs="宋体"/>
                <w:color w:val="auto"/>
                <w:sz w:val="24"/>
                <w:lang w:val="en-US" w:eastAsia="zh-CN"/>
              </w:rPr>
              <w:t>200</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ascii="宋体" w:hAnsi="宋体" w:eastAsia="宋体" w:cs="宋体"/>
                <w:color w:val="auto"/>
                <w:sz w:val="24"/>
                <w:lang w:eastAsia="zh-CN"/>
              </w:rPr>
              <w:t>，技改项目新建燃油锅炉用水量为</w:t>
            </w:r>
            <w:r>
              <w:rPr>
                <w:rFonts w:hint="eastAsia" w:ascii="宋体" w:hAnsi="宋体" w:eastAsia="宋体" w:cs="宋体"/>
                <w:color w:val="auto"/>
                <w:sz w:val="24"/>
                <w:lang w:val="en-US" w:eastAsia="zh-CN"/>
              </w:rPr>
              <w:t>165m³/a，较现有项目减少用水量35m³/a。</w:t>
            </w:r>
          </w:p>
          <w:p w14:paraId="467BEECE">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（2）排水</w:t>
            </w:r>
          </w:p>
          <w:p w14:paraId="4873163D">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highlight w:val="none"/>
                <w:lang w:eastAsia="zh-CN"/>
              </w:rPr>
              <w:t>技改</w:t>
            </w:r>
            <w:r>
              <w:rPr>
                <w:rFonts w:hint="eastAsia" w:ascii="宋体" w:hAnsi="宋体" w:eastAsia="宋体" w:cs="宋体"/>
                <w:color w:val="auto"/>
                <w:sz w:val="24"/>
                <w:highlight w:val="none"/>
              </w:rPr>
              <w:t>项目主要产生锅炉及软水装置排污水</w:t>
            </w:r>
            <w:r>
              <w:rPr>
                <w:rFonts w:hint="eastAsia" w:ascii="宋体" w:hAnsi="宋体" w:eastAsia="宋体" w:cs="宋体"/>
                <w:color w:val="auto"/>
                <w:sz w:val="24"/>
                <w:highlight w:val="none"/>
                <w:lang w:eastAsia="zh-CN"/>
              </w:rPr>
              <w:t>，</w:t>
            </w:r>
            <w:r>
              <w:rPr>
                <w:rFonts w:hint="eastAsia" w:ascii="宋体" w:hAnsi="宋体" w:eastAsia="宋体" w:cs="宋体"/>
                <w:color w:val="auto"/>
                <w:sz w:val="24"/>
              </w:rPr>
              <w:t>软水装置出水效率约8</w:t>
            </w:r>
            <w:r>
              <w:rPr>
                <w:rFonts w:hint="eastAsia" w:ascii="宋体" w:hAnsi="宋体" w:eastAsia="宋体" w:cs="宋体"/>
                <w:color w:val="auto"/>
                <w:sz w:val="24"/>
                <w:lang w:val="en-US" w:eastAsia="zh-CN"/>
              </w:rPr>
              <w:t>0</w:t>
            </w:r>
            <w:r>
              <w:rPr>
                <w:rFonts w:hint="eastAsia" w:ascii="宋体" w:hAnsi="宋体" w:eastAsia="宋体" w:cs="宋体"/>
                <w:color w:val="auto"/>
                <w:sz w:val="24"/>
              </w:rPr>
              <w:t>%，制备废水</w:t>
            </w:r>
            <w:r>
              <w:rPr>
                <w:rFonts w:hint="eastAsia" w:ascii="宋体" w:hAnsi="宋体" w:eastAsia="宋体" w:cs="宋体"/>
                <w:color w:val="auto"/>
                <w:sz w:val="24"/>
                <w:lang w:eastAsia="zh-CN"/>
              </w:rPr>
              <w:t>量为</w:t>
            </w:r>
            <w:r>
              <w:rPr>
                <w:rFonts w:hint="eastAsia" w:ascii="宋体" w:hAnsi="宋体" w:eastAsia="宋体" w:cs="宋体"/>
                <w:color w:val="auto"/>
                <w:sz w:val="24"/>
                <w:lang w:val="en-US" w:eastAsia="zh-CN"/>
              </w:rPr>
              <w:t>0.22</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/d</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33</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ascii="宋体" w:hAnsi="宋体" w:eastAsia="宋体" w:cs="宋体"/>
                <w:color w:val="auto"/>
                <w:sz w:val="24"/>
                <w:lang w:eastAsia="zh-CN"/>
              </w:rPr>
              <w:t>）</w:t>
            </w:r>
            <w:r>
              <w:rPr>
                <w:rFonts w:hint="eastAsia" w:ascii="宋体" w:hAnsi="宋体" w:eastAsia="宋体" w:cs="宋体"/>
                <w:color w:val="auto"/>
                <w:sz w:val="24"/>
              </w:rPr>
              <w:t>；锅炉排污水量为</w:t>
            </w:r>
            <w:r>
              <w:rPr>
                <w:rFonts w:hint="eastAsia" w:ascii="宋体" w:hAnsi="宋体" w:eastAsia="宋体" w:cs="宋体"/>
                <w:color w:val="auto"/>
                <w:sz w:val="24"/>
                <w:lang w:val="en-US" w:eastAsia="zh-CN"/>
              </w:rPr>
              <w:t>120</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ascii="宋体" w:hAnsi="宋体" w:eastAsia="宋体" w:cs="宋体"/>
                <w:color w:val="auto"/>
                <w:sz w:val="24"/>
                <w:lang w:val="en-US" w:eastAsia="zh-CN"/>
              </w:rPr>
              <w:t>总排污水量为153</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eastAsia="宋体" w:cs="宋体"/>
                <w:color w:val="auto"/>
                <w:sz w:val="24"/>
                <w:lang w:eastAsia="zh-CN"/>
              </w:rPr>
              <w:t>（</w:t>
            </w:r>
            <w:r>
              <w:rPr>
                <w:rFonts w:hint="eastAsia" w:eastAsia="宋体" w:cs="宋体"/>
                <w:color w:val="auto"/>
                <w:sz w:val="24"/>
                <w:lang w:val="en-US" w:eastAsia="zh-CN"/>
              </w:rPr>
              <w:t>1.02</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/d</w:t>
            </w:r>
            <w:r>
              <w:rPr>
                <w:rFonts w:hint="eastAsia" w:eastAsia="宋体" w:cs="宋体"/>
                <w:color w:val="auto"/>
                <w:sz w:val="24"/>
                <w:lang w:eastAsia="zh-CN"/>
              </w:rPr>
              <w:t>）</w:t>
            </w:r>
            <w:r>
              <w:rPr>
                <w:rFonts w:hint="eastAsia" w:ascii="宋体" w:hAnsi="宋体" w:eastAsia="宋体" w:cs="宋体"/>
                <w:color w:val="auto"/>
                <w:sz w:val="24"/>
                <w:lang w:eastAsia="zh-CN"/>
              </w:rPr>
              <w:t>，</w:t>
            </w:r>
            <w:r>
              <w:rPr>
                <w:rFonts w:hint="eastAsia" w:eastAsia="宋体" w:cs="宋体"/>
                <w:color w:val="auto"/>
                <w:sz w:val="24"/>
              </w:rPr>
              <w:t>排入废水暂存池，回用于生产系统</w:t>
            </w:r>
            <w:r>
              <w:rPr>
                <w:rFonts w:hint="eastAsia" w:eastAsia="宋体" w:cs="宋体"/>
                <w:color w:val="auto"/>
                <w:sz w:val="24"/>
                <w:lang w:val="en-US" w:eastAsia="zh-CN"/>
              </w:rPr>
              <w:t>水相、柠檬酸钠溶液、敏化剂配制</w:t>
            </w:r>
            <w:r>
              <w:rPr>
                <w:rFonts w:hint="eastAsia" w:ascii="宋体" w:hAnsi="宋体" w:eastAsia="宋体" w:cs="宋体"/>
                <w:color w:val="auto"/>
                <w:sz w:val="24"/>
              </w:rPr>
              <w:t>。</w:t>
            </w:r>
          </w:p>
          <w:p w14:paraId="11437940">
            <w:pPr>
              <w:keepNext w:val="0"/>
              <w:keepLines w:val="0"/>
              <w:suppressLineNumbers w:val="0"/>
              <w:spacing w:before="0" w:beforeAutospacing="0" w:after="0" w:afterAutospacing="0"/>
              <w:ind w:left="0" w:right="0"/>
              <w:jc w:val="center"/>
              <w:rPr>
                <w:rFonts w:hint="default"/>
                <w:color w:val="FF0000"/>
              </w:rPr>
            </w:pPr>
            <w:r>
              <w:rPr>
                <w:rFonts w:hint="default"/>
                <w:color w:val="FF0000"/>
              </w:rPr>
              <w:object>
                <v:shape id="_x0000_i1025" o:spt="75" type="#_x0000_t75" style="height:149.25pt;width:311.25pt;" o:ole="t" filled="f" o:preferrelative="t" stroked="f" coordsize="21600,21600">
                  <v:path/>
                  <v:fill on="f" focussize="0,0"/>
                  <v:stroke on="f"/>
                  <v:imagedata r:id="rId14" o:title=""/>
                  <o:lock v:ext="edit" aspectratio="f"/>
                  <w10:wrap type="none"/>
                  <w10:anchorlock/>
                </v:shape>
                <o:OLEObject Type="Embed" ProgID="Visio.Drawing.15" ShapeID="_x0000_i1025" DrawAspect="Content" ObjectID="_1468075725" r:id="rId13">
                  <o:LockedField>false</o:LockedField>
                </o:OLEObject>
              </w:object>
            </w:r>
          </w:p>
          <w:p w14:paraId="305143E8">
            <w:pPr>
              <w:keepNext w:val="0"/>
              <w:keepLines w:val="0"/>
              <w:suppressLineNumbers w:val="0"/>
              <w:spacing w:before="0" w:beforeAutospacing="0" w:after="0" w:afterAutospacing="0"/>
              <w:ind w:left="0" w:right="0" w:firstLine="472" w:firstLineChars="196"/>
              <w:jc w:val="center"/>
              <w:rPr>
                <w:rFonts w:hint="eastAsia" w:cs="Times New Roman"/>
                <w:b/>
                <w:bCs w:val="0"/>
                <w:color w:val="auto"/>
                <w:sz w:val="24"/>
                <w:szCs w:val="24"/>
                <w:lang w:val="en-US" w:eastAsia="zh-CN"/>
              </w:rPr>
            </w:pPr>
            <w:r>
              <w:rPr>
                <w:rFonts w:hint="default" w:ascii="Times New Roman" w:hAnsi="Times New Roman"/>
                <w:b/>
                <w:bCs w:val="0"/>
                <w:color w:val="auto"/>
                <w:sz w:val="24"/>
                <w:szCs w:val="24"/>
                <w:highlight w:val="none"/>
              </w:rPr>
              <w:t>图</w:t>
            </w:r>
            <w:r>
              <w:rPr>
                <w:rFonts w:hint="eastAsia" w:ascii="Times New Roman" w:hAnsi="Times New Roman"/>
                <w:b/>
                <w:bCs w:val="0"/>
                <w:color w:val="auto"/>
                <w:sz w:val="24"/>
                <w:szCs w:val="24"/>
                <w:highlight w:val="none"/>
                <w:lang w:val="en-US" w:eastAsia="zh-CN"/>
              </w:rPr>
              <w:t>2-3</w:t>
            </w:r>
            <w:r>
              <w:rPr>
                <w:rFonts w:hint="default" w:ascii="Times New Roman" w:hAnsi="Times New Roman" w:eastAsia="宋体"/>
                <w:b/>
                <w:bCs w:val="0"/>
                <w:color w:val="auto"/>
                <w:kern w:val="2"/>
                <w:sz w:val="24"/>
                <w:szCs w:val="24"/>
                <w:highlight w:val="none"/>
                <w:u w:val="none" w:color="auto"/>
                <w:lang w:val="en-US" w:eastAsia="zh-CN" w:bidi="ar-SA"/>
              </w:rPr>
              <w:t xml:space="preserve">  </w:t>
            </w:r>
            <w:r>
              <w:rPr>
                <w:rFonts w:hint="default" w:ascii="Times New Roman" w:hAnsi="Times New Roman"/>
                <w:b/>
                <w:bCs w:val="0"/>
                <w:color w:val="auto"/>
                <w:sz w:val="24"/>
                <w:szCs w:val="24"/>
                <w:highlight w:val="none"/>
              </w:rPr>
              <w:t>水平衡图（m</w:t>
            </w:r>
            <w:r>
              <w:rPr>
                <w:rFonts w:hint="default" w:ascii="Times New Roman" w:hAnsi="Times New Roman"/>
                <w:b/>
                <w:bCs w:val="0"/>
                <w:color w:val="auto"/>
                <w:sz w:val="24"/>
                <w:szCs w:val="24"/>
                <w:highlight w:val="none"/>
                <w:vertAlign w:val="superscript"/>
              </w:rPr>
              <w:t>3</w:t>
            </w:r>
            <w:r>
              <w:rPr>
                <w:rFonts w:hint="default" w:ascii="Times New Roman" w:hAnsi="Times New Roman"/>
                <w:b/>
                <w:bCs w:val="0"/>
                <w:color w:val="auto"/>
                <w:sz w:val="24"/>
                <w:szCs w:val="24"/>
                <w:highlight w:val="none"/>
              </w:rPr>
              <w:t>/</w:t>
            </w:r>
            <w:r>
              <w:rPr>
                <w:rFonts w:hint="eastAsia" w:ascii="Times New Roman" w:hAnsi="Times New Roman"/>
                <w:b/>
                <w:bCs w:val="0"/>
                <w:color w:val="auto"/>
                <w:sz w:val="24"/>
                <w:szCs w:val="24"/>
                <w:highlight w:val="none"/>
                <w:lang w:val="en-US" w:eastAsia="zh-CN"/>
              </w:rPr>
              <w:t>a</w:t>
            </w:r>
            <w:r>
              <w:rPr>
                <w:rFonts w:hint="default" w:ascii="Times New Roman" w:hAnsi="Times New Roman"/>
                <w:b/>
                <w:bCs w:val="0"/>
                <w:color w:val="auto"/>
                <w:sz w:val="24"/>
                <w:szCs w:val="24"/>
                <w:highlight w:val="none"/>
              </w:rPr>
              <w:t>）</w:t>
            </w:r>
          </w:p>
          <w:p w14:paraId="1FCE1CDF">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（3）供电</w:t>
            </w:r>
          </w:p>
          <w:p w14:paraId="6CD38B39">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val="en-US" w:eastAsia="zh-CN"/>
              </w:rPr>
              <w:t>依托现有供电设施，由内蒙古太平矿业有限公司10KV供电线路接入</w:t>
            </w:r>
            <w:r>
              <w:rPr>
                <w:rFonts w:hint="eastAsia" w:ascii="宋体" w:hAnsi="宋体" w:eastAsia="宋体" w:cs="宋体"/>
                <w:color w:val="auto"/>
                <w:sz w:val="24"/>
              </w:rPr>
              <w:t>。</w:t>
            </w:r>
          </w:p>
          <w:p w14:paraId="01EA0BBD">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（4）供热</w:t>
            </w:r>
          </w:p>
          <w:p w14:paraId="09F90F00">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新建1台</w:t>
            </w:r>
            <w:r>
              <w:rPr>
                <w:rFonts w:hint="eastAsia" w:ascii="宋体" w:hAnsi="宋体" w:eastAsia="宋体" w:cs="宋体"/>
                <w:color w:val="auto"/>
                <w:sz w:val="24"/>
                <w:lang w:val="en-US" w:eastAsia="zh-CN"/>
              </w:rPr>
              <w:t>1</w:t>
            </w:r>
            <w:r>
              <w:rPr>
                <w:rFonts w:hint="eastAsia" w:ascii="宋体" w:hAnsi="宋体" w:eastAsia="宋体" w:cs="宋体"/>
                <w:color w:val="auto"/>
                <w:sz w:val="24"/>
              </w:rPr>
              <w:t>t/h燃</w:t>
            </w:r>
            <w:r>
              <w:rPr>
                <w:rFonts w:hint="eastAsia" w:ascii="宋体" w:hAnsi="宋体" w:eastAsia="宋体" w:cs="宋体"/>
                <w:color w:val="auto"/>
                <w:sz w:val="24"/>
                <w:lang w:val="en-US" w:eastAsia="zh-CN"/>
              </w:rPr>
              <w:t>油</w:t>
            </w:r>
            <w:r>
              <w:rPr>
                <w:rFonts w:hint="eastAsia" w:ascii="宋体" w:hAnsi="宋体" w:eastAsia="宋体" w:cs="宋体"/>
                <w:color w:val="auto"/>
                <w:sz w:val="24"/>
              </w:rPr>
              <w:t>蒸汽锅炉（型号</w:t>
            </w:r>
            <w:r>
              <w:rPr>
                <w:rFonts w:hint="eastAsia" w:ascii="宋体" w:hAnsi="宋体" w:eastAsia="宋体" w:cs="宋体"/>
                <w:color w:val="auto"/>
                <w:sz w:val="24"/>
                <w:lang w:val="en-US" w:eastAsia="zh-CN"/>
              </w:rPr>
              <w:t>WNS1</w:t>
            </w:r>
            <w:r>
              <w:rPr>
                <w:rFonts w:hint="eastAsia" w:ascii="宋体" w:hAnsi="宋体" w:eastAsia="宋体" w:cs="宋体"/>
                <w:color w:val="auto"/>
                <w:sz w:val="24"/>
              </w:rPr>
              <w:t>-</w:t>
            </w:r>
            <w:r>
              <w:rPr>
                <w:rFonts w:hint="eastAsia" w:ascii="宋体" w:hAnsi="宋体" w:eastAsia="宋体" w:cs="宋体"/>
                <w:color w:val="auto"/>
                <w:sz w:val="24"/>
                <w:lang w:val="en-US" w:eastAsia="zh-CN"/>
              </w:rPr>
              <w:t>0.7</w:t>
            </w:r>
            <w:r>
              <w:rPr>
                <w:rFonts w:hint="eastAsia" w:ascii="宋体" w:hAnsi="宋体" w:eastAsia="宋体" w:cs="宋体"/>
                <w:color w:val="auto"/>
                <w:sz w:val="24"/>
              </w:rPr>
              <w:t>-</w:t>
            </w:r>
            <w:r>
              <w:rPr>
                <w:rFonts w:hint="eastAsia" w:ascii="宋体" w:hAnsi="宋体" w:eastAsia="宋体" w:cs="宋体"/>
                <w:color w:val="auto"/>
                <w:sz w:val="24"/>
                <w:lang w:val="en-US" w:eastAsia="zh-CN"/>
              </w:rPr>
              <w:t>Q（Y）</w:t>
            </w:r>
            <w:r>
              <w:rPr>
                <w:rFonts w:hint="eastAsia" w:ascii="宋体" w:hAnsi="宋体" w:eastAsia="宋体" w:cs="宋体"/>
                <w:color w:val="auto"/>
                <w:sz w:val="24"/>
              </w:rPr>
              <w:t>）</w:t>
            </w:r>
            <w:r>
              <w:rPr>
                <w:rFonts w:hint="eastAsia" w:ascii="宋体" w:hAnsi="宋体" w:eastAsia="宋体" w:cs="宋体"/>
                <w:color w:val="auto"/>
                <w:sz w:val="24"/>
                <w:lang w:val="en-US" w:eastAsia="zh-CN"/>
              </w:rPr>
              <w:t>为</w:t>
            </w:r>
            <w:r>
              <w:rPr>
                <w:rFonts w:hint="eastAsia" w:ascii="宋体" w:hAnsi="宋体" w:eastAsia="宋体" w:cs="宋体"/>
                <w:color w:val="auto"/>
                <w:sz w:val="24"/>
              </w:rPr>
              <w:t>生产</w:t>
            </w:r>
            <w:r>
              <w:rPr>
                <w:rFonts w:hint="eastAsia" w:ascii="宋体" w:hAnsi="宋体" w:eastAsia="宋体" w:cs="宋体"/>
                <w:color w:val="auto"/>
                <w:sz w:val="24"/>
                <w:lang w:eastAsia="zh-CN"/>
              </w:rPr>
              <w:t>系统（油相加热，硝酸铵溶液稀释时自身放热，不需要额外加热。）</w:t>
            </w:r>
            <w:r>
              <w:rPr>
                <w:rFonts w:hint="eastAsia" w:ascii="宋体" w:hAnsi="宋体" w:eastAsia="宋体" w:cs="宋体"/>
                <w:color w:val="auto"/>
                <w:sz w:val="24"/>
              </w:rPr>
              <w:t>供应热源，</w:t>
            </w:r>
            <w:r>
              <w:rPr>
                <w:rFonts w:hint="eastAsia" w:ascii="宋体" w:hAnsi="宋体" w:eastAsia="宋体" w:cs="宋体"/>
                <w:color w:val="auto"/>
                <w:sz w:val="24"/>
                <w:lang w:val="en-US" w:eastAsia="zh-CN"/>
              </w:rPr>
              <w:t>同时新建1台1</w:t>
            </w:r>
            <w:r>
              <w:rPr>
                <w:rFonts w:hint="eastAsia" w:ascii="宋体" w:hAnsi="宋体" w:eastAsia="宋体" w:cs="宋体"/>
                <w:color w:val="auto"/>
                <w:sz w:val="24"/>
              </w:rPr>
              <w:t>t/h燃</w:t>
            </w:r>
            <w:r>
              <w:rPr>
                <w:rFonts w:hint="eastAsia" w:ascii="宋体" w:hAnsi="宋体" w:eastAsia="宋体" w:cs="宋体"/>
                <w:color w:val="auto"/>
                <w:sz w:val="24"/>
                <w:lang w:val="en-US" w:eastAsia="zh-CN"/>
              </w:rPr>
              <w:t>油</w:t>
            </w:r>
            <w:r>
              <w:rPr>
                <w:rFonts w:hint="eastAsia" w:ascii="宋体" w:hAnsi="宋体" w:eastAsia="宋体" w:cs="宋体"/>
                <w:color w:val="auto"/>
                <w:sz w:val="24"/>
              </w:rPr>
              <w:t>蒸汽</w:t>
            </w:r>
            <w:r>
              <w:rPr>
                <w:rFonts w:hint="eastAsia" w:ascii="宋体" w:hAnsi="宋体" w:eastAsia="宋体" w:cs="宋体"/>
                <w:color w:val="auto"/>
                <w:sz w:val="24"/>
                <w:lang w:val="en-US" w:eastAsia="zh-CN"/>
              </w:rPr>
              <w:t>发生器</w:t>
            </w:r>
            <w:r>
              <w:rPr>
                <w:rFonts w:hint="eastAsia" w:ascii="宋体" w:hAnsi="宋体" w:eastAsia="宋体" w:cs="宋体"/>
                <w:color w:val="auto"/>
                <w:sz w:val="24"/>
              </w:rPr>
              <w:t>（型号</w:t>
            </w:r>
            <w:r>
              <w:rPr>
                <w:rFonts w:hint="eastAsia" w:ascii="宋体" w:hAnsi="宋体" w:eastAsia="宋体" w:cs="宋体"/>
                <w:color w:val="auto"/>
                <w:sz w:val="24"/>
                <w:lang w:val="en-US" w:eastAsia="zh-CN"/>
              </w:rPr>
              <w:t>WSS1.0</w:t>
            </w:r>
            <w:r>
              <w:rPr>
                <w:rFonts w:hint="eastAsia" w:ascii="宋体" w:hAnsi="宋体" w:eastAsia="宋体" w:cs="宋体"/>
                <w:color w:val="auto"/>
                <w:sz w:val="24"/>
              </w:rPr>
              <w:t>-</w:t>
            </w:r>
            <w:r>
              <w:rPr>
                <w:rFonts w:hint="eastAsia" w:ascii="宋体" w:hAnsi="宋体" w:eastAsia="宋体" w:cs="宋体"/>
                <w:color w:val="auto"/>
                <w:sz w:val="24"/>
                <w:lang w:val="en-US" w:eastAsia="zh-CN"/>
              </w:rPr>
              <w:t>0.7/1.3</w:t>
            </w:r>
            <w:r>
              <w:rPr>
                <w:rFonts w:hint="eastAsia" w:ascii="宋体" w:hAnsi="宋体" w:eastAsia="宋体" w:cs="宋体"/>
                <w:color w:val="auto"/>
                <w:sz w:val="24"/>
              </w:rPr>
              <w:t>-</w:t>
            </w:r>
            <w:r>
              <w:rPr>
                <w:rFonts w:hint="eastAsia" w:ascii="宋体" w:hAnsi="宋体" w:eastAsia="宋体" w:cs="宋体"/>
                <w:color w:val="auto"/>
                <w:sz w:val="24"/>
                <w:lang w:val="en-US" w:eastAsia="zh-CN"/>
              </w:rPr>
              <w:t>Q</w:t>
            </w:r>
            <w:r>
              <w:rPr>
                <w:rFonts w:hint="eastAsia" w:ascii="宋体" w:hAnsi="宋体" w:eastAsia="宋体" w:cs="宋体"/>
                <w:color w:val="auto"/>
                <w:sz w:val="24"/>
              </w:rPr>
              <w:t>）</w:t>
            </w:r>
            <w:r>
              <w:rPr>
                <w:rFonts w:hint="eastAsia" w:ascii="宋体" w:hAnsi="宋体" w:eastAsia="宋体" w:cs="宋体"/>
                <w:color w:val="auto"/>
                <w:sz w:val="24"/>
                <w:lang w:val="en-US" w:eastAsia="zh-CN"/>
              </w:rPr>
              <w:t>作为备用供热设施。</w:t>
            </w:r>
          </w:p>
          <w:p w14:paraId="589E5A85">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eastAsia="宋体" w:cs="宋体"/>
                <w:b w:val="0"/>
                <w:bCs/>
                <w:color w:val="auto"/>
                <w:sz w:val="28"/>
                <w:szCs w:val="28"/>
                <w:lang w:val="en-US" w:eastAsia="zh-CN"/>
              </w:rPr>
              <w:t>9</w:t>
            </w:r>
            <w:r>
              <w:rPr>
                <w:rFonts w:hint="eastAsia" w:ascii="宋体" w:hAnsi="宋体" w:eastAsia="宋体" w:cs="宋体"/>
                <w:b w:val="0"/>
                <w:bCs/>
                <w:color w:val="auto"/>
                <w:sz w:val="28"/>
                <w:szCs w:val="28"/>
                <w:lang w:val="en-US" w:eastAsia="zh-CN"/>
              </w:rPr>
              <w:t>、平面布置</w:t>
            </w:r>
          </w:p>
          <w:p w14:paraId="50AB7C6E">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本项目未对任何建筑进行改建，</w:t>
            </w:r>
            <w:r>
              <w:rPr>
                <w:rFonts w:hint="eastAsia" w:ascii="宋体" w:hAnsi="宋体" w:eastAsia="宋体" w:cs="宋体"/>
                <w:color w:val="auto"/>
                <w:sz w:val="24"/>
                <w:lang w:eastAsia="zh-CN"/>
              </w:rPr>
              <w:t>在现有锅炉房内新建</w:t>
            </w:r>
            <w:r>
              <w:rPr>
                <w:rFonts w:hint="eastAsia" w:ascii="宋体" w:hAnsi="宋体" w:eastAsia="宋体" w:cs="宋体"/>
                <w:color w:val="auto"/>
                <w:sz w:val="24"/>
                <w:szCs w:val="24"/>
              </w:rPr>
              <w:t>1台</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t/h燃</w:t>
            </w:r>
            <w:r>
              <w:rPr>
                <w:rFonts w:hint="eastAsia" w:ascii="宋体" w:hAnsi="宋体" w:eastAsia="宋体" w:cs="宋体"/>
                <w:color w:val="auto"/>
                <w:sz w:val="24"/>
                <w:szCs w:val="24"/>
                <w:lang w:val="en-US" w:eastAsia="zh-CN"/>
              </w:rPr>
              <w:t>油</w:t>
            </w:r>
            <w:r>
              <w:rPr>
                <w:rFonts w:hint="eastAsia" w:ascii="宋体" w:hAnsi="宋体" w:eastAsia="宋体" w:cs="宋体"/>
                <w:color w:val="auto"/>
                <w:sz w:val="24"/>
                <w:szCs w:val="24"/>
              </w:rPr>
              <w:t>蒸汽锅炉</w:t>
            </w:r>
            <w:r>
              <w:rPr>
                <w:rFonts w:hint="eastAsia" w:ascii="宋体" w:hAnsi="宋体" w:eastAsia="宋体" w:cs="宋体"/>
                <w:color w:val="auto"/>
                <w:sz w:val="24"/>
                <w:szCs w:val="24"/>
                <w:lang w:val="en-US" w:eastAsia="zh-CN"/>
              </w:rPr>
              <w:t>和1台1</w:t>
            </w:r>
            <w:r>
              <w:rPr>
                <w:rFonts w:hint="eastAsia" w:ascii="宋体" w:hAnsi="宋体" w:eastAsia="宋体" w:cs="宋体"/>
                <w:color w:val="auto"/>
                <w:sz w:val="24"/>
                <w:szCs w:val="24"/>
              </w:rPr>
              <w:t>t/h燃</w:t>
            </w:r>
            <w:r>
              <w:rPr>
                <w:rFonts w:hint="eastAsia" w:ascii="宋体" w:hAnsi="宋体" w:eastAsia="宋体" w:cs="宋体"/>
                <w:color w:val="auto"/>
                <w:sz w:val="24"/>
                <w:szCs w:val="24"/>
                <w:lang w:val="en-US" w:eastAsia="zh-CN"/>
              </w:rPr>
              <w:t>油</w:t>
            </w:r>
            <w:r>
              <w:rPr>
                <w:rFonts w:hint="eastAsia" w:ascii="宋体" w:hAnsi="宋体" w:eastAsia="宋体" w:cs="宋体"/>
                <w:color w:val="auto"/>
                <w:sz w:val="24"/>
                <w:szCs w:val="24"/>
              </w:rPr>
              <w:t>蒸汽</w:t>
            </w:r>
            <w:r>
              <w:rPr>
                <w:rFonts w:hint="eastAsia" w:ascii="宋体" w:hAnsi="宋体" w:eastAsia="宋体" w:cs="宋体"/>
                <w:color w:val="auto"/>
                <w:sz w:val="24"/>
                <w:szCs w:val="24"/>
                <w:lang w:val="en-US" w:eastAsia="zh-CN"/>
              </w:rPr>
              <w:t>发生器（备用），不改变厂区总体布局</w:t>
            </w:r>
            <w:r>
              <w:rPr>
                <w:rFonts w:hint="eastAsia" w:ascii="宋体" w:hAnsi="宋体" w:eastAsia="宋体" w:cs="宋体"/>
                <w:color w:val="auto"/>
                <w:sz w:val="24"/>
              </w:rPr>
              <w:t>。厂区</w:t>
            </w:r>
            <w:r>
              <w:rPr>
                <w:rFonts w:hint="eastAsia" w:ascii="宋体" w:hAnsi="宋体" w:eastAsia="宋体" w:cs="宋体"/>
                <w:color w:val="auto"/>
                <w:sz w:val="24"/>
                <w:lang w:val="en-US" w:eastAsia="zh-CN"/>
              </w:rPr>
              <w:t>总</w:t>
            </w:r>
            <w:r>
              <w:rPr>
                <w:rFonts w:hint="eastAsia" w:ascii="宋体" w:hAnsi="宋体" w:eastAsia="宋体" w:cs="宋体"/>
                <w:color w:val="auto"/>
                <w:sz w:val="24"/>
              </w:rPr>
              <w:t>平面布置示意图见附图。</w:t>
            </w:r>
          </w:p>
        </w:tc>
      </w:tr>
      <w:tr w14:paraId="58E8B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725249F0">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工艺流程和产排污环节</w:t>
            </w:r>
          </w:p>
        </w:tc>
        <w:tc>
          <w:tcPr>
            <w:tcW w:w="8450" w:type="dxa"/>
            <w:vAlign w:val="center"/>
          </w:tcPr>
          <w:p w14:paraId="7B7D9713">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工艺流程及产污节点：</w:t>
            </w:r>
          </w:p>
          <w:p w14:paraId="5B8179EB">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一、施工期工艺流程及产污节点</w:t>
            </w:r>
          </w:p>
          <w:p w14:paraId="297D43C1">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本项目为</w:t>
            </w:r>
            <w:r>
              <w:rPr>
                <w:rFonts w:hint="eastAsia" w:ascii="宋体" w:hAnsi="宋体" w:eastAsia="宋体" w:cs="宋体"/>
                <w:color w:val="auto"/>
                <w:sz w:val="24"/>
                <w:lang w:eastAsia="zh-CN"/>
              </w:rPr>
              <w:t>锅炉技改</w:t>
            </w:r>
            <w:r>
              <w:rPr>
                <w:rFonts w:hint="eastAsia" w:ascii="宋体" w:hAnsi="宋体" w:eastAsia="宋体" w:cs="宋体"/>
                <w:color w:val="auto"/>
                <w:sz w:val="24"/>
                <w:lang w:val="en-US" w:eastAsia="zh-CN"/>
              </w:rPr>
              <w:t>项目</w:t>
            </w:r>
            <w:r>
              <w:rPr>
                <w:rFonts w:hint="eastAsia" w:eastAsia="宋体" w:cs="宋体"/>
                <w:color w:val="auto"/>
                <w:sz w:val="24"/>
              </w:rPr>
              <w:t>，</w:t>
            </w:r>
            <w:r>
              <w:rPr>
                <w:rFonts w:hint="eastAsia" w:eastAsia="宋体" w:cs="宋体"/>
                <w:color w:val="auto"/>
                <w:sz w:val="24"/>
                <w:lang w:val="en-US" w:eastAsia="zh-CN"/>
              </w:rPr>
              <w:t>燃料间是在锅炉房内采用彩钢隔出的一个独立房间，</w:t>
            </w:r>
            <w:r>
              <w:rPr>
                <w:rFonts w:hint="eastAsia" w:eastAsia="宋体" w:cs="宋体"/>
                <w:color w:val="auto"/>
                <w:sz w:val="24"/>
              </w:rPr>
              <w:t>无土建工程，</w:t>
            </w:r>
            <w:r>
              <w:rPr>
                <w:rFonts w:hint="eastAsia" w:ascii="宋体" w:hAnsi="宋体" w:eastAsia="宋体" w:cs="宋体"/>
                <w:color w:val="auto"/>
                <w:sz w:val="24"/>
                <w:lang w:eastAsia="zh-CN"/>
              </w:rPr>
              <w:t>主要施工内容为现有设备的拆除和新设备的安装，施工过程中</w:t>
            </w:r>
            <w:r>
              <w:rPr>
                <w:rFonts w:hint="eastAsia" w:ascii="宋体" w:hAnsi="宋体" w:eastAsia="宋体" w:cs="宋体"/>
                <w:color w:val="auto"/>
                <w:sz w:val="24"/>
              </w:rPr>
              <w:t>污染物产生量很少，对周围影响较小，且施工期较短，不会产生明显的环境问题。</w:t>
            </w:r>
          </w:p>
          <w:p w14:paraId="0197DED3">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二、运营期工艺流程及产污节点</w:t>
            </w:r>
          </w:p>
          <w:p w14:paraId="5FA9F9D0">
            <w:pPr>
              <w:keepNext w:val="0"/>
              <w:keepLines w:val="0"/>
              <w:widowControl/>
              <w:suppressLineNumbers w:val="0"/>
              <w:spacing w:before="0" w:beforeAutospacing="0" w:after="0" w:afterAutospacing="0" w:line="360" w:lineRule="auto"/>
              <w:ind w:left="3" w:right="0" w:hanging="3"/>
              <w:jc w:val="center"/>
              <w:rPr>
                <w:rFonts w:hint="eastAsia" w:ascii="宋体" w:hAnsi="宋体" w:eastAsia="宋体" w:cs="宋体"/>
                <w:b/>
                <w:color w:val="auto"/>
                <w:sz w:val="24"/>
                <w:highlight w:val="yellow"/>
              </w:rPr>
            </w:pPr>
            <w:r>
              <w:rPr>
                <w:rFonts w:hint="eastAsia" w:ascii="宋体" w:hAnsi="宋体" w:eastAsia="宋体" w:cs="宋体"/>
                <w:bCs/>
                <w:sz w:val="24"/>
              </w:rPr>
              <mc:AlternateContent>
                <mc:Choice Requires="wpc">
                  <w:drawing>
                    <wp:inline distT="0" distB="0" distL="114300" distR="114300">
                      <wp:extent cx="5155565" cy="1758950"/>
                      <wp:effectExtent l="0" t="0" r="0" b="0"/>
                      <wp:docPr id="89" name="画布 8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5" name="文本框 75"/>
                              <wps:cNvSpPr txBox="1"/>
                              <wps:spPr>
                                <a:xfrm>
                                  <a:off x="395605" y="139700"/>
                                  <a:ext cx="868680" cy="274320"/>
                                </a:xfrm>
                                <a:prstGeom prst="rect">
                                  <a:avLst/>
                                </a:prstGeom>
                                <a:noFill/>
                                <a:ln>
                                  <a:noFill/>
                                </a:ln>
                              </wps:spPr>
                              <wps:txbx>
                                <w:txbxContent>
                                  <w:p w14:paraId="090FBFE7">
                                    <w:pPr>
                                      <w:spacing w:line="240" w:lineRule="auto"/>
                                      <w:ind w:firstLine="0" w:firstLineChars="0"/>
                                      <w:jc w:val="center"/>
                                      <w:rPr>
                                        <w:rFonts w:hint="default" w:hAnsi="宋体" w:eastAsiaTheme="minorEastAsia"/>
                                        <w:szCs w:val="21"/>
                                        <w:lang w:val="en-US" w:eastAsia="zh-CN"/>
                                      </w:rPr>
                                    </w:pPr>
                                    <w:r>
                                      <w:rPr>
                                        <w:rFonts w:hint="eastAsia"/>
                                        <w:szCs w:val="21"/>
                                        <w:lang w:val="en-US" w:eastAsia="zh-CN"/>
                                      </w:rPr>
                                      <w:t>轻质柴油</w:t>
                                    </w:r>
                                  </w:p>
                                </w:txbxContent>
                              </wps:txbx>
                              <wps:bodyPr upright="1"/>
                            </wps:wsp>
                            <wps:wsp>
                              <wps:cNvPr id="76" name="文本框 76"/>
                              <wps:cNvSpPr txBox="1"/>
                              <wps:spPr>
                                <a:xfrm>
                                  <a:off x="1733764" y="128597"/>
                                  <a:ext cx="933148" cy="29671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829E98">
                                    <w:pPr>
                                      <w:spacing w:line="240" w:lineRule="auto"/>
                                      <w:ind w:firstLine="0" w:firstLineChars="0"/>
                                      <w:jc w:val="center"/>
                                      <w:rPr>
                                        <w:szCs w:val="21"/>
                                      </w:rPr>
                                    </w:pPr>
                                    <w:r>
                                      <w:rPr>
                                        <w:rFonts w:hint="eastAsia" w:hAnsi="宋体"/>
                                        <w:szCs w:val="21"/>
                                      </w:rPr>
                                      <w:t>输</w:t>
                                    </w:r>
                                    <w:r>
                                      <w:rPr>
                                        <w:rFonts w:hint="eastAsia" w:hAnsi="宋体"/>
                                        <w:szCs w:val="21"/>
                                        <w:lang w:val="en-US" w:eastAsia="zh-CN"/>
                                      </w:rPr>
                                      <w:t>油</w:t>
                                    </w:r>
                                    <w:r>
                                      <w:rPr>
                                        <w:rFonts w:hint="eastAsia" w:hAnsi="宋体"/>
                                        <w:szCs w:val="21"/>
                                      </w:rPr>
                                      <w:t>系统</w:t>
                                    </w:r>
                                  </w:p>
                                </w:txbxContent>
                              </wps:txbx>
                              <wps:bodyPr lIns="0" tIns="38100" rIns="0" bIns="0" upright="1"/>
                            </wps:wsp>
                            <wps:wsp>
                              <wps:cNvPr id="77" name="文本框 77"/>
                              <wps:cNvSpPr txBox="1"/>
                              <wps:spPr>
                                <a:xfrm>
                                  <a:off x="1733764" y="734075"/>
                                  <a:ext cx="933148" cy="29671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2F3A7C1">
                                    <w:pPr>
                                      <w:spacing w:line="240" w:lineRule="auto"/>
                                      <w:ind w:firstLine="0" w:firstLineChars="0"/>
                                      <w:jc w:val="center"/>
                                      <w:rPr>
                                        <w:szCs w:val="21"/>
                                      </w:rPr>
                                    </w:pPr>
                                    <w:r>
                                      <w:rPr>
                                        <w:rFonts w:hint="eastAsia"/>
                                        <w:szCs w:val="21"/>
                                      </w:rPr>
                                      <w:t>锅炉</w:t>
                                    </w:r>
                                    <w:r>
                                      <w:rPr>
                                        <w:rFonts w:hint="eastAsia" w:hAnsi="宋体"/>
                                        <w:szCs w:val="21"/>
                                      </w:rPr>
                                      <w:t>燃烧系统</w:t>
                                    </w:r>
                                  </w:p>
                                </w:txbxContent>
                              </wps:txbx>
                              <wps:bodyPr lIns="0" tIns="45720" rIns="0" bIns="45720" upright="1"/>
                            </wps:wsp>
                            <wps:wsp>
                              <wps:cNvPr id="78" name="文本框 78"/>
                              <wps:cNvSpPr txBox="1"/>
                              <wps:spPr>
                                <a:xfrm>
                                  <a:off x="1609725" y="1328420"/>
                                  <a:ext cx="1152525"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37E5C9A">
                                    <w:pPr>
                                      <w:spacing w:line="240" w:lineRule="auto"/>
                                      <w:ind w:firstLine="0" w:firstLineChars="0"/>
                                      <w:jc w:val="center"/>
                                      <w:rPr>
                                        <w:rFonts w:hint="default" w:eastAsiaTheme="minorEastAsia"/>
                                        <w:szCs w:val="21"/>
                                        <w:lang w:val="en-US" w:eastAsia="zh-CN"/>
                                      </w:rPr>
                                    </w:pPr>
                                    <w:r>
                                      <w:rPr>
                                        <w:rFonts w:hint="eastAsia" w:hAnsi="宋体"/>
                                        <w:szCs w:val="21"/>
                                      </w:rPr>
                                      <w:t>生产系统</w:t>
                                    </w:r>
                                    <w:r>
                                      <w:rPr>
                                        <w:rFonts w:hint="eastAsia" w:hAnsi="宋体"/>
                                        <w:szCs w:val="21"/>
                                        <w:lang w:eastAsia="zh-CN"/>
                                      </w:rPr>
                                      <w:t>、</w:t>
                                    </w:r>
                                    <w:r>
                                      <w:rPr>
                                        <w:rFonts w:hint="eastAsia" w:hAnsi="宋体"/>
                                        <w:szCs w:val="21"/>
                                        <w:lang w:val="en-US" w:eastAsia="zh-CN"/>
                                      </w:rPr>
                                      <w:t>采暖</w:t>
                                    </w:r>
                                  </w:p>
                                </w:txbxContent>
                              </wps:txbx>
                              <wps:bodyPr upright="1"/>
                            </wps:wsp>
                            <wps:wsp>
                              <wps:cNvPr id="79" name="直接连接符 79"/>
                              <wps:cNvCnPr/>
                              <wps:spPr>
                                <a:xfrm>
                                  <a:off x="2200338" y="436695"/>
                                  <a:ext cx="775" cy="297381"/>
                                </a:xfrm>
                                <a:prstGeom prst="line">
                                  <a:avLst/>
                                </a:prstGeom>
                                <a:ln w="9525" cap="flat" cmpd="sng">
                                  <a:solidFill>
                                    <a:srgbClr val="000000"/>
                                  </a:solidFill>
                                  <a:prstDash val="solid"/>
                                  <a:headEnd type="none" w="med" len="med"/>
                                  <a:tailEnd type="triangle" w="med" len="med"/>
                                </a:ln>
                              </wps:spPr>
                              <wps:bodyPr upright="1"/>
                            </wps:wsp>
                            <wps:wsp>
                              <wps:cNvPr id="80" name="直接连接符 80"/>
                              <wps:cNvCnPr/>
                              <wps:spPr>
                                <a:xfrm>
                                  <a:off x="2200338" y="1031456"/>
                                  <a:ext cx="775" cy="296711"/>
                                </a:xfrm>
                                <a:prstGeom prst="line">
                                  <a:avLst/>
                                </a:prstGeom>
                                <a:ln w="9525" cap="flat" cmpd="sng">
                                  <a:solidFill>
                                    <a:srgbClr val="000000"/>
                                  </a:solidFill>
                                  <a:prstDash val="solid"/>
                                  <a:headEnd type="none" w="med" len="med"/>
                                  <a:tailEnd type="triangle" w="med" len="med"/>
                                </a:ln>
                              </wps:spPr>
                              <wps:bodyPr upright="1"/>
                            </wps:wsp>
                            <wps:wsp>
                              <wps:cNvPr id="81" name="直接连接符 81"/>
                              <wps:cNvCnPr/>
                              <wps:spPr>
                                <a:xfrm>
                                  <a:off x="1207135" y="288925"/>
                                  <a:ext cx="533400" cy="635"/>
                                </a:xfrm>
                                <a:prstGeom prst="line">
                                  <a:avLst/>
                                </a:prstGeom>
                                <a:ln w="9525" cap="flat" cmpd="sng">
                                  <a:solidFill>
                                    <a:srgbClr val="000000"/>
                                  </a:solidFill>
                                  <a:prstDash val="solid"/>
                                  <a:headEnd type="none" w="med" len="med"/>
                                  <a:tailEnd type="triangle" w="med" len="med"/>
                                </a:ln>
                              </wps:spPr>
                              <wps:bodyPr upright="1"/>
                            </wps:wsp>
                            <wps:wsp>
                              <wps:cNvPr id="82" name="曲线连接符 82"/>
                              <wps:cNvCnPr/>
                              <wps:spPr>
                                <a:xfrm flipV="1">
                                  <a:off x="2666912" y="683172"/>
                                  <a:ext cx="266614" cy="102476"/>
                                </a:xfrm>
                                <a:prstGeom prst="curvedConnector3">
                                  <a:avLst>
                                    <a:gd name="adj1" fmla="val 50000"/>
                                  </a:avLst>
                                </a:prstGeom>
                                <a:ln w="9525" cap="flat" cmpd="sng">
                                  <a:solidFill>
                                    <a:srgbClr val="000000"/>
                                  </a:solidFill>
                                  <a:prstDash val="solid"/>
                                  <a:headEnd type="none" w="med" len="med"/>
                                  <a:tailEnd type="triangle" w="med" len="med"/>
                                </a:ln>
                              </wps:spPr>
                              <wps:bodyPr/>
                            </wps:wsp>
                            <wps:wsp>
                              <wps:cNvPr id="83" name="文本框 83"/>
                              <wps:cNvSpPr txBox="1"/>
                              <wps:spPr>
                                <a:xfrm>
                                  <a:off x="2829560" y="450850"/>
                                  <a:ext cx="1699895" cy="519430"/>
                                </a:xfrm>
                                <a:prstGeom prst="rect">
                                  <a:avLst/>
                                </a:prstGeom>
                                <a:noFill/>
                                <a:ln>
                                  <a:noFill/>
                                </a:ln>
                              </wps:spPr>
                              <wps:txbx>
                                <w:txbxContent>
                                  <w:p w14:paraId="1CD90447">
                                    <w:pPr>
                                      <w:spacing w:line="240" w:lineRule="auto"/>
                                      <w:ind w:firstLine="0" w:firstLineChars="0"/>
                                      <w:jc w:val="center"/>
                                      <w:rPr>
                                        <w:rFonts w:hint="default" w:ascii="Times New Roman" w:hAnsi="Times New Roman" w:cs="Times New Roman"/>
                                        <w:szCs w:val="21"/>
                                      </w:rPr>
                                    </w:pPr>
                                    <w:r>
                                      <w:rPr>
                                        <w:rFonts w:hint="eastAsia" w:hAnsi="宋体"/>
                                        <w:szCs w:val="21"/>
                                        <w:lang w:val="en-US" w:eastAsia="zh-CN"/>
                                      </w:rPr>
                                      <w:t>柴油</w:t>
                                    </w:r>
                                    <w:r>
                                      <w:rPr>
                                        <w:rFonts w:hint="eastAsia" w:hAnsi="宋体"/>
                                        <w:szCs w:val="21"/>
                                      </w:rPr>
                                      <w:t>燃烧废气（</w:t>
                                    </w:r>
                                    <w:r>
                                      <w:rPr>
                                        <w:rFonts w:hint="default" w:ascii="Times New Roman" w:hAnsi="Times New Roman" w:cs="Times New Roman"/>
                                        <w:szCs w:val="21"/>
                                      </w:rPr>
                                      <w:t>烟尘、</w:t>
                                    </w:r>
                                  </w:p>
                                  <w:p w14:paraId="0A9C510C">
                                    <w:pPr>
                                      <w:spacing w:line="240" w:lineRule="auto"/>
                                      <w:ind w:firstLine="0" w:firstLineChars="0"/>
                                      <w:jc w:val="center"/>
                                      <w:rPr>
                                        <w:rFonts w:hint="default" w:hAnsi="宋体" w:eastAsiaTheme="minorEastAsia"/>
                                        <w:szCs w:val="21"/>
                                        <w:lang w:val="en-US" w:eastAsia="zh-CN"/>
                                      </w:rPr>
                                    </w:pPr>
                                    <w:r>
                                      <w:rPr>
                                        <w:rFonts w:hint="default" w:ascii="Times New Roman" w:hAnsi="Times New Roman" w:cs="Times New Roman"/>
                                        <w:szCs w:val="21"/>
                                      </w:rPr>
                                      <w:t>SO</w:t>
                                    </w:r>
                                    <w:r>
                                      <w:rPr>
                                        <w:rFonts w:hint="default" w:ascii="Times New Roman" w:hAnsi="Times New Roman" w:cs="Times New Roman"/>
                                        <w:szCs w:val="21"/>
                                        <w:vertAlign w:val="subscript"/>
                                      </w:rPr>
                                      <w:t>2</w:t>
                                    </w:r>
                                    <w:r>
                                      <w:rPr>
                                        <w:rFonts w:hint="default" w:ascii="Times New Roman" w:hAnsi="Times New Roman" w:cs="Times New Roman"/>
                                        <w:szCs w:val="21"/>
                                      </w:rPr>
                                      <w:t>、NO</w:t>
                                    </w:r>
                                    <w:r>
                                      <w:rPr>
                                        <w:rFonts w:hint="default" w:ascii="Times New Roman" w:hAnsi="Times New Roman" w:cs="Times New Roman"/>
                                        <w:szCs w:val="21"/>
                                        <w:vertAlign w:val="subscript"/>
                                      </w:rPr>
                                      <w:t>X</w:t>
                                    </w:r>
                                    <w:r>
                                      <w:rPr>
                                        <w:rFonts w:hint="eastAsia" w:hAnsi="宋体"/>
                                        <w:szCs w:val="21"/>
                                      </w:rPr>
                                      <w:t>）</w:t>
                                    </w:r>
                                    <w:r>
                                      <w:rPr>
                                        <w:rFonts w:hint="eastAsia" w:hAnsi="宋体"/>
                                        <w:szCs w:val="21"/>
                                        <w:lang w:eastAsia="zh-CN"/>
                                      </w:rPr>
                                      <w:t>、</w:t>
                                    </w:r>
                                    <w:r>
                                      <w:rPr>
                                        <w:rFonts w:hint="eastAsia" w:hAnsi="宋体"/>
                                        <w:szCs w:val="21"/>
                                        <w:lang w:val="en-US" w:eastAsia="zh-CN"/>
                                      </w:rPr>
                                      <w:t>污水、噪声</w:t>
                                    </w:r>
                                  </w:p>
                                </w:txbxContent>
                              </wps:txbx>
                              <wps:bodyPr upright="1"/>
                            </wps:wsp>
                            <wps:wsp>
                              <wps:cNvPr id="84" name="文本框 84"/>
                              <wps:cNvSpPr txBox="1"/>
                              <wps:spPr>
                                <a:xfrm>
                                  <a:off x="2173605" y="1036955"/>
                                  <a:ext cx="558165" cy="259080"/>
                                </a:xfrm>
                                <a:prstGeom prst="rect">
                                  <a:avLst/>
                                </a:prstGeom>
                                <a:noFill/>
                                <a:ln>
                                  <a:noFill/>
                                </a:ln>
                              </wps:spPr>
                              <wps:txbx>
                                <w:txbxContent>
                                  <w:p w14:paraId="31E69AB9">
                                    <w:pPr>
                                      <w:spacing w:line="240" w:lineRule="auto"/>
                                      <w:ind w:firstLine="0" w:firstLineChars="0"/>
                                      <w:jc w:val="center"/>
                                      <w:rPr>
                                        <w:rFonts w:hAnsi="宋体"/>
                                        <w:szCs w:val="21"/>
                                      </w:rPr>
                                    </w:pPr>
                                    <w:r>
                                      <w:rPr>
                                        <w:rFonts w:hint="eastAsia"/>
                                        <w:szCs w:val="21"/>
                                      </w:rPr>
                                      <w:t>蒸汽</w:t>
                                    </w:r>
                                  </w:p>
                                </w:txbxContent>
                              </wps:txbx>
                              <wps:bodyPr upright="1"/>
                            </wps:wsp>
                            <wps:wsp>
                              <wps:cNvPr id="85" name="直接连接符 85"/>
                              <wps:cNvCnPr/>
                              <wps:spPr>
                                <a:xfrm>
                                  <a:off x="1490345" y="887095"/>
                                  <a:ext cx="252000" cy="0"/>
                                </a:xfrm>
                                <a:prstGeom prst="line">
                                  <a:avLst/>
                                </a:prstGeom>
                                <a:ln w="9525" cap="flat" cmpd="sng">
                                  <a:solidFill>
                                    <a:srgbClr val="000000"/>
                                  </a:solidFill>
                                  <a:prstDash val="solid"/>
                                  <a:headEnd type="none" w="med" len="med"/>
                                  <a:tailEnd type="triangle" w="med" len="med"/>
                                </a:ln>
                              </wps:spPr>
                              <wps:bodyPr upright="1"/>
                            </wps:wsp>
                            <wps:wsp>
                              <wps:cNvPr id="86" name="文本框 86"/>
                              <wps:cNvSpPr txBox="1"/>
                              <wps:spPr>
                                <a:xfrm>
                                  <a:off x="0" y="718185"/>
                                  <a:ext cx="586740" cy="281940"/>
                                </a:xfrm>
                                <a:prstGeom prst="rect">
                                  <a:avLst/>
                                </a:prstGeom>
                                <a:noFill/>
                                <a:ln>
                                  <a:noFill/>
                                </a:ln>
                              </wps:spPr>
                              <wps:txbx>
                                <w:txbxContent>
                                  <w:p w14:paraId="354CB04B">
                                    <w:pPr>
                                      <w:spacing w:line="240" w:lineRule="auto"/>
                                      <w:ind w:firstLine="0" w:firstLineChars="0"/>
                                      <w:jc w:val="center"/>
                                      <w:rPr>
                                        <w:rFonts w:hAnsi="宋体"/>
                                        <w:szCs w:val="21"/>
                                      </w:rPr>
                                    </w:pPr>
                                    <w:r>
                                      <w:rPr>
                                        <w:rFonts w:hint="eastAsia"/>
                                        <w:szCs w:val="21"/>
                                        <w:lang w:val="en-US" w:eastAsia="zh-CN"/>
                                      </w:rPr>
                                      <w:t>新鲜水</w:t>
                                    </w:r>
                                    <w:r>
                                      <w:rPr>
                                        <w:rFonts w:hint="eastAsia"/>
                                        <w:szCs w:val="21"/>
                                      </w:rPr>
                                      <w:t>水</w:t>
                                    </w:r>
                                  </w:p>
                                </w:txbxContent>
                              </wps:txbx>
                              <wps:bodyPr upright="1"/>
                            </wps:wsp>
                            <wps:wsp>
                              <wps:cNvPr id="87" name="曲线连接符 87"/>
                              <wps:cNvCnPr>
                                <a:stCxn id="76" idx="3"/>
                              </wps:cNvCnPr>
                              <wps:spPr>
                                <a:xfrm flipV="1">
                                  <a:off x="2667000" y="161290"/>
                                  <a:ext cx="297180" cy="115570"/>
                                </a:xfrm>
                                <a:prstGeom prst="curvedConnector3">
                                  <a:avLst>
                                    <a:gd name="adj1" fmla="val 50000"/>
                                  </a:avLst>
                                </a:prstGeom>
                                <a:ln w="9525" cap="flat" cmpd="sng">
                                  <a:solidFill>
                                    <a:srgbClr val="000000"/>
                                  </a:solidFill>
                                  <a:prstDash val="solid"/>
                                  <a:headEnd type="none" w="med" len="med"/>
                                  <a:tailEnd type="triangle" w="med" len="med"/>
                                </a:ln>
                              </wps:spPr>
                              <wps:bodyPr/>
                            </wps:wsp>
                            <wps:wsp>
                              <wps:cNvPr id="88" name="文本框 88"/>
                              <wps:cNvSpPr txBox="1"/>
                              <wps:spPr>
                                <a:xfrm>
                                  <a:off x="2970530" y="24765"/>
                                  <a:ext cx="536575" cy="254635"/>
                                </a:xfrm>
                                <a:prstGeom prst="rect">
                                  <a:avLst/>
                                </a:prstGeom>
                                <a:noFill/>
                                <a:ln>
                                  <a:noFill/>
                                </a:ln>
                              </wps:spPr>
                              <wps:txbx>
                                <w:txbxContent>
                                  <w:p w14:paraId="012C9E33">
                                    <w:pPr>
                                      <w:spacing w:line="240" w:lineRule="auto"/>
                                      <w:rPr>
                                        <w:rFonts w:hAnsi="宋体"/>
                                        <w:szCs w:val="21"/>
                                      </w:rPr>
                                    </w:pPr>
                                    <w:r>
                                      <w:rPr>
                                        <w:rFonts w:hint="eastAsia" w:hAnsi="宋体"/>
                                        <w:szCs w:val="21"/>
                                      </w:rPr>
                                      <w:t>噪声</w:t>
                                    </w:r>
                                  </w:p>
                                </w:txbxContent>
                              </wps:txbx>
                              <wps:bodyPr upright="1"/>
                            </wps:wsp>
                            <wps:wsp>
                              <wps:cNvPr id="45" name="直接连接符 2"/>
                              <wps:cNvCnPr>
                                <a:endCxn id="9" idx="1"/>
                              </wps:cNvCnPr>
                              <wps:spPr>
                                <a:xfrm flipV="1">
                                  <a:off x="512445" y="887095"/>
                                  <a:ext cx="272415" cy="0"/>
                                </a:xfrm>
                                <a:prstGeom prst="line">
                                  <a:avLst/>
                                </a:prstGeom>
                                <a:ln w="9525" cap="flat" cmpd="sng">
                                  <a:solidFill>
                                    <a:srgbClr val="000000"/>
                                  </a:solidFill>
                                  <a:prstDash val="solid"/>
                                  <a:headEnd type="none" w="med" len="med"/>
                                  <a:tailEnd type="triangle" w="med" len="med"/>
                                </a:ln>
                              </wps:spPr>
                              <wps:bodyPr upright="1"/>
                            </wps:wsp>
                            <wps:wsp>
                              <wps:cNvPr id="46" name="文本框 9"/>
                              <wps:cNvSpPr txBox="1"/>
                              <wps:spPr>
                                <a:xfrm>
                                  <a:off x="784860" y="738505"/>
                                  <a:ext cx="730250" cy="2971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D59645">
                                    <w:pPr>
                                      <w:spacing w:line="240" w:lineRule="auto"/>
                                      <w:ind w:firstLine="0" w:firstLineChars="0"/>
                                      <w:jc w:val="center"/>
                                      <w:rPr>
                                        <w:rFonts w:hint="eastAsia" w:eastAsiaTheme="minorEastAsia"/>
                                        <w:szCs w:val="21"/>
                                        <w:lang w:eastAsia="zh-CN"/>
                                      </w:rPr>
                                    </w:pPr>
                                    <w:r>
                                      <w:rPr>
                                        <w:rFonts w:hint="eastAsia" w:hAnsi="宋体"/>
                                        <w:szCs w:val="21"/>
                                        <w:lang w:val="en-US" w:eastAsia="zh-CN"/>
                                      </w:rPr>
                                      <w:t>软水装置置</w:t>
                                    </w:r>
                                  </w:p>
                                </w:txbxContent>
                              </wps:txbx>
                              <wps:bodyPr upright="1"/>
                            </wps:wsp>
                            <wps:wsp>
                              <wps:cNvPr id="47" name="曲线连接符 11"/>
                              <wps:cNvCnPr/>
                              <wps:spPr>
                                <a:xfrm rot="10800000" flipV="1">
                                  <a:off x="914400" y="1042670"/>
                                  <a:ext cx="252095" cy="204470"/>
                                </a:xfrm>
                                <a:prstGeom prst="curvedConnector3">
                                  <a:avLst>
                                    <a:gd name="adj1" fmla="val 49874"/>
                                  </a:avLst>
                                </a:prstGeom>
                                <a:ln w="9525" cap="flat" cmpd="sng">
                                  <a:solidFill>
                                    <a:srgbClr val="000000"/>
                                  </a:solidFill>
                                  <a:prstDash val="solid"/>
                                  <a:headEnd type="none" w="med" len="med"/>
                                  <a:tailEnd type="triangle" w="med" len="med"/>
                                </a:ln>
                              </wps:spPr>
                              <wps:bodyPr/>
                            </wps:wsp>
                            <wps:wsp>
                              <wps:cNvPr id="48" name="文本框 20"/>
                              <wps:cNvSpPr txBox="1"/>
                              <wps:spPr>
                                <a:xfrm>
                                  <a:off x="617220" y="1228090"/>
                                  <a:ext cx="536575" cy="254635"/>
                                </a:xfrm>
                                <a:prstGeom prst="rect">
                                  <a:avLst/>
                                </a:prstGeom>
                                <a:noFill/>
                                <a:ln>
                                  <a:noFill/>
                                </a:ln>
                              </wps:spPr>
                              <wps:txbx>
                                <w:txbxContent>
                                  <w:p w14:paraId="29E678FD">
                                    <w:pPr>
                                      <w:spacing w:line="240" w:lineRule="auto"/>
                                      <w:rPr>
                                        <w:rFonts w:hint="eastAsia" w:hAnsi="宋体" w:eastAsiaTheme="minorEastAsia"/>
                                        <w:szCs w:val="21"/>
                                        <w:lang w:val="en-US" w:eastAsia="zh-CN"/>
                                      </w:rPr>
                                    </w:pPr>
                                    <w:r>
                                      <w:rPr>
                                        <w:rFonts w:hint="eastAsia" w:hAnsi="宋体"/>
                                        <w:szCs w:val="21"/>
                                        <w:lang w:val="en-US" w:eastAsia="zh-CN"/>
                                      </w:rPr>
                                      <w:t>污水</w:t>
                                    </w:r>
                                  </w:p>
                                </w:txbxContent>
                              </wps:txbx>
                              <wps:bodyPr upright="1"/>
                            </wps:wsp>
                          </wpc:wpc>
                        </a:graphicData>
                      </a:graphic>
                    </wp:inline>
                  </w:drawing>
                </mc:Choice>
                <mc:Fallback>
                  <w:pict>
                    <v:group id="_x0000_s1026" o:spid="_x0000_s1026" o:spt="203" style="height:138.5pt;width:405.95pt;" coordsize="5155565,1758950" editas="canvas" o:gfxdata="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">
                      <o:lock v:ext="edit" aspectratio="f"/>
                      <v:shape id="_x0000_s1026" o:spid="_x0000_s1026" style="position:absolute;left:0;top:0;height:1758950;width:5155565;" filled="f" stroked="f" coordsize="21600,21600" o:gfxdata="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">
                        <v:fill on="f" focussize="0,0"/>
                        <v:stroke on="f"/>
                        <v:imagedata o:title=""/>
                        <o:lock v:ext="edit" aspectratio="t"/>
                      </v:shape>
                      <v:shape id="_x0000_s1026" o:spid="_x0000_s1026" o:spt="202" type="#_x0000_t202" style="position:absolute;left:395605;top:139700;height:274320;width:868680;" filled="f" stroked="f" coordsize="21600,21600" o:gfxdata="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a4UbWdQAAAAFAQAADwAAAAAAAAABACAAAAAiAAAAZHJzL2Rvd25yZXYueG1sUEsBAhQAFAAAAAgA&#10;h07iQCy5bvK3AQAAWQMAAA4AAAAAAAAAAQAgAAAAIwEAAGRycy9lMm9Eb2MueG1sUEsFBgAAAAAG&#10;AAYAWQEAAEwFAAAAAA==&#10;">
                        <v:fill on="f" focussize="0,0"/>
                        <v:stroke on="f"/>
                        <v:imagedata o:title=""/>
                        <o:lock v:ext="edit" aspectratio="f"/>
                        <v:textbox>
                          <w:txbxContent>
                            <w:p w14:paraId="090FBFE7">
                              <w:pPr>
                                <w:spacing w:line="240" w:lineRule="auto"/>
                                <w:ind w:firstLine="0" w:firstLineChars="0"/>
                                <w:jc w:val="center"/>
                                <w:rPr>
                                  <w:rFonts w:hint="default" w:hAnsi="宋体" w:eastAsiaTheme="minorEastAsia"/>
                                  <w:szCs w:val="21"/>
                                  <w:lang w:val="en-US" w:eastAsia="zh-CN"/>
                                </w:rPr>
                              </w:pPr>
                              <w:r>
                                <w:rPr>
                                  <w:rFonts w:hint="eastAsia"/>
                                  <w:szCs w:val="21"/>
                                  <w:lang w:val="en-US" w:eastAsia="zh-CN"/>
                                </w:rPr>
                                <w:t>轻质柴油</w:t>
                              </w:r>
                            </w:p>
                          </w:txbxContent>
                        </v:textbox>
                      </v:shape>
                      <v:shape id="_x0000_s1026" o:spid="_x0000_s1026" o:spt="202" type="#_x0000_t202" style="position:absolute;left:1733764;top:128597;height:296711;width:933148;" fillcolor="#FFFFFF" filled="t" stroked="t" coordsize="21600,21600" o:gfxdata="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IUNpf9YAAAAFAQAADwAAAAAAAAABACAAAAAiAAAAZHJzL2Rvd25yZXYueG1sUEsBAhQAFAAA&#10;AAgAh07iQAter7kqAgAAagQAAA4AAAAAAAAAAQAgAAAAJQEAAGRycy9lMm9Eb2MueG1sUEsFBgAA&#10;AAAGAAYAWQEAAMEFAAAAAA==&#10;">
                        <v:fill on="t" focussize="0,0"/>
                        <v:stroke color="#000000" joinstyle="miter"/>
                        <v:imagedata o:title=""/>
                        <o:lock v:ext="edit" aspectratio="f"/>
                        <v:textbox inset="0mm,3pt,0mm,0mm">
                          <w:txbxContent>
                            <w:p w14:paraId="41829E98">
                              <w:pPr>
                                <w:spacing w:line="240" w:lineRule="auto"/>
                                <w:ind w:firstLine="0" w:firstLineChars="0"/>
                                <w:jc w:val="center"/>
                                <w:rPr>
                                  <w:szCs w:val="21"/>
                                </w:rPr>
                              </w:pPr>
                              <w:r>
                                <w:rPr>
                                  <w:rFonts w:hint="eastAsia" w:hAnsi="宋体"/>
                                  <w:szCs w:val="21"/>
                                </w:rPr>
                                <w:t>输</w:t>
                              </w:r>
                              <w:r>
                                <w:rPr>
                                  <w:rFonts w:hint="eastAsia" w:hAnsi="宋体"/>
                                  <w:szCs w:val="21"/>
                                  <w:lang w:val="en-US" w:eastAsia="zh-CN"/>
                                </w:rPr>
                                <w:t>油</w:t>
                              </w:r>
                              <w:r>
                                <w:rPr>
                                  <w:rFonts w:hint="eastAsia" w:hAnsi="宋体"/>
                                  <w:szCs w:val="21"/>
                                </w:rPr>
                                <w:t>系统</w:t>
                              </w:r>
                            </w:p>
                          </w:txbxContent>
                        </v:textbox>
                      </v:shape>
                      <v:shape id="_x0000_s1026" o:spid="_x0000_s1026" o:spt="202" type="#_x0000_t202" style="position:absolute;left:1733764;top:734075;height:296711;width:933148;" fillcolor="#FFFFFF" filled="t" stroked="t" coordsize="21600,21600" o:gfxdata="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xVKsXVAAAABQEAAA8AAAAAAAAAAQAgAAAAIgAAAGRycy9kb3ducmV2LnhtbFBLAQIUABQA&#10;AAAIAIdO4kAdclj/LAIAAG4EAAAOAAAAAAAAAAEAIAAAACQBAABkcnMvZTJvRG9jLnhtbFBLBQYA&#10;AAAABgAGAFkBAADCBQAAAAA=&#10;">
                        <v:fill on="t" focussize="0,0"/>
                        <v:stroke color="#000000" joinstyle="miter"/>
                        <v:imagedata o:title=""/>
                        <o:lock v:ext="edit" aspectratio="f"/>
                        <v:textbox inset="0mm,1.27mm,0mm,1.27mm">
                          <w:txbxContent>
                            <w:p w14:paraId="42F3A7C1">
                              <w:pPr>
                                <w:spacing w:line="240" w:lineRule="auto"/>
                                <w:ind w:firstLine="0" w:firstLineChars="0"/>
                                <w:jc w:val="center"/>
                                <w:rPr>
                                  <w:szCs w:val="21"/>
                                </w:rPr>
                              </w:pPr>
                              <w:r>
                                <w:rPr>
                                  <w:rFonts w:hint="eastAsia"/>
                                  <w:szCs w:val="21"/>
                                </w:rPr>
                                <w:t>锅炉</w:t>
                              </w:r>
                              <w:r>
                                <w:rPr>
                                  <w:rFonts w:hint="eastAsia" w:hAnsi="宋体"/>
                                  <w:szCs w:val="21"/>
                                </w:rPr>
                                <w:t>燃烧系统</w:t>
                              </w:r>
                            </w:p>
                          </w:txbxContent>
                        </v:textbox>
                      </v:shape>
                      <v:shape id="_x0000_s1026" o:spid="_x0000_s1026" o:spt="202" type="#_x0000_t202" style="position:absolute;left:1609725;top:1328420;height:297180;width:1152525;" fillcolor="#FFFFFF" filled="t" stroked="t" coordsize="21600,21600" o:gfxdata="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2LZH5NYAAAAFAQAADwAAAAAA&#10;AAABACAAAAAiAAAAZHJzL2Rvd25yZXYueG1sUEsBAhQAFAAAAAgAh07iQOoSIj8VAgAARAQAAA4A&#10;AAAAAAAAAQAgAAAAJQEAAGRycy9lMm9Eb2MueG1sUEsFBgAAAAAGAAYAWQEAAKwFAAAAAA==&#10;">
                        <v:fill on="t" focussize="0,0"/>
                        <v:stroke color="#000000" joinstyle="miter"/>
                        <v:imagedata o:title=""/>
                        <o:lock v:ext="edit" aspectratio="f"/>
                        <v:textbox>
                          <w:txbxContent>
                            <w:p w14:paraId="637E5C9A">
                              <w:pPr>
                                <w:spacing w:line="240" w:lineRule="auto"/>
                                <w:ind w:firstLine="0" w:firstLineChars="0"/>
                                <w:jc w:val="center"/>
                                <w:rPr>
                                  <w:rFonts w:hint="default" w:eastAsiaTheme="minorEastAsia"/>
                                  <w:szCs w:val="21"/>
                                  <w:lang w:val="en-US" w:eastAsia="zh-CN"/>
                                </w:rPr>
                              </w:pPr>
                              <w:r>
                                <w:rPr>
                                  <w:rFonts w:hint="eastAsia" w:hAnsi="宋体"/>
                                  <w:szCs w:val="21"/>
                                </w:rPr>
                                <w:t>生产系统</w:t>
                              </w:r>
                              <w:r>
                                <w:rPr>
                                  <w:rFonts w:hint="eastAsia" w:hAnsi="宋体"/>
                                  <w:szCs w:val="21"/>
                                  <w:lang w:eastAsia="zh-CN"/>
                                </w:rPr>
                                <w:t>、</w:t>
                              </w:r>
                              <w:r>
                                <w:rPr>
                                  <w:rFonts w:hint="eastAsia" w:hAnsi="宋体"/>
                                  <w:szCs w:val="21"/>
                                  <w:lang w:val="en-US" w:eastAsia="zh-CN"/>
                                </w:rPr>
                                <w:t>采暖</w:t>
                              </w:r>
                            </w:p>
                          </w:txbxContent>
                        </v:textbox>
                      </v:shape>
                      <v:line id="_x0000_s1026" o:spid="_x0000_s1026" o:spt="20" style="position:absolute;left:2200338;top:436695;height:297381;width:775;" filled="f" stroked="t" coordsize="21600,21600" o:gfxdata="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ir/hNcAAAAFAQAADwAAAAAAAAABACAAAAAi&#10;AAAAZHJzL2Rvd25yZXYueG1sUEsBAhQAFAAAAAgAh07iQDZQs48LAgAA9gMAAA4AAAAAAAAAAQAg&#10;AAAAJgEAAGRycy9lMm9Eb2MueG1sUEsFBgAAAAAGAAYAWQEAAKMFAAAAAA==&#10;">
                        <v:fill on="f" focussize="0,0"/>
                        <v:stroke color="#000000" joinstyle="round" endarrow="block"/>
                        <v:imagedata o:title=""/>
                        <o:lock v:ext="edit" aspectratio="f"/>
                      </v:line>
                      <v:line id="_x0000_s1026" o:spid="_x0000_s1026" o:spt="20" style="position:absolute;left:2200338;top:1031456;height:296711;width:775;" filled="f" stroked="t" coordsize="21600,21600" o:gfxdata="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KKv+E1wAAAAUBAAAPAAAAAAAAAAEAIAAAACIA&#10;AABkcnMvZG93bnJldi54bWxQSwECFAAUAAAACACHTuJASDuW6AoCAAD3AwAADgAAAAAAAAABACAA&#10;AAAmAQAAZHJzL2Uyb0RvYy54bWxQSwUGAAAAAAYABgBZAQAAogUAAAAA&#10;">
                        <v:fill on="f" focussize="0,0"/>
                        <v:stroke color="#000000" joinstyle="round" endarrow="block"/>
                        <v:imagedata o:title=""/>
                        <o:lock v:ext="edit" aspectratio="f"/>
                      </v:line>
                      <v:line id="_x0000_s1026" o:spid="_x0000_s1026" o:spt="20" style="position:absolute;left:1207135;top:288925;height:635;width:533400;" filled="f" stroked="t" coordsize="21600,21600" o:gfxdata="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KKv+E1wAAAAUBAAAPAAAAAAAAAAEAIAAAACIA&#10;AABkcnMvZG93bnJldi54bWxQSwECFAAUAAAACACHTuJAfBOnOwoCAAD2AwAADgAAAAAAAAABACAA&#10;AAAmAQAAZHJzL2Uyb0RvYy54bWxQSwUGAAAAAAYABgBZAQAAogUAAAAA&#10;">
                        <v:fill on="f" focussize="0,0"/>
                        <v:stroke color="#000000" joinstyle="round" endarrow="block"/>
                        <v:imagedata o:title=""/>
                        <o:lock v:ext="edit" aspectratio="f"/>
                      </v:line>
                      <v:shape id="_x0000_s1026" o:spid="_x0000_s1026" o:spt="38" type="#_x0000_t38" style="position:absolute;left:2666912;top:683172;flip:y;height:102476;width:266614;" filled="f" stroked="t" coordsize="21600,21600" o:gfxdata="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gHTtrUAAAABQEAAA8AAAAAAAAAAQAgAAAAIgAAAGRycy9kb3ducmV2LnhtbFBLAQIUABQA&#10;AAAIAIdO4kDZcNJWLQIAADAEAAAOAAAAAAAAAAEAIAAAACMBAABkcnMvZTJvRG9jLnhtbFBLBQYA&#10;AAAABgAGAFkBAADCBQAAAAA=&#10;" adj="10800">
                        <v:fill on="f" focussize="0,0"/>
                        <v:stroke color="#000000" joinstyle="round" endarrow="block"/>
                        <v:imagedata o:title=""/>
                        <o:lock v:ext="edit" aspectratio="f"/>
                      </v:shape>
                      <v:shape id="_x0000_s1026" o:spid="_x0000_s1026" o:spt="202" type="#_x0000_t202" style="position:absolute;left:2829560;top:450850;height:519430;width:1699895;" filled="f" stroked="f" coordsize="21600,21600" o:gfxdata="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a4UbWdQAAAAFAQAADwAAAAAAAAABACAAAAAiAAAAZHJzL2Rvd25yZXYueG1sUEsBAhQAFAAA&#10;AAgAh07iQE4aH+W6AQAAWwMAAA4AAAAAAAAAAQAgAAAAIwEAAGRycy9lMm9Eb2MueG1sUEsFBgAA&#10;AAAGAAYAWQEAAE8FAAAAAA==&#10;">
                        <v:fill on="f" focussize="0,0"/>
                        <v:stroke on="f"/>
                        <v:imagedata o:title=""/>
                        <o:lock v:ext="edit" aspectratio="f"/>
                        <v:textbox>
                          <w:txbxContent>
                            <w:p w14:paraId="1CD90447">
                              <w:pPr>
                                <w:spacing w:line="240" w:lineRule="auto"/>
                                <w:ind w:firstLine="0" w:firstLineChars="0"/>
                                <w:jc w:val="center"/>
                                <w:rPr>
                                  <w:rFonts w:hint="default" w:ascii="Times New Roman" w:hAnsi="Times New Roman" w:cs="Times New Roman"/>
                                  <w:szCs w:val="21"/>
                                </w:rPr>
                              </w:pPr>
                              <w:r>
                                <w:rPr>
                                  <w:rFonts w:hint="eastAsia" w:hAnsi="宋体"/>
                                  <w:szCs w:val="21"/>
                                  <w:lang w:val="en-US" w:eastAsia="zh-CN"/>
                                </w:rPr>
                                <w:t>柴油</w:t>
                              </w:r>
                              <w:r>
                                <w:rPr>
                                  <w:rFonts w:hint="eastAsia" w:hAnsi="宋体"/>
                                  <w:szCs w:val="21"/>
                                </w:rPr>
                                <w:t>燃烧废气（</w:t>
                              </w:r>
                              <w:r>
                                <w:rPr>
                                  <w:rFonts w:hint="default" w:ascii="Times New Roman" w:hAnsi="Times New Roman" w:cs="Times New Roman"/>
                                  <w:szCs w:val="21"/>
                                </w:rPr>
                                <w:t>烟尘、</w:t>
                              </w:r>
                            </w:p>
                            <w:p w14:paraId="0A9C510C">
                              <w:pPr>
                                <w:spacing w:line="240" w:lineRule="auto"/>
                                <w:ind w:firstLine="0" w:firstLineChars="0"/>
                                <w:jc w:val="center"/>
                                <w:rPr>
                                  <w:rFonts w:hint="default" w:hAnsi="宋体" w:eastAsiaTheme="minorEastAsia"/>
                                  <w:szCs w:val="21"/>
                                  <w:lang w:val="en-US" w:eastAsia="zh-CN"/>
                                </w:rPr>
                              </w:pPr>
                              <w:r>
                                <w:rPr>
                                  <w:rFonts w:hint="default" w:ascii="Times New Roman" w:hAnsi="Times New Roman" w:cs="Times New Roman"/>
                                  <w:szCs w:val="21"/>
                                </w:rPr>
                                <w:t>SO</w:t>
                              </w:r>
                              <w:r>
                                <w:rPr>
                                  <w:rFonts w:hint="default" w:ascii="Times New Roman" w:hAnsi="Times New Roman" w:cs="Times New Roman"/>
                                  <w:szCs w:val="21"/>
                                  <w:vertAlign w:val="subscript"/>
                                </w:rPr>
                                <w:t>2</w:t>
                              </w:r>
                              <w:r>
                                <w:rPr>
                                  <w:rFonts w:hint="default" w:ascii="Times New Roman" w:hAnsi="Times New Roman" w:cs="Times New Roman"/>
                                  <w:szCs w:val="21"/>
                                </w:rPr>
                                <w:t>、NO</w:t>
                              </w:r>
                              <w:r>
                                <w:rPr>
                                  <w:rFonts w:hint="default" w:ascii="Times New Roman" w:hAnsi="Times New Roman" w:cs="Times New Roman"/>
                                  <w:szCs w:val="21"/>
                                  <w:vertAlign w:val="subscript"/>
                                </w:rPr>
                                <w:t>X</w:t>
                              </w:r>
                              <w:r>
                                <w:rPr>
                                  <w:rFonts w:hint="eastAsia" w:hAnsi="宋体"/>
                                  <w:szCs w:val="21"/>
                                </w:rPr>
                                <w:t>）</w:t>
                              </w:r>
                              <w:r>
                                <w:rPr>
                                  <w:rFonts w:hint="eastAsia" w:hAnsi="宋体"/>
                                  <w:szCs w:val="21"/>
                                  <w:lang w:eastAsia="zh-CN"/>
                                </w:rPr>
                                <w:t>、</w:t>
                              </w:r>
                              <w:r>
                                <w:rPr>
                                  <w:rFonts w:hint="eastAsia" w:hAnsi="宋体"/>
                                  <w:szCs w:val="21"/>
                                  <w:lang w:val="en-US" w:eastAsia="zh-CN"/>
                                </w:rPr>
                                <w:t>污水、噪声</w:t>
                              </w:r>
                            </w:p>
                          </w:txbxContent>
                        </v:textbox>
                      </v:shape>
                      <v:shape id="_x0000_s1026" o:spid="_x0000_s1026" o:spt="202" type="#_x0000_t202" style="position:absolute;left:2173605;top:1036955;height:259080;width:558165;" filled="f" stroked="f" coordsize="21600,21600" o:gfxdata="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a4UbWdQAAAAFAQAADwAAAAAAAAABACAAAAAiAAAAZHJzL2Rvd25yZXYueG1sUEsBAhQAFAAA&#10;AAgAh07iQDLL43G6AQAAWwMAAA4AAAAAAAAAAQAgAAAAIwEAAGRycy9lMm9Eb2MueG1sUEsFBgAA&#10;AAAGAAYAWQEAAE8FAAAAAA==&#10;">
                        <v:fill on="f" focussize="0,0"/>
                        <v:stroke on="f"/>
                        <v:imagedata o:title=""/>
                        <o:lock v:ext="edit" aspectratio="f"/>
                        <v:textbox>
                          <w:txbxContent>
                            <w:p w14:paraId="31E69AB9">
                              <w:pPr>
                                <w:spacing w:line="240" w:lineRule="auto"/>
                                <w:ind w:firstLine="0" w:firstLineChars="0"/>
                                <w:jc w:val="center"/>
                                <w:rPr>
                                  <w:rFonts w:hAnsi="宋体"/>
                                  <w:szCs w:val="21"/>
                                </w:rPr>
                              </w:pPr>
                              <w:r>
                                <w:rPr>
                                  <w:rFonts w:hint="eastAsia"/>
                                  <w:szCs w:val="21"/>
                                </w:rPr>
                                <w:t>蒸汽</w:t>
                              </w:r>
                            </w:p>
                          </w:txbxContent>
                        </v:textbox>
                      </v:shape>
                      <v:line id="_x0000_s1026" o:spid="_x0000_s1026" o:spt="20" style="position:absolute;left:1490345;top:887095;height:0;width:252000;" filled="f" stroked="t" coordsize="21600,21600" o:gfxdata="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KKv+E1wAAAAUBAAAPAAAAAAAAAAEAIAAAACIA&#10;AABkcnMvZG93bnJldi54bWxQSwECFAAUAAAACACHTuJAsY72cAoCAAD0AwAADgAAAAAAAAABACAA&#10;AAAmAQAAZHJzL2Uyb0RvYy54bWxQSwUGAAAAAAYABgBZAQAAogUAAAAA&#10;">
                        <v:fill on="f" focussize="0,0"/>
                        <v:stroke color="#000000" joinstyle="round" endarrow="block"/>
                        <v:imagedata o:title=""/>
                        <o:lock v:ext="edit" aspectratio="f"/>
                      </v:line>
                      <v:shape id="_x0000_s1026" o:spid="_x0000_s1026" o:spt="202" type="#_x0000_t202" style="position:absolute;left:0;top:718185;height:281940;width:586740;" filled="f" stroked="f" coordsize="21600,21600" o:gfxdata="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rhRtZ&#10;1AAAAAUBAAAPAAAAAAAAAAEAIAAAACIAAABkcnMvZG93bnJldi54bWxQSwECFAAUAAAACACHTuJA&#10;DK9Lg7MBAABUAwAADgAAAAAAAAABACAAAAAjAQAAZHJzL2Uyb0RvYy54bWxQSwUGAAAAAAYABgBZ&#10;AQAASAUAAAAA&#10;">
                        <v:fill on="f" focussize="0,0"/>
                        <v:stroke on="f"/>
                        <v:imagedata o:title=""/>
                        <o:lock v:ext="edit" aspectratio="f"/>
                        <v:textbox>
                          <w:txbxContent>
                            <w:p w14:paraId="354CB04B">
                              <w:pPr>
                                <w:spacing w:line="240" w:lineRule="auto"/>
                                <w:ind w:firstLine="0" w:firstLineChars="0"/>
                                <w:jc w:val="center"/>
                                <w:rPr>
                                  <w:rFonts w:hAnsi="宋体"/>
                                  <w:szCs w:val="21"/>
                                </w:rPr>
                              </w:pPr>
                              <w:r>
                                <w:rPr>
                                  <w:rFonts w:hint="eastAsia"/>
                                  <w:szCs w:val="21"/>
                                  <w:lang w:val="en-US" w:eastAsia="zh-CN"/>
                                </w:rPr>
                                <w:t>新鲜水</w:t>
                              </w:r>
                              <w:r>
                                <w:rPr>
                                  <w:rFonts w:hint="eastAsia"/>
                                  <w:szCs w:val="21"/>
                                </w:rPr>
                                <w:t>水</w:t>
                              </w:r>
                            </w:p>
                          </w:txbxContent>
                        </v:textbox>
                      </v:shape>
                      <v:shape id="_x0000_s1026" o:spid="_x0000_s1026" o:spt="38" type="#_x0000_t38" style="position:absolute;left:2667000;top:161290;flip:y;height:115570;width:297180;" filled="f" stroked="t" coordsize="21600,21600" o:gfxdata="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KAdO2tQAAAAFAQAADwAAAAAAAAABACAAAAAiAAAAZHJzL2Rvd25y&#10;ZXYueG1sUEsBAhQAFAAAAAgAh07iQC6JoWo7AgAAVwQAAA4AAAAAAAAAAQAgAAAAIwEAAGRycy9l&#10;Mm9Eb2MueG1sUEsFBgAAAAAGAAYAWQEAANAFAAAAAA==&#10;" adj="10800">
                        <v:fill on="f" focussize="0,0"/>
                        <v:stroke color="#000000" joinstyle="round" endarrow="block"/>
                        <v:imagedata o:title=""/>
                        <o:lock v:ext="edit" aspectratio="f"/>
                      </v:shape>
                      <v:shape id="_x0000_s1026" o:spid="_x0000_s1026" o:spt="202" type="#_x0000_t202" style="position:absolute;left:2970530;top:24765;height:254635;width:536575;" filled="f" stroked="f" coordsize="21600,21600" o:gfxdata="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uFG1nUAAAABQEAAA8AAAAAAAAAAQAgAAAAIgAAAGRycy9kb3ducmV2LnhtbFBLAQIUABQAAAAI&#10;AIdO4kCxIdvKuAEAAFkDAAAOAAAAAAAAAAEAIAAAACMBAABkcnMvZTJvRG9jLnhtbFBLBQYAAAAA&#10;BgAGAFkBAABNBQAAAAA=&#10;">
                        <v:fill on="f" focussize="0,0"/>
                        <v:stroke on="f"/>
                        <v:imagedata o:title=""/>
                        <o:lock v:ext="edit" aspectratio="f"/>
                        <v:textbox>
                          <w:txbxContent>
                            <w:p w14:paraId="012C9E33">
                              <w:pPr>
                                <w:spacing w:line="240" w:lineRule="auto"/>
                                <w:rPr>
                                  <w:rFonts w:hAnsi="宋体"/>
                                  <w:szCs w:val="21"/>
                                </w:rPr>
                              </w:pPr>
                              <w:r>
                                <w:rPr>
                                  <w:rFonts w:hint="eastAsia" w:hAnsi="宋体"/>
                                  <w:szCs w:val="21"/>
                                </w:rPr>
                                <w:t>噪声</w:t>
                              </w:r>
                            </w:p>
                          </w:txbxContent>
                        </v:textbox>
                      </v:shape>
                      <v:line id="直接连接符 2" o:spid="_x0000_s1026" o:spt="20" style="position:absolute;left:512445;top:887095;flip:y;height:0;width:272415;" filled="f" stroked="t" coordsize="21600,21600" o:gfxdata="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kJq19YAAAAFAQAA&#10;DwAAAAAAAAABACAAAAAiAAAAZHJzL2Rvd25yZXYueG1sUEsBAhQAFAAAAAgAh07iQDj6RAsbAgAA&#10;IwQAAA4AAAAAAAAAAQAgAAAAJQEAAGRycy9lMm9Eb2MueG1sUEsFBgAAAAAGAAYAWQEAALIFAAAA&#10;AA==&#10;">
                        <v:fill on="f" focussize="0,0"/>
                        <v:stroke color="#000000" joinstyle="round" endarrow="block"/>
                        <v:imagedata o:title=""/>
                        <o:lock v:ext="edit" aspectratio="f"/>
                      </v:line>
                      <v:shape id="文本框 9" o:spid="_x0000_s1026" o:spt="202" type="#_x0000_t202" style="position:absolute;left:784860;top:738505;height:297180;width:730250;" fillcolor="#FFFFFF" filled="t" stroked="t" coordsize="21600,21600" o:gfxdata="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i2R+TWAAAABQEAAA8AAAAA&#10;AAAAAQAgAAAAIgAAAGRycy9kb3ducmV2LnhtbFBLAQIUABQAAAAIAIdO4kAByIfVFgIAAEAEAAAO&#10;AAAAAAAAAAEAIAAAACUBAABkcnMvZTJvRG9jLnhtbFBLBQYAAAAABgAGAFkBAACtBQAAAAA=&#10;">
                        <v:fill on="t" focussize="0,0"/>
                        <v:stroke color="#000000" joinstyle="miter"/>
                        <v:imagedata o:title=""/>
                        <o:lock v:ext="edit" aspectratio="f"/>
                        <v:textbox>
                          <w:txbxContent>
                            <w:p w14:paraId="65D59645">
                              <w:pPr>
                                <w:spacing w:line="240" w:lineRule="auto"/>
                                <w:ind w:firstLine="0" w:firstLineChars="0"/>
                                <w:jc w:val="center"/>
                                <w:rPr>
                                  <w:rFonts w:hint="eastAsia" w:eastAsiaTheme="minorEastAsia"/>
                                  <w:szCs w:val="21"/>
                                  <w:lang w:eastAsia="zh-CN"/>
                                </w:rPr>
                              </w:pPr>
                              <w:r>
                                <w:rPr>
                                  <w:rFonts w:hint="eastAsia" w:hAnsi="宋体"/>
                                  <w:szCs w:val="21"/>
                                  <w:lang w:val="en-US" w:eastAsia="zh-CN"/>
                                </w:rPr>
                                <w:t>软水装置置</w:t>
                              </w:r>
                            </w:p>
                          </w:txbxContent>
                        </v:textbox>
                      </v:shape>
                      <v:shape id="曲线连接符 11" o:spid="_x0000_s1026" o:spt="38" type="#_x0000_t38" style="position:absolute;left:914400;top:1042670;flip:y;height:204470;width:252095;rotation:11796480f;" filled="f" stroked="t" coordsize="21600,21600" o:gfxdata="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dPvK61QAAAAUBAAAPAAAAAAAAAAEAIAAAACIAAABkcnMvZG93bnJldi54&#10;bWxQSwECFAAUAAAACACHTuJAeI+0XDYCAAA/BAAADgAAAAAAAAABACAAAAAkAQAAZHJzL2Uyb0Rv&#10;Yy54bWxQSwUGAAAAAAYABgBZAQAAzAUAAAAA&#10;" adj="10773">
                        <v:fill on="f" focussize="0,0"/>
                        <v:stroke color="#000000" joinstyle="round" endarrow="block"/>
                        <v:imagedata o:title=""/>
                        <o:lock v:ext="edit" aspectratio="f"/>
                      </v:shape>
                      <v:shape id="文本框 20" o:spid="_x0000_s1026" o:spt="202" type="#_x0000_t202" style="position:absolute;left:617220;top:1228090;height:254635;width:536575;" filled="f" stroked="f" coordsize="21600,21600" o:gfxdata="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a4UbWdQAAAAFAQAADwAAAAAAAAABACAAAAAiAAAAZHJzL2Rvd25yZXYueG1sUEsBAhQAFAAAAAgA&#10;h07iQBFUcIi3AQAAWgMAAA4AAAAAAAAAAQAgAAAAIwEAAGRycy9lMm9Eb2MueG1sUEsFBgAAAAAG&#10;AAYAWQEAAEwFAAAAAA==&#10;">
                        <v:fill on="f" focussize="0,0"/>
                        <v:stroke on="f"/>
                        <v:imagedata o:title=""/>
                        <o:lock v:ext="edit" aspectratio="f"/>
                        <v:textbox>
                          <w:txbxContent>
                            <w:p w14:paraId="29E678FD">
                              <w:pPr>
                                <w:spacing w:line="240" w:lineRule="auto"/>
                                <w:rPr>
                                  <w:rFonts w:hint="eastAsia" w:hAnsi="宋体" w:eastAsiaTheme="minorEastAsia"/>
                                  <w:szCs w:val="21"/>
                                  <w:lang w:val="en-US" w:eastAsia="zh-CN"/>
                                </w:rPr>
                              </w:pPr>
                              <w:r>
                                <w:rPr>
                                  <w:rFonts w:hint="eastAsia" w:hAnsi="宋体"/>
                                  <w:szCs w:val="21"/>
                                  <w:lang w:val="en-US" w:eastAsia="zh-CN"/>
                                </w:rPr>
                                <w:t>污水</w:t>
                              </w:r>
                            </w:p>
                          </w:txbxContent>
                        </v:textbox>
                      </v:shape>
                      <w10:wrap type="none"/>
                      <w10:anchorlock/>
                    </v:group>
                  </w:pict>
                </mc:Fallback>
              </mc:AlternateContent>
            </w:r>
          </w:p>
          <w:p w14:paraId="7CB78C80">
            <w:pPr>
              <w:keepNext w:val="0"/>
              <w:keepLines w:val="0"/>
              <w:widowControl/>
              <w:suppressLineNumbers w:val="0"/>
              <w:spacing w:before="0" w:beforeAutospacing="0" w:after="0" w:afterAutospacing="0" w:line="360" w:lineRule="auto"/>
              <w:ind w:left="3" w:right="0" w:hanging="3"/>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图</w:t>
            </w:r>
            <w:r>
              <w:rPr>
                <w:rFonts w:hint="eastAsia" w:ascii="宋体" w:hAnsi="宋体" w:eastAsia="宋体" w:cs="宋体"/>
                <w:b/>
                <w:color w:val="auto"/>
                <w:sz w:val="24"/>
                <w:highlight w:val="none"/>
                <w:lang w:val="en-US" w:eastAsia="zh-CN"/>
              </w:rPr>
              <w:t>2-3</w:t>
            </w:r>
            <w:r>
              <w:rPr>
                <w:rFonts w:hint="eastAsia" w:ascii="宋体" w:hAnsi="宋体" w:eastAsia="宋体" w:cs="宋体"/>
                <w:b/>
                <w:color w:val="auto"/>
                <w:sz w:val="24"/>
                <w:highlight w:val="none"/>
              </w:rPr>
              <w:t xml:space="preserve"> </w:t>
            </w:r>
            <w:r>
              <w:rPr>
                <w:rFonts w:hint="eastAsia" w:ascii="宋体" w:hAnsi="宋体" w:eastAsia="宋体" w:cs="宋体"/>
                <w:b/>
                <w:color w:val="auto"/>
                <w:sz w:val="24"/>
                <w:highlight w:val="none"/>
                <w:lang w:val="en-US" w:eastAsia="zh-CN"/>
              </w:rPr>
              <w:t>燃油</w:t>
            </w:r>
            <w:r>
              <w:rPr>
                <w:rFonts w:hint="eastAsia" w:ascii="宋体" w:hAnsi="宋体" w:eastAsia="宋体" w:cs="宋体"/>
                <w:b/>
                <w:color w:val="auto"/>
                <w:sz w:val="24"/>
                <w:highlight w:val="none"/>
              </w:rPr>
              <w:t>蒸汽锅炉工艺流程及产污环节图</w:t>
            </w:r>
          </w:p>
          <w:p w14:paraId="60739B6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sz w:val="24"/>
                <w:lang w:val="en-US" w:eastAsia="zh-CN"/>
              </w:rPr>
            </w:pPr>
            <w:r>
              <w:rPr>
                <w:rFonts w:hint="eastAsia" w:ascii="宋体" w:hAnsi="宋体" w:eastAsia="宋体" w:cs="宋体"/>
                <w:color w:val="auto"/>
                <w:sz w:val="24"/>
              </w:rPr>
              <w:t>工艺流程简述：</w:t>
            </w:r>
          </w:p>
          <w:p w14:paraId="62B96B21">
            <w:pPr>
              <w:keepNext w:val="0"/>
              <w:keepLines w:val="0"/>
              <w:suppressLineNumbers w:val="0"/>
              <w:adjustRightInd w:val="0"/>
              <w:snapToGrid w:val="0"/>
              <w:spacing w:before="0" w:beforeAutospacing="0" w:after="0" w:afterAutospacing="0" w:line="360" w:lineRule="auto"/>
              <w:ind w:left="0" w:right="0" w:firstLine="480"/>
              <w:rPr>
                <w:rFonts w:hint="eastAsia" w:ascii="宋体" w:hAnsi="宋体" w:eastAsia="宋体" w:cs="宋体"/>
                <w:color w:val="auto"/>
                <w:sz w:val="24"/>
              </w:rPr>
            </w:pPr>
            <w:r>
              <w:rPr>
                <w:rFonts w:hint="eastAsia" w:ascii="宋体" w:hAnsi="宋体" w:eastAsia="宋体" w:cs="宋体"/>
                <w:color w:val="auto"/>
                <w:sz w:val="24"/>
                <w:lang w:val="en-US" w:eastAsia="zh-CN"/>
              </w:rPr>
              <w:t>柴油从柴油罐</w:t>
            </w:r>
            <w:r>
              <w:rPr>
                <w:rFonts w:hint="eastAsia" w:ascii="宋体" w:hAnsi="宋体" w:eastAsia="宋体" w:cs="宋体"/>
                <w:color w:val="auto"/>
                <w:sz w:val="24"/>
              </w:rPr>
              <w:t>由</w:t>
            </w:r>
            <w:r>
              <w:rPr>
                <w:rFonts w:hint="eastAsia" w:ascii="宋体" w:hAnsi="宋体" w:eastAsia="宋体" w:cs="宋体"/>
                <w:color w:val="auto"/>
                <w:sz w:val="24"/>
                <w:lang w:val="en-US" w:eastAsia="zh-CN"/>
              </w:rPr>
              <w:t>输油泵</w:t>
            </w:r>
            <w:r>
              <w:rPr>
                <w:rFonts w:hint="eastAsia" w:ascii="宋体" w:hAnsi="宋体" w:eastAsia="宋体" w:cs="宋体"/>
                <w:color w:val="auto"/>
                <w:sz w:val="24"/>
              </w:rPr>
              <w:t>提供给锅炉燃烧系统，此时</w:t>
            </w:r>
            <w:r>
              <w:rPr>
                <w:rFonts w:hint="eastAsia" w:ascii="宋体" w:hAnsi="宋体" w:eastAsia="宋体" w:cs="宋体"/>
                <w:color w:val="auto"/>
                <w:sz w:val="24"/>
                <w:lang w:val="en-US" w:eastAsia="zh-CN"/>
              </w:rPr>
              <w:t>柴油</w:t>
            </w:r>
            <w:r>
              <w:rPr>
                <w:rFonts w:hint="eastAsia" w:ascii="宋体" w:hAnsi="宋体" w:eastAsia="宋体" w:cs="宋体"/>
                <w:color w:val="auto"/>
                <w:sz w:val="24"/>
              </w:rPr>
              <w:t>燃烧产生大量热，并将</w:t>
            </w:r>
            <w:r>
              <w:rPr>
                <w:rFonts w:hint="eastAsia" w:ascii="宋体" w:hAnsi="宋体" w:eastAsia="宋体" w:cs="宋体"/>
                <w:color w:val="auto"/>
                <w:sz w:val="24"/>
                <w:lang w:val="en-US" w:eastAsia="zh-CN"/>
              </w:rPr>
              <w:t>锅炉中的软</w:t>
            </w:r>
            <w:r>
              <w:rPr>
                <w:rFonts w:hint="eastAsia" w:ascii="宋体" w:hAnsi="宋体" w:eastAsia="宋体" w:cs="宋体"/>
                <w:color w:val="auto"/>
                <w:sz w:val="24"/>
              </w:rPr>
              <w:t>水转化为水蒸气，产生的蒸汽供给生产系统。</w:t>
            </w:r>
          </w:p>
          <w:p w14:paraId="61776246">
            <w:pPr>
              <w:keepNext w:val="0"/>
              <w:keepLines w:val="0"/>
              <w:suppressLineNumbers w:val="0"/>
              <w:spacing w:before="0" w:beforeAutospacing="0" w:after="0" w:afterAutospacing="0" w:line="360" w:lineRule="auto"/>
              <w:ind w:left="0" w:right="0" w:firstLine="480" w:firstLineChars="200"/>
              <w:rPr>
                <w:rFonts w:hint="default" w:ascii="宋体" w:hAnsi="宋体" w:eastAsia="宋体" w:cs="宋体"/>
                <w:color w:val="auto"/>
                <w:sz w:val="24"/>
                <w:lang w:val="en-US" w:eastAsia="zh-CN"/>
              </w:rPr>
            </w:pPr>
            <w:r>
              <w:rPr>
                <w:rFonts w:hint="eastAsia" w:ascii="宋体" w:hAnsi="宋体" w:eastAsia="宋体" w:cs="宋体"/>
                <w:color w:val="auto"/>
                <w:sz w:val="24"/>
                <w:lang w:val="en-US" w:eastAsia="zh-CN"/>
              </w:rPr>
              <w:t>该环节产生的污染物主要为：柴油</w:t>
            </w:r>
            <w:r>
              <w:rPr>
                <w:rFonts w:hint="eastAsia" w:ascii="宋体" w:hAnsi="宋体" w:eastAsia="宋体" w:cs="宋体"/>
                <w:color w:val="auto"/>
                <w:sz w:val="24"/>
              </w:rPr>
              <w:t>燃烧产生烟尘、SO</w:t>
            </w:r>
            <w:r>
              <w:rPr>
                <w:rFonts w:hint="eastAsia" w:ascii="宋体" w:hAnsi="宋体" w:eastAsia="宋体" w:cs="宋体"/>
                <w:color w:val="auto"/>
                <w:sz w:val="24"/>
                <w:vertAlign w:val="subscript"/>
              </w:rPr>
              <w:t>2</w:t>
            </w:r>
            <w:r>
              <w:rPr>
                <w:rFonts w:hint="eastAsia" w:ascii="宋体" w:hAnsi="宋体" w:eastAsia="宋体" w:cs="宋体"/>
                <w:color w:val="auto"/>
                <w:sz w:val="24"/>
              </w:rPr>
              <w:t>、NO</w:t>
            </w:r>
            <w:r>
              <w:rPr>
                <w:rFonts w:hint="eastAsia" w:ascii="宋体" w:hAnsi="宋体" w:eastAsia="宋体" w:cs="宋体"/>
                <w:color w:val="auto"/>
                <w:sz w:val="24"/>
                <w:vertAlign w:val="subscript"/>
              </w:rPr>
              <w:t>X</w:t>
            </w:r>
            <w:r>
              <w:rPr>
                <w:rFonts w:hint="eastAsia" w:eastAsia="宋体" w:cs="宋体"/>
                <w:color w:val="auto"/>
                <w:sz w:val="24"/>
                <w:vertAlign w:val="baseline"/>
                <w:lang w:eastAsia="zh-CN"/>
              </w:rPr>
              <w:t>，柴油</w:t>
            </w:r>
            <w:r>
              <w:rPr>
                <w:rFonts w:hint="eastAsia" w:eastAsia="宋体" w:cs="宋体"/>
                <w:color w:val="auto"/>
                <w:sz w:val="24"/>
                <w:vertAlign w:val="baseline"/>
                <w:lang w:val="en-US" w:eastAsia="zh-CN"/>
              </w:rPr>
              <w:t>在卸油、储油和加油过程中</w:t>
            </w:r>
            <w:r>
              <w:rPr>
                <w:rFonts w:hint="eastAsia" w:eastAsia="宋体" w:cs="宋体"/>
                <w:color w:val="auto"/>
                <w:sz w:val="24"/>
                <w:vertAlign w:val="baseline"/>
                <w:lang w:eastAsia="zh-CN"/>
              </w:rPr>
              <w:t>挥发废气</w:t>
            </w:r>
            <w:r>
              <w:rPr>
                <w:rFonts w:hint="eastAsia" w:ascii="宋体" w:hAnsi="宋体" w:eastAsia="宋体" w:cs="宋体"/>
                <w:color w:val="auto"/>
                <w:sz w:val="24"/>
                <w:lang w:eastAsia="zh-CN"/>
              </w:rPr>
              <w:t>；</w:t>
            </w:r>
            <w:r>
              <w:rPr>
                <w:rFonts w:hint="eastAsia" w:ascii="宋体" w:hAnsi="宋体" w:eastAsia="宋体" w:cs="宋体"/>
                <w:color w:val="auto"/>
                <w:sz w:val="24"/>
              </w:rPr>
              <w:t>锅炉运行时配套风机产生噪声</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锅炉及软水装置定期排污水</w:t>
            </w:r>
            <w:r>
              <w:rPr>
                <w:rFonts w:hint="eastAsia" w:ascii="宋体" w:hAnsi="宋体" w:eastAsia="宋体" w:cs="宋体"/>
                <w:color w:val="auto"/>
                <w:sz w:val="24"/>
              </w:rPr>
              <w:t>。</w:t>
            </w:r>
            <w:r>
              <w:rPr>
                <w:rFonts w:hint="eastAsia" w:eastAsia="宋体" w:cs="宋体"/>
                <w:color w:val="auto"/>
                <w:sz w:val="24"/>
                <w:lang w:val="en-US" w:eastAsia="zh-CN"/>
              </w:rPr>
              <w:t>锅炉软水装置产生的废离子交换树脂。</w:t>
            </w:r>
          </w:p>
        </w:tc>
      </w:tr>
      <w:tr w14:paraId="0A267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5" w:hRule="atLeast"/>
          <w:jc w:val="center"/>
        </w:trPr>
        <w:tc>
          <w:tcPr>
            <w:tcW w:w="746" w:type="dxa"/>
            <w:vAlign w:val="center"/>
          </w:tcPr>
          <w:p w14:paraId="70AE8796">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与项目有关的原有环境污染问题</w:t>
            </w:r>
          </w:p>
        </w:tc>
        <w:tc>
          <w:tcPr>
            <w:tcW w:w="8450" w:type="dxa"/>
            <w:vAlign w:val="center"/>
          </w:tcPr>
          <w:p w14:paraId="61EDFC52">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1、现有项目污染物排放情况：</w:t>
            </w:r>
          </w:p>
          <w:p w14:paraId="7DC5A679">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（1）废气</w:t>
            </w:r>
          </w:p>
          <w:p w14:paraId="29E73C11">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lang w:val="en-US" w:eastAsia="zh-CN" w:bidi="ar"/>
              </w:rPr>
            </w:pPr>
            <w:r>
              <w:rPr>
                <w:rFonts w:hint="eastAsia" w:ascii="宋体" w:hAnsi="宋体" w:eastAsia="宋体" w:cs="宋体"/>
                <w:b w:val="0"/>
                <w:kern w:val="2"/>
                <w:sz w:val="24"/>
                <w:szCs w:val="24"/>
                <w:lang w:val="en-US" w:eastAsia="zh-CN" w:bidi="ar"/>
              </w:rPr>
              <w:t>现有项目废气主要为燃煤锅炉产生的烟气、硝酸铵水溶液挥发的氨气、柴油挥发的有机废气。</w:t>
            </w:r>
          </w:p>
          <w:p w14:paraId="51EC9F9A">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color w:val="auto"/>
                <w:kern w:val="2"/>
                <w:sz w:val="24"/>
                <w:szCs w:val="24"/>
                <w:lang w:val="en-US" w:eastAsia="zh-CN" w:bidi="ar"/>
              </w:rPr>
            </w:pPr>
            <w:r>
              <w:rPr>
                <w:rFonts w:hint="eastAsia" w:ascii="宋体" w:hAnsi="宋体" w:eastAsia="宋体" w:cs="宋体"/>
                <w:b w:val="0"/>
                <w:color w:val="auto"/>
                <w:kern w:val="2"/>
                <w:sz w:val="24"/>
                <w:szCs w:val="24"/>
                <w:lang w:val="en-US" w:eastAsia="zh-CN" w:bidi="ar"/>
              </w:rPr>
              <w:t>1）有组织废气</w:t>
            </w:r>
          </w:p>
          <w:p w14:paraId="4EC95648">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color w:val="auto"/>
                <w:kern w:val="2"/>
                <w:sz w:val="24"/>
                <w:szCs w:val="24"/>
                <w:lang w:val="en-US" w:eastAsia="zh-CN" w:bidi="ar"/>
              </w:rPr>
              <w:t>锅炉烟气采用</w:t>
            </w:r>
            <w:r>
              <w:rPr>
                <w:rFonts w:hint="eastAsia" w:eastAsia="宋体" w:cs="宋体"/>
                <w:b w:val="0"/>
                <w:color w:val="auto"/>
                <w:kern w:val="2"/>
                <w:sz w:val="24"/>
                <w:szCs w:val="24"/>
                <w:lang w:val="en-US" w:eastAsia="zh-CN" w:bidi="ar"/>
              </w:rPr>
              <w:t>单碱水浴除尘器</w:t>
            </w:r>
            <w:r>
              <w:rPr>
                <w:rFonts w:hint="eastAsia" w:ascii="宋体" w:hAnsi="宋体" w:eastAsia="宋体" w:cs="宋体"/>
                <w:b w:val="0"/>
                <w:color w:val="auto"/>
                <w:kern w:val="2"/>
                <w:sz w:val="24"/>
                <w:szCs w:val="24"/>
                <w:lang w:val="en-US" w:eastAsia="zh-CN" w:bidi="ar"/>
              </w:rPr>
              <w:t>处理后经1根</w:t>
            </w:r>
            <w:r>
              <w:rPr>
                <w:rFonts w:hint="eastAsia" w:eastAsia="宋体" w:cs="宋体"/>
                <w:b w:val="0"/>
                <w:color w:val="auto"/>
                <w:kern w:val="2"/>
                <w:sz w:val="24"/>
                <w:szCs w:val="24"/>
                <w:lang w:val="en-US" w:eastAsia="zh-CN" w:bidi="ar"/>
              </w:rPr>
              <w:t>20</w:t>
            </w:r>
            <w:r>
              <w:rPr>
                <w:rFonts w:hint="eastAsia" w:ascii="宋体" w:hAnsi="宋体" w:eastAsia="宋体" w:cs="宋体"/>
                <w:b w:val="0"/>
                <w:color w:val="auto"/>
                <w:kern w:val="2"/>
                <w:sz w:val="24"/>
                <w:szCs w:val="24"/>
                <w:lang w:val="en-US" w:eastAsia="zh-CN" w:bidi="ar"/>
              </w:rPr>
              <w:t>m高排气筒排放。根据《巴彦淖尔盛安化工有限责任公司乌拉特中旗分公司例行检测报告》（内蒙古双旭环境检测有限公司，报告编号SX-W2021-059-Q，2021年6月16日）</w:t>
            </w:r>
            <w:r>
              <w:rPr>
                <w:rFonts w:hint="eastAsia" w:ascii="宋体" w:hAnsi="宋体" w:eastAsia="宋体" w:cs="宋体"/>
                <w:b w:val="0"/>
                <w:kern w:val="2"/>
                <w:sz w:val="24"/>
                <w:szCs w:val="24"/>
                <w:lang w:val="en-US" w:eastAsia="zh-CN" w:bidi="ar"/>
              </w:rPr>
              <w:t>，监测期间生产负荷为70%，锅炉废气检测结果如下：</w:t>
            </w:r>
          </w:p>
          <w:p w14:paraId="4EFA698F">
            <w:pPr>
              <w:pStyle w:val="24"/>
              <w:keepNext w:val="0"/>
              <w:keepLines w:val="0"/>
              <w:widowControl w:val="0"/>
              <w:suppressLineNumbers w:val="0"/>
              <w:autoSpaceDE w:val="0"/>
              <w:autoSpaceDN/>
              <w:spacing w:before="0" w:beforeAutospacing="0" w:after="0" w:afterAutospacing="0" w:line="240" w:lineRule="auto"/>
              <w:ind w:left="0" w:right="0" w:firstLine="624"/>
              <w:jc w:val="center"/>
              <w:rPr>
                <w:rFonts w:hint="eastAsia" w:ascii="宋体" w:hAnsi="宋体" w:eastAsia="宋体" w:cs="宋体"/>
                <w:b/>
                <w:kern w:val="2"/>
                <w:sz w:val="24"/>
                <w:szCs w:val="24"/>
              </w:rPr>
            </w:pPr>
            <w:r>
              <w:rPr>
                <w:rFonts w:hint="eastAsia" w:ascii="宋体" w:hAnsi="宋体" w:eastAsia="宋体" w:cs="宋体"/>
                <w:b/>
                <w:kern w:val="2"/>
                <w:sz w:val="24"/>
                <w:szCs w:val="24"/>
                <w:lang w:val="en-US" w:eastAsia="zh-CN" w:bidi="ar"/>
              </w:rPr>
              <w:t>表2-8 锅炉废气检测结果</w:t>
            </w:r>
          </w:p>
          <w:tbl>
            <w:tblPr>
              <w:tblStyle w:val="26"/>
              <w:tblW w:w="8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
              <w:gridCol w:w="1097"/>
              <w:gridCol w:w="819"/>
              <w:gridCol w:w="1124"/>
              <w:gridCol w:w="1124"/>
              <w:gridCol w:w="1124"/>
              <w:gridCol w:w="1125"/>
              <w:gridCol w:w="882"/>
            </w:tblGrid>
            <w:tr w14:paraId="3601B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vMerge w:val="restart"/>
                  <w:noWrap w:val="0"/>
                  <w:vAlign w:val="center"/>
                </w:tcPr>
                <w:p w14:paraId="4159ED7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检测</w:t>
                  </w:r>
                  <w:r>
                    <w:rPr>
                      <w:rFonts w:hint="eastAsia" w:ascii="宋体" w:hAnsi="宋体" w:eastAsia="宋体" w:cs="宋体"/>
                      <w:color w:val="auto"/>
                      <w:sz w:val="21"/>
                      <w:szCs w:val="21"/>
                      <w:lang w:val="en-US" w:eastAsia="zh-CN"/>
                    </w:rPr>
                    <w:t>频次</w:t>
                  </w:r>
                </w:p>
              </w:tc>
              <w:tc>
                <w:tcPr>
                  <w:tcW w:w="819" w:type="dxa"/>
                  <w:vMerge w:val="restart"/>
                  <w:noWrap w:val="0"/>
                  <w:vAlign w:val="center"/>
                </w:tcPr>
                <w:p w14:paraId="3D09A56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单位</w:t>
                  </w:r>
                </w:p>
              </w:tc>
              <w:tc>
                <w:tcPr>
                  <w:tcW w:w="4497" w:type="dxa"/>
                  <w:gridSpan w:val="4"/>
                  <w:noWrap w:val="0"/>
                  <w:vAlign w:val="center"/>
                </w:tcPr>
                <w:p w14:paraId="1EC6BA0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检测结果</w:t>
                  </w:r>
                </w:p>
              </w:tc>
              <w:tc>
                <w:tcPr>
                  <w:tcW w:w="882" w:type="dxa"/>
                  <w:vMerge w:val="restart"/>
                  <w:noWrap w:val="0"/>
                  <w:vAlign w:val="center"/>
                </w:tcPr>
                <w:p w14:paraId="52FBC5E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标准</w:t>
                  </w:r>
                </w:p>
                <w:p w14:paraId="02C5B71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限值</w:t>
                  </w:r>
                </w:p>
              </w:tc>
            </w:tr>
            <w:tr w14:paraId="73F32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vMerge w:val="continue"/>
                  <w:noWrap w:val="0"/>
                  <w:vAlign w:val="center"/>
                </w:tcPr>
                <w:p w14:paraId="4570DB1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819" w:type="dxa"/>
                  <w:vMerge w:val="continue"/>
                  <w:noWrap w:val="0"/>
                  <w:vAlign w:val="center"/>
                </w:tcPr>
                <w:p w14:paraId="7EC55FD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124" w:type="dxa"/>
                  <w:noWrap w:val="0"/>
                  <w:vAlign w:val="center"/>
                </w:tcPr>
                <w:p w14:paraId="19F100C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第</w:t>
                  </w: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rPr>
                    <w:t>次</w:t>
                  </w:r>
                </w:p>
              </w:tc>
              <w:tc>
                <w:tcPr>
                  <w:tcW w:w="1124" w:type="dxa"/>
                  <w:noWrap w:val="0"/>
                  <w:vAlign w:val="center"/>
                </w:tcPr>
                <w:p w14:paraId="5624A1A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第</w:t>
                  </w:r>
                  <w:r>
                    <w:rPr>
                      <w:rFonts w:hint="eastAsia" w:ascii="宋体" w:hAnsi="宋体" w:eastAsia="宋体" w:cs="宋体"/>
                      <w:color w:val="auto"/>
                      <w:sz w:val="21"/>
                      <w:szCs w:val="21"/>
                      <w:lang w:val="en-US" w:eastAsia="zh-CN"/>
                    </w:rPr>
                    <w:t>2</w:t>
                  </w:r>
                  <w:r>
                    <w:rPr>
                      <w:rFonts w:hint="eastAsia" w:ascii="宋体" w:hAnsi="宋体" w:eastAsia="宋体" w:cs="宋体"/>
                      <w:color w:val="auto"/>
                      <w:sz w:val="21"/>
                      <w:szCs w:val="21"/>
                    </w:rPr>
                    <w:t>次</w:t>
                  </w:r>
                </w:p>
              </w:tc>
              <w:tc>
                <w:tcPr>
                  <w:tcW w:w="1124" w:type="dxa"/>
                  <w:noWrap w:val="0"/>
                  <w:vAlign w:val="center"/>
                </w:tcPr>
                <w:p w14:paraId="4A8E115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第</w:t>
                  </w: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次</w:t>
                  </w:r>
                </w:p>
              </w:tc>
              <w:tc>
                <w:tcPr>
                  <w:tcW w:w="1125" w:type="dxa"/>
                  <w:noWrap w:val="0"/>
                  <w:vAlign w:val="center"/>
                </w:tcPr>
                <w:p w14:paraId="6F96CBD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平均值</w:t>
                  </w:r>
                </w:p>
              </w:tc>
              <w:tc>
                <w:tcPr>
                  <w:tcW w:w="882" w:type="dxa"/>
                  <w:vMerge w:val="continue"/>
                  <w:noWrap w:val="0"/>
                  <w:vAlign w:val="center"/>
                </w:tcPr>
                <w:p w14:paraId="6DEC584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r>
            <w:tr w14:paraId="7CDFF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noWrap w:val="0"/>
                  <w:vAlign w:val="center"/>
                </w:tcPr>
                <w:p w14:paraId="41B2C7A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烟气温度</w:t>
                  </w:r>
                </w:p>
              </w:tc>
              <w:tc>
                <w:tcPr>
                  <w:tcW w:w="819" w:type="dxa"/>
                  <w:noWrap w:val="0"/>
                  <w:vAlign w:val="center"/>
                </w:tcPr>
                <w:p w14:paraId="0B90C4F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124" w:type="dxa"/>
                  <w:noWrap w:val="0"/>
                  <w:vAlign w:val="center"/>
                </w:tcPr>
                <w:p w14:paraId="087FE0A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102</w:t>
                  </w:r>
                </w:p>
              </w:tc>
              <w:tc>
                <w:tcPr>
                  <w:tcW w:w="1124" w:type="dxa"/>
                  <w:noWrap w:val="0"/>
                  <w:vAlign w:val="center"/>
                </w:tcPr>
                <w:p w14:paraId="1887655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104</w:t>
                  </w:r>
                </w:p>
              </w:tc>
              <w:tc>
                <w:tcPr>
                  <w:tcW w:w="1124" w:type="dxa"/>
                  <w:noWrap w:val="0"/>
                  <w:vAlign w:val="center"/>
                </w:tcPr>
                <w:p w14:paraId="742C6D3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105</w:t>
                  </w:r>
                </w:p>
              </w:tc>
              <w:tc>
                <w:tcPr>
                  <w:tcW w:w="1125" w:type="dxa"/>
                  <w:noWrap w:val="0"/>
                  <w:vAlign w:val="center"/>
                </w:tcPr>
                <w:p w14:paraId="1B0D5AF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104</w:t>
                  </w:r>
                </w:p>
              </w:tc>
              <w:tc>
                <w:tcPr>
                  <w:tcW w:w="882" w:type="dxa"/>
                  <w:noWrap w:val="0"/>
                  <w:vAlign w:val="center"/>
                </w:tcPr>
                <w:p w14:paraId="267084C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69AB8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noWrap w:val="0"/>
                  <w:vAlign w:val="center"/>
                </w:tcPr>
                <w:p w14:paraId="34A283D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标干流量</w:t>
                  </w:r>
                </w:p>
              </w:tc>
              <w:tc>
                <w:tcPr>
                  <w:tcW w:w="819" w:type="dxa"/>
                  <w:noWrap w:val="0"/>
                  <w:vAlign w:val="center"/>
                </w:tcPr>
                <w:p w14:paraId="591B132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/h</w:t>
                  </w:r>
                </w:p>
              </w:tc>
              <w:tc>
                <w:tcPr>
                  <w:tcW w:w="1124" w:type="dxa"/>
                  <w:noWrap w:val="0"/>
                  <w:vAlign w:val="center"/>
                </w:tcPr>
                <w:p w14:paraId="5A679E1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4398</w:t>
                  </w:r>
                </w:p>
              </w:tc>
              <w:tc>
                <w:tcPr>
                  <w:tcW w:w="1124" w:type="dxa"/>
                  <w:noWrap w:val="0"/>
                  <w:vAlign w:val="center"/>
                </w:tcPr>
                <w:p w14:paraId="7BD9AD3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4320</w:t>
                  </w:r>
                </w:p>
              </w:tc>
              <w:tc>
                <w:tcPr>
                  <w:tcW w:w="1124" w:type="dxa"/>
                  <w:noWrap w:val="0"/>
                  <w:vAlign w:val="center"/>
                </w:tcPr>
                <w:p w14:paraId="1156232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4406</w:t>
                  </w:r>
                </w:p>
              </w:tc>
              <w:tc>
                <w:tcPr>
                  <w:tcW w:w="1125" w:type="dxa"/>
                  <w:noWrap w:val="0"/>
                  <w:vAlign w:val="center"/>
                </w:tcPr>
                <w:p w14:paraId="2888351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4375</w:t>
                  </w:r>
                </w:p>
              </w:tc>
              <w:tc>
                <w:tcPr>
                  <w:tcW w:w="882" w:type="dxa"/>
                  <w:noWrap w:val="0"/>
                  <w:vAlign w:val="center"/>
                </w:tcPr>
                <w:p w14:paraId="7D0EDBF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0834E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noWrap w:val="0"/>
                  <w:vAlign w:val="center"/>
                </w:tcPr>
                <w:p w14:paraId="590D6A0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含氧量</w:t>
                  </w:r>
                </w:p>
              </w:tc>
              <w:tc>
                <w:tcPr>
                  <w:tcW w:w="819" w:type="dxa"/>
                  <w:noWrap w:val="0"/>
                  <w:vAlign w:val="center"/>
                </w:tcPr>
                <w:p w14:paraId="35D842C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124" w:type="dxa"/>
                  <w:noWrap w:val="0"/>
                  <w:vAlign w:val="center"/>
                </w:tcPr>
                <w:p w14:paraId="778BC0D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15.1</w:t>
                  </w:r>
                </w:p>
              </w:tc>
              <w:tc>
                <w:tcPr>
                  <w:tcW w:w="1124" w:type="dxa"/>
                  <w:noWrap w:val="0"/>
                  <w:vAlign w:val="center"/>
                </w:tcPr>
                <w:p w14:paraId="4A600AB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14.8</w:t>
                  </w:r>
                </w:p>
              </w:tc>
              <w:tc>
                <w:tcPr>
                  <w:tcW w:w="1124" w:type="dxa"/>
                  <w:noWrap w:val="0"/>
                  <w:vAlign w:val="center"/>
                </w:tcPr>
                <w:p w14:paraId="382C4A0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1125" w:type="dxa"/>
                  <w:noWrap w:val="0"/>
                  <w:vAlign w:val="center"/>
                </w:tcPr>
                <w:p w14:paraId="565C58A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882" w:type="dxa"/>
                  <w:noWrap w:val="0"/>
                  <w:vAlign w:val="center"/>
                </w:tcPr>
                <w:p w14:paraId="209461B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5B9E0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restart"/>
                  <w:noWrap w:val="0"/>
                  <w:vAlign w:val="center"/>
                </w:tcPr>
                <w:p w14:paraId="34CD0B8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颗粒物</w:t>
                  </w:r>
                </w:p>
              </w:tc>
              <w:tc>
                <w:tcPr>
                  <w:tcW w:w="1097" w:type="dxa"/>
                  <w:noWrap w:val="0"/>
                  <w:vAlign w:val="center"/>
                </w:tcPr>
                <w:p w14:paraId="532CC60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实测浓度</w:t>
                  </w:r>
                </w:p>
              </w:tc>
              <w:tc>
                <w:tcPr>
                  <w:tcW w:w="819" w:type="dxa"/>
                  <w:noWrap w:val="0"/>
                  <w:vAlign w:val="center"/>
                </w:tcPr>
                <w:p w14:paraId="11D291A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6B1E338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23.6</w:t>
                  </w:r>
                </w:p>
              </w:tc>
              <w:tc>
                <w:tcPr>
                  <w:tcW w:w="1124" w:type="dxa"/>
                  <w:noWrap w:val="0"/>
                  <w:vAlign w:val="center"/>
                </w:tcPr>
                <w:p w14:paraId="343A837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20.8</w:t>
                  </w:r>
                </w:p>
              </w:tc>
              <w:tc>
                <w:tcPr>
                  <w:tcW w:w="1124" w:type="dxa"/>
                  <w:noWrap w:val="0"/>
                  <w:vAlign w:val="center"/>
                </w:tcPr>
                <w:p w14:paraId="009206E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22.3</w:t>
                  </w:r>
                </w:p>
              </w:tc>
              <w:tc>
                <w:tcPr>
                  <w:tcW w:w="1125" w:type="dxa"/>
                  <w:noWrap w:val="0"/>
                  <w:vAlign w:val="center"/>
                </w:tcPr>
                <w:p w14:paraId="02B5D66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22.2</w:t>
                  </w:r>
                </w:p>
              </w:tc>
              <w:tc>
                <w:tcPr>
                  <w:tcW w:w="882" w:type="dxa"/>
                  <w:noWrap w:val="0"/>
                  <w:vAlign w:val="center"/>
                </w:tcPr>
                <w:p w14:paraId="1BBB31D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3B3C2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2003914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74165AD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排放浓度</w:t>
                  </w:r>
                </w:p>
              </w:tc>
              <w:tc>
                <w:tcPr>
                  <w:tcW w:w="819" w:type="dxa"/>
                  <w:noWrap w:val="0"/>
                  <w:vAlign w:val="center"/>
                </w:tcPr>
                <w:p w14:paraId="0F800E6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305B6F7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47.9</w:t>
                  </w:r>
                </w:p>
              </w:tc>
              <w:tc>
                <w:tcPr>
                  <w:tcW w:w="1124" w:type="dxa"/>
                  <w:noWrap w:val="0"/>
                  <w:vAlign w:val="center"/>
                </w:tcPr>
                <w:p w14:paraId="30FFEC1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40.3</w:t>
                  </w:r>
                </w:p>
              </w:tc>
              <w:tc>
                <w:tcPr>
                  <w:tcW w:w="1124" w:type="dxa"/>
                  <w:noWrap w:val="0"/>
                  <w:vAlign w:val="center"/>
                </w:tcPr>
                <w:p w14:paraId="1F558B6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44.5</w:t>
                  </w:r>
                </w:p>
              </w:tc>
              <w:tc>
                <w:tcPr>
                  <w:tcW w:w="1125" w:type="dxa"/>
                  <w:noWrap w:val="0"/>
                  <w:vAlign w:val="center"/>
                </w:tcPr>
                <w:p w14:paraId="69227A7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44.2</w:t>
                  </w:r>
                </w:p>
              </w:tc>
              <w:tc>
                <w:tcPr>
                  <w:tcW w:w="882" w:type="dxa"/>
                  <w:noWrap w:val="0"/>
                  <w:vAlign w:val="center"/>
                </w:tcPr>
                <w:p w14:paraId="5215845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≤8</w:t>
                  </w:r>
                  <w:r>
                    <w:rPr>
                      <w:rFonts w:hint="eastAsia" w:ascii="宋体" w:hAnsi="宋体" w:eastAsia="宋体" w:cs="宋体"/>
                      <w:color w:val="auto"/>
                      <w:sz w:val="21"/>
                      <w:szCs w:val="21"/>
                    </w:rPr>
                    <w:t>0</w:t>
                  </w:r>
                </w:p>
              </w:tc>
            </w:tr>
            <w:tr w14:paraId="03141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47FF247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60D8618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速率</w:t>
                  </w:r>
                </w:p>
              </w:tc>
              <w:tc>
                <w:tcPr>
                  <w:tcW w:w="819" w:type="dxa"/>
                  <w:noWrap w:val="0"/>
                  <w:vAlign w:val="center"/>
                </w:tcPr>
                <w:p w14:paraId="7AE71CE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kg/h</w:t>
                  </w:r>
                </w:p>
              </w:tc>
              <w:tc>
                <w:tcPr>
                  <w:tcW w:w="1124" w:type="dxa"/>
                  <w:noWrap w:val="0"/>
                  <w:vAlign w:val="center"/>
                </w:tcPr>
                <w:p w14:paraId="5007953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0.10</w:t>
                  </w:r>
                </w:p>
              </w:tc>
              <w:tc>
                <w:tcPr>
                  <w:tcW w:w="1124" w:type="dxa"/>
                  <w:noWrap w:val="0"/>
                  <w:vAlign w:val="center"/>
                </w:tcPr>
                <w:p w14:paraId="72973C6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0.09</w:t>
                  </w:r>
                </w:p>
              </w:tc>
              <w:tc>
                <w:tcPr>
                  <w:tcW w:w="1124" w:type="dxa"/>
                  <w:noWrap w:val="0"/>
                  <w:vAlign w:val="center"/>
                </w:tcPr>
                <w:p w14:paraId="4724143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0.10</w:t>
                  </w:r>
                </w:p>
              </w:tc>
              <w:tc>
                <w:tcPr>
                  <w:tcW w:w="1125" w:type="dxa"/>
                  <w:noWrap w:val="0"/>
                  <w:vAlign w:val="center"/>
                </w:tcPr>
                <w:p w14:paraId="6F154F1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0.10</w:t>
                  </w:r>
                </w:p>
              </w:tc>
              <w:tc>
                <w:tcPr>
                  <w:tcW w:w="882" w:type="dxa"/>
                  <w:noWrap w:val="0"/>
                  <w:vAlign w:val="center"/>
                </w:tcPr>
                <w:p w14:paraId="0FF9880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152C7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restart"/>
                  <w:noWrap w:val="0"/>
                  <w:vAlign w:val="center"/>
                </w:tcPr>
                <w:p w14:paraId="2423FC9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二氧</w:t>
                  </w:r>
                </w:p>
                <w:p w14:paraId="17ECA4E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化硫</w:t>
                  </w:r>
                </w:p>
              </w:tc>
              <w:tc>
                <w:tcPr>
                  <w:tcW w:w="1097" w:type="dxa"/>
                  <w:noWrap w:val="0"/>
                  <w:vAlign w:val="center"/>
                </w:tcPr>
                <w:p w14:paraId="2D14FA6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实测浓度</w:t>
                  </w:r>
                </w:p>
              </w:tc>
              <w:tc>
                <w:tcPr>
                  <w:tcW w:w="819" w:type="dxa"/>
                  <w:noWrap w:val="0"/>
                  <w:vAlign w:val="center"/>
                </w:tcPr>
                <w:p w14:paraId="4F02156C">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4733FBA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65</w:t>
                  </w:r>
                </w:p>
              </w:tc>
              <w:tc>
                <w:tcPr>
                  <w:tcW w:w="1124" w:type="dxa"/>
                  <w:noWrap w:val="0"/>
                  <w:vAlign w:val="center"/>
                </w:tcPr>
                <w:p w14:paraId="74CB8DE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84</w:t>
                  </w:r>
                </w:p>
              </w:tc>
              <w:tc>
                <w:tcPr>
                  <w:tcW w:w="1124" w:type="dxa"/>
                  <w:noWrap w:val="0"/>
                  <w:vAlign w:val="center"/>
                </w:tcPr>
                <w:p w14:paraId="092D01D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71</w:t>
                  </w:r>
                </w:p>
              </w:tc>
              <w:tc>
                <w:tcPr>
                  <w:tcW w:w="1125" w:type="dxa"/>
                  <w:noWrap w:val="0"/>
                  <w:vAlign w:val="center"/>
                </w:tcPr>
                <w:p w14:paraId="5DDDF6B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73</w:t>
                  </w:r>
                </w:p>
              </w:tc>
              <w:tc>
                <w:tcPr>
                  <w:tcW w:w="882" w:type="dxa"/>
                  <w:noWrap w:val="0"/>
                  <w:vAlign w:val="center"/>
                </w:tcPr>
                <w:p w14:paraId="4D5D48C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685C6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77A5161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71F6934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排放浓度</w:t>
                  </w:r>
                </w:p>
              </w:tc>
              <w:tc>
                <w:tcPr>
                  <w:tcW w:w="819" w:type="dxa"/>
                  <w:noWrap w:val="0"/>
                  <w:vAlign w:val="center"/>
                </w:tcPr>
                <w:p w14:paraId="3AE3A96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5EDBA33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133</w:t>
                  </w:r>
                </w:p>
              </w:tc>
              <w:tc>
                <w:tcPr>
                  <w:tcW w:w="1124" w:type="dxa"/>
                  <w:noWrap w:val="0"/>
                  <w:vAlign w:val="center"/>
                </w:tcPr>
                <w:p w14:paraId="75630C1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163</w:t>
                  </w:r>
                </w:p>
              </w:tc>
              <w:tc>
                <w:tcPr>
                  <w:tcW w:w="1124" w:type="dxa"/>
                  <w:noWrap w:val="0"/>
                  <w:vAlign w:val="center"/>
                </w:tcPr>
                <w:p w14:paraId="4BC2B83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142</w:t>
                  </w:r>
                </w:p>
              </w:tc>
              <w:tc>
                <w:tcPr>
                  <w:tcW w:w="1125" w:type="dxa"/>
                  <w:noWrap w:val="0"/>
                  <w:vAlign w:val="center"/>
                </w:tcPr>
                <w:p w14:paraId="5BAC9C1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146</w:t>
                  </w:r>
                </w:p>
              </w:tc>
              <w:tc>
                <w:tcPr>
                  <w:tcW w:w="882" w:type="dxa"/>
                  <w:noWrap w:val="0"/>
                  <w:vAlign w:val="center"/>
                </w:tcPr>
                <w:p w14:paraId="37F146F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≤40</w:t>
                  </w:r>
                  <w:r>
                    <w:rPr>
                      <w:rFonts w:hint="eastAsia" w:ascii="宋体" w:hAnsi="宋体" w:eastAsia="宋体" w:cs="宋体"/>
                      <w:color w:val="auto"/>
                      <w:sz w:val="21"/>
                      <w:szCs w:val="21"/>
                    </w:rPr>
                    <w:t>0</w:t>
                  </w:r>
                </w:p>
              </w:tc>
            </w:tr>
            <w:tr w14:paraId="1CD01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773CDF4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43A67AE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速率</w:t>
                  </w:r>
                </w:p>
              </w:tc>
              <w:tc>
                <w:tcPr>
                  <w:tcW w:w="819" w:type="dxa"/>
                  <w:noWrap w:val="0"/>
                  <w:vAlign w:val="center"/>
                </w:tcPr>
                <w:p w14:paraId="509DB53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kg/h</w:t>
                  </w:r>
                </w:p>
              </w:tc>
              <w:tc>
                <w:tcPr>
                  <w:tcW w:w="1124" w:type="dxa"/>
                  <w:noWrap w:val="0"/>
                  <w:vAlign w:val="center"/>
                </w:tcPr>
                <w:p w14:paraId="3B7CC9B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0.29</w:t>
                  </w:r>
                </w:p>
              </w:tc>
              <w:tc>
                <w:tcPr>
                  <w:tcW w:w="1124" w:type="dxa"/>
                  <w:noWrap w:val="0"/>
                  <w:vAlign w:val="center"/>
                </w:tcPr>
                <w:p w14:paraId="737FEFB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0.36</w:t>
                  </w:r>
                </w:p>
              </w:tc>
              <w:tc>
                <w:tcPr>
                  <w:tcW w:w="1124" w:type="dxa"/>
                  <w:noWrap w:val="0"/>
                  <w:vAlign w:val="center"/>
                </w:tcPr>
                <w:p w14:paraId="48EE283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0.31</w:t>
                  </w:r>
                </w:p>
              </w:tc>
              <w:tc>
                <w:tcPr>
                  <w:tcW w:w="1125" w:type="dxa"/>
                  <w:noWrap w:val="0"/>
                  <w:vAlign w:val="center"/>
                </w:tcPr>
                <w:p w14:paraId="442518D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0.32</w:t>
                  </w:r>
                </w:p>
              </w:tc>
              <w:tc>
                <w:tcPr>
                  <w:tcW w:w="882" w:type="dxa"/>
                  <w:noWrap w:val="0"/>
                  <w:vAlign w:val="center"/>
                </w:tcPr>
                <w:p w14:paraId="359EF3A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3C9AC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restart"/>
                  <w:noWrap w:val="0"/>
                  <w:vAlign w:val="center"/>
                </w:tcPr>
                <w:p w14:paraId="6166606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氮氧</w:t>
                  </w:r>
                </w:p>
                <w:p w14:paraId="59AB5E5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化物</w:t>
                  </w:r>
                </w:p>
              </w:tc>
              <w:tc>
                <w:tcPr>
                  <w:tcW w:w="1097" w:type="dxa"/>
                  <w:noWrap w:val="0"/>
                  <w:vAlign w:val="center"/>
                </w:tcPr>
                <w:p w14:paraId="43B1F83C">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实测浓度</w:t>
                  </w:r>
                </w:p>
              </w:tc>
              <w:tc>
                <w:tcPr>
                  <w:tcW w:w="819" w:type="dxa"/>
                  <w:noWrap w:val="0"/>
                  <w:vAlign w:val="center"/>
                </w:tcPr>
                <w:p w14:paraId="0B8C0DD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2EFA5E7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38.4</w:t>
                  </w:r>
                </w:p>
              </w:tc>
              <w:tc>
                <w:tcPr>
                  <w:tcW w:w="1124" w:type="dxa"/>
                  <w:noWrap w:val="0"/>
                  <w:vAlign w:val="center"/>
                </w:tcPr>
                <w:p w14:paraId="436C02B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51.4</w:t>
                  </w:r>
                </w:p>
              </w:tc>
              <w:tc>
                <w:tcPr>
                  <w:tcW w:w="1124" w:type="dxa"/>
                  <w:noWrap w:val="0"/>
                  <w:vAlign w:val="center"/>
                </w:tcPr>
                <w:p w14:paraId="3E65F87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42.0</w:t>
                  </w:r>
                </w:p>
              </w:tc>
              <w:tc>
                <w:tcPr>
                  <w:tcW w:w="1125" w:type="dxa"/>
                  <w:noWrap w:val="0"/>
                  <w:vAlign w:val="center"/>
                </w:tcPr>
                <w:p w14:paraId="36A54FA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43.9</w:t>
                  </w:r>
                </w:p>
              </w:tc>
              <w:tc>
                <w:tcPr>
                  <w:tcW w:w="882" w:type="dxa"/>
                  <w:noWrap w:val="0"/>
                  <w:vAlign w:val="center"/>
                </w:tcPr>
                <w:p w14:paraId="4053AE9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06F45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63CB546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78B712D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排放浓度</w:t>
                  </w:r>
                </w:p>
              </w:tc>
              <w:tc>
                <w:tcPr>
                  <w:tcW w:w="819" w:type="dxa"/>
                  <w:noWrap w:val="0"/>
                  <w:vAlign w:val="center"/>
                </w:tcPr>
                <w:p w14:paraId="2505E47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09D3077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78.1</w:t>
                  </w:r>
                </w:p>
              </w:tc>
              <w:tc>
                <w:tcPr>
                  <w:tcW w:w="1124" w:type="dxa"/>
                  <w:noWrap w:val="0"/>
                  <w:vAlign w:val="center"/>
                </w:tcPr>
                <w:p w14:paraId="56F4C5E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99.5</w:t>
                  </w:r>
                </w:p>
              </w:tc>
              <w:tc>
                <w:tcPr>
                  <w:tcW w:w="1124" w:type="dxa"/>
                  <w:noWrap w:val="0"/>
                  <w:vAlign w:val="center"/>
                </w:tcPr>
                <w:p w14:paraId="524609E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84.0</w:t>
                  </w:r>
                </w:p>
              </w:tc>
              <w:tc>
                <w:tcPr>
                  <w:tcW w:w="1125" w:type="dxa"/>
                  <w:noWrap w:val="0"/>
                  <w:vAlign w:val="center"/>
                </w:tcPr>
                <w:p w14:paraId="7C403CA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87.2</w:t>
                  </w:r>
                </w:p>
              </w:tc>
              <w:tc>
                <w:tcPr>
                  <w:tcW w:w="882" w:type="dxa"/>
                  <w:noWrap w:val="0"/>
                  <w:vAlign w:val="center"/>
                </w:tcPr>
                <w:p w14:paraId="2F49378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rPr>
                    <w:t>00</w:t>
                  </w:r>
                </w:p>
              </w:tc>
            </w:tr>
            <w:tr w14:paraId="108A5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39C5799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28047FD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速率</w:t>
                  </w:r>
                </w:p>
              </w:tc>
              <w:tc>
                <w:tcPr>
                  <w:tcW w:w="819" w:type="dxa"/>
                  <w:noWrap w:val="0"/>
                  <w:vAlign w:val="center"/>
                </w:tcPr>
                <w:p w14:paraId="7A30836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kg/h</w:t>
                  </w:r>
                </w:p>
              </w:tc>
              <w:tc>
                <w:tcPr>
                  <w:tcW w:w="1124" w:type="dxa"/>
                  <w:noWrap w:val="0"/>
                  <w:vAlign w:val="center"/>
                </w:tcPr>
                <w:p w14:paraId="63236C0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0.17</w:t>
                  </w:r>
                </w:p>
              </w:tc>
              <w:tc>
                <w:tcPr>
                  <w:tcW w:w="1124" w:type="dxa"/>
                  <w:noWrap w:val="0"/>
                  <w:vAlign w:val="center"/>
                </w:tcPr>
                <w:p w14:paraId="7A909C4C">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0.22</w:t>
                  </w:r>
                </w:p>
              </w:tc>
              <w:tc>
                <w:tcPr>
                  <w:tcW w:w="1124" w:type="dxa"/>
                  <w:noWrap w:val="0"/>
                  <w:vAlign w:val="center"/>
                </w:tcPr>
                <w:p w14:paraId="4EC4330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0.19</w:t>
                  </w:r>
                </w:p>
              </w:tc>
              <w:tc>
                <w:tcPr>
                  <w:tcW w:w="1125" w:type="dxa"/>
                  <w:noWrap w:val="0"/>
                  <w:vAlign w:val="center"/>
                </w:tcPr>
                <w:p w14:paraId="73BC191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0.19</w:t>
                  </w:r>
                </w:p>
              </w:tc>
              <w:tc>
                <w:tcPr>
                  <w:tcW w:w="882" w:type="dxa"/>
                  <w:noWrap w:val="0"/>
                  <w:vAlign w:val="center"/>
                </w:tcPr>
                <w:p w14:paraId="10BA84B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4B72E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noWrap w:val="0"/>
                  <w:vAlign w:val="center"/>
                </w:tcPr>
                <w:p w14:paraId="1912247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烟气温度</w:t>
                  </w:r>
                </w:p>
              </w:tc>
              <w:tc>
                <w:tcPr>
                  <w:tcW w:w="819" w:type="dxa"/>
                  <w:noWrap w:val="0"/>
                  <w:vAlign w:val="center"/>
                </w:tcPr>
                <w:p w14:paraId="4356480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124" w:type="dxa"/>
                  <w:noWrap w:val="0"/>
                  <w:vAlign w:val="center"/>
                </w:tcPr>
                <w:p w14:paraId="234D748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104</w:t>
                  </w:r>
                </w:p>
              </w:tc>
              <w:tc>
                <w:tcPr>
                  <w:tcW w:w="1124" w:type="dxa"/>
                  <w:noWrap w:val="0"/>
                  <w:vAlign w:val="center"/>
                </w:tcPr>
                <w:p w14:paraId="1855AA7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106</w:t>
                  </w:r>
                </w:p>
              </w:tc>
              <w:tc>
                <w:tcPr>
                  <w:tcW w:w="1124" w:type="dxa"/>
                  <w:noWrap w:val="0"/>
                  <w:vAlign w:val="center"/>
                </w:tcPr>
                <w:p w14:paraId="66C9CC6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104</w:t>
                  </w:r>
                </w:p>
              </w:tc>
              <w:tc>
                <w:tcPr>
                  <w:tcW w:w="1125" w:type="dxa"/>
                  <w:noWrap w:val="0"/>
                  <w:vAlign w:val="center"/>
                </w:tcPr>
                <w:p w14:paraId="3F11C15A">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105</w:t>
                  </w:r>
                </w:p>
              </w:tc>
              <w:tc>
                <w:tcPr>
                  <w:tcW w:w="882" w:type="dxa"/>
                  <w:noWrap w:val="0"/>
                  <w:vAlign w:val="center"/>
                </w:tcPr>
                <w:p w14:paraId="2CB0A91E">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11A48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noWrap w:val="0"/>
                  <w:vAlign w:val="center"/>
                </w:tcPr>
                <w:p w14:paraId="1F37588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标干流量</w:t>
                  </w:r>
                </w:p>
              </w:tc>
              <w:tc>
                <w:tcPr>
                  <w:tcW w:w="819" w:type="dxa"/>
                  <w:noWrap w:val="0"/>
                  <w:vAlign w:val="center"/>
                </w:tcPr>
                <w:p w14:paraId="2AA057E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/h</w:t>
                  </w:r>
                </w:p>
              </w:tc>
              <w:tc>
                <w:tcPr>
                  <w:tcW w:w="1124" w:type="dxa"/>
                  <w:noWrap w:val="0"/>
                  <w:vAlign w:val="center"/>
                </w:tcPr>
                <w:p w14:paraId="102F64BC">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4373</w:t>
                  </w:r>
                </w:p>
              </w:tc>
              <w:tc>
                <w:tcPr>
                  <w:tcW w:w="1124" w:type="dxa"/>
                  <w:noWrap w:val="0"/>
                  <w:vAlign w:val="center"/>
                </w:tcPr>
                <w:p w14:paraId="2257605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4430</w:t>
                  </w:r>
                </w:p>
              </w:tc>
              <w:tc>
                <w:tcPr>
                  <w:tcW w:w="1124" w:type="dxa"/>
                  <w:noWrap w:val="0"/>
                  <w:vAlign w:val="center"/>
                </w:tcPr>
                <w:p w14:paraId="0A0B7B9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4345</w:t>
                  </w:r>
                </w:p>
              </w:tc>
              <w:tc>
                <w:tcPr>
                  <w:tcW w:w="1125" w:type="dxa"/>
                  <w:noWrap w:val="0"/>
                  <w:vAlign w:val="center"/>
                </w:tcPr>
                <w:p w14:paraId="5D02004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4383</w:t>
                  </w:r>
                </w:p>
              </w:tc>
              <w:tc>
                <w:tcPr>
                  <w:tcW w:w="882" w:type="dxa"/>
                  <w:noWrap w:val="0"/>
                  <w:vAlign w:val="center"/>
                </w:tcPr>
                <w:p w14:paraId="50912BF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41181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10" w:type="dxa"/>
                  <w:gridSpan w:val="2"/>
                  <w:noWrap w:val="0"/>
                  <w:vAlign w:val="center"/>
                </w:tcPr>
                <w:p w14:paraId="2384C2F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含氧量</w:t>
                  </w:r>
                </w:p>
              </w:tc>
              <w:tc>
                <w:tcPr>
                  <w:tcW w:w="819" w:type="dxa"/>
                  <w:noWrap w:val="0"/>
                  <w:vAlign w:val="center"/>
                </w:tcPr>
                <w:p w14:paraId="7C9449B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1124" w:type="dxa"/>
                  <w:noWrap w:val="0"/>
                  <w:vAlign w:val="center"/>
                </w:tcPr>
                <w:p w14:paraId="515FA60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15.0</w:t>
                  </w:r>
                </w:p>
              </w:tc>
              <w:tc>
                <w:tcPr>
                  <w:tcW w:w="1124" w:type="dxa"/>
                  <w:noWrap w:val="0"/>
                  <w:vAlign w:val="center"/>
                </w:tcPr>
                <w:p w14:paraId="1978657C">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15.1</w:t>
                  </w:r>
                </w:p>
              </w:tc>
              <w:tc>
                <w:tcPr>
                  <w:tcW w:w="1124" w:type="dxa"/>
                  <w:noWrap w:val="0"/>
                  <w:vAlign w:val="center"/>
                </w:tcPr>
                <w:p w14:paraId="113B1E3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15.2</w:t>
                  </w:r>
                </w:p>
              </w:tc>
              <w:tc>
                <w:tcPr>
                  <w:tcW w:w="1125" w:type="dxa"/>
                  <w:noWrap w:val="0"/>
                  <w:vAlign w:val="center"/>
                </w:tcPr>
                <w:p w14:paraId="38630BAC">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15.1</w:t>
                  </w:r>
                </w:p>
              </w:tc>
              <w:tc>
                <w:tcPr>
                  <w:tcW w:w="882" w:type="dxa"/>
                  <w:noWrap w:val="0"/>
                  <w:vAlign w:val="center"/>
                </w:tcPr>
                <w:p w14:paraId="4260D40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4ADDD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restart"/>
                  <w:noWrap w:val="0"/>
                  <w:vAlign w:val="center"/>
                </w:tcPr>
                <w:p w14:paraId="21C96B9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汞及其化合物</w:t>
                  </w:r>
                </w:p>
              </w:tc>
              <w:tc>
                <w:tcPr>
                  <w:tcW w:w="1097" w:type="dxa"/>
                  <w:noWrap w:val="0"/>
                  <w:vAlign w:val="center"/>
                </w:tcPr>
                <w:p w14:paraId="4D9CA48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实测浓度</w:t>
                  </w:r>
                </w:p>
              </w:tc>
              <w:tc>
                <w:tcPr>
                  <w:tcW w:w="819" w:type="dxa"/>
                  <w:noWrap w:val="0"/>
                  <w:vAlign w:val="center"/>
                </w:tcPr>
                <w:p w14:paraId="3EB3B66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707CA1A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3.39×10</w:t>
                  </w:r>
                  <w:r>
                    <w:rPr>
                      <w:rFonts w:hint="eastAsia" w:ascii="宋体" w:hAnsi="宋体" w:eastAsia="宋体" w:cs="宋体"/>
                      <w:color w:val="auto"/>
                      <w:sz w:val="21"/>
                      <w:szCs w:val="21"/>
                      <w:vertAlign w:val="superscript"/>
                      <w:lang w:val="en-US" w:eastAsia="zh-CN"/>
                    </w:rPr>
                    <w:t>-4</w:t>
                  </w:r>
                </w:p>
              </w:tc>
              <w:tc>
                <w:tcPr>
                  <w:tcW w:w="1124" w:type="dxa"/>
                  <w:noWrap w:val="0"/>
                  <w:vAlign w:val="center"/>
                </w:tcPr>
                <w:p w14:paraId="2CA54BFF">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3.37×10</w:t>
                  </w:r>
                  <w:r>
                    <w:rPr>
                      <w:rFonts w:hint="eastAsia" w:ascii="宋体" w:hAnsi="宋体" w:eastAsia="宋体" w:cs="宋体"/>
                      <w:color w:val="auto"/>
                      <w:sz w:val="21"/>
                      <w:szCs w:val="21"/>
                      <w:vertAlign w:val="superscript"/>
                      <w:lang w:val="en-US" w:eastAsia="zh-CN"/>
                    </w:rPr>
                    <w:t>-4</w:t>
                  </w:r>
                </w:p>
              </w:tc>
              <w:tc>
                <w:tcPr>
                  <w:tcW w:w="1124" w:type="dxa"/>
                  <w:noWrap w:val="0"/>
                  <w:vAlign w:val="center"/>
                </w:tcPr>
                <w:p w14:paraId="40DED06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3.47×10</w:t>
                  </w:r>
                  <w:r>
                    <w:rPr>
                      <w:rFonts w:hint="eastAsia" w:ascii="宋体" w:hAnsi="宋体" w:eastAsia="宋体" w:cs="宋体"/>
                      <w:color w:val="auto"/>
                      <w:sz w:val="21"/>
                      <w:szCs w:val="21"/>
                      <w:vertAlign w:val="superscript"/>
                      <w:lang w:val="en-US" w:eastAsia="zh-CN"/>
                    </w:rPr>
                    <w:t>-4</w:t>
                  </w:r>
                </w:p>
              </w:tc>
              <w:tc>
                <w:tcPr>
                  <w:tcW w:w="1125" w:type="dxa"/>
                  <w:noWrap w:val="0"/>
                  <w:vAlign w:val="center"/>
                </w:tcPr>
                <w:p w14:paraId="6D30648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3.41×10</w:t>
                  </w:r>
                  <w:r>
                    <w:rPr>
                      <w:rFonts w:hint="eastAsia" w:ascii="宋体" w:hAnsi="宋体" w:eastAsia="宋体" w:cs="宋体"/>
                      <w:color w:val="auto"/>
                      <w:sz w:val="21"/>
                      <w:szCs w:val="21"/>
                      <w:vertAlign w:val="superscript"/>
                      <w:lang w:val="en-US" w:eastAsia="zh-CN"/>
                    </w:rPr>
                    <w:t>-4</w:t>
                  </w:r>
                </w:p>
              </w:tc>
              <w:tc>
                <w:tcPr>
                  <w:tcW w:w="882" w:type="dxa"/>
                  <w:noWrap w:val="0"/>
                  <w:vAlign w:val="center"/>
                </w:tcPr>
                <w:p w14:paraId="3547116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70DEE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6231897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69EFAF2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排放浓度</w:t>
                  </w:r>
                </w:p>
              </w:tc>
              <w:tc>
                <w:tcPr>
                  <w:tcW w:w="819" w:type="dxa"/>
                  <w:noWrap w:val="0"/>
                  <w:vAlign w:val="center"/>
                </w:tcPr>
                <w:p w14:paraId="7FCC566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mg/m</w:t>
                  </w:r>
                  <w:r>
                    <w:rPr>
                      <w:rFonts w:hint="eastAsia" w:ascii="宋体" w:hAnsi="宋体" w:eastAsia="宋体" w:cs="宋体"/>
                      <w:color w:val="auto"/>
                      <w:sz w:val="21"/>
                      <w:szCs w:val="21"/>
                      <w:vertAlign w:val="superscript"/>
                    </w:rPr>
                    <w:t>3</w:t>
                  </w:r>
                </w:p>
              </w:tc>
              <w:tc>
                <w:tcPr>
                  <w:tcW w:w="1124" w:type="dxa"/>
                  <w:noWrap w:val="0"/>
                  <w:vAlign w:val="center"/>
                </w:tcPr>
                <w:p w14:paraId="35FDF57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6.78×10</w:t>
                  </w:r>
                  <w:r>
                    <w:rPr>
                      <w:rFonts w:hint="eastAsia" w:ascii="宋体" w:hAnsi="宋体" w:eastAsia="宋体" w:cs="宋体"/>
                      <w:color w:val="auto"/>
                      <w:sz w:val="21"/>
                      <w:szCs w:val="21"/>
                      <w:vertAlign w:val="superscript"/>
                      <w:lang w:val="en-US" w:eastAsia="zh-CN"/>
                    </w:rPr>
                    <w:t>-4</w:t>
                  </w:r>
                </w:p>
              </w:tc>
              <w:tc>
                <w:tcPr>
                  <w:tcW w:w="1124" w:type="dxa"/>
                  <w:noWrap w:val="0"/>
                  <w:vAlign w:val="center"/>
                </w:tcPr>
                <w:p w14:paraId="4FB5E931">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6.85×10</w:t>
                  </w:r>
                  <w:r>
                    <w:rPr>
                      <w:rFonts w:hint="eastAsia" w:ascii="宋体" w:hAnsi="宋体" w:eastAsia="宋体" w:cs="宋体"/>
                      <w:color w:val="auto"/>
                      <w:sz w:val="21"/>
                      <w:szCs w:val="21"/>
                      <w:vertAlign w:val="superscript"/>
                      <w:lang w:val="en-US" w:eastAsia="zh-CN"/>
                    </w:rPr>
                    <w:t>-4</w:t>
                  </w:r>
                </w:p>
              </w:tc>
              <w:tc>
                <w:tcPr>
                  <w:tcW w:w="1124" w:type="dxa"/>
                  <w:noWrap w:val="0"/>
                  <w:vAlign w:val="center"/>
                </w:tcPr>
                <w:p w14:paraId="603DC322">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7.18×10</w:t>
                  </w:r>
                  <w:r>
                    <w:rPr>
                      <w:rFonts w:hint="eastAsia" w:ascii="宋体" w:hAnsi="宋体" w:eastAsia="宋体" w:cs="宋体"/>
                      <w:color w:val="auto"/>
                      <w:sz w:val="21"/>
                      <w:szCs w:val="21"/>
                      <w:vertAlign w:val="superscript"/>
                      <w:lang w:val="en-US" w:eastAsia="zh-CN"/>
                    </w:rPr>
                    <w:t>-4</w:t>
                  </w:r>
                </w:p>
              </w:tc>
              <w:tc>
                <w:tcPr>
                  <w:tcW w:w="1125" w:type="dxa"/>
                  <w:noWrap w:val="0"/>
                  <w:vAlign w:val="center"/>
                </w:tcPr>
                <w:p w14:paraId="2EF33DC4">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6.94×10</w:t>
                  </w:r>
                  <w:r>
                    <w:rPr>
                      <w:rFonts w:hint="eastAsia" w:ascii="宋体" w:hAnsi="宋体" w:eastAsia="宋体" w:cs="宋体"/>
                      <w:color w:val="auto"/>
                      <w:sz w:val="21"/>
                      <w:szCs w:val="21"/>
                      <w:vertAlign w:val="superscript"/>
                      <w:lang w:val="en-US" w:eastAsia="zh-CN"/>
                    </w:rPr>
                    <w:t>-4</w:t>
                  </w:r>
                </w:p>
              </w:tc>
              <w:tc>
                <w:tcPr>
                  <w:tcW w:w="882" w:type="dxa"/>
                  <w:noWrap w:val="0"/>
                  <w:vAlign w:val="center"/>
                </w:tcPr>
                <w:p w14:paraId="134A3778">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≤0.05</w:t>
                  </w:r>
                </w:p>
              </w:tc>
            </w:tr>
            <w:tr w14:paraId="6635D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vMerge w:val="continue"/>
                  <w:noWrap w:val="0"/>
                  <w:vAlign w:val="center"/>
                </w:tcPr>
                <w:p w14:paraId="4A4B582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7" w:type="dxa"/>
                  <w:noWrap w:val="0"/>
                  <w:vAlign w:val="center"/>
                </w:tcPr>
                <w:p w14:paraId="49DE57C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速率</w:t>
                  </w:r>
                </w:p>
              </w:tc>
              <w:tc>
                <w:tcPr>
                  <w:tcW w:w="819" w:type="dxa"/>
                  <w:noWrap w:val="0"/>
                  <w:vAlign w:val="center"/>
                </w:tcPr>
                <w:p w14:paraId="6C32C22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kg/h</w:t>
                  </w:r>
                </w:p>
              </w:tc>
              <w:tc>
                <w:tcPr>
                  <w:tcW w:w="1124" w:type="dxa"/>
                  <w:noWrap w:val="0"/>
                  <w:vAlign w:val="center"/>
                </w:tcPr>
                <w:p w14:paraId="22297C6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1.48×10</w:t>
                  </w:r>
                  <w:r>
                    <w:rPr>
                      <w:rFonts w:hint="eastAsia" w:ascii="宋体" w:hAnsi="宋体" w:eastAsia="宋体" w:cs="宋体"/>
                      <w:color w:val="auto"/>
                      <w:sz w:val="21"/>
                      <w:szCs w:val="21"/>
                      <w:vertAlign w:val="superscript"/>
                      <w:lang w:val="en-US" w:eastAsia="zh-CN"/>
                    </w:rPr>
                    <w:t>-6</w:t>
                  </w:r>
                </w:p>
              </w:tc>
              <w:tc>
                <w:tcPr>
                  <w:tcW w:w="1124" w:type="dxa"/>
                  <w:noWrap w:val="0"/>
                  <w:vAlign w:val="center"/>
                </w:tcPr>
                <w:p w14:paraId="2F5E06F3">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1.49×10</w:t>
                  </w:r>
                  <w:r>
                    <w:rPr>
                      <w:rFonts w:hint="eastAsia" w:ascii="宋体" w:hAnsi="宋体" w:eastAsia="宋体" w:cs="宋体"/>
                      <w:color w:val="auto"/>
                      <w:sz w:val="21"/>
                      <w:szCs w:val="21"/>
                      <w:vertAlign w:val="superscript"/>
                      <w:lang w:val="en-US" w:eastAsia="zh-CN"/>
                    </w:rPr>
                    <w:t>-6</w:t>
                  </w:r>
                </w:p>
              </w:tc>
              <w:tc>
                <w:tcPr>
                  <w:tcW w:w="1124" w:type="dxa"/>
                  <w:noWrap w:val="0"/>
                  <w:vAlign w:val="center"/>
                </w:tcPr>
                <w:p w14:paraId="31D17D2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1.51×10</w:t>
                  </w:r>
                  <w:r>
                    <w:rPr>
                      <w:rFonts w:hint="eastAsia" w:ascii="宋体" w:hAnsi="宋体" w:eastAsia="宋体" w:cs="宋体"/>
                      <w:color w:val="auto"/>
                      <w:sz w:val="21"/>
                      <w:szCs w:val="21"/>
                      <w:vertAlign w:val="superscript"/>
                      <w:lang w:val="en-US" w:eastAsia="zh-CN"/>
                    </w:rPr>
                    <w:t>-6</w:t>
                  </w:r>
                </w:p>
              </w:tc>
              <w:tc>
                <w:tcPr>
                  <w:tcW w:w="1125" w:type="dxa"/>
                  <w:noWrap w:val="0"/>
                  <w:vAlign w:val="center"/>
                </w:tcPr>
                <w:p w14:paraId="5FA97DDB">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1.49×10</w:t>
                  </w:r>
                  <w:r>
                    <w:rPr>
                      <w:rFonts w:hint="eastAsia" w:ascii="宋体" w:hAnsi="宋体" w:eastAsia="宋体" w:cs="宋体"/>
                      <w:color w:val="auto"/>
                      <w:sz w:val="21"/>
                      <w:szCs w:val="21"/>
                      <w:vertAlign w:val="superscript"/>
                      <w:lang w:val="en-US" w:eastAsia="zh-CN"/>
                    </w:rPr>
                    <w:t>-6</w:t>
                  </w:r>
                </w:p>
              </w:tc>
              <w:tc>
                <w:tcPr>
                  <w:tcW w:w="882" w:type="dxa"/>
                  <w:noWrap w:val="0"/>
                  <w:vAlign w:val="center"/>
                </w:tcPr>
                <w:p w14:paraId="11CCD755">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7FA5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3" w:type="dxa"/>
                  <w:noWrap w:val="0"/>
                  <w:vAlign w:val="center"/>
                </w:tcPr>
                <w:p w14:paraId="2964C61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烟气黑度</w:t>
                  </w:r>
                </w:p>
              </w:tc>
              <w:tc>
                <w:tcPr>
                  <w:tcW w:w="1916" w:type="dxa"/>
                  <w:gridSpan w:val="2"/>
                  <w:noWrap w:val="0"/>
                  <w:vAlign w:val="center"/>
                </w:tcPr>
                <w:p w14:paraId="22EAD73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林格曼，级</w:t>
                  </w:r>
                </w:p>
              </w:tc>
              <w:tc>
                <w:tcPr>
                  <w:tcW w:w="1124" w:type="dxa"/>
                  <w:noWrap w:val="0"/>
                  <w:vAlign w:val="center"/>
                </w:tcPr>
                <w:p w14:paraId="3F7559F7">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&lt;1</w:t>
                  </w:r>
                </w:p>
              </w:tc>
              <w:tc>
                <w:tcPr>
                  <w:tcW w:w="1124" w:type="dxa"/>
                  <w:noWrap w:val="0"/>
                  <w:vAlign w:val="center"/>
                </w:tcPr>
                <w:p w14:paraId="5CECA020">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&lt;1</w:t>
                  </w:r>
                </w:p>
              </w:tc>
              <w:tc>
                <w:tcPr>
                  <w:tcW w:w="1124" w:type="dxa"/>
                  <w:noWrap w:val="0"/>
                  <w:vAlign w:val="center"/>
                </w:tcPr>
                <w:p w14:paraId="6F26D829">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&lt;1</w:t>
                  </w:r>
                </w:p>
              </w:tc>
              <w:tc>
                <w:tcPr>
                  <w:tcW w:w="1125" w:type="dxa"/>
                  <w:noWrap w:val="0"/>
                  <w:vAlign w:val="center"/>
                </w:tcPr>
                <w:p w14:paraId="257D580D">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882" w:type="dxa"/>
                  <w:noWrap w:val="0"/>
                  <w:vAlign w:val="center"/>
                </w:tcPr>
                <w:p w14:paraId="12E3B826">
                  <w:pPr>
                    <w:keepNext w:val="0"/>
                    <w:keepLines w:val="0"/>
                    <w:suppressLineNumbers w:val="0"/>
                    <w:adjustRightInd/>
                    <w:snapToGrid/>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r>
          </w:tbl>
          <w:p w14:paraId="182A21E5">
            <w:pPr>
              <w:pStyle w:val="24"/>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根据上表检测结果，燃煤锅炉烟气中颗粒物、二氧化硫、氮氧化物、汞及其化合物和烟气黑度排放浓度均符合《锅炉大气污染物排放标准》（GB13271-2014）表1中标准限值。</w:t>
            </w:r>
          </w:p>
          <w:p w14:paraId="129F9A8F">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lang w:val="en-US" w:eastAsia="zh-CN" w:bidi="ar"/>
              </w:rPr>
            </w:pPr>
            <w:r>
              <w:rPr>
                <w:rFonts w:hint="eastAsia" w:ascii="宋体" w:hAnsi="宋体" w:eastAsia="宋体" w:cs="宋体"/>
                <w:b w:val="0"/>
                <w:kern w:val="2"/>
                <w:sz w:val="24"/>
                <w:szCs w:val="24"/>
                <w:lang w:val="en-US" w:eastAsia="zh-CN" w:bidi="ar"/>
              </w:rPr>
              <w:t>2）无组织废气</w:t>
            </w:r>
          </w:p>
          <w:p w14:paraId="7306E3F5">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lang w:val="en-US" w:eastAsia="zh-CN" w:bidi="ar"/>
              </w:rPr>
            </w:pPr>
            <w:r>
              <w:rPr>
                <w:rFonts w:hint="eastAsia" w:ascii="宋体" w:hAnsi="宋体" w:eastAsia="宋体" w:cs="宋体"/>
                <w:b w:val="0"/>
                <w:kern w:val="2"/>
                <w:sz w:val="24"/>
                <w:szCs w:val="24"/>
                <w:lang w:val="en-US" w:eastAsia="zh-CN" w:bidi="ar"/>
              </w:rPr>
              <w:t>硝酸铵水溶液配制过程挥发的氨气非常少，无组织排放；柴油挥发的有机废气经埋地油罐配套的通气管排放，根据后文中产污系数核算，现有项目柴油卸油、储油和加油过程共挥发非甲烷总烃0.285t/a。</w:t>
            </w:r>
          </w:p>
          <w:p w14:paraId="7B0F1403">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lang w:val="en-US" w:eastAsia="zh-CN" w:bidi="ar"/>
              </w:rPr>
            </w:pPr>
            <w:r>
              <w:rPr>
                <w:rFonts w:hint="eastAsia" w:ascii="宋体" w:hAnsi="宋体" w:eastAsia="宋体" w:cs="宋体"/>
                <w:b w:val="0"/>
                <w:kern w:val="2"/>
                <w:sz w:val="24"/>
                <w:szCs w:val="24"/>
                <w:lang w:val="en-US" w:eastAsia="zh-CN" w:bidi="ar"/>
              </w:rPr>
              <w:t>现有项目未对氨气和非甲烷总烃的厂界无组织浓度进行过验收监测和例行监测，无厂界无组织废气验收监测数据和例行监测数据。根据本次评价的现状监测结果（监测点位位于当季主导风向下风向），厂界下风向</w:t>
            </w:r>
            <w:r>
              <w:rPr>
                <w:rFonts w:hint="eastAsia" w:ascii="宋体" w:hAnsi="宋体" w:eastAsia="宋体" w:cs="宋体"/>
                <w:color w:val="auto"/>
                <w:sz w:val="24"/>
                <w:lang w:val="en-US" w:eastAsia="zh-CN"/>
              </w:rPr>
              <w:t>非甲烷总烃浓度最大值为0.56mg/m</w:t>
            </w:r>
            <w:r>
              <w:rPr>
                <w:rFonts w:hint="eastAsia" w:ascii="宋体" w:hAnsi="宋体" w:eastAsia="宋体" w:cs="宋体"/>
                <w:color w:val="auto"/>
                <w:sz w:val="24"/>
                <w:vertAlign w:val="superscript"/>
                <w:lang w:val="en-US" w:eastAsia="zh-CN"/>
              </w:rPr>
              <w:t>3</w:t>
            </w:r>
            <w:r>
              <w:rPr>
                <w:rFonts w:hint="eastAsia" w:ascii="宋体" w:hAnsi="宋体" w:eastAsia="宋体" w:cs="宋体"/>
                <w:color w:val="auto"/>
                <w:sz w:val="24"/>
                <w:vertAlign w:val="baseline"/>
                <w:lang w:val="en-US" w:eastAsia="zh-CN"/>
              </w:rPr>
              <w:t>，满足《大气污染物综合排放标准》（GB16297-1996）表2中周界外浓度最高点浓度限值；氨气</w:t>
            </w:r>
            <w:r>
              <w:rPr>
                <w:rFonts w:hint="eastAsia" w:ascii="宋体" w:hAnsi="宋体" w:eastAsia="宋体" w:cs="宋体"/>
                <w:color w:val="auto"/>
                <w:sz w:val="24"/>
                <w:lang w:val="en-US" w:eastAsia="zh-CN"/>
              </w:rPr>
              <w:t>浓度最大值为0.03mg/m</w:t>
            </w:r>
            <w:r>
              <w:rPr>
                <w:rFonts w:hint="eastAsia" w:ascii="宋体" w:hAnsi="宋体" w:eastAsia="宋体" w:cs="宋体"/>
                <w:color w:val="auto"/>
                <w:sz w:val="24"/>
                <w:vertAlign w:val="superscript"/>
                <w:lang w:val="en-US" w:eastAsia="zh-CN"/>
              </w:rPr>
              <w:t>3</w:t>
            </w:r>
            <w:r>
              <w:rPr>
                <w:rFonts w:hint="eastAsia" w:ascii="宋体" w:hAnsi="宋体" w:eastAsia="宋体" w:cs="宋体"/>
                <w:color w:val="auto"/>
                <w:sz w:val="24"/>
                <w:vertAlign w:val="baseline"/>
                <w:lang w:val="en-US" w:eastAsia="zh-CN"/>
              </w:rPr>
              <w:t>，满足</w:t>
            </w:r>
            <w:r>
              <w:rPr>
                <w:rFonts w:hint="eastAsia" w:ascii="宋体" w:hAnsi="宋体" w:eastAsia="宋体" w:cs="宋体"/>
                <w:color w:val="000000" w:themeColor="text1"/>
                <w14:textFill>
                  <w14:solidFill>
                    <w14:schemeClr w14:val="tx1"/>
                  </w14:solidFill>
                </w14:textFill>
              </w:rPr>
              <w:t>《</w:t>
            </w:r>
            <w:r>
              <w:rPr>
                <w:rFonts w:hint="eastAsia" w:ascii="宋体" w:hAnsi="宋体" w:eastAsia="宋体" w:cs="宋体"/>
                <w:color w:val="000000" w:themeColor="text1"/>
                <w:spacing w:val="14"/>
                <w14:textFill>
                  <w14:solidFill>
                    <w14:schemeClr w14:val="tx1"/>
                  </w14:solidFill>
                </w14:textFill>
              </w:rPr>
              <w:t>恶臭污染物排放标准》</w:t>
            </w:r>
            <w:r>
              <w:rPr>
                <w:rFonts w:hint="eastAsia" w:ascii="宋体" w:hAnsi="宋体" w:eastAsia="宋体" w:cs="宋体"/>
                <w:color w:val="000000" w:themeColor="text1"/>
                <w14:textFill>
                  <w14:solidFill>
                    <w14:schemeClr w14:val="tx1"/>
                  </w14:solidFill>
                </w14:textFill>
              </w:rPr>
              <w:t>（GB14554-93</w:t>
            </w:r>
            <w:r>
              <w:rPr>
                <w:rFonts w:hint="eastAsia" w:ascii="宋体" w:hAnsi="宋体" w:eastAsia="宋体" w:cs="宋体"/>
                <w:color w:val="000000" w:themeColor="text1"/>
                <w:spacing w:val="21"/>
                <w14:textFill>
                  <w14:solidFill>
                    <w14:schemeClr w14:val="tx1"/>
                  </w14:solidFill>
                </w14:textFill>
              </w:rPr>
              <w:t>）表1二级新扩改建标准</w:t>
            </w:r>
            <w:r>
              <w:rPr>
                <w:rFonts w:hint="eastAsia" w:ascii="宋体" w:hAnsi="宋体" w:eastAsia="宋体" w:cs="宋体"/>
                <w:color w:val="000000" w:themeColor="text1"/>
                <w:spacing w:val="21"/>
                <w:lang w:eastAsia="zh-CN"/>
                <w14:textFill>
                  <w14:solidFill>
                    <w14:schemeClr w14:val="tx1"/>
                  </w14:solidFill>
                </w14:textFill>
              </w:rPr>
              <w:t>。</w:t>
            </w:r>
          </w:p>
          <w:p w14:paraId="7499BE2B">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color w:val="auto"/>
                <w:kern w:val="2"/>
                <w:sz w:val="24"/>
                <w:szCs w:val="24"/>
              </w:rPr>
            </w:pPr>
            <w:r>
              <w:rPr>
                <w:rFonts w:hint="eastAsia" w:ascii="宋体" w:hAnsi="宋体" w:eastAsia="宋体" w:cs="宋体"/>
                <w:b w:val="0"/>
                <w:color w:val="auto"/>
                <w:kern w:val="2"/>
                <w:sz w:val="24"/>
                <w:szCs w:val="24"/>
                <w:lang w:val="en-US" w:eastAsia="zh-CN" w:bidi="ar"/>
              </w:rPr>
              <w:t>（2）废水</w:t>
            </w:r>
          </w:p>
          <w:p w14:paraId="2C82240F">
            <w:pPr>
              <w:pStyle w:val="24"/>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color w:val="auto"/>
                <w:kern w:val="2"/>
                <w:sz w:val="24"/>
                <w:szCs w:val="24"/>
                <w:lang w:val="en-US" w:eastAsia="zh-CN" w:bidi="ar"/>
              </w:rPr>
            </w:pPr>
            <w:r>
              <w:rPr>
                <w:rFonts w:hint="eastAsia" w:ascii="宋体" w:hAnsi="宋体" w:eastAsia="宋体" w:cs="宋体"/>
                <w:b w:val="0"/>
                <w:color w:val="auto"/>
                <w:kern w:val="2"/>
                <w:sz w:val="24"/>
                <w:szCs w:val="24"/>
                <w:lang w:val="en-US" w:eastAsia="zh-CN" w:bidi="ar"/>
              </w:rPr>
              <w:t>现有项目产生的废水主要为锅炉及软水装置排污水</w:t>
            </w:r>
            <w:r>
              <w:rPr>
                <w:rFonts w:hint="eastAsia" w:eastAsia="宋体" w:cs="宋体"/>
                <w:b w:val="0"/>
                <w:color w:val="auto"/>
                <w:kern w:val="2"/>
                <w:sz w:val="24"/>
                <w:szCs w:val="24"/>
                <w:lang w:val="en-US" w:eastAsia="zh-CN" w:bidi="ar"/>
              </w:rPr>
              <w:t>、脱硫除尘废水</w:t>
            </w:r>
            <w:r>
              <w:rPr>
                <w:rFonts w:hint="eastAsia" w:ascii="宋体" w:hAnsi="宋体" w:eastAsia="宋体" w:cs="宋体"/>
                <w:b w:val="0"/>
                <w:color w:val="auto"/>
                <w:kern w:val="2"/>
                <w:sz w:val="24"/>
                <w:szCs w:val="24"/>
                <w:lang w:val="en-US" w:eastAsia="zh-CN" w:bidi="ar"/>
              </w:rPr>
              <w:t>和生活污水。</w:t>
            </w:r>
          </w:p>
          <w:p w14:paraId="79F09F8F">
            <w:pPr>
              <w:pStyle w:val="24"/>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default" w:ascii="宋体" w:hAnsi="宋体" w:eastAsia="宋体" w:cs="宋体"/>
                <w:b w:val="0"/>
                <w:color w:val="auto"/>
                <w:kern w:val="2"/>
                <w:sz w:val="24"/>
                <w:szCs w:val="24"/>
                <w:lang w:val="en-US"/>
              </w:rPr>
            </w:pPr>
            <w:r>
              <w:rPr>
                <w:rFonts w:hint="eastAsia" w:ascii="宋体" w:hAnsi="宋体" w:eastAsia="宋体" w:cs="宋体"/>
                <w:b w:val="0"/>
                <w:color w:val="auto"/>
                <w:kern w:val="2"/>
                <w:sz w:val="24"/>
                <w:szCs w:val="24"/>
                <w:lang w:val="en-US" w:eastAsia="zh-CN" w:bidi="ar"/>
              </w:rPr>
              <w:t>①锅炉及软水装置排污水</w:t>
            </w:r>
            <w:r>
              <w:rPr>
                <w:rFonts w:hint="eastAsia" w:eastAsia="宋体" w:cs="宋体"/>
                <w:b w:val="0"/>
                <w:color w:val="auto"/>
                <w:kern w:val="2"/>
                <w:sz w:val="24"/>
                <w:szCs w:val="24"/>
                <w:lang w:val="en-US" w:eastAsia="zh-CN" w:bidi="ar"/>
              </w:rPr>
              <w:t>、</w:t>
            </w:r>
            <w:r>
              <w:rPr>
                <w:rFonts w:hint="eastAsia" w:eastAsia="宋体" w:cs="宋体"/>
                <w:color w:val="auto"/>
                <w:szCs w:val="21"/>
                <w:lang w:val="en-US" w:eastAsia="zh-CN"/>
              </w:rPr>
              <w:t>脱硫除尘废水</w:t>
            </w:r>
          </w:p>
          <w:p w14:paraId="4A5E30E9">
            <w:pPr>
              <w:pStyle w:val="24"/>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kern w:val="2"/>
                <w:sz w:val="24"/>
                <w:szCs w:val="24"/>
                <w:lang w:val="en-US"/>
              </w:rPr>
            </w:pPr>
            <w:r>
              <w:rPr>
                <w:rFonts w:hint="eastAsia" w:ascii="宋体" w:hAnsi="宋体" w:eastAsia="宋体" w:cs="宋体"/>
                <w:b w:val="0"/>
                <w:color w:val="auto"/>
                <w:kern w:val="2"/>
                <w:sz w:val="24"/>
                <w:szCs w:val="24"/>
                <w:lang w:val="en-US" w:eastAsia="zh-CN" w:bidi="ar"/>
              </w:rPr>
              <w:t>现有项目燃煤锅炉及软水装置排污水量为200</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主要污染物为盐分和SS，用于储煤场洒水抑尘。</w:t>
            </w:r>
            <w:r>
              <w:rPr>
                <w:rFonts w:hint="eastAsia" w:eastAsia="宋体" w:cs="宋体"/>
                <w:color w:val="auto"/>
                <w:szCs w:val="21"/>
                <w:lang w:val="en-US" w:eastAsia="zh-CN"/>
              </w:rPr>
              <w:t>脱硫除尘废水循环使用，不外排，定期清掏底泥。</w:t>
            </w:r>
          </w:p>
          <w:p w14:paraId="0B8F89F0">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②生活污水</w:t>
            </w:r>
          </w:p>
          <w:p w14:paraId="3C0C61E7">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现有项目生活污水产生量为276m³/a，主要污染物为COD、BOD</w:t>
            </w:r>
            <w:r>
              <w:rPr>
                <w:rFonts w:hint="eastAsia" w:ascii="宋体" w:hAnsi="宋体" w:eastAsia="宋体" w:cs="宋体"/>
                <w:b w:val="0"/>
                <w:kern w:val="2"/>
                <w:sz w:val="24"/>
                <w:szCs w:val="24"/>
                <w:vertAlign w:val="subscript"/>
                <w:lang w:val="en-US" w:eastAsia="zh-CN" w:bidi="ar"/>
              </w:rPr>
              <w:t>5</w:t>
            </w:r>
            <w:r>
              <w:rPr>
                <w:rFonts w:hint="eastAsia" w:ascii="宋体" w:hAnsi="宋体" w:eastAsia="宋体" w:cs="宋体"/>
                <w:b w:val="0"/>
                <w:kern w:val="2"/>
                <w:sz w:val="24"/>
                <w:szCs w:val="24"/>
                <w:lang w:val="en-US" w:eastAsia="zh-CN" w:bidi="ar"/>
              </w:rPr>
              <w:t>、SS、NH</w:t>
            </w:r>
            <w:r>
              <w:rPr>
                <w:rFonts w:hint="eastAsia" w:ascii="宋体" w:hAnsi="宋体" w:eastAsia="宋体" w:cs="宋体"/>
                <w:b w:val="0"/>
                <w:kern w:val="2"/>
                <w:sz w:val="24"/>
                <w:szCs w:val="24"/>
                <w:vertAlign w:val="subscript"/>
                <w:lang w:val="en-US" w:eastAsia="zh-CN" w:bidi="ar"/>
              </w:rPr>
              <w:t>3</w:t>
            </w:r>
            <w:r>
              <w:rPr>
                <w:rFonts w:hint="eastAsia" w:ascii="宋体" w:hAnsi="宋体" w:eastAsia="宋体" w:cs="宋体"/>
                <w:b w:val="0"/>
                <w:kern w:val="2"/>
                <w:sz w:val="24"/>
                <w:szCs w:val="24"/>
                <w:lang w:val="en-US" w:eastAsia="zh-CN" w:bidi="ar"/>
              </w:rPr>
              <w:t>-N，经化粪池收集后委托</w:t>
            </w:r>
            <w:r>
              <w:rPr>
                <w:rFonts w:hint="eastAsia" w:ascii="宋体" w:hAnsi="宋体" w:eastAsia="宋体" w:cs="宋体"/>
                <w:color w:val="auto"/>
                <w:lang w:val="en-US" w:eastAsia="zh-CN"/>
              </w:rPr>
              <w:t>内蒙古诚远服务有限公司拉运处理</w:t>
            </w:r>
            <w:r>
              <w:rPr>
                <w:rFonts w:hint="eastAsia" w:ascii="宋体" w:hAnsi="宋体" w:eastAsia="宋体" w:cs="宋体"/>
                <w:b w:val="0"/>
                <w:kern w:val="2"/>
                <w:sz w:val="24"/>
                <w:szCs w:val="24"/>
                <w:lang w:val="en-US" w:eastAsia="zh-CN" w:bidi="ar"/>
              </w:rPr>
              <w:t>。</w:t>
            </w:r>
          </w:p>
          <w:p w14:paraId="1B4FC3D3">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（3）噪声</w:t>
            </w:r>
          </w:p>
          <w:p w14:paraId="6DE0BBF8">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现有项目噪声主要为生产设备运行产生，根据竣工环境保护验收报告，厂界昼间噪声检测结果最大值54.8dB(A)，夜间检测结果最大值45.9dB(A)，符合《工业企业厂界环境噪声排放标准》（GB12348-2008）2类标准限值要求。</w:t>
            </w:r>
          </w:p>
          <w:p w14:paraId="05A3C4E6">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（4）固废</w:t>
            </w:r>
          </w:p>
          <w:p w14:paraId="6D6DF572">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现有项目产生的固体废物主要为废包装袋、锅炉灰渣、脱硫渣、废离子交换树脂和生活垃圾。</w:t>
            </w:r>
          </w:p>
          <w:p w14:paraId="27B8A2DB">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lang w:val="en-US"/>
              </w:rPr>
            </w:pPr>
            <w:r>
              <w:rPr>
                <w:rFonts w:hint="eastAsia" w:ascii="宋体" w:hAnsi="宋体" w:eastAsia="宋体" w:cs="宋体"/>
                <w:b w:val="0"/>
                <w:kern w:val="2"/>
                <w:sz w:val="24"/>
                <w:szCs w:val="24"/>
                <w:lang w:val="en-US" w:eastAsia="zh-CN" w:bidi="ar"/>
              </w:rPr>
              <w:t>①废包装袋</w:t>
            </w:r>
          </w:p>
          <w:p w14:paraId="1CD8A730">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现有项目废包装袋产生量为</w:t>
            </w:r>
            <w:r>
              <w:rPr>
                <w:rFonts w:hint="eastAsia" w:eastAsia="宋体" w:cs="宋体"/>
                <w:b w:val="0"/>
                <w:kern w:val="2"/>
                <w:sz w:val="24"/>
                <w:szCs w:val="24"/>
                <w:lang w:val="en-US" w:eastAsia="zh-CN" w:bidi="ar"/>
              </w:rPr>
              <w:t>1</w:t>
            </w:r>
            <w:r>
              <w:rPr>
                <w:rFonts w:hint="eastAsia" w:ascii="宋体" w:hAnsi="宋体" w:eastAsia="宋体" w:cs="宋体"/>
                <w:b w:val="0"/>
                <w:kern w:val="2"/>
                <w:sz w:val="24"/>
                <w:szCs w:val="24"/>
                <w:lang w:val="en-US" w:eastAsia="zh-CN" w:bidi="ar"/>
              </w:rPr>
              <w:t>t/a，分类收集后外售废品回收站。</w:t>
            </w:r>
          </w:p>
          <w:p w14:paraId="42680FDE">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lang w:val="en-US" w:eastAsia="zh-CN" w:bidi="ar"/>
              </w:rPr>
            </w:pPr>
            <w:r>
              <w:rPr>
                <w:rFonts w:hint="eastAsia" w:ascii="宋体" w:hAnsi="宋体" w:eastAsia="宋体" w:cs="宋体"/>
                <w:b w:val="0"/>
                <w:kern w:val="2"/>
                <w:sz w:val="24"/>
                <w:szCs w:val="24"/>
                <w:lang w:val="en-US" w:eastAsia="zh-CN" w:bidi="ar"/>
              </w:rPr>
              <w:t>②锅炉灰渣</w:t>
            </w:r>
          </w:p>
          <w:p w14:paraId="7200D6D3">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燃煤锅炉灰渣产生量为4.2t/a，暂存于渣池，用于矿区道路铺设。</w:t>
            </w:r>
          </w:p>
          <w:p w14:paraId="723A56BE">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default" w:ascii="宋体" w:hAnsi="宋体" w:eastAsia="宋体" w:cs="宋体"/>
                <w:b w:val="0"/>
                <w:color w:val="auto"/>
                <w:kern w:val="2"/>
                <w:sz w:val="24"/>
                <w:szCs w:val="24"/>
                <w:lang w:val="en-US"/>
              </w:rPr>
            </w:pPr>
            <w:r>
              <w:rPr>
                <w:rFonts w:hint="eastAsia" w:ascii="宋体" w:hAnsi="宋体" w:eastAsia="宋体" w:cs="宋体"/>
                <w:b w:val="0"/>
                <w:kern w:val="2"/>
                <w:sz w:val="24"/>
                <w:szCs w:val="24"/>
                <w:lang w:val="en-US" w:eastAsia="zh-CN" w:bidi="ar"/>
              </w:rPr>
              <w:t>③脱硫渣</w:t>
            </w:r>
          </w:p>
          <w:p w14:paraId="00760219">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default" w:ascii="宋体" w:hAnsi="宋体" w:eastAsia="宋体" w:cs="宋体"/>
                <w:b w:val="0"/>
                <w:color w:val="auto"/>
                <w:kern w:val="2"/>
                <w:sz w:val="24"/>
                <w:szCs w:val="24"/>
                <w:highlight w:val="none"/>
                <w:lang w:val="en-US"/>
              </w:rPr>
            </w:pPr>
            <w:r>
              <w:rPr>
                <w:rFonts w:hint="eastAsia" w:ascii="宋体" w:hAnsi="宋体" w:eastAsia="宋体" w:cs="宋体"/>
                <w:b w:val="0"/>
                <w:color w:val="auto"/>
                <w:kern w:val="2"/>
                <w:sz w:val="24"/>
                <w:szCs w:val="24"/>
                <w:highlight w:val="none"/>
                <w:lang w:val="en-US" w:eastAsia="zh-CN" w:bidi="ar"/>
              </w:rPr>
              <w:t>燃煤锅炉烟气脱硫产生的脱硫渣约1.6t/a，暂存于渣池，用于矿区道路铺设。</w:t>
            </w:r>
          </w:p>
          <w:p w14:paraId="7F785EB4">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color w:val="auto"/>
                <w:kern w:val="2"/>
                <w:sz w:val="24"/>
                <w:szCs w:val="24"/>
                <w:lang w:val="en-US" w:eastAsia="zh-CN" w:bidi="ar"/>
              </w:rPr>
            </w:pPr>
            <w:r>
              <w:rPr>
                <w:rFonts w:hint="eastAsia" w:ascii="宋体" w:hAnsi="宋体" w:eastAsia="宋体" w:cs="宋体"/>
                <w:b w:val="0"/>
                <w:kern w:val="2"/>
                <w:sz w:val="24"/>
                <w:szCs w:val="24"/>
                <w:lang w:val="en-US" w:eastAsia="zh-CN" w:bidi="ar"/>
              </w:rPr>
              <w:t>④</w:t>
            </w:r>
            <w:r>
              <w:rPr>
                <w:rFonts w:hint="eastAsia" w:ascii="宋体" w:hAnsi="宋体" w:eastAsia="宋体" w:cs="宋体"/>
                <w:b w:val="0"/>
                <w:color w:val="auto"/>
                <w:kern w:val="2"/>
                <w:sz w:val="24"/>
                <w:szCs w:val="24"/>
                <w:lang w:val="en-US" w:eastAsia="zh-CN" w:bidi="ar"/>
              </w:rPr>
              <w:t>废离子交换树脂</w:t>
            </w:r>
          </w:p>
          <w:p w14:paraId="5F66B909">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color w:val="auto"/>
                <w:szCs w:val="21"/>
                <w:lang w:val="en-US" w:eastAsia="zh-CN"/>
              </w:rPr>
              <w:t>软水装置产生的废离子交换树脂每5年更换一次，每次产生量0.15t/5a，由厂家上门更换时直接带走，不在项目区暂存</w:t>
            </w:r>
            <w:r>
              <w:rPr>
                <w:rFonts w:hint="eastAsia" w:ascii="宋体" w:hAnsi="宋体" w:eastAsia="宋体" w:cs="宋体"/>
                <w:b w:val="0"/>
                <w:kern w:val="2"/>
                <w:sz w:val="24"/>
                <w:szCs w:val="24"/>
                <w:lang w:val="en-US" w:eastAsia="zh-CN" w:bidi="ar"/>
              </w:rPr>
              <w:t>。</w:t>
            </w:r>
          </w:p>
          <w:p w14:paraId="0D56D54F">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⑤生活垃圾</w:t>
            </w:r>
          </w:p>
          <w:p w14:paraId="69A3B738">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highlight w:val="yellow"/>
                <w:lang w:val="en-US" w:eastAsia="zh-CN" w:bidi="ar"/>
              </w:rPr>
            </w:pPr>
            <w:r>
              <w:rPr>
                <w:rFonts w:hint="eastAsia" w:ascii="宋体" w:hAnsi="宋体" w:eastAsia="宋体" w:cs="宋体"/>
                <w:b w:val="0"/>
                <w:kern w:val="2"/>
                <w:sz w:val="24"/>
                <w:szCs w:val="24"/>
                <w:lang w:val="en-US" w:eastAsia="zh-CN" w:bidi="ar"/>
              </w:rPr>
              <w:t>现有项目生活垃圾</w:t>
            </w:r>
            <w:r>
              <w:rPr>
                <w:rFonts w:hint="eastAsia" w:ascii="宋体" w:hAnsi="宋体" w:eastAsia="宋体" w:cs="宋体"/>
                <w:b w:val="0"/>
                <w:kern w:val="2"/>
                <w:sz w:val="24"/>
                <w:szCs w:val="24"/>
                <w:highlight w:val="none"/>
                <w:lang w:val="en-US" w:eastAsia="zh-CN" w:bidi="ar"/>
              </w:rPr>
              <w:t>产生量为2.8t/a，设置垃圾箱集中收集，</w:t>
            </w:r>
            <w:r>
              <w:rPr>
                <w:rFonts w:hint="eastAsia" w:ascii="宋体" w:hAnsi="宋体" w:eastAsia="宋体" w:cs="宋体"/>
                <w:color w:val="auto"/>
                <w:szCs w:val="21"/>
                <w:highlight w:val="none"/>
                <w:lang w:val="en-US" w:eastAsia="zh-CN"/>
              </w:rPr>
              <w:t>定期送至内蒙古太平矿业有限公司垃圾收集点，集中处置</w:t>
            </w:r>
            <w:r>
              <w:rPr>
                <w:rFonts w:hint="eastAsia" w:ascii="宋体" w:hAnsi="宋体" w:eastAsia="宋体" w:cs="宋体"/>
                <w:b w:val="0"/>
                <w:kern w:val="2"/>
                <w:sz w:val="24"/>
                <w:szCs w:val="24"/>
                <w:highlight w:val="none"/>
                <w:lang w:val="en-US" w:eastAsia="zh-CN" w:bidi="ar"/>
              </w:rPr>
              <w:t>。</w:t>
            </w:r>
          </w:p>
          <w:p w14:paraId="6701D0EE">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b w:val="0"/>
                <w:kern w:val="2"/>
                <w:sz w:val="24"/>
                <w:szCs w:val="24"/>
                <w:lang w:val="en-US" w:eastAsia="zh-CN" w:bidi="ar"/>
              </w:rPr>
              <w:t>根据建设单位实际生产统计数据和例行检测结果，现有项目污染物排放量统计如下：</w:t>
            </w:r>
          </w:p>
          <w:p w14:paraId="2163C633">
            <w:pPr>
              <w:pStyle w:val="24"/>
              <w:keepNext w:val="0"/>
              <w:keepLines w:val="0"/>
              <w:widowControl w:val="0"/>
              <w:suppressLineNumbers w:val="0"/>
              <w:autoSpaceDE w:val="0"/>
              <w:autoSpaceDN/>
              <w:spacing w:before="0" w:beforeAutospacing="0" w:after="0" w:afterAutospacing="0" w:line="240" w:lineRule="auto"/>
              <w:ind w:left="0" w:leftChars="0" w:right="0" w:firstLine="0" w:firstLineChars="0"/>
              <w:jc w:val="center"/>
              <w:rPr>
                <w:rFonts w:hint="eastAsia" w:ascii="宋体" w:hAnsi="宋体" w:eastAsia="宋体" w:cs="宋体"/>
                <w:b w:val="0"/>
                <w:kern w:val="2"/>
                <w:sz w:val="24"/>
                <w:szCs w:val="24"/>
              </w:rPr>
            </w:pPr>
            <w:r>
              <w:rPr>
                <w:rFonts w:hint="eastAsia" w:ascii="宋体" w:hAnsi="宋体" w:eastAsia="宋体" w:cs="宋体"/>
                <w:b/>
                <w:kern w:val="2"/>
                <w:sz w:val="24"/>
                <w:szCs w:val="24"/>
                <w:lang w:val="en-US" w:eastAsia="zh-CN" w:bidi="ar"/>
              </w:rPr>
              <w:t>表2-9 现有项目污染物排放量        单位：t/a</w:t>
            </w:r>
          </w:p>
          <w:tbl>
            <w:tblPr>
              <w:tblStyle w:val="27"/>
              <w:tblW w:w="82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05"/>
              <w:gridCol w:w="3320"/>
              <w:gridCol w:w="3683"/>
            </w:tblGrid>
            <w:tr w14:paraId="3539C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shd w:val="clear" w:color="auto" w:fill="auto"/>
                  <w:vAlign w:val="center"/>
                </w:tcPr>
                <w:p w14:paraId="7D62A9CA">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类别</w:t>
                  </w:r>
                </w:p>
              </w:tc>
              <w:tc>
                <w:tcPr>
                  <w:tcW w:w="3320" w:type="dxa"/>
                  <w:shd w:val="clear" w:color="auto" w:fill="auto"/>
                  <w:vAlign w:val="center"/>
                </w:tcPr>
                <w:p w14:paraId="0D94A748">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污染物</w:t>
                  </w:r>
                </w:p>
              </w:tc>
              <w:tc>
                <w:tcPr>
                  <w:tcW w:w="3683" w:type="dxa"/>
                  <w:shd w:val="clear" w:color="auto" w:fill="auto"/>
                  <w:vAlign w:val="center"/>
                </w:tcPr>
                <w:p w14:paraId="726FCBB0">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排放量</w:t>
                  </w:r>
                </w:p>
              </w:tc>
            </w:tr>
            <w:tr w14:paraId="4D1B2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restart"/>
                  <w:shd w:val="clear" w:color="auto" w:fill="auto"/>
                  <w:vAlign w:val="center"/>
                </w:tcPr>
                <w:p w14:paraId="3202B00F">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废气</w:t>
                  </w:r>
                </w:p>
              </w:tc>
              <w:tc>
                <w:tcPr>
                  <w:tcW w:w="3320" w:type="dxa"/>
                  <w:shd w:val="clear" w:color="auto" w:fill="auto"/>
                  <w:vAlign w:val="center"/>
                </w:tcPr>
                <w:p w14:paraId="1603BC6E">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烟气量</w:t>
                  </w:r>
                </w:p>
              </w:tc>
              <w:tc>
                <w:tcPr>
                  <w:tcW w:w="3683" w:type="dxa"/>
                  <w:shd w:val="clear" w:color="auto" w:fill="auto"/>
                  <w:vAlign w:val="center"/>
                </w:tcPr>
                <w:p w14:paraId="4AB9E340">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2845.02×10</w:t>
                  </w:r>
                  <w:r>
                    <w:rPr>
                      <w:rFonts w:hint="eastAsia" w:ascii="宋体" w:hAnsi="宋体" w:eastAsia="宋体" w:cs="宋体"/>
                      <w:b w:val="0"/>
                      <w:kern w:val="2"/>
                      <w:sz w:val="21"/>
                      <w:szCs w:val="21"/>
                      <w:vertAlign w:val="superscript"/>
                      <w:lang w:val="en-US" w:eastAsia="zh-CN" w:bidi="ar"/>
                    </w:rPr>
                    <w:t>4</w:t>
                  </w:r>
                  <w:r>
                    <w:rPr>
                      <w:rFonts w:hint="eastAsia" w:ascii="宋体" w:hAnsi="宋体" w:eastAsia="宋体" w:cs="宋体"/>
                      <w:b w:val="0"/>
                      <w:kern w:val="2"/>
                      <w:sz w:val="21"/>
                      <w:szCs w:val="21"/>
                      <w:lang w:val="en-US" w:eastAsia="zh-CN" w:bidi="ar"/>
                    </w:rPr>
                    <w:t>m³/a</w:t>
                  </w:r>
                </w:p>
              </w:tc>
            </w:tr>
            <w:tr w14:paraId="54587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2073B39A">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6661583F">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颗粒物</w:t>
                  </w:r>
                </w:p>
              </w:tc>
              <w:tc>
                <w:tcPr>
                  <w:tcW w:w="3683" w:type="dxa"/>
                  <w:shd w:val="clear" w:color="auto" w:fill="auto"/>
                  <w:vAlign w:val="center"/>
                </w:tcPr>
                <w:p w14:paraId="28F32162">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0.646</w:t>
                  </w:r>
                </w:p>
              </w:tc>
            </w:tr>
            <w:tr w14:paraId="5EF75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29A4112A">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0F4CE53C">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二氧化硫</w:t>
                  </w:r>
                </w:p>
              </w:tc>
              <w:tc>
                <w:tcPr>
                  <w:tcW w:w="3683" w:type="dxa"/>
                  <w:shd w:val="clear" w:color="auto" w:fill="auto"/>
                  <w:vAlign w:val="center"/>
                </w:tcPr>
                <w:p w14:paraId="3C3EC359">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rPr>
                    <w:t>2.325</w:t>
                  </w:r>
                </w:p>
              </w:tc>
            </w:tr>
            <w:tr w14:paraId="3D26F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7D4293A6">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3B7FD969">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氮氧化物</w:t>
                  </w:r>
                </w:p>
              </w:tc>
              <w:tc>
                <w:tcPr>
                  <w:tcW w:w="3683" w:type="dxa"/>
                  <w:shd w:val="clear" w:color="auto" w:fill="auto"/>
                  <w:vAlign w:val="center"/>
                </w:tcPr>
                <w:p w14:paraId="49982C46">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rPr>
                    <w:t>1.421</w:t>
                  </w:r>
                </w:p>
              </w:tc>
            </w:tr>
            <w:tr w14:paraId="0A088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627C20A3">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508BBA2A">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汞及其化合物</w:t>
                  </w:r>
                </w:p>
              </w:tc>
              <w:tc>
                <w:tcPr>
                  <w:tcW w:w="3683" w:type="dxa"/>
                  <w:shd w:val="clear" w:color="auto" w:fill="auto"/>
                  <w:vAlign w:val="center"/>
                </w:tcPr>
                <w:p w14:paraId="2F3D971F">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9.75×10</w:t>
                  </w:r>
                  <w:r>
                    <w:rPr>
                      <w:rFonts w:hint="eastAsia" w:ascii="宋体" w:hAnsi="宋体" w:eastAsia="宋体" w:cs="宋体"/>
                      <w:b w:val="0"/>
                      <w:kern w:val="2"/>
                      <w:sz w:val="21"/>
                      <w:szCs w:val="21"/>
                      <w:vertAlign w:val="superscript"/>
                      <w:lang w:val="en-US" w:eastAsia="zh-CN" w:bidi="ar"/>
                    </w:rPr>
                    <w:t>-6</w:t>
                  </w:r>
                </w:p>
              </w:tc>
            </w:tr>
            <w:tr w14:paraId="06BE7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4A8B8CF0">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3EE5488F">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氨气</w:t>
                  </w:r>
                </w:p>
              </w:tc>
              <w:tc>
                <w:tcPr>
                  <w:tcW w:w="3683" w:type="dxa"/>
                  <w:shd w:val="clear" w:color="auto" w:fill="auto"/>
                  <w:vAlign w:val="center"/>
                </w:tcPr>
                <w:p w14:paraId="1D041498">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无组织排放</w:t>
                  </w:r>
                </w:p>
              </w:tc>
            </w:tr>
            <w:tr w14:paraId="39E8E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7A69B3CD">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199A74DB">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非甲烷总烃</w:t>
                  </w:r>
                </w:p>
              </w:tc>
              <w:tc>
                <w:tcPr>
                  <w:tcW w:w="3683" w:type="dxa"/>
                  <w:shd w:val="clear" w:color="auto" w:fill="auto"/>
                  <w:vAlign w:val="center"/>
                </w:tcPr>
                <w:p w14:paraId="469BAAAC">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0.285（无组织排放）</w:t>
                  </w:r>
                </w:p>
              </w:tc>
            </w:tr>
            <w:tr w14:paraId="08D1D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5" w:type="dxa"/>
                  <w:shd w:val="clear" w:color="auto" w:fill="auto"/>
                  <w:vAlign w:val="center"/>
                </w:tcPr>
                <w:p w14:paraId="7907A7D8">
                  <w:pPr>
                    <w:keepNext w:val="0"/>
                    <w:keepLines w:val="0"/>
                    <w:suppressLineNumbers w:val="0"/>
                    <w:spacing w:before="0" w:beforeAutospacing="0" w:after="0" w:afterAutospacing="0"/>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废水</w:t>
                  </w:r>
                </w:p>
              </w:tc>
              <w:tc>
                <w:tcPr>
                  <w:tcW w:w="3320" w:type="dxa"/>
                  <w:shd w:val="clear" w:color="auto" w:fill="auto"/>
                  <w:vAlign w:val="center"/>
                </w:tcPr>
                <w:p w14:paraId="3E3A143E">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生活污水</w:t>
                  </w:r>
                </w:p>
              </w:tc>
              <w:tc>
                <w:tcPr>
                  <w:tcW w:w="3683" w:type="dxa"/>
                  <w:shd w:val="clear" w:color="auto" w:fill="auto"/>
                  <w:vAlign w:val="center"/>
                </w:tcPr>
                <w:p w14:paraId="346ADF2F">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276m³/a</w:t>
                  </w:r>
                </w:p>
              </w:tc>
            </w:tr>
            <w:tr w14:paraId="7D97F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restart"/>
                  <w:shd w:val="clear" w:color="auto" w:fill="auto"/>
                  <w:vAlign w:val="center"/>
                </w:tcPr>
                <w:p w14:paraId="7E8512A9">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固体</w:t>
                  </w:r>
                </w:p>
                <w:p w14:paraId="646170E4">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废物</w:t>
                  </w:r>
                </w:p>
              </w:tc>
              <w:tc>
                <w:tcPr>
                  <w:tcW w:w="3320" w:type="dxa"/>
                  <w:shd w:val="clear" w:color="auto" w:fill="auto"/>
                  <w:vAlign w:val="center"/>
                </w:tcPr>
                <w:p w14:paraId="60A102A0">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ascii="宋体" w:hAnsi="宋体" w:eastAsia="宋体" w:cs="宋体"/>
                      <w:b w:val="0"/>
                      <w:kern w:val="2"/>
                      <w:sz w:val="21"/>
                      <w:szCs w:val="21"/>
                      <w:lang w:val="en-US" w:eastAsia="zh-CN" w:bidi="ar"/>
                    </w:rPr>
                    <w:t>废包装袋</w:t>
                  </w:r>
                </w:p>
              </w:tc>
              <w:tc>
                <w:tcPr>
                  <w:tcW w:w="3683" w:type="dxa"/>
                  <w:shd w:val="clear" w:color="auto" w:fill="auto"/>
                  <w:vAlign w:val="center"/>
                </w:tcPr>
                <w:p w14:paraId="0AD3D0AA">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kern w:val="2"/>
                      <w:sz w:val="21"/>
                      <w:szCs w:val="21"/>
                      <w:lang w:val="en-US" w:eastAsia="zh-CN"/>
                    </w:rPr>
                  </w:pPr>
                  <w:r>
                    <w:rPr>
                      <w:rFonts w:hint="eastAsia" w:eastAsia="宋体" w:cs="宋体"/>
                      <w:b w:val="0"/>
                      <w:kern w:val="2"/>
                      <w:sz w:val="21"/>
                      <w:szCs w:val="21"/>
                      <w:lang w:val="en-US" w:eastAsia="zh-CN" w:bidi="ar"/>
                    </w:rPr>
                    <w:t>1</w:t>
                  </w:r>
                </w:p>
              </w:tc>
            </w:tr>
            <w:tr w14:paraId="1E683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071B36D2">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088EFDF1">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rPr>
                    <w:t>灰渣</w:t>
                  </w:r>
                </w:p>
              </w:tc>
              <w:tc>
                <w:tcPr>
                  <w:tcW w:w="3683" w:type="dxa"/>
                  <w:shd w:val="clear" w:color="auto" w:fill="auto"/>
                  <w:vAlign w:val="center"/>
                </w:tcPr>
                <w:p w14:paraId="6B8707C2">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bidi="ar"/>
                    </w:rPr>
                    <w:t>4.2</w:t>
                  </w:r>
                </w:p>
              </w:tc>
            </w:tr>
            <w:tr w14:paraId="00334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2" w:hRule="atLeast"/>
              </w:trPr>
              <w:tc>
                <w:tcPr>
                  <w:tcW w:w="1205" w:type="dxa"/>
                  <w:vMerge w:val="continue"/>
                  <w:shd w:val="clear" w:color="auto" w:fill="auto"/>
                  <w:vAlign w:val="center"/>
                </w:tcPr>
                <w:p w14:paraId="64CCE8D3">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25D96ADD">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rPr>
                    <w:t>脱硫渣</w:t>
                  </w:r>
                </w:p>
              </w:tc>
              <w:tc>
                <w:tcPr>
                  <w:tcW w:w="3683" w:type="dxa"/>
                  <w:shd w:val="clear" w:color="auto" w:fill="auto"/>
                  <w:vAlign w:val="center"/>
                </w:tcPr>
                <w:p w14:paraId="30A1A662">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bidi="ar"/>
                    </w:rPr>
                    <w:t>1.6</w:t>
                  </w:r>
                </w:p>
              </w:tc>
            </w:tr>
            <w:tr w14:paraId="59C15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2535C2E4">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6F43213C">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bidi="ar"/>
                    </w:rPr>
                    <w:t>废离子交换树脂</w:t>
                  </w:r>
                </w:p>
              </w:tc>
              <w:tc>
                <w:tcPr>
                  <w:tcW w:w="3683" w:type="dxa"/>
                  <w:shd w:val="clear" w:color="auto" w:fill="auto"/>
                  <w:vAlign w:val="center"/>
                </w:tcPr>
                <w:p w14:paraId="7A482F4E">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rPr>
                    <w:t>0.15t/5a</w:t>
                  </w:r>
                </w:p>
              </w:tc>
            </w:tr>
            <w:tr w14:paraId="05B4A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5" w:type="dxa"/>
                  <w:vMerge w:val="continue"/>
                  <w:shd w:val="clear" w:color="auto" w:fill="auto"/>
                  <w:vAlign w:val="center"/>
                </w:tcPr>
                <w:p w14:paraId="36D3F12B">
                  <w:pPr>
                    <w:keepNext w:val="0"/>
                    <w:keepLines w:val="0"/>
                    <w:suppressLineNumbers w:val="0"/>
                    <w:spacing w:before="0" w:beforeAutospacing="0" w:after="0" w:afterAutospacing="0"/>
                    <w:ind w:left="0" w:right="0"/>
                    <w:rPr>
                      <w:rFonts w:hint="eastAsia" w:ascii="宋体" w:hAnsi="宋体" w:eastAsia="宋体" w:cs="宋体"/>
                      <w:sz w:val="21"/>
                      <w:szCs w:val="21"/>
                      <w:lang w:val="en-US" w:eastAsia="zh-CN"/>
                    </w:rPr>
                  </w:pPr>
                </w:p>
              </w:tc>
              <w:tc>
                <w:tcPr>
                  <w:tcW w:w="3320" w:type="dxa"/>
                  <w:shd w:val="clear" w:color="auto" w:fill="auto"/>
                  <w:vAlign w:val="center"/>
                </w:tcPr>
                <w:p w14:paraId="1422A3CE">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bidi="ar"/>
                    </w:rPr>
                    <w:t>生活垃圾</w:t>
                  </w:r>
                </w:p>
              </w:tc>
              <w:tc>
                <w:tcPr>
                  <w:tcW w:w="3683" w:type="dxa"/>
                  <w:shd w:val="clear" w:color="auto" w:fill="auto"/>
                  <w:vAlign w:val="center"/>
                </w:tcPr>
                <w:p w14:paraId="527218F5">
                  <w:pPr>
                    <w:pStyle w:val="24"/>
                    <w:keepNext w:val="0"/>
                    <w:keepLines w:val="0"/>
                    <w:widowControl w:val="0"/>
                    <w:suppressLineNumbers w:val="0"/>
                    <w:autoSpaceDE w:val="0"/>
                    <w:autoSpaceDN/>
                    <w:spacing w:before="0" w:beforeAutospacing="0" w:after="0" w:afterAutospacing="0" w:line="360" w:lineRule="exact"/>
                    <w:ind w:left="0" w:right="0" w:firstLine="0"/>
                    <w:jc w:val="center"/>
                    <w:rPr>
                      <w:rFonts w:hint="eastAsia" w:ascii="宋体" w:hAnsi="宋体" w:eastAsia="宋体" w:cs="宋体"/>
                      <w:b w:val="0"/>
                      <w:color w:val="auto"/>
                      <w:kern w:val="2"/>
                      <w:sz w:val="21"/>
                      <w:szCs w:val="21"/>
                      <w:lang w:val="en-US" w:eastAsia="zh-CN"/>
                    </w:rPr>
                  </w:pPr>
                  <w:r>
                    <w:rPr>
                      <w:rFonts w:hint="eastAsia" w:ascii="宋体" w:hAnsi="宋体" w:eastAsia="宋体" w:cs="宋体"/>
                      <w:b w:val="0"/>
                      <w:color w:val="auto"/>
                      <w:kern w:val="2"/>
                      <w:sz w:val="21"/>
                      <w:szCs w:val="21"/>
                      <w:lang w:val="en-US" w:eastAsia="zh-CN" w:bidi="ar"/>
                    </w:rPr>
                    <w:t>2.8</w:t>
                  </w:r>
                </w:p>
              </w:tc>
            </w:tr>
          </w:tbl>
          <w:p w14:paraId="6FA2593E">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2、存在的环境问题</w:t>
            </w:r>
          </w:p>
          <w:p w14:paraId="28E1D385">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rPr>
            </w:pPr>
            <w:r>
              <w:rPr>
                <w:rFonts w:hint="eastAsia" w:ascii="宋体" w:hAnsi="宋体" w:eastAsia="宋体" w:cs="宋体"/>
                <w:bCs/>
                <w:color w:val="auto"/>
                <w:sz w:val="24"/>
                <w:u w:val="none"/>
                <w:lang w:eastAsia="zh-CN"/>
              </w:rPr>
              <w:t>现有项目未对氨气和非甲烷总烃进行例行监测，现有燃煤锅炉不符合现行环保要求</w:t>
            </w:r>
            <w:r>
              <w:rPr>
                <w:rFonts w:hint="eastAsia" w:eastAsia="宋体" w:cs="宋体"/>
                <w:bCs/>
                <w:color w:val="auto"/>
                <w:sz w:val="24"/>
                <w:u w:val="none"/>
                <w:lang w:eastAsia="zh-CN"/>
              </w:rPr>
              <w:t>，</w:t>
            </w:r>
            <w:r>
              <w:rPr>
                <w:rFonts w:hint="eastAsia" w:ascii="宋体" w:hAnsi="宋体" w:eastAsia="宋体" w:cs="宋体"/>
                <w:bCs/>
                <w:color w:val="auto"/>
                <w:sz w:val="24"/>
                <w:u w:val="none"/>
                <w:lang w:eastAsia="zh-CN"/>
              </w:rPr>
              <w:t>排气筒高度不够</w:t>
            </w:r>
            <w:r>
              <w:rPr>
                <w:rFonts w:hint="eastAsia" w:eastAsia="宋体" w:cs="宋体"/>
                <w:bCs/>
                <w:color w:val="auto"/>
                <w:sz w:val="24"/>
                <w:u w:val="none"/>
                <w:lang w:eastAsia="zh-CN"/>
              </w:rPr>
              <w:t>，</w:t>
            </w:r>
            <w:r>
              <w:rPr>
                <w:rFonts w:hint="eastAsia" w:eastAsia="宋体" w:cs="宋体"/>
                <w:bCs/>
                <w:color w:val="auto"/>
                <w:sz w:val="24"/>
                <w:lang w:val="en-US" w:eastAsia="zh-CN"/>
              </w:rPr>
              <w:t>未</w:t>
            </w:r>
            <w:r>
              <w:rPr>
                <w:rFonts w:hint="eastAsia" w:eastAsia="宋体" w:cs="宋体"/>
                <w:bCs/>
                <w:color w:val="auto"/>
                <w:sz w:val="24"/>
              </w:rPr>
              <w:t>按照排污单位自行监测要求定期开展无组织废气污染源监测</w:t>
            </w:r>
            <w:r>
              <w:rPr>
                <w:rFonts w:hint="eastAsia" w:eastAsia="宋体" w:cs="宋体"/>
                <w:bCs/>
                <w:color w:val="auto"/>
                <w:sz w:val="24"/>
                <w:lang w:eastAsia="zh-CN"/>
              </w:rPr>
              <w:t>，</w:t>
            </w:r>
            <w:r>
              <w:rPr>
                <w:rFonts w:hint="eastAsia" w:eastAsia="宋体" w:cs="宋体"/>
                <w:bCs/>
                <w:color w:val="auto"/>
                <w:sz w:val="24"/>
                <w:lang w:val="en-US" w:eastAsia="zh-CN"/>
              </w:rPr>
              <w:t>具体监测计划见下文中表4-10</w:t>
            </w:r>
            <w:r>
              <w:rPr>
                <w:rFonts w:hint="eastAsia" w:eastAsia="宋体" w:cs="宋体"/>
                <w:bCs/>
                <w:color w:val="auto"/>
                <w:sz w:val="24"/>
              </w:rPr>
              <w:t>。</w:t>
            </w:r>
          </w:p>
        </w:tc>
      </w:tr>
    </w:tbl>
    <w:p w14:paraId="7DE66990">
      <w:pPr>
        <w:pStyle w:val="24"/>
        <w:ind w:firstLine="600"/>
        <w:jc w:val="center"/>
        <w:outlineLvl w:val="0"/>
        <w:rPr>
          <w:rFonts w:hint="eastAsia" w:ascii="宋体" w:hAnsi="宋体" w:eastAsia="宋体" w:cs="宋体"/>
          <w:snapToGrid w:val="0"/>
          <w:color w:val="auto"/>
          <w:sz w:val="30"/>
          <w:szCs w:val="30"/>
        </w:rPr>
        <w:sectPr>
          <w:pgSz w:w="11906" w:h="16838"/>
          <w:pgMar w:top="1440" w:right="1463" w:bottom="1440" w:left="146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9D30748">
      <w:pPr>
        <w:pStyle w:val="24"/>
        <w:ind w:firstLine="600"/>
        <w:jc w:val="center"/>
        <w:outlineLvl w:val="0"/>
        <w:rPr>
          <w:rFonts w:hint="eastAsia" w:ascii="宋体" w:hAnsi="宋体" w:eastAsia="宋体" w:cs="宋体"/>
          <w:snapToGrid w:val="0"/>
          <w:color w:val="auto"/>
          <w:sz w:val="30"/>
          <w:szCs w:val="30"/>
        </w:rPr>
      </w:pPr>
      <w:r>
        <w:rPr>
          <w:rFonts w:hint="eastAsia" w:ascii="宋体" w:hAnsi="宋体" w:eastAsia="宋体" w:cs="宋体"/>
          <w:snapToGrid w:val="0"/>
          <w:color w:val="auto"/>
          <w:sz w:val="30"/>
          <w:szCs w:val="30"/>
        </w:rPr>
        <w:t>三、区域环境质量现状、环境保护目标及评价标准</w:t>
      </w:r>
    </w:p>
    <w:tbl>
      <w:tblPr>
        <w:tblStyle w:val="27"/>
        <w:tblW w:w="91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7"/>
        <w:gridCol w:w="8375"/>
      </w:tblGrid>
      <w:tr w14:paraId="5FA16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7" w:type="dxa"/>
            <w:vAlign w:val="center"/>
          </w:tcPr>
          <w:p w14:paraId="372C5A17">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区域环境质量现状</w:t>
            </w:r>
          </w:p>
        </w:tc>
        <w:tc>
          <w:tcPr>
            <w:tcW w:w="8375" w:type="dxa"/>
            <w:vAlign w:val="center"/>
          </w:tcPr>
          <w:p w14:paraId="518C25C1">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1、环境空气质量现状</w:t>
            </w:r>
          </w:p>
          <w:p w14:paraId="4A33068C">
            <w:pPr>
              <w:keepNext w:val="0"/>
              <w:keepLines w:val="0"/>
              <w:widowControl/>
              <w:suppressLineNumbers w:val="0"/>
              <w:spacing w:before="0" w:beforeAutospacing="0" w:after="0" w:afterAutospacing="0" w:line="360" w:lineRule="auto"/>
              <w:ind w:left="0" w:right="0" w:firstLine="480"/>
              <w:rPr>
                <w:rFonts w:hint="eastAsia" w:ascii="宋体" w:hAnsi="宋体" w:eastAsia="宋体" w:cs="宋体"/>
                <w:b/>
                <w:bCs/>
                <w:color w:val="auto"/>
                <w:sz w:val="24"/>
              </w:rPr>
            </w:pPr>
            <w:r>
              <w:rPr>
                <w:rFonts w:hint="eastAsia" w:ascii="宋体" w:hAnsi="宋体" w:eastAsia="宋体" w:cs="宋体"/>
                <w:b/>
                <w:bCs/>
                <w:color w:val="auto"/>
                <w:sz w:val="24"/>
              </w:rPr>
              <w:t>（1）区域环境质量达标情况判定</w:t>
            </w:r>
          </w:p>
          <w:p w14:paraId="35962C44">
            <w:pPr>
              <w:keepNext w:val="0"/>
              <w:keepLines w:val="0"/>
              <w:widowControl/>
              <w:suppressLineNumbers w:val="0"/>
              <w:spacing w:before="0" w:beforeAutospacing="0" w:after="0" w:afterAutospacing="0" w:line="360" w:lineRule="auto"/>
              <w:ind w:left="0" w:right="0" w:firstLine="480" w:firstLineChars="200"/>
              <w:jc w:val="both"/>
              <w:rPr>
                <w:rFonts w:hint="eastAsia" w:ascii="宋体" w:hAnsi="宋体" w:eastAsia="宋体" w:cs="宋体"/>
                <w:color w:val="auto"/>
                <w:kern w:val="2"/>
                <w:sz w:val="24"/>
                <w:szCs w:val="24"/>
              </w:rPr>
            </w:pPr>
            <w:r>
              <w:rPr>
                <w:rFonts w:hint="eastAsia" w:ascii="宋体" w:hAnsi="宋体" w:eastAsia="宋体" w:cs="宋体"/>
                <w:color w:val="auto"/>
                <w:kern w:val="2"/>
                <w:sz w:val="24"/>
                <w:szCs w:val="24"/>
                <w:lang w:val="en-US" w:eastAsia="zh-CN" w:bidi="ar"/>
              </w:rPr>
              <w:t>根据巴彦淖尔市生态环境局2025年7月发布的《巴彦淖尔市生态环境状况公报》（2024年），乌拉特中旗海流图镇有效监测天数362天，优良率为90.9%。乌拉特中旗空气质量现状评价见表3-1。</w:t>
            </w:r>
          </w:p>
          <w:p w14:paraId="6E9C6849">
            <w:pPr>
              <w:keepNext w:val="0"/>
              <w:keepLines w:val="0"/>
              <w:widowControl/>
              <w:suppressLineNumbers w:val="0"/>
              <w:spacing w:before="0" w:beforeAutospacing="0" w:after="0" w:afterAutospacing="0" w:line="240" w:lineRule="auto"/>
              <w:ind w:left="0" w:right="0"/>
              <w:jc w:val="center"/>
              <w:rPr>
                <w:rFonts w:hint="eastAsia" w:ascii="宋体" w:hAnsi="宋体" w:eastAsia="宋体" w:cs="宋体"/>
                <w:b/>
                <w:bCs/>
                <w:color w:val="auto"/>
                <w:kern w:val="2"/>
                <w:sz w:val="24"/>
                <w:szCs w:val="24"/>
              </w:rPr>
            </w:pPr>
            <w:r>
              <w:rPr>
                <w:rFonts w:hint="eastAsia" w:ascii="宋体" w:hAnsi="宋体" w:eastAsia="宋体" w:cs="宋体"/>
                <w:b/>
                <w:bCs/>
                <w:color w:val="auto"/>
                <w:kern w:val="2"/>
                <w:sz w:val="24"/>
                <w:szCs w:val="24"/>
                <w:lang w:val="en-US" w:eastAsia="zh-CN" w:bidi="ar"/>
              </w:rPr>
              <w:t>表3-1  2024年乌拉特中旗空气质量现状评价表</w:t>
            </w:r>
          </w:p>
          <w:tbl>
            <w:tblPr>
              <w:tblStyle w:val="26"/>
              <w:tblW w:w="81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1051"/>
              <w:gridCol w:w="3196"/>
              <w:gridCol w:w="988"/>
              <w:gridCol w:w="1002"/>
              <w:gridCol w:w="1005"/>
              <w:gridCol w:w="869"/>
            </w:tblGrid>
            <w:tr w14:paraId="7BCD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397" w:hRule="atLeast"/>
                <w:jc w:val="center"/>
              </w:trPr>
              <w:tc>
                <w:tcPr>
                  <w:tcW w:w="1051" w:type="dxa"/>
                  <w:shd w:val="clear" w:color="auto" w:fill="auto"/>
                  <w:vAlign w:val="center"/>
                </w:tcPr>
                <w:p w14:paraId="6392BC39">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污染物</w:t>
                  </w:r>
                </w:p>
              </w:tc>
              <w:tc>
                <w:tcPr>
                  <w:tcW w:w="3196" w:type="dxa"/>
                  <w:shd w:val="clear" w:color="auto" w:fill="auto"/>
                  <w:vAlign w:val="center"/>
                </w:tcPr>
                <w:p w14:paraId="73AFFD54">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年评价指标</w:t>
                  </w:r>
                </w:p>
              </w:tc>
              <w:tc>
                <w:tcPr>
                  <w:tcW w:w="988" w:type="dxa"/>
                  <w:shd w:val="clear" w:color="auto" w:fill="auto"/>
                  <w:vAlign w:val="center"/>
                </w:tcPr>
                <w:p w14:paraId="42B0DC87">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现状浓度</w:t>
                  </w:r>
                </w:p>
                <w:p w14:paraId="1A2A8530">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（μg/m</w:t>
                  </w:r>
                  <w:r>
                    <w:rPr>
                      <w:rFonts w:hint="eastAsia" w:ascii="宋体" w:hAnsi="宋体" w:eastAsia="宋体" w:cs="宋体"/>
                      <w:color w:val="auto"/>
                      <w:kern w:val="2"/>
                      <w:sz w:val="21"/>
                      <w:szCs w:val="21"/>
                      <w:vertAlign w:val="superscript"/>
                      <w:lang w:val="en-US" w:eastAsia="zh-CN" w:bidi="ar"/>
                    </w:rPr>
                    <w:t>3</w:t>
                  </w:r>
                  <w:r>
                    <w:rPr>
                      <w:rFonts w:hint="eastAsia" w:ascii="宋体" w:hAnsi="宋体" w:eastAsia="宋体" w:cs="宋体"/>
                      <w:color w:val="auto"/>
                      <w:kern w:val="2"/>
                      <w:sz w:val="21"/>
                      <w:szCs w:val="21"/>
                      <w:lang w:val="en-US" w:eastAsia="zh-CN" w:bidi="ar"/>
                    </w:rPr>
                    <w:t>）</w:t>
                  </w:r>
                </w:p>
              </w:tc>
              <w:tc>
                <w:tcPr>
                  <w:tcW w:w="1002" w:type="dxa"/>
                  <w:shd w:val="clear" w:color="auto" w:fill="auto"/>
                  <w:vAlign w:val="center"/>
                </w:tcPr>
                <w:p w14:paraId="58D48A35">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标准值</w:t>
                  </w:r>
                </w:p>
                <w:p w14:paraId="010A7ACB">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（μg/m</w:t>
                  </w:r>
                  <w:r>
                    <w:rPr>
                      <w:rFonts w:hint="eastAsia" w:ascii="宋体" w:hAnsi="宋体" w:eastAsia="宋体" w:cs="宋体"/>
                      <w:color w:val="auto"/>
                      <w:kern w:val="2"/>
                      <w:sz w:val="21"/>
                      <w:szCs w:val="21"/>
                      <w:vertAlign w:val="superscript"/>
                      <w:lang w:val="en-US" w:eastAsia="zh-CN" w:bidi="ar"/>
                    </w:rPr>
                    <w:t>3</w:t>
                  </w:r>
                  <w:r>
                    <w:rPr>
                      <w:rFonts w:hint="eastAsia" w:ascii="宋体" w:hAnsi="宋体" w:eastAsia="宋体" w:cs="宋体"/>
                      <w:color w:val="auto"/>
                      <w:kern w:val="2"/>
                      <w:sz w:val="21"/>
                      <w:szCs w:val="21"/>
                      <w:lang w:val="en-US" w:eastAsia="zh-CN" w:bidi="ar"/>
                    </w:rPr>
                    <w:t>）</w:t>
                  </w:r>
                </w:p>
              </w:tc>
              <w:tc>
                <w:tcPr>
                  <w:tcW w:w="1005" w:type="dxa"/>
                  <w:shd w:val="clear" w:color="auto" w:fill="auto"/>
                  <w:vAlign w:val="center"/>
                </w:tcPr>
                <w:p w14:paraId="3A9F9342">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占标率</w:t>
                  </w:r>
                </w:p>
                <w:p w14:paraId="0DCFB36C">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w:t>
                  </w:r>
                </w:p>
              </w:tc>
              <w:tc>
                <w:tcPr>
                  <w:tcW w:w="869" w:type="dxa"/>
                  <w:shd w:val="clear" w:color="auto" w:fill="auto"/>
                  <w:vAlign w:val="center"/>
                </w:tcPr>
                <w:p w14:paraId="6B6CF697">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达标情况</w:t>
                  </w:r>
                </w:p>
              </w:tc>
            </w:tr>
            <w:tr w14:paraId="1549D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51" w:type="dxa"/>
                  <w:shd w:val="clear" w:color="auto" w:fill="auto"/>
                  <w:vAlign w:val="center"/>
                </w:tcPr>
                <w:p w14:paraId="15951A40">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bookmarkStart w:id="6" w:name="_Hlk7546596"/>
                  <w:r>
                    <w:rPr>
                      <w:rFonts w:hint="eastAsia" w:ascii="宋体" w:hAnsi="宋体" w:eastAsia="宋体" w:cs="宋体"/>
                      <w:color w:val="auto"/>
                      <w:kern w:val="2"/>
                      <w:sz w:val="21"/>
                      <w:szCs w:val="21"/>
                      <w:lang w:val="en-US" w:eastAsia="zh-CN" w:bidi="ar"/>
                    </w:rPr>
                    <w:t>SO</w:t>
                  </w:r>
                  <w:bookmarkEnd w:id="6"/>
                  <w:r>
                    <w:rPr>
                      <w:rFonts w:hint="eastAsia" w:ascii="宋体" w:hAnsi="宋体" w:eastAsia="宋体" w:cs="宋体"/>
                      <w:color w:val="auto"/>
                      <w:kern w:val="2"/>
                      <w:sz w:val="21"/>
                      <w:szCs w:val="21"/>
                      <w:vertAlign w:val="subscript"/>
                      <w:lang w:val="en-US" w:eastAsia="zh-CN" w:bidi="ar"/>
                    </w:rPr>
                    <w:t>2</w:t>
                  </w:r>
                </w:p>
              </w:tc>
              <w:tc>
                <w:tcPr>
                  <w:tcW w:w="3196" w:type="dxa"/>
                  <w:shd w:val="clear" w:color="auto" w:fill="auto"/>
                  <w:vAlign w:val="center"/>
                </w:tcPr>
                <w:p w14:paraId="12EFC434">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年平均质量浓度</w:t>
                  </w:r>
                </w:p>
              </w:tc>
              <w:tc>
                <w:tcPr>
                  <w:tcW w:w="988" w:type="dxa"/>
                  <w:shd w:val="clear" w:color="auto" w:fill="auto"/>
                  <w:vAlign w:val="center"/>
                </w:tcPr>
                <w:p w14:paraId="27B69978">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9</w:t>
                  </w:r>
                </w:p>
              </w:tc>
              <w:tc>
                <w:tcPr>
                  <w:tcW w:w="1002" w:type="dxa"/>
                  <w:shd w:val="clear" w:color="auto" w:fill="auto"/>
                  <w:vAlign w:val="center"/>
                </w:tcPr>
                <w:p w14:paraId="052C9A25">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60</w:t>
                  </w:r>
                </w:p>
              </w:tc>
              <w:tc>
                <w:tcPr>
                  <w:tcW w:w="1005" w:type="dxa"/>
                  <w:shd w:val="clear" w:color="auto" w:fill="auto"/>
                  <w:vAlign w:val="center"/>
                </w:tcPr>
                <w:p w14:paraId="5705312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
                      <w:sz w:val="21"/>
                      <w:szCs w:val="21"/>
                    </w:rPr>
                  </w:pPr>
                  <w:r>
                    <w:rPr>
                      <w:rFonts w:hint="eastAsia" w:ascii="宋体" w:hAnsi="宋体" w:eastAsia="宋体" w:cs="宋体"/>
                      <w:i w:val="0"/>
                      <w:iCs w:val="0"/>
                      <w:color w:val="auto"/>
                      <w:kern w:val="0"/>
                      <w:sz w:val="21"/>
                      <w:szCs w:val="21"/>
                      <w:u w:val="none"/>
                      <w:lang w:val="en-US" w:eastAsia="zh-CN" w:bidi="ar"/>
                    </w:rPr>
                    <w:t>15.0</w:t>
                  </w:r>
                </w:p>
              </w:tc>
              <w:tc>
                <w:tcPr>
                  <w:tcW w:w="869" w:type="dxa"/>
                  <w:shd w:val="clear" w:color="auto" w:fill="auto"/>
                  <w:vAlign w:val="center"/>
                </w:tcPr>
                <w:p w14:paraId="189CB0B8">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达标</w:t>
                  </w:r>
                </w:p>
              </w:tc>
            </w:tr>
            <w:tr w14:paraId="17CF7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51" w:type="dxa"/>
                  <w:shd w:val="clear" w:color="auto" w:fill="auto"/>
                  <w:vAlign w:val="center"/>
                </w:tcPr>
                <w:p w14:paraId="1688D697">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NO</w:t>
                  </w:r>
                  <w:r>
                    <w:rPr>
                      <w:rFonts w:hint="eastAsia" w:ascii="宋体" w:hAnsi="宋体" w:eastAsia="宋体" w:cs="宋体"/>
                      <w:color w:val="auto"/>
                      <w:kern w:val="2"/>
                      <w:sz w:val="21"/>
                      <w:szCs w:val="21"/>
                      <w:vertAlign w:val="subscript"/>
                      <w:lang w:val="en-US" w:eastAsia="zh-CN" w:bidi="ar"/>
                    </w:rPr>
                    <w:t>2</w:t>
                  </w:r>
                </w:p>
              </w:tc>
              <w:tc>
                <w:tcPr>
                  <w:tcW w:w="3196" w:type="dxa"/>
                  <w:shd w:val="clear" w:color="auto" w:fill="auto"/>
                  <w:vAlign w:val="center"/>
                </w:tcPr>
                <w:p w14:paraId="29DF3646">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年平均质量浓度</w:t>
                  </w:r>
                </w:p>
              </w:tc>
              <w:tc>
                <w:tcPr>
                  <w:tcW w:w="988" w:type="dxa"/>
                  <w:shd w:val="clear" w:color="auto" w:fill="auto"/>
                  <w:vAlign w:val="center"/>
                </w:tcPr>
                <w:p w14:paraId="260BD46D">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12</w:t>
                  </w:r>
                </w:p>
              </w:tc>
              <w:tc>
                <w:tcPr>
                  <w:tcW w:w="1002" w:type="dxa"/>
                  <w:shd w:val="clear" w:color="auto" w:fill="auto"/>
                  <w:vAlign w:val="center"/>
                </w:tcPr>
                <w:p w14:paraId="49344052">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40</w:t>
                  </w:r>
                </w:p>
              </w:tc>
              <w:tc>
                <w:tcPr>
                  <w:tcW w:w="1005" w:type="dxa"/>
                  <w:shd w:val="clear" w:color="auto" w:fill="auto"/>
                  <w:vAlign w:val="center"/>
                </w:tcPr>
                <w:p w14:paraId="41F5578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
                      <w:sz w:val="21"/>
                      <w:szCs w:val="21"/>
                    </w:rPr>
                  </w:pPr>
                  <w:r>
                    <w:rPr>
                      <w:rFonts w:hint="eastAsia" w:ascii="宋体" w:hAnsi="宋体" w:eastAsia="宋体" w:cs="宋体"/>
                      <w:i w:val="0"/>
                      <w:iCs w:val="0"/>
                      <w:color w:val="auto"/>
                      <w:kern w:val="0"/>
                      <w:sz w:val="21"/>
                      <w:szCs w:val="21"/>
                      <w:u w:val="none"/>
                      <w:lang w:val="en-US" w:eastAsia="zh-CN" w:bidi="ar"/>
                    </w:rPr>
                    <w:t>30.0</w:t>
                  </w:r>
                </w:p>
              </w:tc>
              <w:tc>
                <w:tcPr>
                  <w:tcW w:w="869" w:type="dxa"/>
                  <w:shd w:val="clear" w:color="auto" w:fill="auto"/>
                  <w:vAlign w:val="center"/>
                </w:tcPr>
                <w:p w14:paraId="6A57D7EA">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达标</w:t>
                  </w:r>
                </w:p>
              </w:tc>
            </w:tr>
            <w:tr w14:paraId="3E16B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51" w:type="dxa"/>
                  <w:shd w:val="clear" w:color="auto" w:fill="auto"/>
                  <w:vAlign w:val="center"/>
                </w:tcPr>
                <w:p w14:paraId="0DBFFF4B">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PM</w:t>
                  </w:r>
                  <w:r>
                    <w:rPr>
                      <w:rFonts w:hint="eastAsia" w:ascii="宋体" w:hAnsi="宋体" w:eastAsia="宋体" w:cs="宋体"/>
                      <w:color w:val="auto"/>
                      <w:kern w:val="2"/>
                      <w:sz w:val="21"/>
                      <w:szCs w:val="21"/>
                      <w:vertAlign w:val="subscript"/>
                      <w:lang w:val="en-US" w:eastAsia="zh-CN" w:bidi="ar"/>
                    </w:rPr>
                    <w:t>10</w:t>
                  </w:r>
                </w:p>
              </w:tc>
              <w:tc>
                <w:tcPr>
                  <w:tcW w:w="3196" w:type="dxa"/>
                  <w:shd w:val="clear" w:color="auto" w:fill="auto"/>
                  <w:vAlign w:val="center"/>
                </w:tcPr>
                <w:p w14:paraId="31DADBF2">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年平均质量浓度</w:t>
                  </w:r>
                </w:p>
              </w:tc>
              <w:tc>
                <w:tcPr>
                  <w:tcW w:w="988" w:type="dxa"/>
                  <w:shd w:val="clear" w:color="auto" w:fill="auto"/>
                  <w:vAlign w:val="center"/>
                </w:tcPr>
                <w:p w14:paraId="46287982">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38</w:t>
                  </w:r>
                </w:p>
              </w:tc>
              <w:tc>
                <w:tcPr>
                  <w:tcW w:w="1002" w:type="dxa"/>
                  <w:shd w:val="clear" w:color="auto" w:fill="auto"/>
                  <w:vAlign w:val="center"/>
                </w:tcPr>
                <w:p w14:paraId="7F5CA94D">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70</w:t>
                  </w:r>
                </w:p>
              </w:tc>
              <w:tc>
                <w:tcPr>
                  <w:tcW w:w="1005" w:type="dxa"/>
                  <w:shd w:val="clear" w:color="auto" w:fill="auto"/>
                  <w:vAlign w:val="center"/>
                </w:tcPr>
                <w:p w14:paraId="37B210F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
                      <w:sz w:val="21"/>
                      <w:szCs w:val="21"/>
                    </w:rPr>
                  </w:pPr>
                  <w:r>
                    <w:rPr>
                      <w:rFonts w:hint="eastAsia" w:ascii="宋体" w:hAnsi="宋体" w:eastAsia="宋体" w:cs="宋体"/>
                      <w:i w:val="0"/>
                      <w:iCs w:val="0"/>
                      <w:color w:val="auto"/>
                      <w:kern w:val="0"/>
                      <w:sz w:val="21"/>
                      <w:szCs w:val="21"/>
                      <w:u w:val="none"/>
                      <w:lang w:val="en-US" w:eastAsia="zh-CN" w:bidi="ar"/>
                    </w:rPr>
                    <w:t>54.3</w:t>
                  </w:r>
                </w:p>
              </w:tc>
              <w:tc>
                <w:tcPr>
                  <w:tcW w:w="869" w:type="dxa"/>
                  <w:shd w:val="clear" w:color="auto" w:fill="auto"/>
                  <w:vAlign w:val="center"/>
                </w:tcPr>
                <w:p w14:paraId="2272A6C7">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达标</w:t>
                  </w:r>
                </w:p>
              </w:tc>
            </w:tr>
            <w:tr w14:paraId="1EE22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51" w:type="dxa"/>
                  <w:shd w:val="clear" w:color="auto" w:fill="auto"/>
                  <w:vAlign w:val="center"/>
                </w:tcPr>
                <w:p w14:paraId="199825B0">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PM</w:t>
                  </w:r>
                  <w:r>
                    <w:rPr>
                      <w:rFonts w:hint="eastAsia" w:ascii="宋体" w:hAnsi="宋体" w:eastAsia="宋体" w:cs="宋体"/>
                      <w:color w:val="auto"/>
                      <w:kern w:val="2"/>
                      <w:sz w:val="21"/>
                      <w:szCs w:val="21"/>
                      <w:vertAlign w:val="subscript"/>
                      <w:lang w:val="en-US" w:eastAsia="zh-CN" w:bidi="ar"/>
                    </w:rPr>
                    <w:t>2.5</w:t>
                  </w:r>
                </w:p>
              </w:tc>
              <w:tc>
                <w:tcPr>
                  <w:tcW w:w="3196" w:type="dxa"/>
                  <w:shd w:val="clear" w:color="auto" w:fill="auto"/>
                  <w:vAlign w:val="center"/>
                </w:tcPr>
                <w:p w14:paraId="12A944E8">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年平均质量浓度</w:t>
                  </w:r>
                </w:p>
              </w:tc>
              <w:tc>
                <w:tcPr>
                  <w:tcW w:w="988" w:type="dxa"/>
                  <w:shd w:val="clear" w:color="auto" w:fill="auto"/>
                  <w:vAlign w:val="center"/>
                </w:tcPr>
                <w:p w14:paraId="39B2CDBF">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17</w:t>
                  </w:r>
                </w:p>
              </w:tc>
              <w:tc>
                <w:tcPr>
                  <w:tcW w:w="1002" w:type="dxa"/>
                  <w:shd w:val="clear" w:color="auto" w:fill="auto"/>
                  <w:vAlign w:val="center"/>
                </w:tcPr>
                <w:p w14:paraId="7379FEEF">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35</w:t>
                  </w:r>
                </w:p>
              </w:tc>
              <w:tc>
                <w:tcPr>
                  <w:tcW w:w="1005" w:type="dxa"/>
                  <w:shd w:val="clear" w:color="auto" w:fill="auto"/>
                  <w:vAlign w:val="center"/>
                </w:tcPr>
                <w:p w14:paraId="46BFF42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kern w:val="2"/>
                      <w:sz w:val="21"/>
                      <w:szCs w:val="21"/>
                    </w:rPr>
                  </w:pPr>
                  <w:r>
                    <w:rPr>
                      <w:rFonts w:hint="eastAsia" w:ascii="宋体" w:hAnsi="宋体" w:eastAsia="宋体" w:cs="宋体"/>
                      <w:i w:val="0"/>
                      <w:iCs w:val="0"/>
                      <w:color w:val="auto"/>
                      <w:kern w:val="0"/>
                      <w:sz w:val="21"/>
                      <w:szCs w:val="21"/>
                      <w:u w:val="none"/>
                      <w:lang w:val="en-US" w:eastAsia="zh-CN" w:bidi="ar"/>
                    </w:rPr>
                    <w:t>48.6</w:t>
                  </w:r>
                </w:p>
              </w:tc>
              <w:tc>
                <w:tcPr>
                  <w:tcW w:w="869" w:type="dxa"/>
                  <w:shd w:val="clear" w:color="auto" w:fill="auto"/>
                  <w:vAlign w:val="center"/>
                </w:tcPr>
                <w:p w14:paraId="47FA3E87">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达标</w:t>
                  </w:r>
                </w:p>
              </w:tc>
            </w:tr>
            <w:tr w14:paraId="694E8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51" w:type="dxa"/>
                  <w:shd w:val="clear" w:color="auto" w:fill="auto"/>
                  <w:vAlign w:val="center"/>
                </w:tcPr>
                <w:p w14:paraId="75BA1690">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CO</w:t>
                  </w:r>
                </w:p>
              </w:tc>
              <w:tc>
                <w:tcPr>
                  <w:tcW w:w="3196" w:type="dxa"/>
                  <w:shd w:val="clear" w:color="auto" w:fill="auto"/>
                  <w:vAlign w:val="center"/>
                </w:tcPr>
                <w:p w14:paraId="3DA60F1A">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24小时平均第95百分位数</w:t>
                  </w:r>
                </w:p>
              </w:tc>
              <w:tc>
                <w:tcPr>
                  <w:tcW w:w="988" w:type="dxa"/>
                  <w:shd w:val="clear" w:color="auto" w:fill="auto"/>
                  <w:vAlign w:val="center"/>
                </w:tcPr>
                <w:p w14:paraId="72B69B62">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800</w:t>
                  </w:r>
                </w:p>
              </w:tc>
              <w:tc>
                <w:tcPr>
                  <w:tcW w:w="1002" w:type="dxa"/>
                  <w:shd w:val="clear" w:color="auto" w:fill="auto"/>
                  <w:vAlign w:val="center"/>
                </w:tcPr>
                <w:p w14:paraId="29F3FB85">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4000</w:t>
                  </w:r>
                </w:p>
              </w:tc>
              <w:tc>
                <w:tcPr>
                  <w:tcW w:w="1005" w:type="dxa"/>
                  <w:shd w:val="clear" w:color="auto" w:fill="auto"/>
                  <w:vAlign w:val="center"/>
                </w:tcPr>
                <w:p w14:paraId="4B335196">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 xml:space="preserve">20.00 </w:t>
                  </w:r>
                </w:p>
              </w:tc>
              <w:tc>
                <w:tcPr>
                  <w:tcW w:w="869" w:type="dxa"/>
                  <w:shd w:val="clear" w:color="auto" w:fill="auto"/>
                  <w:vAlign w:val="center"/>
                </w:tcPr>
                <w:p w14:paraId="03646603">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达标</w:t>
                  </w:r>
                </w:p>
              </w:tc>
            </w:tr>
            <w:tr w14:paraId="7D674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51" w:type="dxa"/>
                  <w:shd w:val="clear" w:color="auto" w:fill="auto"/>
                  <w:vAlign w:val="center"/>
                </w:tcPr>
                <w:p w14:paraId="031283C0">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O</w:t>
                  </w:r>
                  <w:r>
                    <w:rPr>
                      <w:rFonts w:hint="eastAsia" w:ascii="宋体" w:hAnsi="宋体" w:eastAsia="宋体" w:cs="宋体"/>
                      <w:color w:val="auto"/>
                      <w:kern w:val="2"/>
                      <w:sz w:val="21"/>
                      <w:szCs w:val="21"/>
                      <w:vertAlign w:val="subscript"/>
                      <w:lang w:val="en-US" w:eastAsia="zh-CN" w:bidi="ar"/>
                    </w:rPr>
                    <w:t>3</w:t>
                  </w:r>
                </w:p>
              </w:tc>
              <w:tc>
                <w:tcPr>
                  <w:tcW w:w="3196" w:type="dxa"/>
                  <w:shd w:val="clear" w:color="auto" w:fill="auto"/>
                  <w:vAlign w:val="center"/>
                </w:tcPr>
                <w:p w14:paraId="26F52181">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日最大8小时平均第90百分位数</w:t>
                  </w:r>
                </w:p>
              </w:tc>
              <w:tc>
                <w:tcPr>
                  <w:tcW w:w="988" w:type="dxa"/>
                  <w:shd w:val="clear" w:color="auto" w:fill="auto"/>
                  <w:vAlign w:val="center"/>
                </w:tcPr>
                <w:p w14:paraId="50F1C420">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144</w:t>
                  </w:r>
                </w:p>
              </w:tc>
              <w:tc>
                <w:tcPr>
                  <w:tcW w:w="1002" w:type="dxa"/>
                  <w:shd w:val="clear" w:color="auto" w:fill="auto"/>
                  <w:vAlign w:val="center"/>
                </w:tcPr>
                <w:p w14:paraId="58367D87">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160</w:t>
                  </w:r>
                </w:p>
              </w:tc>
              <w:tc>
                <w:tcPr>
                  <w:tcW w:w="1005" w:type="dxa"/>
                  <w:shd w:val="clear" w:color="auto" w:fill="auto"/>
                  <w:vAlign w:val="center"/>
                </w:tcPr>
                <w:p w14:paraId="73EC4B22">
                  <w:pPr>
                    <w:keepNext w:val="0"/>
                    <w:keepLines w:val="0"/>
                    <w:widowControl/>
                    <w:suppressLineNumbers w:val="0"/>
                    <w:spacing w:before="0" w:beforeAutospacing="0" w:after="0" w:afterAutospacing="0" w:line="0" w:lineRule="atLeast"/>
                    <w:ind w:left="-105" w:leftChars="-50" w:right="-105" w:rightChars="-50"/>
                    <w:jc w:val="center"/>
                    <w:rPr>
                      <w:rFonts w:hint="eastAsia" w:ascii="宋体" w:hAnsi="宋体" w:eastAsia="宋体" w:cs="宋体"/>
                      <w:color w:val="auto"/>
                      <w:kern w:val="2"/>
                      <w:sz w:val="21"/>
                      <w:szCs w:val="21"/>
                    </w:rPr>
                  </w:pPr>
                  <w:r>
                    <w:rPr>
                      <w:rFonts w:hint="eastAsia" w:ascii="宋体" w:hAnsi="宋体" w:eastAsia="宋体" w:cs="宋体"/>
                      <w:color w:val="auto"/>
                      <w:kern w:val="2"/>
                      <w:sz w:val="21"/>
                      <w:szCs w:val="21"/>
                      <w:lang w:val="en-US" w:eastAsia="zh-CN" w:bidi="ar"/>
                    </w:rPr>
                    <w:t xml:space="preserve">90.00 </w:t>
                  </w:r>
                </w:p>
              </w:tc>
              <w:tc>
                <w:tcPr>
                  <w:tcW w:w="869" w:type="dxa"/>
                  <w:shd w:val="clear" w:color="auto" w:fill="auto"/>
                  <w:vAlign w:val="center"/>
                </w:tcPr>
                <w:p w14:paraId="371FC25F">
                  <w:pPr>
                    <w:keepNext w:val="0"/>
                    <w:keepLines w:val="0"/>
                    <w:widowControl/>
                    <w:suppressLineNumbers w:val="0"/>
                    <w:spacing w:before="0" w:beforeAutospacing="0" w:after="0" w:afterAutospacing="0" w:line="360" w:lineRule="auto"/>
                    <w:ind w:left="-105" w:leftChars="-50" w:right="-105" w:rightChars="-50"/>
                    <w:jc w:val="center"/>
                    <w:rPr>
                      <w:rFonts w:hint="eastAsia" w:ascii="宋体" w:hAnsi="宋体" w:eastAsia="宋体" w:cs="宋体"/>
                      <w:b/>
                      <w:color w:val="auto"/>
                      <w:kern w:val="2"/>
                      <w:sz w:val="21"/>
                      <w:szCs w:val="21"/>
                    </w:rPr>
                  </w:pPr>
                  <w:r>
                    <w:rPr>
                      <w:rFonts w:hint="eastAsia" w:ascii="宋体" w:hAnsi="宋体" w:eastAsia="宋体" w:cs="宋体"/>
                      <w:color w:val="auto"/>
                      <w:kern w:val="2"/>
                      <w:sz w:val="21"/>
                      <w:szCs w:val="21"/>
                      <w:lang w:val="en-US" w:eastAsia="zh-CN" w:bidi="ar"/>
                    </w:rPr>
                    <w:t>达标</w:t>
                  </w:r>
                </w:p>
              </w:tc>
            </w:tr>
          </w:tbl>
          <w:p w14:paraId="3CB21D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auto"/>
                <w:kern w:val="2"/>
                <w:sz w:val="24"/>
                <w:szCs w:val="24"/>
              </w:rPr>
            </w:pPr>
            <w:r>
              <w:rPr>
                <w:rFonts w:hint="eastAsia" w:ascii="宋体" w:hAnsi="宋体" w:eastAsia="宋体" w:cs="宋体"/>
                <w:color w:val="auto"/>
                <w:kern w:val="2"/>
                <w:sz w:val="24"/>
                <w:szCs w:val="24"/>
                <w:lang w:val="en-US" w:eastAsia="zh-CN" w:bidi="ar"/>
              </w:rPr>
              <w:t>乌拉特中旗2024年SO</w:t>
            </w:r>
            <w:r>
              <w:rPr>
                <w:rFonts w:hint="eastAsia" w:ascii="宋体" w:hAnsi="宋体" w:eastAsia="宋体" w:cs="宋体"/>
                <w:color w:val="auto"/>
                <w:kern w:val="2"/>
                <w:sz w:val="24"/>
                <w:szCs w:val="24"/>
                <w:vertAlign w:val="subscript"/>
                <w:lang w:val="en-US" w:eastAsia="zh-CN" w:bidi="ar"/>
              </w:rPr>
              <w:t>2</w:t>
            </w:r>
            <w:r>
              <w:rPr>
                <w:rFonts w:hint="eastAsia" w:ascii="宋体" w:hAnsi="宋体" w:eastAsia="宋体" w:cs="宋体"/>
                <w:color w:val="auto"/>
                <w:kern w:val="2"/>
                <w:sz w:val="24"/>
                <w:szCs w:val="24"/>
                <w:lang w:val="en-US" w:eastAsia="zh-CN" w:bidi="ar"/>
              </w:rPr>
              <w:t>、NO</w:t>
            </w:r>
            <w:r>
              <w:rPr>
                <w:rFonts w:hint="eastAsia" w:ascii="宋体" w:hAnsi="宋体" w:eastAsia="宋体" w:cs="宋体"/>
                <w:color w:val="auto"/>
                <w:kern w:val="2"/>
                <w:sz w:val="24"/>
                <w:szCs w:val="24"/>
                <w:vertAlign w:val="subscript"/>
                <w:lang w:val="en-US" w:eastAsia="zh-CN" w:bidi="ar"/>
              </w:rPr>
              <w:t>2</w:t>
            </w:r>
            <w:r>
              <w:rPr>
                <w:rFonts w:hint="eastAsia" w:ascii="宋体" w:hAnsi="宋体" w:eastAsia="宋体" w:cs="宋体"/>
                <w:color w:val="auto"/>
                <w:kern w:val="2"/>
                <w:sz w:val="24"/>
                <w:szCs w:val="24"/>
                <w:lang w:val="en-US" w:eastAsia="zh-CN" w:bidi="ar"/>
              </w:rPr>
              <w:t>、PM</w:t>
            </w:r>
            <w:r>
              <w:rPr>
                <w:rFonts w:hint="eastAsia" w:ascii="宋体" w:hAnsi="宋体" w:eastAsia="宋体" w:cs="宋体"/>
                <w:color w:val="auto"/>
                <w:kern w:val="2"/>
                <w:sz w:val="24"/>
                <w:szCs w:val="24"/>
                <w:vertAlign w:val="subscript"/>
                <w:lang w:val="en-US" w:eastAsia="zh-CN" w:bidi="ar"/>
              </w:rPr>
              <w:t>10</w:t>
            </w:r>
            <w:r>
              <w:rPr>
                <w:rFonts w:hint="eastAsia" w:ascii="宋体" w:hAnsi="宋体" w:eastAsia="宋体" w:cs="宋体"/>
                <w:color w:val="auto"/>
                <w:kern w:val="2"/>
                <w:sz w:val="24"/>
                <w:szCs w:val="24"/>
                <w:lang w:val="en-US" w:eastAsia="zh-CN" w:bidi="ar"/>
              </w:rPr>
              <w:t>、PM</w:t>
            </w:r>
            <w:r>
              <w:rPr>
                <w:rFonts w:hint="eastAsia" w:ascii="宋体" w:hAnsi="宋体" w:eastAsia="宋体" w:cs="宋体"/>
                <w:color w:val="auto"/>
                <w:kern w:val="2"/>
                <w:sz w:val="24"/>
                <w:szCs w:val="24"/>
                <w:vertAlign w:val="subscript"/>
                <w:lang w:val="en-US" w:eastAsia="zh-CN" w:bidi="ar"/>
              </w:rPr>
              <w:t>2.5</w:t>
            </w:r>
            <w:r>
              <w:rPr>
                <w:rFonts w:hint="eastAsia" w:ascii="宋体" w:hAnsi="宋体" w:eastAsia="宋体" w:cs="宋体"/>
                <w:color w:val="auto"/>
                <w:kern w:val="2"/>
                <w:sz w:val="24"/>
                <w:szCs w:val="24"/>
                <w:lang w:val="en-US" w:eastAsia="zh-CN" w:bidi="ar"/>
              </w:rPr>
              <w:t>年均浓度分别为9μg/m</w:t>
            </w:r>
            <w:r>
              <w:rPr>
                <w:rFonts w:hint="eastAsia" w:ascii="宋体" w:hAnsi="宋体" w:eastAsia="宋体" w:cs="宋体"/>
                <w:color w:val="auto"/>
                <w:kern w:val="2"/>
                <w:sz w:val="24"/>
                <w:szCs w:val="24"/>
                <w:vertAlign w:val="superscript"/>
                <w:lang w:val="en-US" w:eastAsia="zh-CN" w:bidi="ar"/>
              </w:rPr>
              <w:t>3</w:t>
            </w:r>
            <w:r>
              <w:rPr>
                <w:rFonts w:hint="eastAsia" w:ascii="宋体" w:hAnsi="宋体" w:eastAsia="宋体" w:cs="宋体"/>
                <w:color w:val="auto"/>
                <w:kern w:val="2"/>
                <w:sz w:val="24"/>
                <w:szCs w:val="24"/>
                <w:lang w:val="en-US" w:eastAsia="zh-CN" w:bidi="ar"/>
              </w:rPr>
              <w:t>、12μg/m</w:t>
            </w:r>
            <w:r>
              <w:rPr>
                <w:rFonts w:hint="eastAsia" w:ascii="宋体" w:hAnsi="宋体" w:eastAsia="宋体" w:cs="宋体"/>
                <w:color w:val="auto"/>
                <w:kern w:val="2"/>
                <w:sz w:val="24"/>
                <w:szCs w:val="24"/>
                <w:vertAlign w:val="superscript"/>
                <w:lang w:val="en-US" w:eastAsia="zh-CN" w:bidi="ar"/>
              </w:rPr>
              <w:t>3</w:t>
            </w:r>
            <w:r>
              <w:rPr>
                <w:rFonts w:hint="eastAsia" w:ascii="宋体" w:hAnsi="宋体" w:eastAsia="宋体" w:cs="宋体"/>
                <w:color w:val="auto"/>
                <w:kern w:val="2"/>
                <w:sz w:val="24"/>
                <w:szCs w:val="24"/>
                <w:lang w:val="en-US" w:eastAsia="zh-CN" w:bidi="ar"/>
              </w:rPr>
              <w:t>、38μg/m</w:t>
            </w:r>
            <w:r>
              <w:rPr>
                <w:rFonts w:hint="eastAsia" w:ascii="宋体" w:hAnsi="宋体" w:eastAsia="宋体" w:cs="宋体"/>
                <w:color w:val="auto"/>
                <w:kern w:val="2"/>
                <w:sz w:val="24"/>
                <w:szCs w:val="24"/>
                <w:vertAlign w:val="superscript"/>
                <w:lang w:val="en-US" w:eastAsia="zh-CN" w:bidi="ar"/>
              </w:rPr>
              <w:t>3</w:t>
            </w:r>
            <w:r>
              <w:rPr>
                <w:rFonts w:hint="eastAsia" w:ascii="宋体" w:hAnsi="宋体" w:eastAsia="宋体" w:cs="宋体"/>
                <w:color w:val="auto"/>
                <w:kern w:val="2"/>
                <w:sz w:val="24"/>
                <w:szCs w:val="24"/>
                <w:lang w:val="en-US" w:eastAsia="zh-CN" w:bidi="ar"/>
              </w:rPr>
              <w:t>、17μg/m</w:t>
            </w:r>
            <w:r>
              <w:rPr>
                <w:rFonts w:hint="eastAsia" w:ascii="宋体" w:hAnsi="宋体" w:eastAsia="宋体" w:cs="宋体"/>
                <w:color w:val="auto"/>
                <w:kern w:val="2"/>
                <w:sz w:val="24"/>
                <w:szCs w:val="24"/>
                <w:vertAlign w:val="superscript"/>
                <w:lang w:val="en-US" w:eastAsia="zh-CN" w:bidi="ar"/>
              </w:rPr>
              <w:t>3</w:t>
            </w:r>
            <w:r>
              <w:rPr>
                <w:rFonts w:hint="eastAsia" w:ascii="宋体" w:hAnsi="宋体" w:eastAsia="宋体" w:cs="宋体"/>
                <w:color w:val="auto"/>
                <w:kern w:val="2"/>
                <w:sz w:val="24"/>
                <w:szCs w:val="24"/>
                <w:lang w:val="en-US" w:eastAsia="zh-CN" w:bidi="ar"/>
              </w:rPr>
              <w:t>；CO的24小时平均第95百分位数为0.8mg/m</w:t>
            </w:r>
            <w:r>
              <w:rPr>
                <w:rFonts w:hint="eastAsia" w:ascii="宋体" w:hAnsi="宋体" w:eastAsia="宋体" w:cs="宋体"/>
                <w:color w:val="auto"/>
                <w:kern w:val="2"/>
                <w:sz w:val="24"/>
                <w:szCs w:val="24"/>
                <w:vertAlign w:val="superscript"/>
                <w:lang w:val="en-US" w:eastAsia="zh-CN" w:bidi="ar"/>
              </w:rPr>
              <w:t>3</w:t>
            </w:r>
            <w:r>
              <w:rPr>
                <w:rFonts w:hint="eastAsia" w:ascii="宋体" w:hAnsi="宋体" w:eastAsia="宋体" w:cs="宋体"/>
                <w:color w:val="auto"/>
                <w:kern w:val="2"/>
                <w:sz w:val="24"/>
                <w:szCs w:val="24"/>
                <w:lang w:val="en-US" w:eastAsia="zh-CN" w:bidi="ar"/>
              </w:rPr>
              <w:t>，O</w:t>
            </w:r>
            <w:r>
              <w:rPr>
                <w:rFonts w:hint="eastAsia" w:ascii="宋体" w:hAnsi="宋体" w:eastAsia="宋体" w:cs="宋体"/>
                <w:color w:val="auto"/>
                <w:kern w:val="2"/>
                <w:sz w:val="24"/>
                <w:szCs w:val="24"/>
                <w:vertAlign w:val="subscript"/>
                <w:lang w:val="en-US" w:eastAsia="zh-CN" w:bidi="ar"/>
              </w:rPr>
              <w:t>3</w:t>
            </w:r>
            <w:r>
              <w:rPr>
                <w:rFonts w:hint="eastAsia" w:ascii="宋体" w:hAnsi="宋体" w:eastAsia="宋体" w:cs="宋体"/>
                <w:color w:val="auto"/>
                <w:kern w:val="2"/>
                <w:sz w:val="24"/>
                <w:szCs w:val="24"/>
                <w:lang w:val="en-US" w:eastAsia="zh-CN" w:bidi="ar"/>
              </w:rPr>
              <w:t>日最大8小时平均第90百分位数为144μg/m</w:t>
            </w:r>
            <w:r>
              <w:rPr>
                <w:rFonts w:hint="eastAsia" w:ascii="宋体" w:hAnsi="宋体" w:eastAsia="宋体" w:cs="宋体"/>
                <w:color w:val="auto"/>
                <w:kern w:val="2"/>
                <w:sz w:val="24"/>
                <w:szCs w:val="24"/>
                <w:vertAlign w:val="superscript"/>
                <w:lang w:val="en-US" w:eastAsia="zh-CN" w:bidi="ar"/>
              </w:rPr>
              <w:t>3</w:t>
            </w:r>
            <w:r>
              <w:rPr>
                <w:rFonts w:hint="eastAsia" w:ascii="宋体" w:hAnsi="宋体" w:eastAsia="宋体" w:cs="宋体"/>
                <w:color w:val="auto"/>
                <w:kern w:val="2"/>
                <w:sz w:val="24"/>
                <w:szCs w:val="24"/>
                <w:lang w:val="en-US" w:eastAsia="zh-CN" w:bidi="ar"/>
              </w:rPr>
              <w:t>；各污染物平均浓度均优于《环境空气质量标准》（GB3095-2012）中二级标准限值，故项目所在区域为达标区。</w:t>
            </w:r>
          </w:p>
          <w:p w14:paraId="0245BF1E">
            <w:pPr>
              <w:keepNext w:val="0"/>
              <w:keepLines w:val="0"/>
              <w:suppressLineNumbers w:val="0"/>
              <w:spacing w:before="0" w:beforeAutospacing="0" w:after="0" w:afterAutospacing="0" w:line="360" w:lineRule="auto"/>
              <w:ind w:left="0" w:right="0" w:firstLine="472" w:firstLineChars="196"/>
              <w:rPr>
                <w:rFonts w:hint="eastAsia" w:ascii="宋体" w:hAnsi="宋体" w:eastAsia="宋体" w:cs="宋体"/>
                <w:b/>
                <w:bCs/>
                <w:color w:val="auto"/>
                <w:sz w:val="24"/>
              </w:rPr>
            </w:pPr>
            <w:r>
              <w:rPr>
                <w:rFonts w:hint="eastAsia" w:ascii="宋体" w:hAnsi="宋体" w:eastAsia="宋体" w:cs="宋体"/>
                <w:b/>
                <w:bCs/>
                <w:color w:val="auto"/>
                <w:sz w:val="24"/>
              </w:rPr>
              <w:t>（2）其他污染物环境质量现状</w:t>
            </w:r>
          </w:p>
          <w:p w14:paraId="5E1757EA">
            <w:pPr>
              <w:keepNext w:val="0"/>
              <w:keepLines w:val="0"/>
              <w:suppressLineNumbers w:val="0"/>
              <w:spacing w:before="0" w:beforeAutospacing="0" w:after="0" w:afterAutospacing="0" w:line="360" w:lineRule="auto"/>
              <w:ind w:left="0" w:right="0" w:firstLine="470" w:firstLineChars="196"/>
              <w:rPr>
                <w:rFonts w:hint="eastAsia" w:ascii="宋体" w:hAnsi="宋体" w:eastAsia="宋体" w:cs="宋体"/>
                <w:color w:val="auto"/>
                <w:sz w:val="24"/>
              </w:rPr>
            </w:pPr>
            <w:r>
              <w:rPr>
                <w:rFonts w:hint="eastAsia" w:ascii="宋体" w:hAnsi="宋体" w:eastAsia="宋体" w:cs="宋体"/>
                <w:color w:val="auto"/>
                <w:sz w:val="24"/>
                <w:lang w:val="en-US" w:eastAsia="zh-CN"/>
              </w:rPr>
              <w:t>其他污染物非甲烷总烃</w:t>
            </w:r>
            <w:r>
              <w:rPr>
                <w:rFonts w:hint="eastAsia" w:ascii="宋体" w:hAnsi="宋体" w:eastAsia="宋体" w:cs="宋体"/>
                <w:color w:val="auto"/>
                <w:sz w:val="24"/>
              </w:rPr>
              <w:t>环境质量现状委托内蒙古宏智检测技术有限公司进行监测，</w:t>
            </w:r>
            <w:r>
              <w:rPr>
                <w:rFonts w:hint="eastAsia" w:ascii="宋体" w:hAnsi="宋体" w:eastAsia="宋体" w:cs="宋体"/>
                <w:color w:val="auto"/>
                <w:sz w:val="24"/>
                <w:lang w:val="en-US" w:eastAsia="zh-CN"/>
              </w:rPr>
              <w:t>非甲烷总烃</w:t>
            </w:r>
            <w:r>
              <w:rPr>
                <w:rFonts w:hint="eastAsia" w:ascii="宋体" w:hAnsi="宋体" w:eastAsia="宋体" w:cs="宋体"/>
                <w:color w:val="auto"/>
                <w:sz w:val="24"/>
              </w:rPr>
              <w:t>监测时间为202</w:t>
            </w:r>
            <w:r>
              <w:rPr>
                <w:rFonts w:hint="eastAsia" w:ascii="宋体" w:hAnsi="宋体" w:eastAsia="宋体" w:cs="宋体"/>
                <w:color w:val="auto"/>
                <w:sz w:val="24"/>
                <w:lang w:val="en-US" w:eastAsia="zh-CN"/>
              </w:rPr>
              <w:t>5</w:t>
            </w:r>
            <w:r>
              <w:rPr>
                <w:rFonts w:hint="eastAsia" w:ascii="宋体" w:hAnsi="宋体" w:eastAsia="宋体" w:cs="宋体"/>
                <w:color w:val="auto"/>
                <w:sz w:val="24"/>
              </w:rPr>
              <w:t>年</w:t>
            </w:r>
            <w:r>
              <w:rPr>
                <w:rFonts w:hint="eastAsia" w:ascii="宋体" w:hAnsi="宋体" w:eastAsia="宋体" w:cs="宋体"/>
                <w:color w:val="auto"/>
                <w:sz w:val="24"/>
                <w:lang w:val="en-US" w:eastAsia="zh-CN"/>
              </w:rPr>
              <w:t>5</w:t>
            </w:r>
            <w:r>
              <w:rPr>
                <w:rFonts w:hint="eastAsia" w:ascii="宋体" w:hAnsi="宋体" w:eastAsia="宋体" w:cs="宋体"/>
                <w:color w:val="auto"/>
                <w:sz w:val="24"/>
              </w:rPr>
              <w:t>月</w:t>
            </w:r>
            <w:r>
              <w:rPr>
                <w:rFonts w:hint="eastAsia" w:ascii="宋体" w:hAnsi="宋体" w:eastAsia="宋体" w:cs="宋体"/>
                <w:color w:val="auto"/>
                <w:sz w:val="24"/>
                <w:lang w:val="en-US" w:eastAsia="zh-CN"/>
              </w:rPr>
              <w:t>17</w:t>
            </w:r>
            <w:r>
              <w:rPr>
                <w:rFonts w:hint="eastAsia" w:ascii="宋体" w:hAnsi="宋体" w:eastAsia="宋体" w:cs="宋体"/>
                <w:color w:val="auto"/>
                <w:sz w:val="24"/>
              </w:rPr>
              <w:t>日~202</w:t>
            </w:r>
            <w:r>
              <w:rPr>
                <w:rFonts w:hint="eastAsia" w:ascii="宋体" w:hAnsi="宋体" w:eastAsia="宋体" w:cs="宋体"/>
                <w:color w:val="auto"/>
                <w:sz w:val="24"/>
                <w:lang w:val="en-US" w:eastAsia="zh-CN"/>
              </w:rPr>
              <w:t>5</w:t>
            </w:r>
            <w:r>
              <w:rPr>
                <w:rFonts w:hint="eastAsia" w:ascii="宋体" w:hAnsi="宋体" w:eastAsia="宋体" w:cs="宋体"/>
                <w:color w:val="auto"/>
                <w:sz w:val="24"/>
              </w:rPr>
              <w:t>年</w:t>
            </w:r>
            <w:r>
              <w:rPr>
                <w:rFonts w:hint="eastAsia" w:ascii="宋体" w:hAnsi="宋体" w:eastAsia="宋体" w:cs="宋体"/>
                <w:color w:val="auto"/>
                <w:sz w:val="24"/>
                <w:lang w:val="en-US" w:eastAsia="zh-CN"/>
              </w:rPr>
              <w:t>5</w:t>
            </w:r>
            <w:r>
              <w:rPr>
                <w:rFonts w:hint="eastAsia" w:ascii="宋体" w:hAnsi="宋体" w:eastAsia="宋体" w:cs="宋体"/>
                <w:color w:val="auto"/>
                <w:sz w:val="24"/>
              </w:rPr>
              <w:t>月</w:t>
            </w:r>
            <w:r>
              <w:rPr>
                <w:rFonts w:hint="eastAsia" w:ascii="宋体" w:hAnsi="宋体" w:eastAsia="宋体" w:cs="宋体"/>
                <w:color w:val="auto"/>
                <w:sz w:val="24"/>
                <w:lang w:val="en-US" w:eastAsia="zh-CN"/>
              </w:rPr>
              <w:t>19</w:t>
            </w:r>
            <w:r>
              <w:rPr>
                <w:rFonts w:hint="eastAsia" w:ascii="宋体" w:hAnsi="宋体" w:eastAsia="宋体" w:cs="宋体"/>
                <w:color w:val="auto"/>
                <w:sz w:val="24"/>
              </w:rPr>
              <w:t>日。</w:t>
            </w:r>
          </w:p>
          <w:p w14:paraId="79303834">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1）监测点位布设情况</w:t>
            </w:r>
          </w:p>
          <w:p w14:paraId="50283213">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 xml:space="preserve"> 在项目区</w:t>
            </w:r>
            <w:r>
              <w:rPr>
                <w:rFonts w:hint="eastAsia" w:ascii="宋体" w:hAnsi="宋体" w:eastAsia="宋体" w:cs="宋体"/>
                <w:color w:val="auto"/>
                <w:sz w:val="24"/>
                <w:lang w:val="en-US" w:eastAsia="zh-CN"/>
              </w:rPr>
              <w:t>当季主导风向（S风）下风向</w:t>
            </w:r>
            <w:r>
              <w:rPr>
                <w:rFonts w:hint="eastAsia" w:ascii="宋体" w:hAnsi="宋体" w:eastAsia="宋体" w:cs="宋体"/>
                <w:color w:val="auto"/>
                <w:sz w:val="24"/>
              </w:rPr>
              <w:t>布置1个大气监测点位（具体布点详见附图）。</w:t>
            </w:r>
          </w:p>
          <w:p w14:paraId="6FDEF61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3-2</w:t>
            </w:r>
            <w:r>
              <w:rPr>
                <w:rFonts w:hint="eastAsia" w:ascii="宋体" w:hAnsi="宋体" w:eastAsia="宋体" w:cs="宋体"/>
                <w:b/>
                <w:bCs/>
                <w:color w:val="auto"/>
                <w:sz w:val="24"/>
              </w:rPr>
              <w:t xml:space="preserve"> 项目监测点位一览表</w:t>
            </w:r>
          </w:p>
          <w:tbl>
            <w:tblPr>
              <w:tblStyle w:val="26"/>
              <w:tblW w:w="81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2018"/>
              <w:gridCol w:w="2865"/>
              <w:gridCol w:w="1874"/>
            </w:tblGrid>
            <w:tr w14:paraId="2A9A2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Align w:val="center"/>
                </w:tcPr>
                <w:p w14:paraId="29917946">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序号</w:t>
                  </w:r>
                </w:p>
              </w:tc>
              <w:tc>
                <w:tcPr>
                  <w:tcW w:w="2018" w:type="dxa"/>
                  <w:vAlign w:val="center"/>
                </w:tcPr>
                <w:p w14:paraId="52619D14">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位置名称</w:t>
                  </w:r>
                </w:p>
              </w:tc>
              <w:tc>
                <w:tcPr>
                  <w:tcW w:w="2865" w:type="dxa"/>
                  <w:vAlign w:val="center"/>
                </w:tcPr>
                <w:p w14:paraId="03654B45">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坐标</w:t>
                  </w:r>
                </w:p>
              </w:tc>
              <w:tc>
                <w:tcPr>
                  <w:tcW w:w="1874" w:type="dxa"/>
                  <w:vAlign w:val="center"/>
                </w:tcPr>
                <w:p w14:paraId="7DA3E2DC">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方位、距离</w:t>
                  </w:r>
                </w:p>
              </w:tc>
            </w:tr>
            <w:tr w14:paraId="43ED4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74" w:type="dxa"/>
                  <w:vAlign w:val="center"/>
                </w:tcPr>
                <w:p w14:paraId="56E1F09F">
                  <w:pPr>
                    <w:pStyle w:val="91"/>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rPr>
                    <w:t>1</w:t>
                  </w:r>
                </w:p>
              </w:tc>
              <w:tc>
                <w:tcPr>
                  <w:tcW w:w="2018" w:type="dxa"/>
                  <w:vAlign w:val="center"/>
                </w:tcPr>
                <w:p w14:paraId="2D9B7C81">
                  <w:pPr>
                    <w:pStyle w:val="91"/>
                    <w:keepNext w:val="0"/>
                    <w:keepLines w:val="0"/>
                    <w:suppressLineNumbers w:val="0"/>
                    <w:spacing w:before="0" w:beforeAutospacing="0" w:after="0" w:afterAutospacing="0" w:line="360" w:lineRule="exact"/>
                    <w:ind w:left="0" w:right="0"/>
                    <w:rPr>
                      <w:rFonts w:hint="eastAsia" w:ascii="宋体" w:hAnsi="宋体" w:eastAsia="宋体" w:cs="宋体"/>
                      <w:color w:val="auto"/>
                      <w:lang w:val="en-US"/>
                    </w:rPr>
                  </w:pPr>
                  <w:r>
                    <w:rPr>
                      <w:rFonts w:hint="eastAsia" w:ascii="宋体" w:hAnsi="宋体" w:eastAsia="宋体" w:cs="宋体"/>
                      <w:color w:val="auto"/>
                      <w:lang w:val="en-US" w:eastAsia="zh-CN"/>
                    </w:rPr>
                    <w:t>项目区下风向</w:t>
                  </w:r>
                </w:p>
              </w:tc>
              <w:tc>
                <w:tcPr>
                  <w:tcW w:w="2865" w:type="dxa"/>
                  <w:vAlign w:val="center"/>
                </w:tcPr>
                <w:p w14:paraId="2FFA494A">
                  <w:pPr>
                    <w:pStyle w:val="91"/>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lang w:eastAsia="zh-CN"/>
                    </w:rPr>
                  </w:pPr>
                  <w:r>
                    <w:rPr>
                      <w:rFonts w:hint="eastAsia" w:ascii="宋体" w:hAnsi="宋体" w:eastAsia="宋体" w:cs="宋体"/>
                      <w:color w:val="auto"/>
                      <w:szCs w:val="21"/>
                    </w:rPr>
                    <w:t>E：</w:t>
                  </w:r>
                  <w:r>
                    <w:rPr>
                      <w:rFonts w:hint="eastAsia" w:ascii="宋体" w:hAnsi="宋体" w:eastAsia="宋体" w:cs="宋体"/>
                      <w:color w:val="auto"/>
                    </w:rPr>
                    <w:t>10</w:t>
                  </w:r>
                  <w:r>
                    <w:rPr>
                      <w:rFonts w:hint="eastAsia" w:ascii="宋体" w:hAnsi="宋体" w:eastAsia="宋体" w:cs="宋体"/>
                      <w:color w:val="auto"/>
                      <w:lang w:val="en-US" w:eastAsia="zh-CN"/>
                    </w:rPr>
                    <w:t>9</w:t>
                  </w:r>
                  <w:r>
                    <w:rPr>
                      <w:rFonts w:hint="eastAsia" w:ascii="宋体" w:hAnsi="宋体" w:eastAsia="宋体" w:cs="宋体"/>
                      <w:color w:val="auto"/>
                    </w:rPr>
                    <w:t>°</w:t>
                  </w:r>
                  <w:r>
                    <w:rPr>
                      <w:rFonts w:hint="eastAsia" w:ascii="宋体" w:hAnsi="宋体" w:eastAsia="宋体" w:cs="宋体"/>
                      <w:color w:val="auto"/>
                      <w:lang w:val="en-US" w:eastAsia="zh-CN"/>
                    </w:rPr>
                    <w:t>16</w:t>
                  </w:r>
                  <w:r>
                    <w:rPr>
                      <w:rFonts w:hint="eastAsia" w:ascii="宋体" w:hAnsi="宋体" w:eastAsia="宋体" w:cs="宋体"/>
                      <w:color w:val="auto"/>
                    </w:rPr>
                    <w:t>′</w:t>
                  </w:r>
                  <w:r>
                    <w:rPr>
                      <w:rFonts w:hint="eastAsia" w:ascii="宋体" w:hAnsi="宋体" w:eastAsia="宋体" w:cs="宋体"/>
                      <w:color w:val="auto"/>
                      <w:lang w:val="en-US" w:eastAsia="zh-CN"/>
                    </w:rPr>
                    <w:t>17.109</w:t>
                  </w:r>
                  <w:r>
                    <w:rPr>
                      <w:rFonts w:hint="eastAsia" w:ascii="宋体" w:hAnsi="宋体" w:eastAsia="宋体" w:cs="宋体"/>
                      <w:color w:val="auto"/>
                    </w:rPr>
                    <w:t>″</w:t>
                  </w:r>
                  <w:r>
                    <w:rPr>
                      <w:rFonts w:hint="eastAsia" w:ascii="宋体" w:hAnsi="宋体" w:eastAsia="宋体" w:cs="宋体"/>
                      <w:color w:val="auto"/>
                      <w:lang w:eastAsia="zh-CN"/>
                    </w:rPr>
                    <w:t>，</w:t>
                  </w:r>
                </w:p>
                <w:p w14:paraId="0D7F110C">
                  <w:pPr>
                    <w:pStyle w:val="91"/>
                    <w:keepNext w:val="0"/>
                    <w:keepLines w:val="0"/>
                    <w:suppressLineNumbers w:val="0"/>
                    <w:spacing w:before="0" w:beforeAutospacing="0" w:after="0" w:afterAutospacing="0" w:line="360" w:lineRule="exact"/>
                    <w:ind w:left="0" w:right="0"/>
                    <w:rPr>
                      <w:rFonts w:hint="eastAsia" w:ascii="宋体" w:hAnsi="宋体" w:eastAsia="宋体" w:cs="宋体"/>
                      <w:color w:val="auto"/>
                    </w:rPr>
                  </w:pPr>
                  <w:r>
                    <w:rPr>
                      <w:rFonts w:hint="eastAsia" w:ascii="宋体" w:hAnsi="宋体" w:eastAsia="宋体" w:cs="宋体"/>
                      <w:color w:val="auto"/>
                    </w:rPr>
                    <w:t>N：4</w:t>
                  </w:r>
                  <w:r>
                    <w:rPr>
                      <w:rFonts w:hint="eastAsia" w:ascii="宋体" w:hAnsi="宋体" w:eastAsia="宋体" w:cs="宋体"/>
                      <w:color w:val="auto"/>
                      <w:lang w:val="en-US" w:eastAsia="zh-CN"/>
                    </w:rPr>
                    <w:t>1</w:t>
                  </w:r>
                  <w:r>
                    <w:rPr>
                      <w:rFonts w:hint="eastAsia" w:ascii="宋体" w:hAnsi="宋体" w:eastAsia="宋体" w:cs="宋体"/>
                      <w:color w:val="auto"/>
                    </w:rPr>
                    <w:t>°</w:t>
                  </w:r>
                  <w:r>
                    <w:rPr>
                      <w:rFonts w:hint="eastAsia" w:ascii="宋体" w:hAnsi="宋体" w:eastAsia="宋体" w:cs="宋体"/>
                      <w:color w:val="auto"/>
                      <w:lang w:val="en-US" w:eastAsia="zh-CN"/>
                    </w:rPr>
                    <w:t>39</w:t>
                  </w:r>
                  <w:r>
                    <w:rPr>
                      <w:rFonts w:hint="eastAsia" w:ascii="宋体" w:hAnsi="宋体" w:eastAsia="宋体" w:cs="宋体"/>
                      <w:color w:val="auto"/>
                    </w:rPr>
                    <w:t>′</w:t>
                  </w:r>
                  <w:r>
                    <w:rPr>
                      <w:rFonts w:hint="eastAsia" w:ascii="宋体" w:hAnsi="宋体" w:eastAsia="宋体" w:cs="宋体"/>
                      <w:color w:val="auto"/>
                      <w:lang w:val="en-US" w:eastAsia="zh-CN"/>
                    </w:rPr>
                    <w:t>44.492</w:t>
                  </w:r>
                  <w:r>
                    <w:rPr>
                      <w:rFonts w:hint="eastAsia" w:ascii="宋体" w:hAnsi="宋体" w:eastAsia="宋体" w:cs="宋体"/>
                      <w:color w:val="auto"/>
                    </w:rPr>
                    <w:t>″</w:t>
                  </w:r>
                </w:p>
              </w:tc>
              <w:tc>
                <w:tcPr>
                  <w:tcW w:w="1874" w:type="dxa"/>
                  <w:vAlign w:val="center"/>
                </w:tcPr>
                <w:p w14:paraId="7AD3526B">
                  <w:pPr>
                    <w:pStyle w:val="91"/>
                    <w:keepNext w:val="0"/>
                    <w:keepLines w:val="0"/>
                    <w:suppressLineNumbers w:val="0"/>
                    <w:spacing w:before="0" w:beforeAutospacing="0" w:after="0" w:afterAutospacing="0" w:line="360" w:lineRule="exact"/>
                    <w:ind w:left="0" w:right="0"/>
                    <w:rPr>
                      <w:rFonts w:hint="eastAsia" w:ascii="宋体" w:hAnsi="宋体" w:eastAsia="宋体" w:cs="宋体"/>
                      <w:color w:val="auto"/>
                      <w:lang w:val="en-US" w:eastAsia="zh-CN"/>
                    </w:rPr>
                  </w:pPr>
                  <w:r>
                    <w:rPr>
                      <w:rFonts w:hint="eastAsia" w:ascii="宋体" w:hAnsi="宋体" w:eastAsia="宋体" w:cs="宋体"/>
                      <w:color w:val="auto"/>
                      <w:lang w:val="en-US" w:eastAsia="zh-CN"/>
                    </w:rPr>
                    <w:t>项目区北侧10m</w:t>
                  </w:r>
                </w:p>
              </w:tc>
            </w:tr>
          </w:tbl>
          <w:p w14:paraId="00D67A86">
            <w:pPr>
              <w:keepNext w:val="0"/>
              <w:keepLines w:val="0"/>
              <w:suppressLineNumbers w:val="0"/>
              <w:adjustRightInd w:val="0"/>
              <w:snapToGrid w:val="0"/>
              <w:spacing w:before="156" w:beforeLines="5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2）监测时间及频次</w:t>
            </w:r>
          </w:p>
          <w:p w14:paraId="1DCC93EF">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连续监测3天，</w:t>
            </w:r>
            <w:r>
              <w:rPr>
                <w:rFonts w:hint="eastAsia" w:ascii="宋体" w:hAnsi="宋体" w:eastAsia="宋体" w:cs="宋体"/>
                <w:b w:val="0"/>
                <w:bCs/>
                <w:color w:val="auto"/>
                <w:sz w:val="24"/>
                <w:lang w:val="en-US" w:eastAsia="zh-CN"/>
              </w:rPr>
              <w:t>非甲烷总烃</w:t>
            </w:r>
            <w:r>
              <w:rPr>
                <w:rFonts w:hint="eastAsia" w:ascii="宋体" w:hAnsi="宋体" w:eastAsia="宋体" w:cs="宋体"/>
                <w:b w:val="0"/>
                <w:bCs/>
                <w:color w:val="auto"/>
                <w:sz w:val="24"/>
              </w:rPr>
              <w:t>的1小时平均浓度值应保证每小时至少有45min的采样时间，每天监测4次，时间分别为02：00、08：00、14：00、20：00；采样的同时记录风向、风速、气温、气压等气象参数。</w:t>
            </w:r>
          </w:p>
          <w:p w14:paraId="6B27B7B7">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3）环境空气质量监测分析方法</w:t>
            </w:r>
          </w:p>
          <w:p w14:paraId="60C14BBE">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采样监测分析方法按国家环保总局环境监测技术规范执行，见表</w:t>
            </w:r>
            <w:r>
              <w:rPr>
                <w:rFonts w:hint="eastAsia" w:ascii="宋体" w:hAnsi="宋体" w:eastAsia="宋体" w:cs="宋体"/>
                <w:color w:val="auto"/>
                <w:sz w:val="24"/>
                <w:lang w:val="en-US" w:eastAsia="zh-CN"/>
              </w:rPr>
              <w:t>3-3</w:t>
            </w:r>
            <w:r>
              <w:rPr>
                <w:rFonts w:hint="eastAsia" w:ascii="宋体" w:hAnsi="宋体" w:eastAsia="宋体" w:cs="宋体"/>
                <w:color w:val="auto"/>
                <w:sz w:val="24"/>
              </w:rPr>
              <w:t>环境空气质量监测分析方法。</w:t>
            </w:r>
          </w:p>
          <w:p w14:paraId="511CE01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3-3</w:t>
            </w:r>
            <w:r>
              <w:rPr>
                <w:rFonts w:hint="eastAsia" w:ascii="宋体" w:hAnsi="宋体" w:eastAsia="宋体" w:cs="宋体"/>
                <w:b/>
                <w:bCs/>
                <w:color w:val="auto"/>
                <w:sz w:val="24"/>
              </w:rPr>
              <w:t xml:space="preserve"> 环境空气质量监测分析方法一览表</w:t>
            </w:r>
          </w:p>
          <w:tbl>
            <w:tblPr>
              <w:tblStyle w:val="26"/>
              <w:tblW w:w="8128" w:type="dxa"/>
              <w:jc w:val="center"/>
              <w:tblBorders>
                <w:top w:val="single" w:color="000000" w:sz="4" w:space="0"/>
                <w:left w:val="single" w:color="000000" w:sz="4" w:space="0"/>
                <w:bottom w:val="single" w:color="000000" w:sz="4" w:space="0"/>
                <w:right w:val="single" w:color="000000" w:sz="4" w:space="0"/>
                <w:insideH w:val="single" w:color="000000" w:sz="8" w:space="0"/>
                <w:insideV w:val="single" w:color="000000" w:sz="8" w:space="0"/>
              </w:tblBorders>
              <w:tblLayout w:type="fixed"/>
              <w:tblCellMar>
                <w:top w:w="15" w:type="dxa"/>
                <w:left w:w="15" w:type="dxa"/>
                <w:bottom w:w="15" w:type="dxa"/>
                <w:right w:w="15" w:type="dxa"/>
              </w:tblCellMar>
            </w:tblPr>
            <w:tblGrid>
              <w:gridCol w:w="488"/>
              <w:gridCol w:w="1391"/>
              <w:gridCol w:w="3406"/>
              <w:gridCol w:w="1851"/>
              <w:gridCol w:w="992"/>
            </w:tblGrid>
            <w:tr w14:paraId="4BEE776B">
              <w:tblPrEx>
                <w:tblBorders>
                  <w:top w:val="single" w:color="000000" w:sz="4" w:space="0"/>
                  <w:left w:val="single" w:color="000000" w:sz="4" w:space="0"/>
                  <w:bottom w:val="single" w:color="000000" w:sz="4" w:space="0"/>
                  <w:right w:val="single" w:color="000000" w:sz="4" w:space="0"/>
                  <w:insideH w:val="single" w:color="000000" w:sz="8" w:space="0"/>
                  <w:insideV w:val="single" w:color="000000" w:sz="8" w:space="0"/>
                </w:tblBorders>
                <w:tblCellMar>
                  <w:top w:w="15" w:type="dxa"/>
                  <w:left w:w="15" w:type="dxa"/>
                  <w:bottom w:w="15" w:type="dxa"/>
                  <w:right w:w="15" w:type="dxa"/>
                </w:tblCellMar>
              </w:tblPrEx>
              <w:trPr>
                <w:trHeight w:val="493" w:hRule="atLeast"/>
                <w:jc w:val="center"/>
              </w:trPr>
              <w:tc>
                <w:tcPr>
                  <w:tcW w:w="488" w:type="dxa"/>
                  <w:tcBorders>
                    <w:tl2br w:val="nil"/>
                    <w:tr2bl w:val="nil"/>
                  </w:tcBorders>
                  <w:shd w:val="clear" w:color="auto" w:fill="auto"/>
                  <w:vAlign w:val="center"/>
                </w:tcPr>
                <w:p w14:paraId="52CAFB2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序号</w:t>
                  </w:r>
                </w:p>
              </w:tc>
              <w:tc>
                <w:tcPr>
                  <w:tcW w:w="1391" w:type="dxa"/>
                  <w:tcBorders>
                    <w:tl2br w:val="nil"/>
                    <w:tr2bl w:val="nil"/>
                  </w:tcBorders>
                  <w:shd w:val="clear" w:color="auto" w:fill="auto"/>
                  <w:vAlign w:val="center"/>
                </w:tcPr>
                <w:p w14:paraId="6571B3B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检测项目</w:t>
                  </w:r>
                </w:p>
              </w:tc>
              <w:tc>
                <w:tcPr>
                  <w:tcW w:w="3406" w:type="dxa"/>
                  <w:tcBorders>
                    <w:tl2br w:val="nil"/>
                    <w:tr2bl w:val="nil"/>
                  </w:tcBorders>
                  <w:shd w:val="clear" w:color="auto" w:fill="auto"/>
                  <w:vAlign w:val="center"/>
                </w:tcPr>
                <w:p w14:paraId="19313B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检测方法及来源</w:t>
                  </w:r>
                </w:p>
              </w:tc>
              <w:tc>
                <w:tcPr>
                  <w:tcW w:w="1851" w:type="dxa"/>
                  <w:tcBorders>
                    <w:tl2br w:val="nil"/>
                    <w:tr2bl w:val="nil"/>
                  </w:tcBorders>
                  <w:shd w:val="clear" w:color="auto" w:fill="auto"/>
                  <w:vAlign w:val="center"/>
                </w:tcPr>
                <w:p w14:paraId="5FEE2AD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使用仪器及编号</w:t>
                  </w:r>
                </w:p>
              </w:tc>
              <w:tc>
                <w:tcPr>
                  <w:tcW w:w="992" w:type="dxa"/>
                  <w:tcBorders>
                    <w:tl2br w:val="nil"/>
                    <w:tr2bl w:val="nil"/>
                  </w:tcBorders>
                  <w:shd w:val="clear" w:color="auto" w:fill="auto"/>
                  <w:vAlign w:val="center"/>
                </w:tcPr>
                <w:p w14:paraId="5A6C7C2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检出限</w:t>
                  </w:r>
                </w:p>
              </w:tc>
            </w:tr>
            <w:tr w14:paraId="1EBCE9B0">
              <w:tblPrEx>
                <w:tblBorders>
                  <w:top w:val="single" w:color="000000" w:sz="4" w:space="0"/>
                  <w:left w:val="single" w:color="000000" w:sz="4" w:space="0"/>
                  <w:bottom w:val="single" w:color="000000" w:sz="4" w:space="0"/>
                  <w:right w:val="single" w:color="000000" w:sz="4" w:space="0"/>
                  <w:insideH w:val="single" w:color="000000" w:sz="8" w:space="0"/>
                  <w:insideV w:val="single" w:color="000000" w:sz="8" w:space="0"/>
                </w:tblBorders>
                <w:tblCellMar>
                  <w:top w:w="15" w:type="dxa"/>
                  <w:left w:w="15" w:type="dxa"/>
                  <w:bottom w:w="15" w:type="dxa"/>
                  <w:right w:w="15" w:type="dxa"/>
                </w:tblCellMar>
              </w:tblPrEx>
              <w:trPr>
                <w:trHeight w:val="898" w:hRule="atLeast"/>
                <w:jc w:val="center"/>
              </w:trPr>
              <w:tc>
                <w:tcPr>
                  <w:tcW w:w="488" w:type="dxa"/>
                  <w:tcBorders>
                    <w:tl2br w:val="nil"/>
                    <w:tr2bl w:val="nil"/>
                  </w:tcBorders>
                  <w:shd w:val="clear" w:color="auto" w:fill="auto"/>
                  <w:vAlign w:val="center"/>
                </w:tcPr>
                <w:p w14:paraId="5292654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bidi="ar"/>
                    </w:rPr>
                    <w:t>1</w:t>
                  </w:r>
                </w:p>
              </w:tc>
              <w:tc>
                <w:tcPr>
                  <w:tcW w:w="1391" w:type="dxa"/>
                  <w:tcBorders>
                    <w:tl2br w:val="nil"/>
                    <w:tr2bl w:val="nil"/>
                  </w:tcBorders>
                  <w:shd w:val="clear" w:color="auto" w:fill="auto"/>
                  <w:vAlign w:val="center"/>
                </w:tcPr>
                <w:p w14:paraId="6AF3AB27">
                  <w:pPr>
                    <w:keepNext w:val="0"/>
                    <w:keepLines w:val="0"/>
                    <w:suppressLineNumbers w:val="0"/>
                    <w:spacing w:before="0" w:beforeAutospacing="0" w:after="0" w:afterAutospacing="0"/>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非甲烷总烃</w:t>
                  </w:r>
                </w:p>
              </w:tc>
              <w:tc>
                <w:tcPr>
                  <w:tcW w:w="3406" w:type="dxa"/>
                  <w:tcBorders>
                    <w:tl2br w:val="nil"/>
                    <w:tr2bl w:val="nil"/>
                  </w:tcBorders>
                  <w:shd w:val="clear" w:color="auto" w:fill="auto"/>
                  <w:vAlign w:val="center"/>
                </w:tcPr>
                <w:p w14:paraId="6307D041">
                  <w:pPr>
                    <w:keepNext w:val="0"/>
                    <w:keepLines w:val="0"/>
                    <w:suppressLineNumbers w:val="0"/>
                    <w:spacing w:before="0" w:beforeAutospacing="0" w:after="0" w:afterAutospacing="0"/>
                    <w:ind w:left="0" w:right="0"/>
                    <w:jc w:val="center"/>
                    <w:rPr>
                      <w:rFonts w:hint="eastAsia" w:ascii="宋体" w:hAnsi="宋体" w:eastAsia="宋体" w:cs="宋体"/>
                      <w:color w:val="auto"/>
                      <w:szCs w:val="21"/>
                    </w:rPr>
                  </w:pPr>
                  <w:r>
                    <w:rPr>
                      <w:rFonts w:hint="eastAsia" w:ascii="宋体" w:hAnsi="宋体" w:eastAsia="宋体" w:cs="宋体"/>
                      <w:color w:val="auto"/>
                      <w:sz w:val="21"/>
                      <w:szCs w:val="21"/>
                    </w:rPr>
                    <w:t>《环境空气 总烃、甲烷和非甲烷总烃的测定 直接进样-气相色谱法》（HJ 604-2017 ）</w:t>
                  </w:r>
                </w:p>
              </w:tc>
              <w:tc>
                <w:tcPr>
                  <w:tcW w:w="1851" w:type="dxa"/>
                  <w:tcBorders>
                    <w:tl2br w:val="nil"/>
                    <w:tr2bl w:val="nil"/>
                  </w:tcBorders>
                  <w:shd w:val="clear" w:color="auto" w:fill="auto"/>
                  <w:vAlign w:val="center"/>
                </w:tcPr>
                <w:p w14:paraId="713C5399">
                  <w:pPr>
                    <w:keepNext w:val="0"/>
                    <w:keepLines w:val="0"/>
                    <w:suppressLineNumbers w:val="0"/>
                    <w:spacing w:before="0" w:beforeAutospacing="0" w:after="0" w:afterAutospacing="0"/>
                    <w:ind w:left="0" w:right="0"/>
                    <w:jc w:val="center"/>
                    <w:rPr>
                      <w:rFonts w:hint="eastAsia" w:ascii="宋体" w:hAnsi="宋体" w:eastAsia="宋体" w:cs="宋体"/>
                      <w:color w:val="auto"/>
                      <w:szCs w:val="21"/>
                    </w:rPr>
                  </w:pPr>
                  <w:r>
                    <w:rPr>
                      <w:rFonts w:hint="eastAsia" w:ascii="宋体" w:hAnsi="宋体" w:eastAsia="宋体" w:cs="宋体"/>
                      <w:b w:val="0"/>
                      <w:bCs/>
                      <w:sz w:val="21"/>
                      <w:szCs w:val="21"/>
                      <w:highlight w:val="none"/>
                      <w:lang w:val="en-US" w:eastAsia="zh-CN"/>
                    </w:rPr>
                    <w:t>气相色谱仪</w:t>
                  </w:r>
                </w:p>
              </w:tc>
              <w:tc>
                <w:tcPr>
                  <w:tcW w:w="992" w:type="dxa"/>
                  <w:tcBorders>
                    <w:tl2br w:val="nil"/>
                    <w:tr2bl w:val="nil"/>
                  </w:tcBorders>
                  <w:shd w:val="clear" w:color="auto" w:fill="auto"/>
                  <w:vAlign w:val="center"/>
                </w:tcPr>
                <w:p w14:paraId="22083089">
                  <w:pPr>
                    <w:keepNext w:val="0"/>
                    <w:keepLines w:val="0"/>
                    <w:suppressLineNumbers w:val="0"/>
                    <w:spacing w:before="0" w:beforeAutospacing="0" w:after="0" w:afterAutospacing="0"/>
                    <w:ind w:left="0" w:right="0"/>
                    <w:jc w:val="center"/>
                    <w:rPr>
                      <w:rFonts w:hint="eastAsia" w:ascii="宋体" w:hAnsi="宋体" w:eastAsia="宋体" w:cs="宋体"/>
                      <w:color w:val="auto"/>
                      <w:szCs w:val="21"/>
                    </w:rPr>
                  </w:pPr>
                  <w:r>
                    <w:rPr>
                      <w:rFonts w:hint="eastAsia" w:ascii="宋体" w:hAnsi="宋体" w:eastAsia="宋体" w:cs="宋体"/>
                      <w:color w:val="auto"/>
                      <w:sz w:val="21"/>
                      <w:szCs w:val="21"/>
                    </w:rPr>
                    <w:t>0.07mg/m</w:t>
                  </w:r>
                  <w:r>
                    <w:rPr>
                      <w:rFonts w:hint="eastAsia" w:ascii="宋体" w:hAnsi="宋体" w:eastAsia="宋体" w:cs="宋体"/>
                      <w:color w:val="auto"/>
                      <w:sz w:val="21"/>
                      <w:szCs w:val="21"/>
                      <w:vertAlign w:val="superscript"/>
                    </w:rPr>
                    <w:t>3</w:t>
                  </w:r>
                </w:p>
              </w:tc>
            </w:tr>
          </w:tbl>
          <w:p w14:paraId="14596324">
            <w:pPr>
              <w:keepNext w:val="0"/>
              <w:keepLines w:val="0"/>
              <w:suppressLineNumbers w:val="0"/>
              <w:adjustRightInd w:val="0"/>
              <w:snapToGrid w:val="0"/>
              <w:spacing w:before="156" w:beforeLines="5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4）监测期间气象条件</w:t>
            </w:r>
          </w:p>
          <w:p w14:paraId="126636F2">
            <w:pPr>
              <w:keepNext w:val="0"/>
              <w:keepLines w:val="0"/>
              <w:suppressLineNumbers w:val="0"/>
              <w:adjustRightInd w:val="0"/>
              <w:snapToGrid w:val="0"/>
              <w:spacing w:before="156" w:beforeLines="50" w:beforeAutospacing="0" w:after="0" w:afterAutospacing="0"/>
              <w:ind w:left="0" w:right="0"/>
              <w:jc w:val="center"/>
              <w:rPr>
                <w:rFonts w:hint="eastAsia" w:ascii="宋体" w:hAnsi="宋体" w:eastAsia="宋体" w:cs="宋体"/>
                <w:b/>
                <w:color w:val="auto"/>
                <w:sz w:val="24"/>
              </w:rPr>
            </w:pPr>
            <w:r>
              <w:rPr>
                <w:rFonts w:hint="eastAsia" w:ascii="宋体" w:hAnsi="宋体" w:eastAsia="宋体" w:cs="宋体"/>
                <w:b/>
                <w:color w:val="auto"/>
                <w:sz w:val="24"/>
              </w:rPr>
              <w:t>表</w:t>
            </w:r>
            <w:r>
              <w:rPr>
                <w:rFonts w:hint="eastAsia" w:ascii="宋体" w:hAnsi="宋体" w:eastAsia="宋体" w:cs="宋体"/>
                <w:b/>
                <w:color w:val="auto"/>
                <w:sz w:val="24"/>
                <w:lang w:val="en-US" w:eastAsia="zh-CN"/>
              </w:rPr>
              <w:t>3-4</w:t>
            </w:r>
            <w:r>
              <w:rPr>
                <w:rFonts w:hint="eastAsia" w:ascii="宋体" w:hAnsi="宋体" w:eastAsia="宋体" w:cs="宋体"/>
                <w:b/>
                <w:color w:val="auto"/>
                <w:sz w:val="24"/>
              </w:rPr>
              <w:t xml:space="preserve"> 检测气象条件</w:t>
            </w:r>
          </w:p>
          <w:tbl>
            <w:tblPr>
              <w:tblStyle w:val="27"/>
              <w:tblW w:w="8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18"/>
              <w:gridCol w:w="1197"/>
              <w:gridCol w:w="1459"/>
              <w:gridCol w:w="1458"/>
              <w:gridCol w:w="1459"/>
              <w:gridCol w:w="1458"/>
            </w:tblGrid>
            <w:tr w14:paraId="25F44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231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2A9E25F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检测日期</w:t>
                  </w:r>
                </w:p>
              </w:tc>
              <w:tc>
                <w:tcPr>
                  <w:tcW w:w="1459" w:type="dxa"/>
                  <w:tcBorders>
                    <w:top w:val="single" w:color="auto" w:sz="4" w:space="0"/>
                    <w:left w:val="nil"/>
                    <w:bottom w:val="single" w:color="auto" w:sz="4" w:space="0"/>
                    <w:right w:val="single" w:color="auto" w:sz="4" w:space="0"/>
                  </w:tcBorders>
                  <w:shd w:val="clear" w:color="auto" w:fill="auto"/>
                  <w:vAlign w:val="center"/>
                </w:tcPr>
                <w:p w14:paraId="26F3F777">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气温℃</w:t>
                  </w:r>
                </w:p>
              </w:tc>
              <w:tc>
                <w:tcPr>
                  <w:tcW w:w="1458" w:type="dxa"/>
                  <w:tcBorders>
                    <w:top w:val="single" w:color="auto" w:sz="4" w:space="0"/>
                    <w:left w:val="nil"/>
                    <w:bottom w:val="single" w:color="auto" w:sz="4" w:space="0"/>
                    <w:right w:val="single" w:color="auto" w:sz="4" w:space="0"/>
                  </w:tcBorders>
                  <w:shd w:val="clear" w:color="auto" w:fill="auto"/>
                  <w:vAlign w:val="center"/>
                </w:tcPr>
                <w:p w14:paraId="07588586">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气压kPa</w:t>
                  </w:r>
                </w:p>
              </w:tc>
              <w:tc>
                <w:tcPr>
                  <w:tcW w:w="1459" w:type="dxa"/>
                  <w:tcBorders>
                    <w:top w:val="single" w:color="auto" w:sz="4" w:space="0"/>
                    <w:left w:val="nil"/>
                    <w:bottom w:val="single" w:color="auto" w:sz="4" w:space="0"/>
                    <w:right w:val="single" w:color="auto" w:sz="4" w:space="0"/>
                  </w:tcBorders>
                  <w:shd w:val="clear" w:color="auto" w:fill="auto"/>
                  <w:vAlign w:val="center"/>
                </w:tcPr>
                <w:p w14:paraId="3A4A07B9">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风速m/s</w:t>
                  </w:r>
                </w:p>
              </w:tc>
              <w:tc>
                <w:tcPr>
                  <w:tcW w:w="1458" w:type="dxa"/>
                  <w:tcBorders>
                    <w:top w:val="single" w:color="auto" w:sz="4" w:space="0"/>
                    <w:left w:val="nil"/>
                    <w:bottom w:val="single" w:color="auto" w:sz="4" w:space="0"/>
                    <w:right w:val="single" w:color="auto" w:sz="4" w:space="0"/>
                  </w:tcBorders>
                  <w:shd w:val="clear" w:color="auto" w:fill="auto"/>
                  <w:vAlign w:val="center"/>
                </w:tcPr>
                <w:p w14:paraId="305625E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风向</w:t>
                  </w:r>
                </w:p>
              </w:tc>
            </w:tr>
            <w:tr w14:paraId="492F6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restart"/>
                  <w:tcBorders>
                    <w:top w:val="nil"/>
                    <w:left w:val="single" w:color="auto" w:sz="4" w:space="0"/>
                    <w:bottom w:val="single" w:color="auto" w:sz="4" w:space="0"/>
                    <w:right w:val="single" w:color="auto" w:sz="4" w:space="0"/>
                  </w:tcBorders>
                  <w:shd w:val="clear" w:color="auto" w:fill="auto"/>
                  <w:vAlign w:val="center"/>
                </w:tcPr>
                <w:p w14:paraId="0BDFE54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2025.05.17</w:t>
                  </w:r>
                </w:p>
              </w:tc>
              <w:tc>
                <w:tcPr>
                  <w:tcW w:w="1197" w:type="dxa"/>
                  <w:tcBorders>
                    <w:top w:val="single" w:color="auto" w:sz="4" w:space="0"/>
                    <w:left w:val="nil"/>
                    <w:bottom w:val="single" w:color="auto" w:sz="4" w:space="0"/>
                    <w:right w:val="single" w:color="auto" w:sz="4" w:space="0"/>
                  </w:tcBorders>
                  <w:shd w:val="clear" w:color="auto" w:fill="auto"/>
                  <w:vAlign w:val="center"/>
                </w:tcPr>
                <w:p w14:paraId="611FCD67">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第一次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75926904">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6.3</w:t>
                  </w:r>
                </w:p>
              </w:tc>
              <w:tc>
                <w:tcPr>
                  <w:tcW w:w="1458" w:type="dxa"/>
                  <w:tcBorders>
                    <w:top w:val="single" w:color="auto" w:sz="4" w:space="0"/>
                    <w:left w:val="nil"/>
                    <w:bottom w:val="single" w:color="auto" w:sz="4" w:space="0"/>
                    <w:right w:val="single" w:color="auto" w:sz="4" w:space="0"/>
                  </w:tcBorders>
                  <w:shd w:val="clear" w:color="auto" w:fill="auto"/>
                  <w:vAlign w:val="center"/>
                </w:tcPr>
                <w:p w14:paraId="2EF3FEE9">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85.07</w:t>
                  </w:r>
                </w:p>
              </w:tc>
              <w:tc>
                <w:tcPr>
                  <w:tcW w:w="1459" w:type="dxa"/>
                  <w:tcBorders>
                    <w:top w:val="single" w:color="auto" w:sz="4" w:space="0"/>
                    <w:left w:val="nil"/>
                    <w:bottom w:val="single" w:color="auto" w:sz="4" w:space="0"/>
                    <w:right w:val="single" w:color="auto" w:sz="4" w:space="0"/>
                  </w:tcBorders>
                  <w:shd w:val="clear" w:color="auto" w:fill="auto"/>
                  <w:vAlign w:val="bottom"/>
                </w:tcPr>
                <w:p w14:paraId="5FD71E25">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3.2</w:t>
                  </w:r>
                </w:p>
              </w:tc>
              <w:tc>
                <w:tcPr>
                  <w:tcW w:w="1458" w:type="dxa"/>
                  <w:tcBorders>
                    <w:top w:val="single" w:color="auto" w:sz="4" w:space="0"/>
                    <w:left w:val="nil"/>
                    <w:bottom w:val="single" w:color="auto" w:sz="4" w:space="0"/>
                    <w:right w:val="single" w:color="auto" w:sz="4" w:space="0"/>
                  </w:tcBorders>
                  <w:shd w:val="clear" w:color="auto" w:fill="auto"/>
                  <w:vAlign w:val="bottom"/>
                </w:tcPr>
                <w:p w14:paraId="2044524F">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31249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056A05A0">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3C234EE8">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第二次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329764E2">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7.5</w:t>
                  </w:r>
                </w:p>
              </w:tc>
              <w:tc>
                <w:tcPr>
                  <w:tcW w:w="1458" w:type="dxa"/>
                  <w:tcBorders>
                    <w:top w:val="single" w:color="auto" w:sz="4" w:space="0"/>
                    <w:left w:val="nil"/>
                    <w:bottom w:val="single" w:color="auto" w:sz="4" w:space="0"/>
                    <w:right w:val="single" w:color="auto" w:sz="4" w:space="0"/>
                  </w:tcBorders>
                  <w:shd w:val="clear" w:color="auto" w:fill="auto"/>
                  <w:vAlign w:val="center"/>
                </w:tcPr>
                <w:p w14:paraId="0328C5A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85.12</w:t>
                  </w:r>
                </w:p>
              </w:tc>
              <w:tc>
                <w:tcPr>
                  <w:tcW w:w="1459" w:type="dxa"/>
                  <w:tcBorders>
                    <w:top w:val="single" w:color="auto" w:sz="4" w:space="0"/>
                    <w:left w:val="nil"/>
                    <w:bottom w:val="single" w:color="auto" w:sz="4" w:space="0"/>
                    <w:right w:val="single" w:color="auto" w:sz="4" w:space="0"/>
                  </w:tcBorders>
                  <w:shd w:val="clear" w:color="auto" w:fill="auto"/>
                  <w:vAlign w:val="bottom"/>
                </w:tcPr>
                <w:p w14:paraId="42ABDEB6">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2.9</w:t>
                  </w:r>
                </w:p>
              </w:tc>
              <w:tc>
                <w:tcPr>
                  <w:tcW w:w="1458" w:type="dxa"/>
                  <w:tcBorders>
                    <w:top w:val="single" w:color="auto" w:sz="4" w:space="0"/>
                    <w:left w:val="nil"/>
                    <w:bottom w:val="single" w:color="auto" w:sz="4" w:space="0"/>
                    <w:right w:val="single" w:color="auto" w:sz="4" w:space="0"/>
                  </w:tcBorders>
                  <w:shd w:val="clear" w:color="auto" w:fill="auto"/>
                  <w:vAlign w:val="bottom"/>
                </w:tcPr>
                <w:p w14:paraId="30F0EE08">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1C7C9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03E7F9A6">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029ACAD8">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第三次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02D4A78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14.4</w:t>
                  </w:r>
                </w:p>
              </w:tc>
              <w:tc>
                <w:tcPr>
                  <w:tcW w:w="1458" w:type="dxa"/>
                  <w:tcBorders>
                    <w:top w:val="single" w:color="auto" w:sz="4" w:space="0"/>
                    <w:left w:val="nil"/>
                    <w:bottom w:val="single" w:color="auto" w:sz="4" w:space="0"/>
                    <w:right w:val="single" w:color="auto" w:sz="4" w:space="0"/>
                  </w:tcBorders>
                  <w:shd w:val="clear" w:color="auto" w:fill="auto"/>
                  <w:vAlign w:val="center"/>
                </w:tcPr>
                <w:p w14:paraId="5A71E942">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85.10</w:t>
                  </w:r>
                </w:p>
              </w:tc>
              <w:tc>
                <w:tcPr>
                  <w:tcW w:w="1459" w:type="dxa"/>
                  <w:tcBorders>
                    <w:top w:val="single" w:color="auto" w:sz="4" w:space="0"/>
                    <w:left w:val="nil"/>
                    <w:bottom w:val="single" w:color="auto" w:sz="4" w:space="0"/>
                    <w:right w:val="single" w:color="auto" w:sz="4" w:space="0"/>
                  </w:tcBorders>
                  <w:shd w:val="clear" w:color="auto" w:fill="auto"/>
                  <w:vAlign w:val="bottom"/>
                </w:tcPr>
                <w:p w14:paraId="36D7808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2.7</w:t>
                  </w:r>
                </w:p>
              </w:tc>
              <w:tc>
                <w:tcPr>
                  <w:tcW w:w="1458" w:type="dxa"/>
                  <w:tcBorders>
                    <w:top w:val="single" w:color="auto" w:sz="4" w:space="0"/>
                    <w:left w:val="nil"/>
                    <w:bottom w:val="single" w:color="auto" w:sz="4" w:space="0"/>
                    <w:right w:val="single" w:color="auto" w:sz="4" w:space="0"/>
                  </w:tcBorders>
                  <w:shd w:val="clear" w:color="auto" w:fill="auto"/>
                  <w:vAlign w:val="bottom"/>
                </w:tcPr>
                <w:p w14:paraId="48D78F22">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1F922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3873114C">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3A5CE8BA">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第四次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4A8EFBD6">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8.2</w:t>
                  </w:r>
                </w:p>
              </w:tc>
              <w:tc>
                <w:tcPr>
                  <w:tcW w:w="1458" w:type="dxa"/>
                  <w:tcBorders>
                    <w:top w:val="single" w:color="auto" w:sz="4" w:space="0"/>
                    <w:left w:val="nil"/>
                    <w:bottom w:val="single" w:color="auto" w:sz="4" w:space="0"/>
                    <w:right w:val="single" w:color="auto" w:sz="4" w:space="0"/>
                  </w:tcBorders>
                  <w:shd w:val="clear" w:color="auto" w:fill="auto"/>
                  <w:vAlign w:val="center"/>
                </w:tcPr>
                <w:p w14:paraId="5738C2CE">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85.04</w:t>
                  </w:r>
                </w:p>
              </w:tc>
              <w:tc>
                <w:tcPr>
                  <w:tcW w:w="1459" w:type="dxa"/>
                  <w:tcBorders>
                    <w:top w:val="single" w:color="auto" w:sz="4" w:space="0"/>
                    <w:left w:val="nil"/>
                    <w:bottom w:val="single" w:color="auto" w:sz="4" w:space="0"/>
                    <w:right w:val="single" w:color="auto" w:sz="4" w:space="0"/>
                  </w:tcBorders>
                  <w:shd w:val="clear" w:color="auto" w:fill="auto"/>
                  <w:vAlign w:val="bottom"/>
                </w:tcPr>
                <w:p w14:paraId="30013EE4">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2.5</w:t>
                  </w:r>
                </w:p>
              </w:tc>
              <w:tc>
                <w:tcPr>
                  <w:tcW w:w="1458" w:type="dxa"/>
                  <w:tcBorders>
                    <w:top w:val="single" w:color="auto" w:sz="4" w:space="0"/>
                    <w:left w:val="nil"/>
                    <w:bottom w:val="single" w:color="auto" w:sz="4" w:space="0"/>
                    <w:right w:val="single" w:color="auto" w:sz="4" w:space="0"/>
                  </w:tcBorders>
                  <w:shd w:val="clear" w:color="auto" w:fill="auto"/>
                  <w:vAlign w:val="bottom"/>
                </w:tcPr>
                <w:p w14:paraId="5137383B">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0701D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1118" w:type="dxa"/>
                  <w:vMerge w:val="restart"/>
                  <w:tcBorders>
                    <w:top w:val="nil"/>
                    <w:left w:val="single" w:color="auto" w:sz="4" w:space="0"/>
                    <w:bottom w:val="single" w:color="auto" w:sz="4" w:space="0"/>
                    <w:right w:val="single" w:color="auto" w:sz="4" w:space="0"/>
                  </w:tcBorders>
                  <w:shd w:val="clear" w:color="auto" w:fill="auto"/>
                  <w:vAlign w:val="center"/>
                </w:tcPr>
                <w:p w14:paraId="5D88E77A">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2025.05.18</w:t>
                  </w:r>
                </w:p>
              </w:tc>
              <w:tc>
                <w:tcPr>
                  <w:tcW w:w="1197" w:type="dxa"/>
                  <w:tcBorders>
                    <w:top w:val="single" w:color="auto" w:sz="4" w:space="0"/>
                    <w:left w:val="nil"/>
                    <w:bottom w:val="single" w:color="auto" w:sz="4" w:space="0"/>
                    <w:right w:val="single" w:color="auto" w:sz="4" w:space="0"/>
                  </w:tcBorders>
                  <w:shd w:val="clear" w:color="auto" w:fill="auto"/>
                  <w:vAlign w:val="center"/>
                </w:tcPr>
                <w:p w14:paraId="7CF2BFB7">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第一次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1EC21A72">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12.1</w:t>
                  </w:r>
                </w:p>
              </w:tc>
              <w:tc>
                <w:tcPr>
                  <w:tcW w:w="1458" w:type="dxa"/>
                  <w:tcBorders>
                    <w:top w:val="single" w:color="auto" w:sz="4" w:space="0"/>
                    <w:left w:val="nil"/>
                    <w:bottom w:val="single" w:color="auto" w:sz="4" w:space="0"/>
                    <w:right w:val="single" w:color="auto" w:sz="4" w:space="0"/>
                  </w:tcBorders>
                  <w:shd w:val="clear" w:color="auto" w:fill="auto"/>
                  <w:vAlign w:val="center"/>
                </w:tcPr>
                <w:p w14:paraId="2EC170CD">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85.19</w:t>
                  </w:r>
                </w:p>
              </w:tc>
              <w:tc>
                <w:tcPr>
                  <w:tcW w:w="1459" w:type="dxa"/>
                  <w:tcBorders>
                    <w:top w:val="single" w:color="auto" w:sz="4" w:space="0"/>
                    <w:left w:val="nil"/>
                    <w:bottom w:val="single" w:color="auto" w:sz="4" w:space="0"/>
                    <w:right w:val="single" w:color="auto" w:sz="4" w:space="0"/>
                  </w:tcBorders>
                  <w:shd w:val="clear" w:color="auto" w:fill="auto"/>
                  <w:vAlign w:val="bottom"/>
                </w:tcPr>
                <w:p w14:paraId="2454B633">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3.1</w:t>
                  </w:r>
                </w:p>
              </w:tc>
              <w:tc>
                <w:tcPr>
                  <w:tcW w:w="1458" w:type="dxa"/>
                  <w:tcBorders>
                    <w:top w:val="single" w:color="auto" w:sz="4" w:space="0"/>
                    <w:left w:val="nil"/>
                    <w:bottom w:val="single" w:color="auto" w:sz="4" w:space="0"/>
                    <w:right w:val="single" w:color="auto" w:sz="4" w:space="0"/>
                  </w:tcBorders>
                  <w:shd w:val="clear" w:color="auto" w:fill="auto"/>
                  <w:vAlign w:val="bottom"/>
                </w:tcPr>
                <w:p w14:paraId="13B2DACE">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西南</w:t>
                  </w:r>
                </w:p>
              </w:tc>
            </w:tr>
            <w:tr w14:paraId="4B21A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7271105C">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0F82D3C4">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第二次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370A9243">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18.4</w:t>
                  </w:r>
                </w:p>
              </w:tc>
              <w:tc>
                <w:tcPr>
                  <w:tcW w:w="1458" w:type="dxa"/>
                  <w:tcBorders>
                    <w:top w:val="single" w:color="auto" w:sz="4" w:space="0"/>
                    <w:left w:val="nil"/>
                    <w:bottom w:val="single" w:color="auto" w:sz="4" w:space="0"/>
                    <w:right w:val="single" w:color="auto" w:sz="4" w:space="0"/>
                  </w:tcBorders>
                  <w:shd w:val="clear" w:color="auto" w:fill="auto"/>
                  <w:vAlign w:val="center"/>
                </w:tcPr>
                <w:p w14:paraId="35D4E355">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85.26</w:t>
                  </w:r>
                </w:p>
              </w:tc>
              <w:tc>
                <w:tcPr>
                  <w:tcW w:w="1459" w:type="dxa"/>
                  <w:tcBorders>
                    <w:top w:val="single" w:color="auto" w:sz="4" w:space="0"/>
                    <w:left w:val="nil"/>
                    <w:bottom w:val="single" w:color="auto" w:sz="4" w:space="0"/>
                    <w:right w:val="single" w:color="auto" w:sz="4" w:space="0"/>
                  </w:tcBorders>
                  <w:shd w:val="clear" w:color="auto" w:fill="auto"/>
                  <w:vAlign w:val="bottom"/>
                </w:tcPr>
                <w:p w14:paraId="56B3FE2F">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2.6</w:t>
                  </w:r>
                </w:p>
              </w:tc>
              <w:tc>
                <w:tcPr>
                  <w:tcW w:w="1458" w:type="dxa"/>
                  <w:tcBorders>
                    <w:top w:val="single" w:color="auto" w:sz="4" w:space="0"/>
                    <w:left w:val="nil"/>
                    <w:bottom w:val="single" w:color="auto" w:sz="4" w:space="0"/>
                    <w:right w:val="single" w:color="auto" w:sz="4" w:space="0"/>
                  </w:tcBorders>
                  <w:shd w:val="clear" w:color="auto" w:fill="auto"/>
                  <w:vAlign w:val="bottom"/>
                </w:tcPr>
                <w:p w14:paraId="165C66D9">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西南</w:t>
                  </w:r>
                </w:p>
              </w:tc>
            </w:tr>
            <w:tr w14:paraId="00289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045F956E">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59B2087A">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第三次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2CF699E2">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22.9</w:t>
                  </w:r>
                </w:p>
              </w:tc>
              <w:tc>
                <w:tcPr>
                  <w:tcW w:w="1458" w:type="dxa"/>
                  <w:tcBorders>
                    <w:top w:val="single" w:color="auto" w:sz="4" w:space="0"/>
                    <w:left w:val="nil"/>
                    <w:bottom w:val="single" w:color="auto" w:sz="4" w:space="0"/>
                    <w:right w:val="single" w:color="auto" w:sz="4" w:space="0"/>
                  </w:tcBorders>
                  <w:shd w:val="clear" w:color="auto" w:fill="auto"/>
                  <w:vAlign w:val="center"/>
                </w:tcPr>
                <w:p w14:paraId="11504F3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85.07</w:t>
                  </w:r>
                </w:p>
              </w:tc>
              <w:tc>
                <w:tcPr>
                  <w:tcW w:w="1459" w:type="dxa"/>
                  <w:tcBorders>
                    <w:top w:val="single" w:color="auto" w:sz="4" w:space="0"/>
                    <w:left w:val="nil"/>
                    <w:bottom w:val="single" w:color="auto" w:sz="4" w:space="0"/>
                    <w:right w:val="single" w:color="auto" w:sz="4" w:space="0"/>
                  </w:tcBorders>
                  <w:shd w:val="clear" w:color="auto" w:fill="auto"/>
                  <w:vAlign w:val="bottom"/>
                </w:tcPr>
                <w:p w14:paraId="459D199D">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2.9</w:t>
                  </w:r>
                </w:p>
              </w:tc>
              <w:tc>
                <w:tcPr>
                  <w:tcW w:w="1458" w:type="dxa"/>
                  <w:tcBorders>
                    <w:top w:val="single" w:color="auto" w:sz="4" w:space="0"/>
                    <w:left w:val="nil"/>
                    <w:bottom w:val="single" w:color="auto" w:sz="4" w:space="0"/>
                    <w:right w:val="single" w:color="auto" w:sz="4" w:space="0"/>
                  </w:tcBorders>
                  <w:shd w:val="clear" w:color="auto" w:fill="auto"/>
                  <w:vAlign w:val="bottom"/>
                </w:tcPr>
                <w:p w14:paraId="55718452">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西南</w:t>
                  </w:r>
                </w:p>
              </w:tc>
            </w:tr>
            <w:tr w14:paraId="5ED25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18648BAB">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653D7F07">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第四次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38F008EE">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14.3</w:t>
                  </w:r>
                </w:p>
              </w:tc>
              <w:tc>
                <w:tcPr>
                  <w:tcW w:w="1458" w:type="dxa"/>
                  <w:tcBorders>
                    <w:top w:val="single" w:color="auto" w:sz="4" w:space="0"/>
                    <w:left w:val="nil"/>
                    <w:bottom w:val="single" w:color="auto" w:sz="4" w:space="0"/>
                    <w:right w:val="single" w:color="auto" w:sz="4" w:space="0"/>
                  </w:tcBorders>
                  <w:shd w:val="clear" w:color="auto" w:fill="auto"/>
                  <w:vAlign w:val="center"/>
                </w:tcPr>
                <w:p w14:paraId="1B97ACB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85.14</w:t>
                  </w:r>
                </w:p>
              </w:tc>
              <w:tc>
                <w:tcPr>
                  <w:tcW w:w="1459" w:type="dxa"/>
                  <w:tcBorders>
                    <w:top w:val="single" w:color="auto" w:sz="4" w:space="0"/>
                    <w:left w:val="nil"/>
                    <w:bottom w:val="single" w:color="auto" w:sz="4" w:space="0"/>
                    <w:right w:val="single" w:color="auto" w:sz="4" w:space="0"/>
                  </w:tcBorders>
                  <w:shd w:val="clear" w:color="auto" w:fill="auto"/>
                  <w:vAlign w:val="bottom"/>
                </w:tcPr>
                <w:p w14:paraId="29A2B438">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2.8</w:t>
                  </w:r>
                </w:p>
              </w:tc>
              <w:tc>
                <w:tcPr>
                  <w:tcW w:w="1458" w:type="dxa"/>
                  <w:tcBorders>
                    <w:top w:val="single" w:color="auto" w:sz="4" w:space="0"/>
                    <w:left w:val="nil"/>
                    <w:bottom w:val="single" w:color="auto" w:sz="4" w:space="0"/>
                    <w:right w:val="single" w:color="auto" w:sz="4" w:space="0"/>
                  </w:tcBorders>
                  <w:shd w:val="clear" w:color="auto" w:fill="auto"/>
                  <w:vAlign w:val="bottom"/>
                </w:tcPr>
                <w:p w14:paraId="5E8AB485">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西南</w:t>
                  </w:r>
                </w:p>
              </w:tc>
            </w:tr>
            <w:tr w14:paraId="1E535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restart"/>
                  <w:tcBorders>
                    <w:top w:val="nil"/>
                    <w:left w:val="single" w:color="auto" w:sz="4" w:space="0"/>
                    <w:bottom w:val="single" w:color="auto" w:sz="4" w:space="0"/>
                    <w:right w:val="single" w:color="auto" w:sz="4" w:space="0"/>
                  </w:tcBorders>
                  <w:shd w:val="clear" w:color="auto" w:fill="auto"/>
                  <w:vAlign w:val="center"/>
                </w:tcPr>
                <w:p w14:paraId="14B341F5">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2025.05.19</w:t>
                  </w:r>
                </w:p>
              </w:tc>
              <w:tc>
                <w:tcPr>
                  <w:tcW w:w="1197" w:type="dxa"/>
                  <w:tcBorders>
                    <w:top w:val="single" w:color="auto" w:sz="4" w:space="0"/>
                    <w:left w:val="nil"/>
                    <w:bottom w:val="single" w:color="auto" w:sz="4" w:space="0"/>
                    <w:right w:val="single" w:color="auto" w:sz="4" w:space="0"/>
                  </w:tcBorders>
                  <w:shd w:val="clear" w:color="auto" w:fill="auto"/>
                  <w:vAlign w:val="center"/>
                </w:tcPr>
                <w:p w14:paraId="52542389">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第一次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0E7C7095">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15.8</w:t>
                  </w:r>
                </w:p>
              </w:tc>
              <w:tc>
                <w:tcPr>
                  <w:tcW w:w="1458" w:type="dxa"/>
                  <w:tcBorders>
                    <w:top w:val="single" w:color="auto" w:sz="4" w:space="0"/>
                    <w:left w:val="nil"/>
                    <w:bottom w:val="single" w:color="auto" w:sz="4" w:space="0"/>
                    <w:right w:val="single" w:color="auto" w:sz="4" w:space="0"/>
                  </w:tcBorders>
                  <w:shd w:val="clear" w:color="auto" w:fill="auto"/>
                  <w:vAlign w:val="center"/>
                </w:tcPr>
                <w:p w14:paraId="65A60C7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85.22</w:t>
                  </w:r>
                </w:p>
              </w:tc>
              <w:tc>
                <w:tcPr>
                  <w:tcW w:w="1459" w:type="dxa"/>
                  <w:tcBorders>
                    <w:top w:val="single" w:color="auto" w:sz="4" w:space="0"/>
                    <w:left w:val="nil"/>
                    <w:bottom w:val="single" w:color="auto" w:sz="4" w:space="0"/>
                    <w:right w:val="single" w:color="auto" w:sz="4" w:space="0"/>
                  </w:tcBorders>
                  <w:shd w:val="clear" w:color="auto" w:fill="auto"/>
                  <w:vAlign w:val="bottom"/>
                </w:tcPr>
                <w:p w14:paraId="275D8BE4">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3.1</w:t>
                  </w:r>
                </w:p>
              </w:tc>
              <w:tc>
                <w:tcPr>
                  <w:tcW w:w="1458" w:type="dxa"/>
                  <w:tcBorders>
                    <w:top w:val="single" w:color="auto" w:sz="4" w:space="0"/>
                    <w:left w:val="nil"/>
                    <w:bottom w:val="single" w:color="auto" w:sz="4" w:space="0"/>
                    <w:right w:val="single" w:color="auto" w:sz="4" w:space="0"/>
                  </w:tcBorders>
                  <w:shd w:val="clear" w:color="auto" w:fill="auto"/>
                  <w:vAlign w:val="bottom"/>
                </w:tcPr>
                <w:p w14:paraId="47BE370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551E0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03336C0C">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3424801D">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第二次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2DE2751F">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20.1</w:t>
                  </w:r>
                </w:p>
              </w:tc>
              <w:tc>
                <w:tcPr>
                  <w:tcW w:w="1458" w:type="dxa"/>
                  <w:tcBorders>
                    <w:top w:val="single" w:color="auto" w:sz="4" w:space="0"/>
                    <w:left w:val="nil"/>
                    <w:bottom w:val="single" w:color="auto" w:sz="4" w:space="0"/>
                    <w:right w:val="single" w:color="auto" w:sz="4" w:space="0"/>
                  </w:tcBorders>
                  <w:shd w:val="clear" w:color="auto" w:fill="auto"/>
                  <w:vAlign w:val="center"/>
                </w:tcPr>
                <w:p w14:paraId="52B6B91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85.19</w:t>
                  </w:r>
                </w:p>
              </w:tc>
              <w:tc>
                <w:tcPr>
                  <w:tcW w:w="1459" w:type="dxa"/>
                  <w:tcBorders>
                    <w:top w:val="single" w:color="auto" w:sz="4" w:space="0"/>
                    <w:left w:val="nil"/>
                    <w:bottom w:val="single" w:color="auto" w:sz="4" w:space="0"/>
                    <w:right w:val="single" w:color="auto" w:sz="4" w:space="0"/>
                  </w:tcBorders>
                  <w:shd w:val="clear" w:color="auto" w:fill="auto"/>
                  <w:vAlign w:val="bottom"/>
                </w:tcPr>
                <w:p w14:paraId="7FC4DE9E">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2.7</w:t>
                  </w:r>
                </w:p>
              </w:tc>
              <w:tc>
                <w:tcPr>
                  <w:tcW w:w="1458" w:type="dxa"/>
                  <w:tcBorders>
                    <w:top w:val="single" w:color="auto" w:sz="4" w:space="0"/>
                    <w:left w:val="nil"/>
                    <w:bottom w:val="single" w:color="auto" w:sz="4" w:space="0"/>
                    <w:right w:val="single" w:color="auto" w:sz="4" w:space="0"/>
                  </w:tcBorders>
                  <w:shd w:val="clear" w:color="auto" w:fill="auto"/>
                  <w:vAlign w:val="bottom"/>
                </w:tcPr>
                <w:p w14:paraId="656275A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58868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4B12E0AC">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268D6A5C">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第三次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59F801C3">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28.4</w:t>
                  </w:r>
                </w:p>
              </w:tc>
              <w:tc>
                <w:tcPr>
                  <w:tcW w:w="1458" w:type="dxa"/>
                  <w:tcBorders>
                    <w:top w:val="single" w:color="auto" w:sz="4" w:space="0"/>
                    <w:left w:val="nil"/>
                    <w:bottom w:val="single" w:color="auto" w:sz="4" w:space="0"/>
                    <w:right w:val="single" w:color="auto" w:sz="4" w:space="0"/>
                  </w:tcBorders>
                  <w:shd w:val="clear" w:color="auto" w:fill="auto"/>
                  <w:vAlign w:val="center"/>
                </w:tcPr>
                <w:p w14:paraId="72BB5803">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85.20</w:t>
                  </w:r>
                </w:p>
              </w:tc>
              <w:tc>
                <w:tcPr>
                  <w:tcW w:w="1459" w:type="dxa"/>
                  <w:tcBorders>
                    <w:top w:val="single" w:color="auto" w:sz="4" w:space="0"/>
                    <w:left w:val="nil"/>
                    <w:bottom w:val="single" w:color="auto" w:sz="4" w:space="0"/>
                    <w:right w:val="single" w:color="auto" w:sz="4" w:space="0"/>
                  </w:tcBorders>
                  <w:shd w:val="clear" w:color="auto" w:fill="auto"/>
                  <w:vAlign w:val="bottom"/>
                </w:tcPr>
                <w:p w14:paraId="792C77A8">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2.9</w:t>
                  </w:r>
                </w:p>
              </w:tc>
              <w:tc>
                <w:tcPr>
                  <w:tcW w:w="1458" w:type="dxa"/>
                  <w:tcBorders>
                    <w:top w:val="single" w:color="auto" w:sz="4" w:space="0"/>
                    <w:left w:val="nil"/>
                    <w:bottom w:val="single" w:color="auto" w:sz="4" w:space="0"/>
                    <w:right w:val="single" w:color="auto" w:sz="4" w:space="0"/>
                  </w:tcBorders>
                  <w:shd w:val="clear" w:color="auto" w:fill="auto"/>
                  <w:vAlign w:val="bottom"/>
                </w:tcPr>
                <w:p w14:paraId="67476974">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r w14:paraId="1D451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4" w:hRule="atLeast"/>
                <w:jc w:val="center"/>
              </w:trPr>
              <w:tc>
                <w:tcPr>
                  <w:tcW w:w="1118" w:type="dxa"/>
                  <w:vMerge w:val="continue"/>
                  <w:tcBorders>
                    <w:top w:val="nil"/>
                    <w:left w:val="single" w:color="auto" w:sz="4" w:space="0"/>
                    <w:bottom w:val="single" w:color="auto" w:sz="4" w:space="0"/>
                    <w:right w:val="single" w:color="auto" w:sz="4" w:space="0"/>
                  </w:tcBorders>
                  <w:shd w:val="clear" w:color="auto" w:fill="auto"/>
                  <w:vAlign w:val="center"/>
                </w:tcPr>
                <w:p w14:paraId="40BB55D1">
                  <w:pPr>
                    <w:keepNext w:val="0"/>
                    <w:keepLines w:val="0"/>
                    <w:suppressLineNumbers w:val="0"/>
                    <w:spacing w:before="0" w:beforeAutospacing="0" w:after="0" w:afterAutospacing="0"/>
                    <w:ind w:left="0" w:right="0"/>
                    <w:jc w:val="both"/>
                    <w:rPr>
                      <w:rFonts w:hint="eastAsia" w:ascii="宋体" w:hAnsi="宋体" w:eastAsia="宋体" w:cs="宋体"/>
                      <w:sz w:val="20"/>
                      <w:szCs w:val="20"/>
                    </w:rPr>
                  </w:pPr>
                </w:p>
              </w:tc>
              <w:tc>
                <w:tcPr>
                  <w:tcW w:w="1197" w:type="dxa"/>
                  <w:tcBorders>
                    <w:top w:val="single" w:color="auto" w:sz="4" w:space="0"/>
                    <w:left w:val="nil"/>
                    <w:bottom w:val="single" w:color="auto" w:sz="4" w:space="0"/>
                    <w:right w:val="single" w:color="auto" w:sz="4" w:space="0"/>
                  </w:tcBorders>
                  <w:shd w:val="clear" w:color="auto" w:fill="auto"/>
                  <w:vAlign w:val="center"/>
                </w:tcPr>
                <w:p w14:paraId="369F4C47">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第四次</w:t>
                  </w:r>
                </w:p>
              </w:tc>
              <w:tc>
                <w:tcPr>
                  <w:tcW w:w="1459" w:type="dxa"/>
                  <w:tcBorders>
                    <w:top w:val="single" w:color="auto" w:sz="4" w:space="0"/>
                    <w:left w:val="nil"/>
                    <w:bottom w:val="single" w:color="auto" w:sz="4" w:space="0"/>
                    <w:right w:val="single" w:color="auto" w:sz="4" w:space="0"/>
                  </w:tcBorders>
                  <w:shd w:val="clear" w:color="auto" w:fill="auto"/>
                  <w:vAlign w:val="bottom"/>
                </w:tcPr>
                <w:p w14:paraId="50E0A7E6">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22.3</w:t>
                  </w:r>
                </w:p>
              </w:tc>
              <w:tc>
                <w:tcPr>
                  <w:tcW w:w="1458" w:type="dxa"/>
                  <w:tcBorders>
                    <w:top w:val="single" w:color="auto" w:sz="4" w:space="0"/>
                    <w:left w:val="nil"/>
                    <w:bottom w:val="single" w:color="auto" w:sz="4" w:space="0"/>
                    <w:right w:val="single" w:color="auto" w:sz="4" w:space="0"/>
                  </w:tcBorders>
                  <w:shd w:val="clear" w:color="auto" w:fill="auto"/>
                  <w:vAlign w:val="center"/>
                </w:tcPr>
                <w:p w14:paraId="1FFB92BB">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85.16</w:t>
                  </w:r>
                </w:p>
              </w:tc>
              <w:tc>
                <w:tcPr>
                  <w:tcW w:w="1459" w:type="dxa"/>
                  <w:tcBorders>
                    <w:top w:val="single" w:color="auto" w:sz="4" w:space="0"/>
                    <w:left w:val="nil"/>
                    <w:bottom w:val="single" w:color="auto" w:sz="4" w:space="0"/>
                    <w:right w:val="single" w:color="auto" w:sz="4" w:space="0"/>
                  </w:tcBorders>
                  <w:shd w:val="clear" w:color="auto" w:fill="auto"/>
                  <w:vAlign w:val="bottom"/>
                </w:tcPr>
                <w:p w14:paraId="4F50866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2.5</w:t>
                  </w:r>
                </w:p>
              </w:tc>
              <w:tc>
                <w:tcPr>
                  <w:tcW w:w="1458" w:type="dxa"/>
                  <w:tcBorders>
                    <w:top w:val="single" w:color="auto" w:sz="4" w:space="0"/>
                    <w:left w:val="nil"/>
                    <w:bottom w:val="single" w:color="auto" w:sz="4" w:space="0"/>
                    <w:right w:val="single" w:color="auto" w:sz="4" w:space="0"/>
                  </w:tcBorders>
                  <w:shd w:val="clear" w:color="auto" w:fill="auto"/>
                  <w:vAlign w:val="bottom"/>
                </w:tcPr>
                <w:p w14:paraId="0D44C9A7">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kern w:val="2"/>
                      <w:sz w:val="21"/>
                      <w:szCs w:val="21"/>
                    </w:rPr>
                  </w:pPr>
                  <w:r>
                    <w:rPr>
                      <w:rFonts w:hint="eastAsia" w:ascii="宋体" w:hAnsi="宋体" w:eastAsia="宋体" w:cs="宋体"/>
                      <w:kern w:val="2"/>
                      <w:sz w:val="21"/>
                      <w:szCs w:val="21"/>
                      <w:lang w:val="en-US" w:eastAsia="zh-CN" w:bidi="ar"/>
                    </w:rPr>
                    <w:t>西北</w:t>
                  </w:r>
                </w:p>
              </w:tc>
            </w:tr>
          </w:tbl>
          <w:p w14:paraId="45C37A00">
            <w:pPr>
              <w:keepNext w:val="0"/>
              <w:keepLines w:val="0"/>
              <w:suppressLineNumbers w:val="0"/>
              <w:adjustRightInd w:val="0"/>
              <w:snapToGrid w:val="0"/>
              <w:spacing w:before="156" w:beforeLines="5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5）评价方法</w:t>
            </w:r>
          </w:p>
          <w:p w14:paraId="0652EEAE">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大气环境现状评价采用单因子指数法。</w:t>
            </w:r>
          </w:p>
          <w:p w14:paraId="22EA73C0">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单因子指数法公式如下：</w:t>
            </w:r>
          </w:p>
          <w:p w14:paraId="799A7A4A">
            <w:pPr>
              <w:keepNext w:val="0"/>
              <w:keepLines w:val="0"/>
              <w:suppressLineNumbers w:val="0"/>
              <w:adjustRightInd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Pi=C</w:t>
            </w:r>
            <w:r>
              <w:rPr>
                <w:rFonts w:hint="eastAsia" w:ascii="宋体" w:hAnsi="宋体" w:eastAsia="宋体" w:cs="宋体"/>
                <w:color w:val="auto"/>
                <w:sz w:val="24"/>
                <w:vertAlign w:val="subscript"/>
              </w:rPr>
              <w:t>i</w:t>
            </w:r>
            <w:r>
              <w:rPr>
                <w:rFonts w:hint="eastAsia" w:ascii="宋体" w:hAnsi="宋体" w:eastAsia="宋体" w:cs="宋体"/>
                <w:color w:val="auto"/>
                <w:sz w:val="24"/>
              </w:rPr>
              <w:t>/C</w:t>
            </w:r>
            <w:r>
              <w:rPr>
                <w:rFonts w:hint="eastAsia" w:ascii="宋体" w:hAnsi="宋体" w:eastAsia="宋体" w:cs="宋体"/>
                <w:color w:val="auto"/>
                <w:sz w:val="24"/>
                <w:vertAlign w:val="subscript"/>
              </w:rPr>
              <w:t>0i</w:t>
            </w:r>
          </w:p>
          <w:p w14:paraId="4EF2C6A2">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式中：P</w:t>
            </w:r>
            <w:r>
              <w:rPr>
                <w:rFonts w:hint="eastAsia" w:ascii="宋体" w:hAnsi="宋体" w:eastAsia="宋体" w:cs="宋体"/>
                <w:color w:val="auto"/>
                <w:sz w:val="24"/>
                <w:vertAlign w:val="subscript"/>
              </w:rPr>
              <w:t>i</w:t>
            </w:r>
            <w:r>
              <w:rPr>
                <w:rFonts w:hint="eastAsia" w:ascii="宋体" w:hAnsi="宋体" w:eastAsia="宋体" w:cs="宋体"/>
                <w:color w:val="auto"/>
                <w:sz w:val="24"/>
              </w:rPr>
              <w:t>—i污染物的单因子指数；</w:t>
            </w:r>
          </w:p>
          <w:p w14:paraId="56F2900A">
            <w:pPr>
              <w:keepNext w:val="0"/>
              <w:keepLines w:val="0"/>
              <w:suppressLineNumbers w:val="0"/>
              <w:adjustRightInd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C</w:t>
            </w:r>
            <w:r>
              <w:rPr>
                <w:rFonts w:hint="eastAsia" w:ascii="宋体" w:hAnsi="宋体" w:eastAsia="宋体" w:cs="宋体"/>
                <w:color w:val="auto"/>
                <w:sz w:val="24"/>
                <w:vertAlign w:val="subscript"/>
              </w:rPr>
              <w:t>i</w:t>
            </w:r>
            <w:r>
              <w:rPr>
                <w:rFonts w:hint="eastAsia" w:ascii="宋体" w:hAnsi="宋体" w:eastAsia="宋体" w:cs="宋体"/>
                <w:color w:val="auto"/>
                <w:sz w:val="24"/>
              </w:rPr>
              <w:t>—i污染物的浓度，mg/m</w:t>
            </w:r>
            <w:r>
              <w:rPr>
                <w:rFonts w:hint="eastAsia" w:ascii="宋体" w:hAnsi="宋体" w:eastAsia="宋体" w:cs="宋体"/>
                <w:color w:val="auto"/>
                <w:sz w:val="24"/>
                <w:vertAlign w:val="superscript"/>
              </w:rPr>
              <w:t>3</w:t>
            </w:r>
            <w:r>
              <w:rPr>
                <w:rFonts w:hint="eastAsia" w:ascii="宋体" w:hAnsi="宋体" w:eastAsia="宋体" w:cs="宋体"/>
                <w:color w:val="auto"/>
                <w:sz w:val="24"/>
              </w:rPr>
              <w:t>；</w:t>
            </w:r>
          </w:p>
          <w:p w14:paraId="681D0E49">
            <w:pPr>
              <w:keepNext w:val="0"/>
              <w:keepLines w:val="0"/>
              <w:suppressLineNumbers w:val="0"/>
              <w:adjustRightInd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C</w:t>
            </w:r>
            <w:r>
              <w:rPr>
                <w:rFonts w:hint="eastAsia" w:ascii="宋体" w:hAnsi="宋体" w:eastAsia="宋体" w:cs="宋体"/>
                <w:color w:val="auto"/>
                <w:sz w:val="24"/>
                <w:vertAlign w:val="subscript"/>
              </w:rPr>
              <w:t>oi</w:t>
            </w:r>
            <w:r>
              <w:rPr>
                <w:rFonts w:hint="eastAsia" w:ascii="宋体" w:hAnsi="宋体" w:eastAsia="宋体" w:cs="宋体"/>
                <w:color w:val="auto"/>
                <w:sz w:val="24"/>
              </w:rPr>
              <w:t>—i污染物的评价标准，mg/m</w:t>
            </w:r>
            <w:r>
              <w:rPr>
                <w:rFonts w:hint="eastAsia" w:ascii="宋体" w:hAnsi="宋体" w:eastAsia="宋体" w:cs="宋体"/>
                <w:color w:val="auto"/>
                <w:sz w:val="24"/>
                <w:vertAlign w:val="superscript"/>
              </w:rPr>
              <w:t>3</w:t>
            </w:r>
            <w:r>
              <w:rPr>
                <w:rFonts w:hint="eastAsia" w:ascii="宋体" w:hAnsi="宋体" w:eastAsia="宋体" w:cs="宋体"/>
                <w:color w:val="auto"/>
                <w:sz w:val="24"/>
              </w:rPr>
              <w:t>。</w:t>
            </w:r>
          </w:p>
          <w:p w14:paraId="780A258A">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rPr>
              <w:t>6）环境空气质量现状评价</w:t>
            </w:r>
          </w:p>
          <w:p w14:paraId="117C0FDA">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环境空气质量现状监测统计结果见表</w:t>
            </w:r>
            <w:r>
              <w:rPr>
                <w:rFonts w:hint="eastAsia" w:ascii="宋体" w:hAnsi="宋体" w:eastAsia="宋体" w:cs="宋体"/>
                <w:color w:val="auto"/>
                <w:sz w:val="24"/>
                <w:lang w:val="en-US" w:eastAsia="zh-CN"/>
              </w:rPr>
              <w:t>3-5</w:t>
            </w:r>
            <w:r>
              <w:rPr>
                <w:rFonts w:hint="eastAsia" w:ascii="宋体" w:hAnsi="宋体" w:eastAsia="宋体" w:cs="宋体"/>
                <w:color w:val="auto"/>
                <w:sz w:val="24"/>
              </w:rPr>
              <w:t>。</w:t>
            </w:r>
          </w:p>
          <w:p w14:paraId="2C68D3D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4"/>
                <w:vertAlign w:val="superscript"/>
                <w:lang w:val="de-DE"/>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3-5</w:t>
            </w:r>
            <w:r>
              <w:rPr>
                <w:rFonts w:hint="eastAsia" w:ascii="宋体" w:hAnsi="宋体" w:eastAsia="宋体" w:cs="宋体"/>
                <w:b/>
                <w:bCs/>
                <w:color w:val="auto"/>
                <w:sz w:val="24"/>
              </w:rPr>
              <w:t xml:space="preserve"> 环境空气质量现状监测结果统计表       单位：m</w:t>
            </w:r>
            <w:r>
              <w:rPr>
                <w:rFonts w:hint="eastAsia" w:ascii="宋体" w:hAnsi="宋体" w:eastAsia="宋体" w:cs="宋体"/>
                <w:b/>
                <w:bCs/>
                <w:color w:val="auto"/>
                <w:sz w:val="24"/>
                <w:lang w:val="de-DE"/>
              </w:rPr>
              <w:t>g/m</w:t>
            </w:r>
            <w:r>
              <w:rPr>
                <w:rFonts w:hint="eastAsia" w:ascii="宋体" w:hAnsi="宋体" w:eastAsia="宋体" w:cs="宋体"/>
                <w:b/>
                <w:bCs/>
                <w:color w:val="auto"/>
                <w:sz w:val="24"/>
                <w:vertAlign w:val="superscript"/>
                <w:lang w:val="de-DE"/>
              </w:rPr>
              <w:t>3</w:t>
            </w:r>
          </w:p>
          <w:tbl>
            <w:tblPr>
              <w:tblStyle w:val="26"/>
              <w:tblW w:w="81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918"/>
              <w:gridCol w:w="903"/>
              <w:gridCol w:w="1235"/>
              <w:gridCol w:w="1258"/>
              <w:gridCol w:w="1188"/>
              <w:gridCol w:w="750"/>
              <w:gridCol w:w="790"/>
            </w:tblGrid>
            <w:tr w14:paraId="32175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3" w:type="dxa"/>
                  <w:vMerge w:val="restart"/>
                  <w:vAlign w:val="center"/>
                </w:tcPr>
                <w:p w14:paraId="4FAE908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rPr>
                  </w:pPr>
                  <w:r>
                    <w:rPr>
                      <w:rFonts w:hint="eastAsia" w:ascii="宋体" w:hAnsi="宋体" w:eastAsia="宋体" w:cs="宋体"/>
                      <w:color w:val="auto"/>
                      <w:szCs w:val="21"/>
                    </w:rPr>
                    <w:t>点位名称</w:t>
                  </w:r>
                </w:p>
              </w:tc>
              <w:tc>
                <w:tcPr>
                  <w:tcW w:w="918" w:type="dxa"/>
                  <w:vMerge w:val="restart"/>
                  <w:vAlign w:val="center"/>
                </w:tcPr>
                <w:p w14:paraId="76D07444">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污染物</w:t>
                  </w:r>
                </w:p>
              </w:tc>
              <w:tc>
                <w:tcPr>
                  <w:tcW w:w="903" w:type="dxa"/>
                  <w:vMerge w:val="restart"/>
                  <w:vAlign w:val="center"/>
                </w:tcPr>
                <w:p w14:paraId="30E5D71C">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取值</w:t>
                  </w:r>
                </w:p>
                <w:p w14:paraId="2E429F5A">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时间</w:t>
                  </w:r>
                </w:p>
              </w:tc>
              <w:tc>
                <w:tcPr>
                  <w:tcW w:w="1235" w:type="dxa"/>
                  <w:vMerge w:val="restart"/>
                  <w:vAlign w:val="center"/>
                </w:tcPr>
                <w:p w14:paraId="77FB0FF1">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评价标准（mg/m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w:t>
                  </w:r>
                </w:p>
              </w:tc>
              <w:tc>
                <w:tcPr>
                  <w:tcW w:w="1258" w:type="dxa"/>
                  <w:vMerge w:val="restart"/>
                  <w:vAlign w:val="center"/>
                </w:tcPr>
                <w:p w14:paraId="32AA564B">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现状浓度（mg/m</w:t>
                  </w:r>
                  <w:r>
                    <w:rPr>
                      <w:rFonts w:hint="eastAsia" w:ascii="宋体" w:hAnsi="宋体" w:eastAsia="宋体" w:cs="宋体"/>
                      <w:color w:val="auto"/>
                      <w:sz w:val="21"/>
                      <w:szCs w:val="21"/>
                      <w:vertAlign w:val="superscript"/>
                    </w:rPr>
                    <w:t>3</w:t>
                  </w:r>
                  <w:r>
                    <w:rPr>
                      <w:rFonts w:hint="eastAsia" w:ascii="宋体" w:hAnsi="宋体" w:eastAsia="宋体" w:cs="宋体"/>
                      <w:color w:val="auto"/>
                      <w:sz w:val="21"/>
                      <w:szCs w:val="21"/>
                    </w:rPr>
                    <w:t>）</w:t>
                  </w:r>
                </w:p>
              </w:tc>
              <w:tc>
                <w:tcPr>
                  <w:tcW w:w="1188" w:type="dxa"/>
                  <w:vMerge w:val="restart"/>
                  <w:vAlign w:val="center"/>
                </w:tcPr>
                <w:p w14:paraId="638078A1">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最大浓度占标率/%</w:t>
                  </w:r>
                </w:p>
              </w:tc>
              <w:tc>
                <w:tcPr>
                  <w:tcW w:w="750" w:type="dxa"/>
                  <w:vMerge w:val="restart"/>
                  <w:vAlign w:val="center"/>
                </w:tcPr>
                <w:p w14:paraId="7612A777">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超标频率/%</w:t>
                  </w:r>
                </w:p>
              </w:tc>
              <w:tc>
                <w:tcPr>
                  <w:tcW w:w="790" w:type="dxa"/>
                  <w:vMerge w:val="restart"/>
                  <w:vAlign w:val="center"/>
                </w:tcPr>
                <w:p w14:paraId="00C8AA79">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达标情况</w:t>
                  </w:r>
                </w:p>
              </w:tc>
            </w:tr>
            <w:tr w14:paraId="0413E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3" w:type="dxa"/>
                  <w:vMerge w:val="continue"/>
                  <w:vAlign w:val="center"/>
                </w:tcPr>
                <w:p w14:paraId="68EF6AD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918" w:type="dxa"/>
                  <w:vMerge w:val="continue"/>
                  <w:vAlign w:val="center"/>
                </w:tcPr>
                <w:p w14:paraId="59F6FD7E">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c>
                <w:tcPr>
                  <w:tcW w:w="903" w:type="dxa"/>
                  <w:vMerge w:val="continue"/>
                  <w:vAlign w:val="center"/>
                </w:tcPr>
                <w:p w14:paraId="1BEEB196">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c>
                <w:tcPr>
                  <w:tcW w:w="1235" w:type="dxa"/>
                  <w:vMerge w:val="continue"/>
                  <w:vAlign w:val="center"/>
                </w:tcPr>
                <w:p w14:paraId="01CC6662">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c>
                <w:tcPr>
                  <w:tcW w:w="1258" w:type="dxa"/>
                  <w:vMerge w:val="continue"/>
                  <w:vAlign w:val="center"/>
                </w:tcPr>
                <w:p w14:paraId="1897AEC4">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c>
                <w:tcPr>
                  <w:tcW w:w="1188" w:type="dxa"/>
                  <w:vMerge w:val="continue"/>
                  <w:vAlign w:val="center"/>
                </w:tcPr>
                <w:p w14:paraId="713B57A7">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c>
                <w:tcPr>
                  <w:tcW w:w="750" w:type="dxa"/>
                  <w:vMerge w:val="continue"/>
                  <w:vAlign w:val="center"/>
                </w:tcPr>
                <w:p w14:paraId="2AD1C65C">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c>
                <w:tcPr>
                  <w:tcW w:w="790" w:type="dxa"/>
                  <w:vMerge w:val="continue"/>
                  <w:vAlign w:val="center"/>
                </w:tcPr>
                <w:p w14:paraId="2F7DB6F5">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p>
              </w:tc>
            </w:tr>
            <w:tr w14:paraId="1E353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3" w:type="dxa"/>
                  <w:vAlign w:val="center"/>
                </w:tcPr>
                <w:p w14:paraId="223AD7AC">
                  <w:pPr>
                    <w:keepNext w:val="0"/>
                    <w:keepLines w:val="0"/>
                    <w:suppressLineNumbers w:val="0"/>
                    <w:tabs>
                      <w:tab w:val="left" w:pos="0"/>
                    </w:tabs>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项目区下风向</w:t>
                  </w:r>
                </w:p>
              </w:tc>
              <w:tc>
                <w:tcPr>
                  <w:tcW w:w="918" w:type="dxa"/>
                  <w:vAlign w:val="center"/>
                </w:tcPr>
                <w:p w14:paraId="0C3FF9C2">
                  <w:pPr>
                    <w:pStyle w:val="92"/>
                    <w:keepNext w:val="0"/>
                    <w:keepLines w:val="0"/>
                    <w:suppressLineNumbers w:val="0"/>
                    <w:spacing w:before="0" w:beforeAutospacing="0" w:after="0" w:afterAutospacing="0" w:line="360" w:lineRule="exact"/>
                    <w:ind w:left="0" w:right="0" w:firstLine="0"/>
                    <w:jc w:val="center"/>
                    <w:rPr>
                      <w:rFonts w:hint="eastAsia" w:ascii="宋体" w:hAnsi="宋体" w:eastAsia="宋体" w:cs="宋体"/>
                      <w:color w:val="auto"/>
                      <w:szCs w:val="21"/>
                      <w:lang w:val="en-US" w:eastAsia="zh-CN"/>
                    </w:rPr>
                  </w:pPr>
                  <w:r>
                    <w:rPr>
                      <w:rFonts w:hint="eastAsia" w:ascii="宋体" w:hAnsi="宋体" w:eastAsia="宋体" w:cs="宋体"/>
                      <w:color w:val="auto"/>
                      <w:sz w:val="21"/>
                      <w:szCs w:val="21"/>
                      <w:lang w:val="en-US" w:eastAsia="zh-CN"/>
                    </w:rPr>
                    <w:t>非甲烷总烃</w:t>
                  </w:r>
                </w:p>
              </w:tc>
              <w:tc>
                <w:tcPr>
                  <w:tcW w:w="903" w:type="dxa"/>
                  <w:vAlign w:val="center"/>
                </w:tcPr>
                <w:p w14:paraId="4BD8DE4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1</w:t>
                  </w:r>
                  <w:r>
                    <w:rPr>
                      <w:rFonts w:hint="eastAsia" w:ascii="宋体" w:hAnsi="宋体" w:eastAsia="宋体" w:cs="宋体"/>
                      <w:color w:val="auto"/>
                      <w:szCs w:val="21"/>
                    </w:rPr>
                    <w:t>h平均</w:t>
                  </w:r>
                </w:p>
              </w:tc>
              <w:tc>
                <w:tcPr>
                  <w:tcW w:w="1235" w:type="dxa"/>
                  <w:vAlign w:val="center"/>
                </w:tcPr>
                <w:p w14:paraId="12C8AE53">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2</w:t>
                  </w:r>
                </w:p>
              </w:tc>
              <w:tc>
                <w:tcPr>
                  <w:tcW w:w="1258" w:type="dxa"/>
                  <w:vAlign w:val="center"/>
                </w:tcPr>
                <w:p w14:paraId="400F534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highlight w:val="yellow"/>
                      <w:lang w:val="en-US"/>
                    </w:rPr>
                  </w:pPr>
                  <w:r>
                    <w:rPr>
                      <w:rFonts w:hint="eastAsia" w:ascii="宋体" w:hAnsi="宋体" w:eastAsia="宋体" w:cs="宋体"/>
                      <w:color w:val="auto"/>
                    </w:rPr>
                    <w:t>0.</w:t>
                  </w:r>
                  <w:r>
                    <w:rPr>
                      <w:rFonts w:hint="eastAsia" w:ascii="宋体" w:hAnsi="宋体" w:eastAsia="宋体" w:cs="宋体"/>
                      <w:color w:val="auto"/>
                      <w:lang w:val="en-US" w:eastAsia="zh-CN"/>
                    </w:rPr>
                    <w:t>47</w:t>
                  </w:r>
                  <w:r>
                    <w:rPr>
                      <w:rFonts w:hint="eastAsia" w:ascii="宋体" w:hAnsi="宋体" w:eastAsia="宋体" w:cs="宋体"/>
                      <w:color w:val="auto"/>
                    </w:rPr>
                    <w:t>~0.</w:t>
                  </w:r>
                  <w:r>
                    <w:rPr>
                      <w:rFonts w:hint="eastAsia" w:ascii="宋体" w:hAnsi="宋体" w:eastAsia="宋体" w:cs="宋体"/>
                      <w:color w:val="auto"/>
                      <w:lang w:val="en-US" w:eastAsia="zh-CN"/>
                    </w:rPr>
                    <w:t>56</w:t>
                  </w:r>
                </w:p>
              </w:tc>
              <w:tc>
                <w:tcPr>
                  <w:tcW w:w="1188" w:type="dxa"/>
                  <w:vAlign w:val="center"/>
                </w:tcPr>
                <w:p w14:paraId="4BE12FA0">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lang w:val="en-US" w:eastAsia="zh-CN"/>
                    </w:rPr>
                    <w:t>28</w:t>
                  </w:r>
                </w:p>
              </w:tc>
              <w:tc>
                <w:tcPr>
                  <w:tcW w:w="750" w:type="dxa"/>
                  <w:vAlign w:val="center"/>
                </w:tcPr>
                <w:p w14:paraId="248FD2CB">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highlight w:val="yellow"/>
                    </w:rPr>
                  </w:pPr>
                  <w:r>
                    <w:rPr>
                      <w:rFonts w:hint="eastAsia" w:ascii="宋体" w:hAnsi="宋体" w:eastAsia="宋体" w:cs="宋体"/>
                      <w:color w:val="auto"/>
                      <w:sz w:val="21"/>
                      <w:szCs w:val="21"/>
                    </w:rPr>
                    <w:t>0</w:t>
                  </w:r>
                </w:p>
              </w:tc>
              <w:tc>
                <w:tcPr>
                  <w:tcW w:w="790" w:type="dxa"/>
                  <w:vAlign w:val="center"/>
                </w:tcPr>
                <w:p w14:paraId="3146E25D">
                  <w:pPr>
                    <w:pStyle w:val="93"/>
                    <w:keepNext w:val="0"/>
                    <w:keepLines w:val="0"/>
                    <w:suppressLineNumbers w:val="0"/>
                    <w:tabs>
                      <w:tab w:val="left" w:pos="0"/>
                    </w:tabs>
                    <w:spacing w:beforeAutospacing="0" w:afterAutospacing="0" w:line="360" w:lineRule="exact"/>
                    <w:ind w:left="0" w:right="0"/>
                    <w:rPr>
                      <w:rFonts w:hint="eastAsia" w:ascii="宋体" w:hAnsi="宋体" w:eastAsia="宋体" w:cs="宋体"/>
                      <w:color w:val="auto"/>
                      <w:sz w:val="21"/>
                      <w:szCs w:val="21"/>
                    </w:rPr>
                  </w:pPr>
                  <w:r>
                    <w:rPr>
                      <w:rFonts w:hint="eastAsia" w:ascii="宋体" w:hAnsi="宋体" w:eastAsia="宋体" w:cs="宋体"/>
                      <w:color w:val="auto"/>
                      <w:sz w:val="21"/>
                      <w:szCs w:val="21"/>
                    </w:rPr>
                    <w:t>达标</w:t>
                  </w:r>
                </w:p>
              </w:tc>
            </w:tr>
          </w:tbl>
          <w:p w14:paraId="4C5FF60F">
            <w:pPr>
              <w:keepNext w:val="0"/>
              <w:keepLines w:val="0"/>
              <w:suppressLineNumbers w:val="0"/>
              <w:tabs>
                <w:tab w:val="left" w:pos="180"/>
              </w:tabs>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由表</w:t>
            </w:r>
            <w:r>
              <w:rPr>
                <w:rFonts w:hint="eastAsia" w:ascii="宋体" w:hAnsi="宋体" w:eastAsia="宋体" w:cs="宋体"/>
                <w:color w:val="auto"/>
                <w:sz w:val="24"/>
                <w:lang w:val="en-US" w:eastAsia="zh-CN"/>
              </w:rPr>
              <w:t>3-5</w:t>
            </w:r>
            <w:r>
              <w:rPr>
                <w:rFonts w:hint="eastAsia" w:ascii="宋体" w:hAnsi="宋体" w:eastAsia="宋体" w:cs="宋体"/>
                <w:color w:val="auto"/>
                <w:sz w:val="24"/>
              </w:rPr>
              <w:t>可以看出，项目区特征污染物</w:t>
            </w:r>
            <w:r>
              <w:rPr>
                <w:rFonts w:hint="eastAsia" w:ascii="宋体" w:hAnsi="宋体" w:eastAsia="宋体" w:cs="宋体"/>
                <w:color w:val="auto"/>
                <w:sz w:val="24"/>
                <w:lang w:val="en-US" w:eastAsia="zh-CN"/>
              </w:rPr>
              <w:t>非甲烷总烃</w:t>
            </w:r>
            <w:r>
              <w:rPr>
                <w:rFonts w:hint="eastAsia" w:ascii="宋体" w:hAnsi="宋体" w:eastAsia="宋体" w:cs="宋体"/>
                <w:color w:val="auto"/>
                <w:sz w:val="24"/>
              </w:rPr>
              <w:t>环境质量现状满足</w:t>
            </w:r>
            <w:r>
              <w:rPr>
                <w:rFonts w:hint="eastAsia" w:ascii="宋体" w:hAnsi="宋体" w:eastAsia="宋体" w:cs="宋体"/>
                <w:color w:val="auto"/>
                <w:sz w:val="24"/>
                <w:lang w:val="en-US" w:eastAsia="zh-CN"/>
              </w:rPr>
              <w:t>河北省地方标准《环境空气质量非甲烷总烃限值》（DB13/2012）中二级标准</w:t>
            </w:r>
            <w:r>
              <w:rPr>
                <w:rFonts w:hint="eastAsia" w:ascii="宋体" w:hAnsi="宋体" w:eastAsia="宋体" w:cs="宋体"/>
                <w:color w:val="auto"/>
                <w:kern w:val="2"/>
                <w:sz w:val="24"/>
                <w:szCs w:val="21"/>
                <w:lang w:val="en-US" w:eastAsia="zh-CN" w:bidi="ar-SA"/>
              </w:rPr>
              <w:t>，</w:t>
            </w:r>
            <w:r>
              <w:rPr>
                <w:rFonts w:hint="eastAsia" w:ascii="宋体" w:hAnsi="宋体" w:eastAsia="宋体" w:cs="宋体"/>
                <w:color w:val="auto"/>
                <w:sz w:val="24"/>
              </w:rPr>
              <w:t>区域环境空气质量良好。</w:t>
            </w:r>
          </w:p>
          <w:p w14:paraId="03F9EC11">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2、声环境质量现状</w:t>
            </w:r>
          </w:p>
          <w:p w14:paraId="3043859E">
            <w:pPr>
              <w:keepNext w:val="0"/>
              <w:keepLines w:val="0"/>
              <w:pageBreakBefore w:val="0"/>
              <w:widowControl w:val="0"/>
              <w:suppressLineNumbers w:val="0"/>
              <w:tabs>
                <w:tab w:val="left" w:pos="180"/>
              </w:tabs>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eastAsia" w:ascii="宋体" w:hAnsi="宋体" w:eastAsia="宋体" w:cs="宋体"/>
                <w:color w:val="auto"/>
                <w:kern w:val="2"/>
                <w:sz w:val="24"/>
                <w:szCs w:val="24"/>
                <w:lang w:eastAsia="zh-CN"/>
              </w:rPr>
            </w:pPr>
            <w:r>
              <w:rPr>
                <w:rFonts w:hint="eastAsia" w:ascii="宋体" w:hAnsi="宋体" w:eastAsia="宋体" w:cs="宋体"/>
                <w:color w:val="auto"/>
                <w:kern w:val="2"/>
                <w:sz w:val="24"/>
                <w:szCs w:val="24"/>
                <w:highlight w:val="none"/>
                <w:lang w:eastAsia="zh-CN"/>
              </w:rPr>
              <w:t>本项目厂界</w:t>
            </w:r>
            <w:r>
              <w:rPr>
                <w:rFonts w:hint="eastAsia" w:ascii="宋体" w:hAnsi="宋体" w:eastAsia="宋体" w:cs="宋体"/>
                <w:color w:val="auto"/>
                <w:kern w:val="2"/>
                <w:sz w:val="24"/>
                <w:szCs w:val="24"/>
                <w:highlight w:val="none"/>
                <w:lang w:val="en-US" w:eastAsia="zh-CN"/>
              </w:rPr>
              <w:t>外50m范围内无声环境保护目标，按照</w:t>
            </w:r>
            <w:r>
              <w:rPr>
                <w:rFonts w:hint="eastAsia" w:ascii="宋体" w:hAnsi="宋体" w:eastAsia="宋体" w:cs="宋体"/>
                <w:color w:val="auto"/>
                <w:kern w:val="2"/>
                <w:sz w:val="24"/>
                <w:szCs w:val="24"/>
                <w:lang w:eastAsia="zh-CN" w:bidi="ar"/>
              </w:rPr>
              <w:t>《建设项目环境影响报告表编制技术指南（污染影响类）》（试行）中相关要求，不需调查声环境质量现状</w:t>
            </w:r>
            <w:r>
              <w:rPr>
                <w:rFonts w:hint="eastAsia" w:ascii="宋体" w:hAnsi="宋体" w:eastAsia="宋体" w:cs="宋体"/>
                <w:color w:val="auto"/>
                <w:kern w:val="2"/>
                <w:sz w:val="24"/>
                <w:szCs w:val="24"/>
                <w:lang w:eastAsia="zh-CN"/>
              </w:rPr>
              <w:t>。</w:t>
            </w:r>
          </w:p>
          <w:p w14:paraId="76E73D45">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3、地下水、土壤环境质量现状</w:t>
            </w:r>
          </w:p>
          <w:p w14:paraId="3D4D71D2">
            <w:pPr>
              <w:pStyle w:val="9"/>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依照《建设项目环境影响报告表编制技术指南（污染影响类）》（试行）“地下水、土壤环境原则上不开展环境质量现状调查。建设项目存在土壤、地下水污染途径的，应结合污染源、保护目标分布情况开展现状调查以留作背景值”。针对地下水环境保护目标，指南中给出的内容为：明确厂界外500m范围内的地下水集中式饮用水水源和热水、矿泉水、温泉等特殊地下水资源。</w:t>
            </w:r>
            <w:r>
              <w:rPr>
                <w:rFonts w:hint="eastAsia" w:ascii="宋体" w:hAnsi="宋体" w:eastAsia="宋体" w:cs="宋体"/>
                <w:color w:val="auto"/>
                <w:sz w:val="24"/>
                <w:szCs w:val="24"/>
                <w:lang w:val="en-US" w:eastAsia="zh-CN"/>
              </w:rPr>
              <w:t xml:space="preserve"> </w:t>
            </w:r>
          </w:p>
          <w:p w14:paraId="1144C482">
            <w:pPr>
              <w:keepNext w:val="0"/>
              <w:keepLines w:val="0"/>
              <w:suppressLineNumbers w:val="0"/>
              <w:autoSpaceDE/>
              <w:autoSpaceDN/>
              <w:spacing w:before="0" w:beforeAutospacing="0" w:after="0" w:afterAutospacing="0" w:line="360" w:lineRule="auto"/>
              <w:ind w:left="0" w:right="0" w:firstLine="480" w:firstLineChars="200"/>
              <w:jc w:val="both"/>
              <w:rPr>
                <w:rFonts w:hint="eastAsia" w:ascii="宋体" w:hAnsi="宋体" w:eastAsia="宋体" w:cs="宋体"/>
                <w:color w:val="auto"/>
                <w:kern w:val="0"/>
                <w:sz w:val="24"/>
              </w:rPr>
            </w:pPr>
            <w:r>
              <w:rPr>
                <w:rFonts w:hint="eastAsia" w:ascii="宋体" w:hAnsi="宋体" w:eastAsia="宋体" w:cs="宋体"/>
                <w:color w:val="auto"/>
                <w:sz w:val="24"/>
                <w:szCs w:val="24"/>
              </w:rPr>
              <w:t>经调查，本项目厂界外500m范围内不存在集中式饮用水水源和热水、矿泉水、温泉等特殊地下水资源</w:t>
            </w:r>
            <w:r>
              <w:rPr>
                <w:rFonts w:hint="eastAsia" w:ascii="宋体" w:hAnsi="宋体" w:eastAsia="宋体" w:cs="宋体"/>
                <w:color w:val="auto"/>
                <w:sz w:val="24"/>
                <w:szCs w:val="24"/>
                <w:lang w:eastAsia="zh-CN"/>
              </w:rPr>
              <w:t>。技改项目</w:t>
            </w:r>
            <w:r>
              <w:rPr>
                <w:rFonts w:hint="eastAsia" w:ascii="宋体" w:hAnsi="宋体" w:eastAsia="宋体" w:cs="宋体"/>
                <w:color w:val="auto"/>
                <w:kern w:val="0"/>
                <w:sz w:val="24"/>
                <w:lang w:val="en-US" w:eastAsia="zh-CN"/>
              </w:rPr>
              <w:t>不新增</w:t>
            </w:r>
            <w:r>
              <w:rPr>
                <w:rFonts w:hint="eastAsia" w:ascii="宋体" w:hAnsi="宋体" w:eastAsia="宋体" w:cs="宋体"/>
                <w:color w:val="auto"/>
                <w:kern w:val="0"/>
                <w:sz w:val="24"/>
                <w:szCs w:val="24"/>
                <w:lang w:val="en-US" w:eastAsia="zh-CN"/>
              </w:rPr>
              <w:t>地下水和土壤污染途径，因此本次评价</w:t>
            </w:r>
            <w:r>
              <w:rPr>
                <w:rFonts w:hint="eastAsia" w:ascii="宋体" w:hAnsi="宋体" w:eastAsia="宋体" w:cs="宋体"/>
                <w:color w:val="auto"/>
                <w:sz w:val="24"/>
                <w:szCs w:val="24"/>
              </w:rPr>
              <w:t>不开展地下水、土壤环境</w:t>
            </w:r>
            <w:r>
              <w:rPr>
                <w:rFonts w:hint="eastAsia" w:ascii="宋体" w:hAnsi="宋体" w:eastAsia="宋体" w:cs="宋体"/>
                <w:color w:val="auto"/>
                <w:sz w:val="24"/>
                <w:szCs w:val="24"/>
                <w:lang w:val="en-US" w:eastAsia="zh-CN"/>
              </w:rPr>
              <w:t>质量</w:t>
            </w:r>
            <w:r>
              <w:rPr>
                <w:rFonts w:hint="eastAsia" w:ascii="宋体" w:hAnsi="宋体" w:eastAsia="宋体" w:cs="宋体"/>
                <w:color w:val="auto"/>
                <w:sz w:val="24"/>
                <w:szCs w:val="24"/>
              </w:rPr>
              <w:t>现状</w:t>
            </w:r>
            <w:r>
              <w:rPr>
                <w:rFonts w:hint="eastAsia" w:ascii="宋体" w:hAnsi="宋体" w:eastAsia="宋体" w:cs="宋体"/>
                <w:color w:val="auto"/>
                <w:sz w:val="24"/>
                <w:szCs w:val="24"/>
                <w:lang w:val="en-US" w:eastAsia="zh-CN"/>
              </w:rPr>
              <w:t>调查</w:t>
            </w:r>
            <w:r>
              <w:rPr>
                <w:rFonts w:hint="eastAsia" w:ascii="宋体" w:hAnsi="宋体" w:eastAsia="宋体" w:cs="宋体"/>
                <w:color w:val="auto"/>
                <w:kern w:val="0"/>
                <w:sz w:val="24"/>
              </w:rPr>
              <w:t>。</w:t>
            </w:r>
          </w:p>
          <w:p w14:paraId="2F1C09D4">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4、生态环境质量现状</w:t>
            </w:r>
          </w:p>
          <w:p w14:paraId="6F0DC4E6">
            <w:pPr>
              <w:keepNext w:val="0"/>
              <w:keepLines w:val="0"/>
              <w:suppressLineNumbers w:val="0"/>
              <w:tabs>
                <w:tab w:val="left" w:pos="180"/>
              </w:tabs>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Cs w:val="21"/>
              </w:rPr>
            </w:pPr>
            <w:r>
              <w:rPr>
                <w:rFonts w:hint="eastAsia" w:ascii="宋体" w:hAnsi="宋体" w:eastAsia="宋体" w:cs="宋体"/>
                <w:color w:val="auto"/>
                <w:sz w:val="24"/>
                <w:szCs w:val="24"/>
                <w:lang w:val="en-US" w:eastAsia="zh-CN"/>
              </w:rPr>
              <w:t>本项目在现有厂区内实施技改，不新增占地，</w:t>
            </w:r>
            <w:r>
              <w:rPr>
                <w:rFonts w:hint="eastAsia" w:ascii="宋体" w:hAnsi="宋体" w:eastAsia="宋体" w:cs="宋体"/>
                <w:sz w:val="24"/>
                <w:lang w:val="en-US" w:eastAsia="zh-CN" w:bidi="en-US"/>
              </w:rPr>
              <w:t>用地范围内无生态环境保护目标，因此不需进行生态环境现状调查。</w:t>
            </w:r>
          </w:p>
        </w:tc>
      </w:tr>
      <w:tr w14:paraId="5C770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3" w:hRule="atLeast"/>
          <w:jc w:val="center"/>
        </w:trPr>
        <w:tc>
          <w:tcPr>
            <w:tcW w:w="757" w:type="dxa"/>
            <w:vAlign w:val="center"/>
          </w:tcPr>
          <w:p w14:paraId="61E3759E">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环境保护目标</w:t>
            </w:r>
          </w:p>
        </w:tc>
        <w:tc>
          <w:tcPr>
            <w:tcW w:w="8375" w:type="dxa"/>
            <w:vAlign w:val="center"/>
          </w:tcPr>
          <w:p w14:paraId="02363F9E">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宋体" w:hAnsi="宋体" w:eastAsia="宋体" w:cs="宋体"/>
                <w:bCs/>
                <w:color w:val="auto"/>
                <w:sz w:val="24"/>
              </w:rPr>
            </w:pPr>
            <w:r>
              <w:rPr>
                <w:rFonts w:hint="eastAsia" w:ascii="宋体" w:hAnsi="宋体" w:eastAsia="宋体" w:cs="宋体"/>
                <w:bCs/>
                <w:color w:val="auto"/>
                <w:sz w:val="24"/>
              </w:rPr>
              <w:t>本项目主要环境保护目标及要求如下：</w:t>
            </w:r>
          </w:p>
          <w:p w14:paraId="1E369C49">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宋体" w:hAnsi="宋体" w:eastAsia="宋体" w:cs="宋体"/>
                <w:bCs/>
                <w:color w:val="auto"/>
                <w:sz w:val="24"/>
              </w:rPr>
            </w:pPr>
            <w:r>
              <w:rPr>
                <w:rFonts w:hint="eastAsia" w:ascii="宋体" w:hAnsi="宋体" w:eastAsia="宋体" w:cs="宋体"/>
                <w:bCs/>
                <w:color w:val="auto"/>
                <w:sz w:val="24"/>
              </w:rPr>
              <w:t>①环境空气评价范围为厂界外500m范围内，环境空气质量应符合《环境空气质量标准》（GB3095-2012）中的二级标准；</w:t>
            </w:r>
          </w:p>
          <w:p w14:paraId="0344942A">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ascii="宋体" w:hAnsi="宋体" w:eastAsia="宋体" w:cs="宋体"/>
                <w:bCs/>
                <w:color w:val="auto"/>
                <w:sz w:val="24"/>
              </w:rPr>
            </w:pPr>
            <w:r>
              <w:rPr>
                <w:rFonts w:hint="eastAsia" w:ascii="宋体" w:hAnsi="宋体" w:eastAsia="宋体" w:cs="宋体"/>
                <w:bCs/>
                <w:color w:val="auto"/>
                <w:sz w:val="24"/>
              </w:rPr>
              <w:t>②声环境评价范围为厂界外50m范围内，环境噪声应符合《声环境质量标准》（GB3096-2008）中的2类标准。</w:t>
            </w:r>
          </w:p>
          <w:p w14:paraId="3DD3F0F6">
            <w:pPr>
              <w:keepNext w:val="0"/>
              <w:keepLines w:val="0"/>
              <w:suppressLineNumbers w:val="0"/>
              <w:spacing w:before="0" w:beforeAutospacing="0" w:after="0" w:afterAutospacing="0" w:line="360" w:lineRule="auto"/>
              <w:ind w:left="0" w:right="0"/>
              <w:jc w:val="center"/>
              <w:rPr>
                <w:rFonts w:hint="eastAsia" w:ascii="宋体" w:hAnsi="宋体" w:eastAsia="宋体" w:cs="宋体"/>
                <w:bCs/>
                <w:color w:val="auto"/>
                <w:sz w:val="24"/>
              </w:rPr>
            </w:pPr>
            <w:r>
              <w:rPr>
                <w:rFonts w:hint="eastAsia" w:ascii="宋体" w:hAnsi="宋体" w:eastAsia="宋体" w:cs="宋体"/>
                <w:bCs/>
                <w:color w:val="auto"/>
                <w:sz w:val="24"/>
              </w:rPr>
              <w:t>主要环境保护目标见表</w:t>
            </w:r>
            <w:r>
              <w:rPr>
                <w:rFonts w:hint="eastAsia" w:ascii="宋体" w:hAnsi="宋体" w:eastAsia="宋体" w:cs="宋体"/>
                <w:bCs/>
                <w:color w:val="auto"/>
                <w:sz w:val="24"/>
                <w:lang w:val="en-US" w:eastAsia="zh-CN"/>
              </w:rPr>
              <w:t>3-6</w:t>
            </w:r>
            <w:r>
              <w:rPr>
                <w:rFonts w:hint="eastAsia" w:ascii="宋体" w:hAnsi="宋体" w:eastAsia="宋体" w:cs="宋体"/>
                <w:bCs/>
                <w:color w:val="auto"/>
                <w:sz w:val="24"/>
              </w:rPr>
              <w:t>、项目评价范围及保护目标分布图见附图。</w:t>
            </w:r>
          </w:p>
          <w:p w14:paraId="6C97CDAA">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3-6</w:t>
            </w:r>
            <w:r>
              <w:rPr>
                <w:rFonts w:hint="eastAsia" w:ascii="宋体" w:hAnsi="宋体" w:eastAsia="宋体" w:cs="宋体"/>
                <w:b/>
                <w:bCs/>
                <w:color w:val="auto"/>
                <w:sz w:val="24"/>
              </w:rPr>
              <w:t xml:space="preserve"> 项目主要保护目标一览表</w:t>
            </w:r>
          </w:p>
          <w:tbl>
            <w:tblPr>
              <w:tblStyle w:val="26"/>
              <w:tblW w:w="81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
              <w:gridCol w:w="708"/>
              <w:gridCol w:w="1004"/>
              <w:gridCol w:w="946"/>
              <w:gridCol w:w="657"/>
              <w:gridCol w:w="797"/>
              <w:gridCol w:w="1350"/>
              <w:gridCol w:w="888"/>
              <w:gridCol w:w="980"/>
            </w:tblGrid>
            <w:tr w14:paraId="3F41D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801" w:type="dxa"/>
                  <w:vMerge w:val="restart"/>
                  <w:vAlign w:val="center"/>
                </w:tcPr>
                <w:p w14:paraId="25D073A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环境</w:t>
                  </w:r>
                </w:p>
                <w:p w14:paraId="1C1B20B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要素</w:t>
                  </w:r>
                </w:p>
              </w:tc>
              <w:tc>
                <w:tcPr>
                  <w:tcW w:w="708" w:type="dxa"/>
                  <w:vMerge w:val="restart"/>
                  <w:vAlign w:val="center"/>
                </w:tcPr>
                <w:p w14:paraId="39AE88CB">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名称</w:t>
                  </w:r>
                </w:p>
              </w:tc>
              <w:tc>
                <w:tcPr>
                  <w:tcW w:w="1950" w:type="dxa"/>
                  <w:gridSpan w:val="2"/>
                  <w:vAlign w:val="center"/>
                </w:tcPr>
                <w:p w14:paraId="6247C509">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坐标</w:t>
                  </w:r>
                </w:p>
              </w:tc>
              <w:tc>
                <w:tcPr>
                  <w:tcW w:w="657" w:type="dxa"/>
                  <w:vMerge w:val="restart"/>
                  <w:vAlign w:val="center"/>
                </w:tcPr>
                <w:p w14:paraId="70D476B0">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保护内容</w:t>
                  </w:r>
                </w:p>
              </w:tc>
              <w:tc>
                <w:tcPr>
                  <w:tcW w:w="797" w:type="dxa"/>
                  <w:vMerge w:val="restart"/>
                  <w:vAlign w:val="center"/>
                </w:tcPr>
                <w:p w14:paraId="14E52899">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户数、人口</w:t>
                  </w:r>
                </w:p>
              </w:tc>
              <w:tc>
                <w:tcPr>
                  <w:tcW w:w="1350" w:type="dxa"/>
                  <w:vMerge w:val="restart"/>
                  <w:vAlign w:val="center"/>
                </w:tcPr>
                <w:p w14:paraId="174036B9">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环境功能区</w:t>
                  </w:r>
                </w:p>
              </w:tc>
              <w:tc>
                <w:tcPr>
                  <w:tcW w:w="888" w:type="dxa"/>
                  <w:vMerge w:val="restart"/>
                  <w:vAlign w:val="center"/>
                </w:tcPr>
                <w:p w14:paraId="098F3DE8">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相对厂址方位</w:t>
                  </w:r>
                </w:p>
              </w:tc>
              <w:tc>
                <w:tcPr>
                  <w:tcW w:w="980" w:type="dxa"/>
                  <w:vMerge w:val="restart"/>
                  <w:vAlign w:val="center"/>
                </w:tcPr>
                <w:p w14:paraId="2121D512">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相对厂界距离/m</w:t>
                  </w:r>
                </w:p>
              </w:tc>
            </w:tr>
            <w:tr w14:paraId="452CF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801" w:type="dxa"/>
                  <w:vMerge w:val="continue"/>
                  <w:vAlign w:val="center"/>
                </w:tcPr>
                <w:p w14:paraId="6883C5CB">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c>
                <w:tcPr>
                  <w:tcW w:w="708" w:type="dxa"/>
                  <w:vMerge w:val="continue"/>
                  <w:vAlign w:val="center"/>
                </w:tcPr>
                <w:p w14:paraId="1D41866D">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c>
                <w:tcPr>
                  <w:tcW w:w="1004" w:type="dxa"/>
                  <w:vAlign w:val="center"/>
                </w:tcPr>
                <w:p w14:paraId="73FF9632">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X</w:t>
                  </w:r>
                </w:p>
              </w:tc>
              <w:tc>
                <w:tcPr>
                  <w:tcW w:w="946" w:type="dxa"/>
                  <w:vAlign w:val="center"/>
                </w:tcPr>
                <w:p w14:paraId="6DE84D3A">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Y</w:t>
                  </w:r>
                </w:p>
              </w:tc>
              <w:tc>
                <w:tcPr>
                  <w:tcW w:w="657" w:type="dxa"/>
                  <w:vMerge w:val="continue"/>
                  <w:vAlign w:val="center"/>
                </w:tcPr>
                <w:p w14:paraId="3744BA12">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c>
                <w:tcPr>
                  <w:tcW w:w="797" w:type="dxa"/>
                  <w:vMerge w:val="continue"/>
                  <w:vAlign w:val="center"/>
                </w:tcPr>
                <w:p w14:paraId="7754EFC5">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c>
                <w:tcPr>
                  <w:tcW w:w="1350" w:type="dxa"/>
                  <w:vMerge w:val="continue"/>
                  <w:vAlign w:val="center"/>
                </w:tcPr>
                <w:p w14:paraId="5B823E7E">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c>
                <w:tcPr>
                  <w:tcW w:w="888" w:type="dxa"/>
                  <w:vMerge w:val="continue"/>
                  <w:vAlign w:val="center"/>
                </w:tcPr>
                <w:p w14:paraId="28A55341">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c>
                <w:tcPr>
                  <w:tcW w:w="980" w:type="dxa"/>
                  <w:vMerge w:val="continue"/>
                  <w:vAlign w:val="center"/>
                </w:tcPr>
                <w:p w14:paraId="266EB919">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p>
              </w:tc>
            </w:tr>
            <w:tr w14:paraId="0462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trPr>
              <w:tc>
                <w:tcPr>
                  <w:tcW w:w="801" w:type="dxa"/>
                  <w:shd w:val="clear" w:color="auto" w:fill="auto"/>
                  <w:vAlign w:val="center"/>
                </w:tcPr>
                <w:p w14:paraId="26EEEB1B">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大气环境</w:t>
                  </w:r>
                </w:p>
              </w:tc>
              <w:tc>
                <w:tcPr>
                  <w:tcW w:w="4112" w:type="dxa"/>
                  <w:gridSpan w:val="5"/>
                  <w:shd w:val="clear" w:color="auto" w:fill="auto"/>
                  <w:vAlign w:val="center"/>
                </w:tcPr>
                <w:p w14:paraId="7502A39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kern w:val="2"/>
                      <w:sz w:val="21"/>
                      <w:szCs w:val="21"/>
                      <w:lang w:eastAsia="zh-CN"/>
                    </w:rPr>
                    <w:t>厂界外500m范围内无大气环境敏感目标</w:t>
                  </w:r>
                </w:p>
              </w:tc>
              <w:tc>
                <w:tcPr>
                  <w:tcW w:w="1350" w:type="dxa"/>
                  <w:shd w:val="clear" w:color="auto" w:fill="auto"/>
                  <w:vAlign w:val="center"/>
                </w:tcPr>
                <w:p w14:paraId="6ED97A7A">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二类环境空气功能区</w:t>
                  </w:r>
                </w:p>
              </w:tc>
              <w:tc>
                <w:tcPr>
                  <w:tcW w:w="888" w:type="dxa"/>
                  <w:shd w:val="clear" w:color="auto" w:fill="auto"/>
                  <w:vAlign w:val="center"/>
                </w:tcPr>
                <w:p w14:paraId="758301D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980" w:type="dxa"/>
                  <w:vAlign w:val="center"/>
                </w:tcPr>
                <w:p w14:paraId="391E446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r>
            <w:tr w14:paraId="716B1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801" w:type="dxa"/>
                  <w:vAlign w:val="center"/>
                </w:tcPr>
                <w:p w14:paraId="0E958E8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声环境</w:t>
                  </w:r>
                </w:p>
              </w:tc>
              <w:tc>
                <w:tcPr>
                  <w:tcW w:w="4112" w:type="dxa"/>
                  <w:gridSpan w:val="5"/>
                  <w:vAlign w:val="center"/>
                </w:tcPr>
                <w:p w14:paraId="0F5DC78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厂界外50m范围内无声环境保护目标</w:t>
                  </w:r>
                </w:p>
              </w:tc>
              <w:tc>
                <w:tcPr>
                  <w:tcW w:w="1350" w:type="dxa"/>
                  <w:vAlign w:val="center"/>
                </w:tcPr>
                <w:p w14:paraId="64A3F91D">
                  <w:pPr>
                    <w:pStyle w:val="82"/>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2类声环境功能区</w:t>
                  </w:r>
                </w:p>
              </w:tc>
              <w:tc>
                <w:tcPr>
                  <w:tcW w:w="888" w:type="dxa"/>
                  <w:vAlign w:val="center"/>
                </w:tcPr>
                <w:p w14:paraId="1D569F7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980" w:type="dxa"/>
                  <w:vAlign w:val="center"/>
                </w:tcPr>
                <w:p w14:paraId="4812B23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r>
            <w:tr w14:paraId="6505D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801" w:type="dxa"/>
                  <w:vAlign w:val="center"/>
                </w:tcPr>
                <w:p w14:paraId="31C5ACCC">
                  <w:pPr>
                    <w:pStyle w:val="82"/>
                    <w:keepNext w:val="0"/>
                    <w:keepLines w:val="0"/>
                    <w:suppressLineNumbers w:val="0"/>
                    <w:autoSpaceDE/>
                    <w:autoSpaceDN/>
                    <w:spacing w:before="0" w:beforeAutospacing="0" w:after="0" w:afterAutospacing="0" w:line="360" w:lineRule="exact"/>
                    <w:ind w:left="0" w:leftChars="0" w:right="0" w:rightChars="0" w:firstLine="0" w:firstLineChars="0"/>
                    <w:jc w:val="center"/>
                    <w:rPr>
                      <w:rFonts w:hint="eastAsia" w:ascii="宋体" w:hAnsi="宋体" w:eastAsia="宋体" w:cs="宋体"/>
                      <w:color w:val="auto"/>
                      <w:szCs w:val="21"/>
                    </w:rPr>
                  </w:pPr>
                  <w:r>
                    <w:rPr>
                      <w:rFonts w:hint="eastAsia" w:ascii="宋体" w:hAnsi="宋体" w:eastAsia="宋体" w:cs="宋体"/>
                      <w:color w:val="auto"/>
                      <w:sz w:val="21"/>
                      <w:szCs w:val="21"/>
                    </w:rPr>
                    <w:t>地下水环境</w:t>
                  </w:r>
                </w:p>
              </w:tc>
              <w:tc>
                <w:tcPr>
                  <w:tcW w:w="4112" w:type="dxa"/>
                  <w:gridSpan w:val="5"/>
                  <w:vAlign w:val="center"/>
                </w:tcPr>
                <w:p w14:paraId="77939E10">
                  <w:pPr>
                    <w:keepNext w:val="0"/>
                    <w:keepLines w:val="0"/>
                    <w:suppressLineNumbers w:val="0"/>
                    <w:autoSpaceDE/>
                    <w:autoSpaceDN/>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color w:val="auto"/>
                      <w:kern w:val="2"/>
                      <w:sz w:val="21"/>
                      <w:szCs w:val="21"/>
                      <w:lang w:eastAsia="zh-CN"/>
                    </w:rPr>
                    <w:t>项目厂界外500米范围内无地下水集中式饮用水水源和热水、矿泉水、温泉等特殊地下水资源</w:t>
                  </w:r>
                </w:p>
              </w:tc>
              <w:tc>
                <w:tcPr>
                  <w:tcW w:w="1350" w:type="dxa"/>
                  <w:vAlign w:val="center"/>
                </w:tcPr>
                <w:p w14:paraId="39AC6D71">
                  <w:pPr>
                    <w:pStyle w:val="82"/>
                    <w:keepNext w:val="0"/>
                    <w:keepLines w:val="0"/>
                    <w:suppressLineNumbers w:val="0"/>
                    <w:autoSpaceDE/>
                    <w:autoSpaceDN/>
                    <w:spacing w:before="0" w:beforeAutospacing="0" w:after="0" w:afterAutospacing="0" w:line="360" w:lineRule="exact"/>
                    <w:ind w:left="0" w:leftChars="0" w:right="0" w:rightChars="0" w:firstLine="0" w:firstLineChars="0"/>
                    <w:jc w:val="center"/>
                    <w:rPr>
                      <w:rFonts w:hint="eastAsia" w:ascii="宋体" w:hAnsi="宋体" w:eastAsia="宋体" w:cs="宋体"/>
                      <w:color w:val="auto"/>
                      <w:sz w:val="21"/>
                      <w:szCs w:val="21"/>
                    </w:rPr>
                  </w:pPr>
                  <w:r>
                    <w:rPr>
                      <w:rFonts w:hint="eastAsia" w:ascii="宋体" w:hAnsi="宋体" w:eastAsia="宋体" w:cs="宋体"/>
                      <w:bCs/>
                      <w:color w:val="auto"/>
                      <w:sz w:val="21"/>
                      <w:szCs w:val="21"/>
                    </w:rPr>
                    <w:t>Ⅲ类水质标准</w:t>
                  </w:r>
                </w:p>
              </w:tc>
              <w:tc>
                <w:tcPr>
                  <w:tcW w:w="888" w:type="dxa"/>
                  <w:vAlign w:val="center"/>
                </w:tcPr>
                <w:p w14:paraId="03ED05C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980" w:type="dxa"/>
                  <w:vAlign w:val="center"/>
                </w:tcPr>
                <w:p w14:paraId="044BB00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r>
            <w:tr w14:paraId="78C9E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1" w:hRule="atLeast"/>
              </w:trPr>
              <w:tc>
                <w:tcPr>
                  <w:tcW w:w="801" w:type="dxa"/>
                  <w:vAlign w:val="center"/>
                </w:tcPr>
                <w:p w14:paraId="6F55C95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生态环境</w:t>
                  </w:r>
                </w:p>
              </w:tc>
              <w:tc>
                <w:tcPr>
                  <w:tcW w:w="4112" w:type="dxa"/>
                  <w:gridSpan w:val="5"/>
                  <w:vAlign w:val="center"/>
                </w:tcPr>
                <w:p w14:paraId="10DB01FC">
                  <w:pPr>
                    <w:keepNext w:val="0"/>
                    <w:keepLines w:val="0"/>
                    <w:widowControl/>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kern w:val="2"/>
                      <w:sz w:val="21"/>
                      <w:szCs w:val="21"/>
                      <w:lang w:eastAsia="zh-CN"/>
                    </w:rPr>
                    <w:t>用地范围内无重要物种、生态敏感区以及其他需要保护的物种种群、生物群落及生态空间等生态保护目</w:t>
                  </w:r>
                  <w:r>
                    <w:rPr>
                      <w:rFonts w:hint="eastAsia" w:ascii="宋体" w:hAnsi="宋体" w:eastAsia="宋体" w:cs="宋体"/>
                      <w:color w:val="auto"/>
                      <w:kern w:val="2"/>
                      <w:sz w:val="21"/>
                      <w:szCs w:val="21"/>
                      <w:highlight w:val="none"/>
                      <w:lang w:eastAsia="zh-CN"/>
                    </w:rPr>
                    <w:t>标，</w:t>
                  </w:r>
                  <w:r>
                    <w:rPr>
                      <w:rFonts w:hint="eastAsia" w:ascii="宋体" w:hAnsi="宋体" w:eastAsia="宋体" w:cs="宋体"/>
                      <w:color w:val="auto"/>
                      <w:kern w:val="2"/>
                      <w:sz w:val="21"/>
                      <w:szCs w:val="21"/>
                      <w:highlight w:val="none"/>
                      <w:lang w:val="en-US" w:eastAsia="zh-CN"/>
                    </w:rPr>
                    <w:t>主要为项目占地范围内的植被、野生动物等</w:t>
                  </w:r>
                </w:p>
              </w:tc>
              <w:tc>
                <w:tcPr>
                  <w:tcW w:w="3218" w:type="dxa"/>
                  <w:gridSpan w:val="3"/>
                  <w:vAlign w:val="center"/>
                </w:tcPr>
                <w:p w14:paraId="1A755424">
                  <w:pPr>
                    <w:pStyle w:val="90"/>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w:t>
                  </w:r>
                </w:p>
              </w:tc>
            </w:tr>
          </w:tbl>
          <w:p w14:paraId="54058673">
            <w:pPr>
              <w:keepNext w:val="0"/>
              <w:keepLines w:val="0"/>
              <w:suppressLineNumbers w:val="0"/>
              <w:spacing w:before="0" w:beforeAutospacing="0" w:after="0" w:afterAutospacing="0"/>
              <w:ind w:left="0" w:right="0"/>
              <w:rPr>
                <w:rFonts w:hint="eastAsia" w:ascii="宋体" w:hAnsi="宋体" w:eastAsia="宋体" w:cs="宋体"/>
                <w:color w:val="auto"/>
                <w:szCs w:val="21"/>
              </w:rPr>
            </w:pPr>
          </w:p>
        </w:tc>
      </w:tr>
      <w:tr w14:paraId="1E7FC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7" w:type="dxa"/>
            <w:vAlign w:val="center"/>
          </w:tcPr>
          <w:p w14:paraId="3776F7E3">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bCs/>
                <w:color w:val="auto"/>
                <w:sz w:val="24"/>
              </w:rPr>
              <w:t>污染物排放控制标准</w:t>
            </w:r>
          </w:p>
        </w:tc>
        <w:tc>
          <w:tcPr>
            <w:tcW w:w="8375" w:type="dxa"/>
            <w:vAlign w:val="center"/>
          </w:tcPr>
          <w:p w14:paraId="79ECC674">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1、大气污染物排放标准</w:t>
            </w:r>
          </w:p>
          <w:p w14:paraId="7BF4A55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sz w:val="24"/>
              </w:rPr>
            </w:pPr>
            <w:r>
              <w:rPr>
                <w:rFonts w:hint="eastAsia" w:ascii="宋体" w:hAnsi="宋体" w:eastAsia="宋体" w:cs="宋体"/>
                <w:color w:val="auto"/>
                <w:sz w:val="24"/>
              </w:rPr>
              <w:t>本项目新建</w:t>
            </w:r>
            <w:r>
              <w:rPr>
                <w:rFonts w:hint="eastAsia" w:ascii="宋体" w:hAnsi="宋体" w:eastAsia="宋体" w:cs="宋体"/>
                <w:color w:val="auto"/>
                <w:sz w:val="24"/>
                <w:lang w:val="en-US" w:eastAsia="zh-CN"/>
              </w:rPr>
              <w:t>燃油</w:t>
            </w:r>
            <w:r>
              <w:rPr>
                <w:rFonts w:hint="eastAsia" w:ascii="宋体" w:hAnsi="宋体" w:eastAsia="宋体" w:cs="宋体"/>
                <w:color w:val="auto"/>
                <w:sz w:val="24"/>
              </w:rPr>
              <w:t>锅炉</w:t>
            </w:r>
            <w:r>
              <w:rPr>
                <w:rFonts w:hint="eastAsia" w:ascii="宋体" w:hAnsi="宋体" w:eastAsia="宋体" w:cs="宋体"/>
                <w:color w:val="auto"/>
                <w:sz w:val="24"/>
                <w:lang w:val="en-US" w:eastAsia="zh-CN"/>
              </w:rPr>
              <w:t>和燃油蒸汽发生器</w:t>
            </w:r>
            <w:r>
              <w:rPr>
                <w:rFonts w:hint="eastAsia" w:ascii="宋体" w:hAnsi="宋体" w:eastAsia="宋体" w:cs="宋体"/>
                <w:color w:val="auto"/>
                <w:sz w:val="24"/>
              </w:rPr>
              <w:t>烟气</w:t>
            </w:r>
            <w:r>
              <w:rPr>
                <w:rFonts w:hint="eastAsia" w:ascii="宋体" w:hAnsi="宋体" w:eastAsia="宋体" w:cs="宋体"/>
                <w:color w:val="auto"/>
                <w:sz w:val="24"/>
                <w:lang w:val="en-US" w:eastAsia="zh-CN"/>
              </w:rPr>
              <w:t>中</w:t>
            </w:r>
            <w:r>
              <w:rPr>
                <w:rFonts w:hint="eastAsia" w:ascii="宋体" w:hAnsi="宋体" w:eastAsia="宋体" w:cs="宋体"/>
                <w:color w:val="auto"/>
                <w:sz w:val="24"/>
              </w:rPr>
              <w:t>NOx、SO</w:t>
            </w:r>
            <w:r>
              <w:rPr>
                <w:rFonts w:hint="eastAsia" w:ascii="宋体" w:hAnsi="宋体" w:eastAsia="宋体" w:cs="宋体"/>
                <w:color w:val="auto"/>
                <w:sz w:val="24"/>
                <w:vertAlign w:val="subscript"/>
              </w:rPr>
              <w:t>2</w:t>
            </w:r>
            <w:r>
              <w:rPr>
                <w:rFonts w:hint="eastAsia" w:ascii="宋体" w:hAnsi="宋体" w:eastAsia="宋体" w:cs="宋体"/>
                <w:color w:val="auto"/>
                <w:sz w:val="24"/>
              </w:rPr>
              <w:t>、颗粒物、烟气黑度排放</w:t>
            </w:r>
            <w:r>
              <w:rPr>
                <w:rFonts w:hint="eastAsia" w:ascii="宋体" w:hAnsi="宋体" w:eastAsia="宋体" w:cs="宋体"/>
                <w:color w:val="auto"/>
                <w:sz w:val="24"/>
                <w:lang w:val="en-US" w:eastAsia="zh-CN"/>
              </w:rPr>
              <w:t>浓度</w:t>
            </w:r>
            <w:r>
              <w:rPr>
                <w:rFonts w:hint="eastAsia" w:ascii="宋体" w:hAnsi="宋体" w:eastAsia="宋体" w:cs="宋体"/>
                <w:color w:val="auto"/>
                <w:sz w:val="24"/>
              </w:rPr>
              <w:t>执行</w:t>
            </w:r>
            <w:bookmarkStart w:id="7" w:name="OLE_LINK5"/>
            <w:r>
              <w:rPr>
                <w:rFonts w:hint="eastAsia" w:ascii="宋体" w:hAnsi="宋体" w:eastAsia="宋体" w:cs="宋体"/>
                <w:color w:val="auto"/>
                <w:sz w:val="24"/>
              </w:rPr>
              <w:t>《锅炉大气污染物排放标准》（GB13271-2014）</w:t>
            </w:r>
            <w:bookmarkEnd w:id="7"/>
            <w:r>
              <w:rPr>
                <w:rFonts w:hint="eastAsia" w:ascii="宋体" w:hAnsi="宋体" w:eastAsia="宋体" w:cs="宋体"/>
                <w:color w:val="auto"/>
                <w:sz w:val="24"/>
              </w:rPr>
              <w:t>表2新建锅炉大气污染物排放浓度限值中燃</w:t>
            </w:r>
            <w:r>
              <w:rPr>
                <w:rFonts w:hint="eastAsia" w:ascii="宋体" w:hAnsi="宋体" w:eastAsia="宋体" w:cs="宋体"/>
                <w:color w:val="auto"/>
                <w:sz w:val="24"/>
                <w:lang w:val="en-US" w:eastAsia="zh-CN"/>
              </w:rPr>
              <w:t>油</w:t>
            </w:r>
            <w:r>
              <w:rPr>
                <w:rFonts w:hint="eastAsia" w:ascii="宋体" w:hAnsi="宋体" w:eastAsia="宋体" w:cs="宋体"/>
                <w:color w:val="auto"/>
                <w:sz w:val="24"/>
              </w:rPr>
              <w:t>锅炉的排放浓度限值，具体见表</w:t>
            </w:r>
            <w:r>
              <w:rPr>
                <w:rFonts w:hint="eastAsia" w:ascii="宋体" w:hAnsi="宋体" w:eastAsia="宋体" w:cs="宋体"/>
                <w:color w:val="auto"/>
                <w:sz w:val="24"/>
                <w:lang w:val="en-US" w:eastAsia="zh-CN"/>
              </w:rPr>
              <w:t>3-7</w:t>
            </w:r>
            <w:r>
              <w:rPr>
                <w:rFonts w:hint="eastAsia" w:ascii="宋体" w:hAnsi="宋体" w:eastAsia="宋体" w:cs="宋体"/>
                <w:color w:val="auto"/>
                <w:sz w:val="24"/>
              </w:rPr>
              <w:t>。</w:t>
            </w:r>
          </w:p>
          <w:p w14:paraId="559B8F0A">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3-7</w:t>
            </w:r>
            <w:r>
              <w:rPr>
                <w:rFonts w:hint="eastAsia" w:ascii="宋体" w:hAnsi="宋体" w:eastAsia="宋体" w:cs="宋体"/>
                <w:b/>
                <w:bCs/>
                <w:color w:val="auto"/>
                <w:sz w:val="24"/>
              </w:rPr>
              <w:t xml:space="preserve"> 《锅炉大气污染物排放标准》（GB13271-2014）</w:t>
            </w:r>
          </w:p>
          <w:tbl>
            <w:tblPr>
              <w:tblStyle w:val="26"/>
              <w:tblW w:w="81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2"/>
              <w:gridCol w:w="1611"/>
              <w:gridCol w:w="2126"/>
              <w:gridCol w:w="1684"/>
              <w:gridCol w:w="1223"/>
            </w:tblGrid>
            <w:tr w14:paraId="27154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jc w:val="center"/>
              </w:trPr>
              <w:tc>
                <w:tcPr>
                  <w:tcW w:w="1512" w:type="dxa"/>
                  <w:tcBorders>
                    <w:tl2br w:val="nil"/>
                    <w:tr2bl w:val="nil"/>
                  </w:tcBorders>
                  <w:vAlign w:val="center"/>
                </w:tcPr>
                <w:p w14:paraId="4EF977DC">
                  <w:pPr>
                    <w:pStyle w:val="61"/>
                    <w:keepNext w:val="0"/>
                    <w:keepLines w:val="0"/>
                    <w:suppressLineNumbers w:val="0"/>
                    <w:spacing w:before="0" w:beforeAutospacing="0" w:after="0" w:afterAutospacing="0" w:line="360" w:lineRule="exact"/>
                    <w:ind w:left="0" w:right="0"/>
                    <w:rPr>
                      <w:rFonts w:hint="eastAsia" w:ascii="宋体" w:hAnsi="宋体" w:eastAsia="宋体" w:cs="宋体"/>
                      <w:b w:val="0"/>
                      <w:bCs/>
                      <w:color w:val="auto"/>
                      <w:spacing w:val="0"/>
                      <w:szCs w:val="21"/>
                    </w:rPr>
                  </w:pPr>
                  <w:r>
                    <w:rPr>
                      <w:rFonts w:hint="eastAsia" w:ascii="宋体" w:hAnsi="宋体" w:eastAsia="宋体" w:cs="宋体"/>
                      <w:b w:val="0"/>
                      <w:bCs/>
                      <w:color w:val="auto"/>
                      <w:spacing w:val="0"/>
                      <w:szCs w:val="21"/>
                    </w:rPr>
                    <w:t>污染物项目</w:t>
                  </w:r>
                </w:p>
              </w:tc>
              <w:tc>
                <w:tcPr>
                  <w:tcW w:w="1611" w:type="dxa"/>
                  <w:tcBorders>
                    <w:tl2br w:val="nil"/>
                    <w:tr2bl w:val="nil"/>
                  </w:tcBorders>
                  <w:vAlign w:val="center"/>
                </w:tcPr>
                <w:p w14:paraId="7F4196B9">
                  <w:pPr>
                    <w:pStyle w:val="61"/>
                    <w:keepNext w:val="0"/>
                    <w:keepLines w:val="0"/>
                    <w:suppressLineNumbers w:val="0"/>
                    <w:spacing w:before="0" w:beforeAutospacing="0" w:after="0" w:afterAutospacing="0" w:line="360" w:lineRule="exact"/>
                    <w:ind w:left="0" w:right="0"/>
                    <w:rPr>
                      <w:rFonts w:hint="eastAsia" w:ascii="宋体" w:hAnsi="宋体" w:eastAsia="宋体" w:cs="宋体"/>
                      <w:b w:val="0"/>
                      <w:bCs/>
                      <w:color w:val="auto"/>
                      <w:spacing w:val="0"/>
                      <w:szCs w:val="21"/>
                    </w:rPr>
                  </w:pPr>
                  <w:r>
                    <w:rPr>
                      <w:rFonts w:hint="eastAsia" w:ascii="宋体" w:hAnsi="宋体" w:eastAsia="宋体" w:cs="宋体"/>
                      <w:b w:val="0"/>
                      <w:bCs/>
                      <w:color w:val="auto"/>
                      <w:spacing w:val="0"/>
                      <w:szCs w:val="21"/>
                    </w:rPr>
                    <w:t>燃</w:t>
                  </w:r>
                  <w:r>
                    <w:rPr>
                      <w:rFonts w:hint="eastAsia" w:ascii="宋体" w:hAnsi="宋体" w:eastAsia="宋体" w:cs="宋体"/>
                      <w:b w:val="0"/>
                      <w:bCs/>
                      <w:color w:val="auto"/>
                      <w:spacing w:val="0"/>
                      <w:szCs w:val="21"/>
                      <w:lang w:eastAsia="zh-CN"/>
                    </w:rPr>
                    <w:t>油</w:t>
                  </w:r>
                  <w:r>
                    <w:rPr>
                      <w:rFonts w:hint="eastAsia" w:ascii="宋体" w:hAnsi="宋体" w:eastAsia="宋体" w:cs="宋体"/>
                      <w:b w:val="0"/>
                      <w:bCs/>
                      <w:color w:val="auto"/>
                      <w:spacing w:val="0"/>
                      <w:szCs w:val="21"/>
                    </w:rPr>
                    <w:t>锅炉限值</w:t>
                  </w:r>
                </w:p>
              </w:tc>
              <w:tc>
                <w:tcPr>
                  <w:tcW w:w="2126" w:type="dxa"/>
                  <w:tcBorders>
                    <w:tl2br w:val="nil"/>
                    <w:tr2bl w:val="nil"/>
                  </w:tcBorders>
                  <w:vAlign w:val="center"/>
                </w:tcPr>
                <w:p w14:paraId="09F0690E">
                  <w:pPr>
                    <w:pStyle w:val="61"/>
                    <w:keepNext w:val="0"/>
                    <w:keepLines w:val="0"/>
                    <w:suppressLineNumbers w:val="0"/>
                    <w:spacing w:before="0" w:beforeAutospacing="0" w:after="0" w:afterAutospacing="0" w:line="360" w:lineRule="exact"/>
                    <w:ind w:left="0" w:right="0"/>
                    <w:rPr>
                      <w:rFonts w:hint="eastAsia" w:ascii="宋体" w:hAnsi="宋体" w:eastAsia="宋体" w:cs="宋体"/>
                      <w:b w:val="0"/>
                      <w:bCs/>
                      <w:color w:val="auto"/>
                      <w:spacing w:val="0"/>
                      <w:szCs w:val="21"/>
                    </w:rPr>
                  </w:pPr>
                  <w:r>
                    <w:rPr>
                      <w:rFonts w:hint="eastAsia" w:ascii="宋体" w:hAnsi="宋体" w:eastAsia="宋体" w:cs="宋体"/>
                      <w:b w:val="0"/>
                      <w:bCs/>
                      <w:color w:val="auto"/>
                      <w:spacing w:val="0"/>
                      <w:szCs w:val="21"/>
                    </w:rPr>
                    <w:t>单位</w:t>
                  </w:r>
                </w:p>
              </w:tc>
              <w:tc>
                <w:tcPr>
                  <w:tcW w:w="1684" w:type="dxa"/>
                  <w:tcBorders>
                    <w:tl2br w:val="nil"/>
                    <w:tr2bl w:val="nil"/>
                  </w:tcBorders>
                  <w:vAlign w:val="center"/>
                </w:tcPr>
                <w:p w14:paraId="72CF6B8F">
                  <w:pPr>
                    <w:pStyle w:val="61"/>
                    <w:keepNext w:val="0"/>
                    <w:keepLines w:val="0"/>
                    <w:suppressLineNumbers w:val="0"/>
                    <w:spacing w:before="0" w:beforeAutospacing="0" w:after="0" w:afterAutospacing="0" w:line="360" w:lineRule="exact"/>
                    <w:ind w:left="0" w:right="0"/>
                    <w:rPr>
                      <w:rFonts w:hint="eastAsia" w:ascii="宋体" w:hAnsi="宋体" w:eastAsia="宋体" w:cs="宋体"/>
                      <w:b w:val="0"/>
                      <w:bCs/>
                      <w:color w:val="auto"/>
                      <w:spacing w:val="0"/>
                      <w:szCs w:val="21"/>
                    </w:rPr>
                  </w:pPr>
                  <w:r>
                    <w:rPr>
                      <w:rFonts w:hint="eastAsia" w:ascii="宋体" w:hAnsi="宋体" w:eastAsia="宋体" w:cs="宋体"/>
                      <w:b w:val="0"/>
                      <w:bCs/>
                      <w:color w:val="auto"/>
                      <w:spacing w:val="0"/>
                      <w:szCs w:val="21"/>
                    </w:rPr>
                    <w:t>污染物排放监控位置</w:t>
                  </w:r>
                </w:p>
              </w:tc>
              <w:tc>
                <w:tcPr>
                  <w:tcW w:w="1223" w:type="dxa"/>
                  <w:tcBorders>
                    <w:tl2br w:val="nil"/>
                    <w:tr2bl w:val="nil"/>
                  </w:tcBorders>
                  <w:vAlign w:val="center"/>
                </w:tcPr>
                <w:p w14:paraId="58BEE370">
                  <w:pPr>
                    <w:pStyle w:val="61"/>
                    <w:keepNext w:val="0"/>
                    <w:keepLines w:val="0"/>
                    <w:suppressLineNumbers w:val="0"/>
                    <w:spacing w:before="0" w:beforeAutospacing="0" w:after="0" w:afterAutospacing="0" w:line="360" w:lineRule="exact"/>
                    <w:ind w:left="0" w:right="0"/>
                    <w:rPr>
                      <w:rFonts w:hint="eastAsia" w:ascii="宋体" w:hAnsi="宋体" w:eastAsia="宋体" w:cs="宋体"/>
                      <w:b w:val="0"/>
                      <w:bCs/>
                      <w:color w:val="auto"/>
                      <w:spacing w:val="0"/>
                      <w:szCs w:val="21"/>
                    </w:rPr>
                  </w:pPr>
                  <w:r>
                    <w:rPr>
                      <w:rFonts w:hint="eastAsia" w:ascii="宋体" w:hAnsi="宋体" w:eastAsia="宋体" w:cs="宋体"/>
                      <w:b w:val="0"/>
                      <w:bCs/>
                      <w:color w:val="auto"/>
                      <w:spacing w:val="0"/>
                      <w:szCs w:val="21"/>
                    </w:rPr>
                    <w:t>烟囱要求</w:t>
                  </w:r>
                </w:p>
              </w:tc>
            </w:tr>
            <w:tr w14:paraId="3E591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512" w:type="dxa"/>
                  <w:tcBorders>
                    <w:tl2br w:val="nil"/>
                    <w:tr2bl w:val="nil"/>
                  </w:tcBorders>
                  <w:vAlign w:val="center"/>
                </w:tcPr>
                <w:p w14:paraId="5BF4F3F6">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颗粒物</w:t>
                  </w:r>
                </w:p>
              </w:tc>
              <w:tc>
                <w:tcPr>
                  <w:tcW w:w="1611" w:type="dxa"/>
                  <w:tcBorders>
                    <w:tl2br w:val="nil"/>
                    <w:tr2bl w:val="nil"/>
                  </w:tcBorders>
                  <w:vAlign w:val="center"/>
                </w:tcPr>
                <w:p w14:paraId="7CF16A6F">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lang w:val="en-US" w:eastAsia="zh-CN"/>
                    </w:rPr>
                  </w:pPr>
                  <w:r>
                    <w:rPr>
                      <w:rFonts w:hint="eastAsia" w:ascii="宋体" w:hAnsi="宋体" w:eastAsia="宋体" w:cs="宋体"/>
                      <w:bCs/>
                      <w:color w:val="auto"/>
                      <w:spacing w:val="0"/>
                      <w:szCs w:val="21"/>
                      <w:lang w:val="en-US" w:eastAsia="zh-CN"/>
                    </w:rPr>
                    <w:t>30</w:t>
                  </w:r>
                </w:p>
              </w:tc>
              <w:tc>
                <w:tcPr>
                  <w:tcW w:w="2126" w:type="dxa"/>
                  <w:tcBorders>
                    <w:tl2br w:val="nil"/>
                    <w:tr2bl w:val="nil"/>
                  </w:tcBorders>
                  <w:vAlign w:val="center"/>
                </w:tcPr>
                <w:p w14:paraId="07C33C44">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mg/m</w:t>
                  </w:r>
                  <w:r>
                    <w:rPr>
                      <w:rFonts w:hint="eastAsia" w:ascii="宋体" w:hAnsi="宋体" w:eastAsia="宋体" w:cs="宋体"/>
                      <w:bCs/>
                      <w:color w:val="auto"/>
                      <w:spacing w:val="0"/>
                      <w:szCs w:val="21"/>
                      <w:vertAlign w:val="superscript"/>
                    </w:rPr>
                    <w:t>3</w:t>
                  </w:r>
                </w:p>
              </w:tc>
              <w:tc>
                <w:tcPr>
                  <w:tcW w:w="1684" w:type="dxa"/>
                  <w:vMerge w:val="restart"/>
                  <w:tcBorders>
                    <w:tl2br w:val="nil"/>
                    <w:tr2bl w:val="nil"/>
                  </w:tcBorders>
                  <w:vAlign w:val="center"/>
                </w:tcPr>
                <w:p w14:paraId="4F88B300">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烟囱排放口</w:t>
                  </w:r>
                </w:p>
              </w:tc>
              <w:tc>
                <w:tcPr>
                  <w:tcW w:w="1223" w:type="dxa"/>
                  <w:vMerge w:val="restart"/>
                  <w:tcBorders>
                    <w:tl2br w:val="nil"/>
                    <w:tr2bl w:val="nil"/>
                  </w:tcBorders>
                  <w:vAlign w:val="center"/>
                </w:tcPr>
                <w:p w14:paraId="5784FD79">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lang w:val="en-US" w:eastAsia="zh-CN"/>
                    </w:rPr>
                    <w:t>≥8</w:t>
                  </w:r>
                  <w:r>
                    <w:rPr>
                      <w:rFonts w:hint="eastAsia" w:ascii="宋体" w:hAnsi="宋体" w:eastAsia="宋体" w:cs="宋体"/>
                      <w:bCs/>
                      <w:color w:val="auto"/>
                      <w:spacing w:val="0"/>
                      <w:szCs w:val="21"/>
                    </w:rPr>
                    <w:t>m</w:t>
                  </w:r>
                </w:p>
              </w:tc>
            </w:tr>
            <w:tr w14:paraId="54DEB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512" w:type="dxa"/>
                  <w:tcBorders>
                    <w:tl2br w:val="nil"/>
                    <w:tr2bl w:val="nil"/>
                  </w:tcBorders>
                  <w:vAlign w:val="center"/>
                </w:tcPr>
                <w:p w14:paraId="520E21EA">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二氧化硫</w:t>
                  </w:r>
                </w:p>
              </w:tc>
              <w:tc>
                <w:tcPr>
                  <w:tcW w:w="1611" w:type="dxa"/>
                  <w:tcBorders>
                    <w:tl2br w:val="nil"/>
                    <w:tr2bl w:val="nil"/>
                  </w:tcBorders>
                  <w:vAlign w:val="center"/>
                </w:tcPr>
                <w:p w14:paraId="459CE987">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lang w:val="en-US" w:eastAsia="zh-CN"/>
                    </w:rPr>
                    <w:t>2</w:t>
                  </w:r>
                  <w:r>
                    <w:rPr>
                      <w:rFonts w:hint="eastAsia" w:ascii="宋体" w:hAnsi="宋体" w:eastAsia="宋体" w:cs="宋体"/>
                      <w:bCs/>
                      <w:color w:val="auto"/>
                      <w:spacing w:val="0"/>
                      <w:szCs w:val="21"/>
                    </w:rPr>
                    <w:t>00</w:t>
                  </w:r>
                </w:p>
              </w:tc>
              <w:tc>
                <w:tcPr>
                  <w:tcW w:w="2126" w:type="dxa"/>
                  <w:tcBorders>
                    <w:tl2br w:val="nil"/>
                    <w:tr2bl w:val="nil"/>
                  </w:tcBorders>
                  <w:vAlign w:val="center"/>
                </w:tcPr>
                <w:p w14:paraId="079BF355">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mg/m</w:t>
                  </w:r>
                  <w:r>
                    <w:rPr>
                      <w:rFonts w:hint="eastAsia" w:ascii="宋体" w:hAnsi="宋体" w:eastAsia="宋体" w:cs="宋体"/>
                      <w:bCs/>
                      <w:color w:val="auto"/>
                      <w:spacing w:val="0"/>
                      <w:szCs w:val="21"/>
                      <w:vertAlign w:val="superscript"/>
                    </w:rPr>
                    <w:t>3</w:t>
                  </w:r>
                </w:p>
              </w:tc>
              <w:tc>
                <w:tcPr>
                  <w:tcW w:w="1684" w:type="dxa"/>
                  <w:vMerge w:val="continue"/>
                  <w:tcBorders>
                    <w:tl2br w:val="nil"/>
                    <w:tr2bl w:val="nil"/>
                  </w:tcBorders>
                  <w:vAlign w:val="center"/>
                </w:tcPr>
                <w:p w14:paraId="393BB0B2">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p>
              </w:tc>
              <w:tc>
                <w:tcPr>
                  <w:tcW w:w="1223" w:type="dxa"/>
                  <w:vMerge w:val="continue"/>
                  <w:tcBorders>
                    <w:tl2br w:val="nil"/>
                    <w:tr2bl w:val="nil"/>
                  </w:tcBorders>
                  <w:vAlign w:val="center"/>
                </w:tcPr>
                <w:p w14:paraId="236A03DD">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p>
              </w:tc>
            </w:tr>
            <w:tr w14:paraId="4E9C0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1512" w:type="dxa"/>
                  <w:tcBorders>
                    <w:tl2br w:val="nil"/>
                    <w:tr2bl w:val="nil"/>
                  </w:tcBorders>
                  <w:vAlign w:val="center"/>
                </w:tcPr>
                <w:p w14:paraId="260B9571">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氮氧化物</w:t>
                  </w:r>
                </w:p>
              </w:tc>
              <w:tc>
                <w:tcPr>
                  <w:tcW w:w="1611" w:type="dxa"/>
                  <w:tcBorders>
                    <w:tl2br w:val="nil"/>
                    <w:tr2bl w:val="nil"/>
                  </w:tcBorders>
                  <w:vAlign w:val="center"/>
                </w:tcPr>
                <w:p w14:paraId="208E9283">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lang w:val="en-US" w:eastAsia="zh-CN"/>
                    </w:rPr>
                  </w:pPr>
                  <w:r>
                    <w:rPr>
                      <w:rFonts w:hint="eastAsia" w:ascii="宋体" w:hAnsi="宋体" w:eastAsia="宋体" w:cs="宋体"/>
                      <w:bCs/>
                      <w:color w:val="auto"/>
                      <w:spacing w:val="0"/>
                      <w:szCs w:val="21"/>
                      <w:lang w:val="en-US" w:eastAsia="zh-CN"/>
                    </w:rPr>
                    <w:t>250</w:t>
                  </w:r>
                </w:p>
              </w:tc>
              <w:tc>
                <w:tcPr>
                  <w:tcW w:w="2126" w:type="dxa"/>
                  <w:tcBorders>
                    <w:tl2br w:val="nil"/>
                    <w:tr2bl w:val="nil"/>
                  </w:tcBorders>
                  <w:vAlign w:val="center"/>
                </w:tcPr>
                <w:p w14:paraId="00BFB768">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mg/m</w:t>
                  </w:r>
                  <w:r>
                    <w:rPr>
                      <w:rFonts w:hint="eastAsia" w:ascii="宋体" w:hAnsi="宋体" w:eastAsia="宋体" w:cs="宋体"/>
                      <w:bCs/>
                      <w:color w:val="auto"/>
                      <w:spacing w:val="0"/>
                      <w:szCs w:val="21"/>
                      <w:vertAlign w:val="superscript"/>
                    </w:rPr>
                    <w:t>3</w:t>
                  </w:r>
                </w:p>
              </w:tc>
              <w:tc>
                <w:tcPr>
                  <w:tcW w:w="1684" w:type="dxa"/>
                  <w:vMerge w:val="continue"/>
                  <w:tcBorders>
                    <w:tl2br w:val="nil"/>
                    <w:tr2bl w:val="nil"/>
                  </w:tcBorders>
                  <w:vAlign w:val="center"/>
                </w:tcPr>
                <w:p w14:paraId="043A72BC">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p>
              </w:tc>
              <w:tc>
                <w:tcPr>
                  <w:tcW w:w="1223" w:type="dxa"/>
                  <w:vMerge w:val="continue"/>
                  <w:tcBorders>
                    <w:tl2br w:val="nil"/>
                    <w:tr2bl w:val="nil"/>
                  </w:tcBorders>
                  <w:vAlign w:val="center"/>
                </w:tcPr>
                <w:p w14:paraId="146FE607">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p>
              </w:tc>
            </w:tr>
            <w:tr w14:paraId="7DB54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1512" w:type="dxa"/>
                  <w:tcBorders>
                    <w:tl2br w:val="nil"/>
                    <w:tr2bl w:val="nil"/>
                  </w:tcBorders>
                  <w:vAlign w:val="center"/>
                </w:tcPr>
                <w:p w14:paraId="099D9DCE">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烟气黑度（林格曼黑度）</w:t>
                  </w:r>
                </w:p>
              </w:tc>
              <w:tc>
                <w:tcPr>
                  <w:tcW w:w="1611" w:type="dxa"/>
                  <w:tcBorders>
                    <w:tl2br w:val="nil"/>
                    <w:tr2bl w:val="nil"/>
                  </w:tcBorders>
                  <w:vAlign w:val="center"/>
                </w:tcPr>
                <w:p w14:paraId="60C64675">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≤1</w:t>
                  </w:r>
                </w:p>
              </w:tc>
              <w:tc>
                <w:tcPr>
                  <w:tcW w:w="2126" w:type="dxa"/>
                  <w:tcBorders>
                    <w:tl2br w:val="nil"/>
                    <w:tr2bl w:val="nil"/>
                  </w:tcBorders>
                  <w:vAlign w:val="center"/>
                </w:tcPr>
                <w:p w14:paraId="037820BC">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r>
                    <w:rPr>
                      <w:rFonts w:hint="eastAsia" w:ascii="宋体" w:hAnsi="宋体" w:eastAsia="宋体" w:cs="宋体"/>
                      <w:bCs/>
                      <w:color w:val="auto"/>
                      <w:spacing w:val="0"/>
                      <w:szCs w:val="21"/>
                    </w:rPr>
                    <w:t>（烟气黑度，级）</w:t>
                  </w:r>
                </w:p>
              </w:tc>
              <w:tc>
                <w:tcPr>
                  <w:tcW w:w="1684" w:type="dxa"/>
                  <w:vMerge w:val="continue"/>
                  <w:tcBorders>
                    <w:tl2br w:val="nil"/>
                    <w:tr2bl w:val="nil"/>
                  </w:tcBorders>
                  <w:vAlign w:val="center"/>
                </w:tcPr>
                <w:p w14:paraId="269EEC93">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p>
              </w:tc>
              <w:tc>
                <w:tcPr>
                  <w:tcW w:w="1223" w:type="dxa"/>
                  <w:vMerge w:val="continue"/>
                  <w:tcBorders>
                    <w:tl2br w:val="nil"/>
                    <w:tr2bl w:val="nil"/>
                  </w:tcBorders>
                  <w:vAlign w:val="center"/>
                </w:tcPr>
                <w:p w14:paraId="73DA32EA">
                  <w:pPr>
                    <w:pStyle w:val="61"/>
                    <w:keepNext w:val="0"/>
                    <w:keepLines w:val="0"/>
                    <w:suppressLineNumbers w:val="0"/>
                    <w:spacing w:before="0" w:beforeAutospacing="0" w:after="0" w:afterAutospacing="0" w:line="360" w:lineRule="exact"/>
                    <w:ind w:left="0" w:right="0"/>
                    <w:rPr>
                      <w:rFonts w:hint="eastAsia" w:ascii="宋体" w:hAnsi="宋体" w:eastAsia="宋体" w:cs="宋体"/>
                      <w:bCs/>
                      <w:color w:val="auto"/>
                      <w:spacing w:val="0"/>
                      <w:szCs w:val="21"/>
                    </w:rPr>
                  </w:pPr>
                </w:p>
              </w:tc>
            </w:tr>
          </w:tbl>
          <w:p w14:paraId="013FD7B9">
            <w:pPr>
              <w:keepNext w:val="0"/>
              <w:keepLines w:val="0"/>
              <w:suppressLineNumbers w:val="0"/>
              <w:spacing w:before="0" w:beforeAutospacing="0" w:after="0" w:afterAutospacing="0" w:line="360" w:lineRule="auto"/>
              <w:ind w:left="0" w:right="0" w:firstLine="480" w:firstLineChars="200"/>
              <w:rPr>
                <w:rFonts w:hint="default" w:eastAsia="宋体" w:cs="宋体"/>
                <w:sz w:val="24"/>
              </w:rPr>
            </w:pPr>
            <w:r>
              <w:rPr>
                <w:rFonts w:hint="eastAsia" w:eastAsia="宋体" w:cs="宋体"/>
                <w:sz w:val="24"/>
              </w:rPr>
              <w:t>厂界非甲烷总烃无组织排放浓度执行《大气污染物综合排放标准》（GB16297-1996）表2中周界外浓度最高点浓度限值，详见表3-8。</w:t>
            </w:r>
          </w:p>
          <w:p w14:paraId="4A6B109A">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w:t>
            </w:r>
            <w:r>
              <w:rPr>
                <w:rFonts w:hint="eastAsia" w:eastAsia="宋体" w:cs="宋体"/>
                <w:b/>
                <w:bCs/>
                <w:color w:val="auto"/>
                <w:sz w:val="24"/>
                <w:lang w:val="en-US" w:eastAsia="zh-CN"/>
              </w:rPr>
              <w:t>8</w:t>
            </w:r>
            <w:r>
              <w:rPr>
                <w:rFonts w:hint="eastAsia" w:ascii="宋体" w:hAnsi="宋体" w:eastAsia="宋体" w:cs="宋体"/>
                <w:b/>
                <w:bCs/>
                <w:color w:val="auto"/>
                <w:sz w:val="24"/>
                <w:lang w:val="en-US" w:eastAsia="zh-CN"/>
              </w:rPr>
              <w:t xml:space="preserve"> </w:t>
            </w:r>
            <w:r>
              <w:rPr>
                <w:rFonts w:hint="eastAsia" w:ascii="宋体" w:hAnsi="宋体" w:eastAsia="宋体" w:cs="宋体"/>
                <w:b/>
                <w:color w:val="auto"/>
                <w:sz w:val="24"/>
              </w:rPr>
              <w:t>《大气污染物综合排放标准》（GB16297-1996）</w:t>
            </w:r>
          </w:p>
          <w:tbl>
            <w:tblPr>
              <w:tblStyle w:val="26"/>
              <w:tblW w:w="81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54"/>
              <w:gridCol w:w="2531"/>
              <w:gridCol w:w="2546"/>
            </w:tblGrid>
            <w:tr w14:paraId="13DC2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54" w:type="dxa"/>
                  <w:vMerge w:val="restart"/>
                  <w:noWrap w:val="0"/>
                  <w:vAlign w:val="center"/>
                </w:tcPr>
                <w:p w14:paraId="77E8A9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rPr>
                  </w:pPr>
                  <w:r>
                    <w:rPr>
                      <w:rFonts w:hint="eastAsia" w:ascii="宋体" w:hAnsi="宋体" w:eastAsia="宋体" w:cs="宋体"/>
                      <w:color w:val="auto"/>
                      <w:szCs w:val="21"/>
                    </w:rPr>
                    <w:t>污染物名称</w:t>
                  </w:r>
                </w:p>
              </w:tc>
              <w:tc>
                <w:tcPr>
                  <w:tcW w:w="5077" w:type="dxa"/>
                  <w:gridSpan w:val="2"/>
                  <w:noWrap w:val="0"/>
                  <w:vAlign w:val="center"/>
                </w:tcPr>
                <w:p w14:paraId="3B1CB6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rPr>
                  </w:pPr>
                  <w:r>
                    <w:rPr>
                      <w:rFonts w:hint="eastAsia" w:ascii="宋体" w:hAnsi="宋体" w:eastAsia="宋体" w:cs="宋体"/>
                      <w:color w:val="auto"/>
                      <w:szCs w:val="21"/>
                    </w:rPr>
                    <w:t>无组织排放监控浓度限值</w:t>
                  </w:r>
                </w:p>
              </w:tc>
            </w:tr>
            <w:tr w14:paraId="2AF78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54" w:type="dxa"/>
                  <w:vMerge w:val="continue"/>
                  <w:noWrap w:val="0"/>
                  <w:vAlign w:val="center"/>
                </w:tcPr>
                <w:p w14:paraId="17E2057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textAlignment w:val="auto"/>
                    <w:rPr>
                      <w:rFonts w:hint="eastAsia" w:ascii="宋体" w:hAnsi="宋体" w:eastAsia="宋体" w:cs="宋体"/>
                      <w:color w:val="auto"/>
                      <w:szCs w:val="21"/>
                    </w:rPr>
                  </w:pPr>
                </w:p>
              </w:tc>
              <w:tc>
                <w:tcPr>
                  <w:tcW w:w="2531" w:type="dxa"/>
                  <w:noWrap w:val="0"/>
                  <w:vAlign w:val="center"/>
                </w:tcPr>
                <w:p w14:paraId="40E3DA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监控点</w:t>
                  </w:r>
                </w:p>
              </w:tc>
              <w:tc>
                <w:tcPr>
                  <w:tcW w:w="2546" w:type="dxa"/>
                  <w:noWrap w:val="0"/>
                  <w:vAlign w:val="center"/>
                </w:tcPr>
                <w:p w14:paraId="5CCCE7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rPr>
                  </w:pPr>
                  <w:r>
                    <w:rPr>
                      <w:rFonts w:hint="eastAsia" w:ascii="宋体" w:hAnsi="宋体" w:eastAsia="宋体" w:cs="宋体"/>
                      <w:color w:val="auto"/>
                      <w:szCs w:val="21"/>
                    </w:rPr>
                    <w:t>浓度（mg/m</w:t>
                  </w:r>
                  <w:r>
                    <w:rPr>
                      <w:rFonts w:hint="eastAsia" w:ascii="宋体" w:hAnsi="宋体" w:eastAsia="宋体" w:cs="宋体"/>
                      <w:color w:val="auto"/>
                      <w:szCs w:val="21"/>
                      <w:vertAlign w:val="superscript"/>
                    </w:rPr>
                    <w:t>3</w:t>
                  </w:r>
                  <w:r>
                    <w:rPr>
                      <w:rFonts w:hint="eastAsia" w:ascii="宋体" w:hAnsi="宋体" w:eastAsia="宋体" w:cs="宋体"/>
                      <w:color w:val="auto"/>
                      <w:szCs w:val="21"/>
                    </w:rPr>
                    <w:t>）</w:t>
                  </w:r>
                </w:p>
              </w:tc>
            </w:tr>
            <w:tr w14:paraId="63034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54" w:type="dxa"/>
                  <w:noWrap w:val="0"/>
                  <w:vAlign w:val="center"/>
                </w:tcPr>
                <w:p w14:paraId="2D2AD3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rPr>
                  </w:pPr>
                  <w:r>
                    <w:rPr>
                      <w:rFonts w:hint="eastAsia" w:ascii="宋体" w:hAnsi="宋体" w:eastAsia="宋体" w:cs="宋体"/>
                      <w:color w:val="auto"/>
                      <w:szCs w:val="21"/>
                      <w:lang w:val="en-US" w:eastAsia="zh-CN"/>
                    </w:rPr>
                    <w:t>非甲烷总烃</w:t>
                  </w:r>
                </w:p>
              </w:tc>
              <w:tc>
                <w:tcPr>
                  <w:tcW w:w="2531" w:type="dxa"/>
                  <w:noWrap w:val="0"/>
                  <w:vAlign w:val="center"/>
                </w:tcPr>
                <w:p w14:paraId="33419C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周界外浓度最高点</w:t>
                  </w:r>
                </w:p>
              </w:tc>
              <w:tc>
                <w:tcPr>
                  <w:tcW w:w="2546" w:type="dxa"/>
                  <w:noWrap w:val="0"/>
                  <w:vAlign w:val="center"/>
                </w:tcPr>
                <w:p w14:paraId="06FC6F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auto"/>
                    <w:rPr>
                      <w:rFonts w:hint="eastAsia" w:ascii="宋体" w:hAnsi="宋体" w:eastAsia="宋体" w:cs="宋体"/>
                      <w:color w:val="auto"/>
                      <w:szCs w:val="21"/>
                    </w:rPr>
                  </w:pPr>
                  <w:r>
                    <w:rPr>
                      <w:rFonts w:hint="eastAsia" w:ascii="宋体" w:hAnsi="宋体" w:eastAsia="宋体" w:cs="宋体"/>
                      <w:color w:val="auto"/>
                      <w:szCs w:val="21"/>
                      <w:lang w:val="en-US" w:eastAsia="zh-CN"/>
                    </w:rPr>
                    <w:t>4.0</w:t>
                  </w:r>
                </w:p>
              </w:tc>
            </w:tr>
          </w:tbl>
          <w:p w14:paraId="5100368A">
            <w:pPr>
              <w:keepNext w:val="0"/>
              <w:keepLines w:val="0"/>
              <w:numPr>
                <w:ilvl w:val="0"/>
                <w:numId w:val="0"/>
              </w:numPr>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厂内非甲烷总烃无组织排放浓度执行《挥发性有机物无组织排放控制标准》（GB 37822-2019）表A.1中规定的限值</w:t>
            </w:r>
            <w:r>
              <w:rPr>
                <w:rFonts w:hint="eastAsia" w:ascii="宋体" w:hAnsi="宋体" w:eastAsia="宋体" w:cs="宋体"/>
                <w:color w:val="auto"/>
                <w:sz w:val="24"/>
                <w:szCs w:val="24"/>
                <w:lang w:eastAsia="zh-CN"/>
              </w:rPr>
              <w:t>，</w:t>
            </w:r>
            <w:r>
              <w:rPr>
                <w:rFonts w:hint="eastAsia" w:ascii="宋体" w:hAnsi="宋体" w:eastAsia="宋体" w:cs="宋体"/>
                <w:b w:val="0"/>
                <w:bCs w:val="0"/>
                <w:color w:val="auto"/>
                <w:sz w:val="24"/>
                <w:szCs w:val="24"/>
                <w:lang w:val="en-US" w:eastAsia="zh-CN"/>
              </w:rPr>
              <w:t>详见表3-9。</w:t>
            </w:r>
          </w:p>
          <w:p w14:paraId="32C4C6D6">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w:t>
            </w:r>
            <w:r>
              <w:rPr>
                <w:rFonts w:hint="eastAsia" w:eastAsia="宋体" w:cs="宋体"/>
                <w:b/>
                <w:bCs/>
                <w:color w:val="auto"/>
                <w:sz w:val="24"/>
                <w:lang w:val="en-US" w:eastAsia="zh-CN"/>
              </w:rPr>
              <w:t>9</w:t>
            </w:r>
            <w:r>
              <w:rPr>
                <w:rFonts w:hint="eastAsia" w:ascii="宋体" w:hAnsi="宋体" w:eastAsia="宋体" w:cs="宋体"/>
                <w:b/>
                <w:bCs/>
                <w:color w:val="auto"/>
                <w:sz w:val="24"/>
              </w:rPr>
              <w:t xml:space="preserve"> 《挥发性有机物无组织排放控制标准》（GB 37822-2019）</w:t>
            </w:r>
          </w:p>
          <w:tbl>
            <w:tblPr>
              <w:tblStyle w:val="26"/>
              <w:tblW w:w="81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858"/>
              <w:gridCol w:w="2606"/>
              <w:gridCol w:w="2307"/>
            </w:tblGrid>
            <w:tr w14:paraId="1F9B3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60" w:type="dxa"/>
                  <w:noWrap w:val="0"/>
                  <w:vAlign w:val="center"/>
                </w:tcPr>
                <w:p w14:paraId="7A7AA1E7">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污染物名称</w:t>
                  </w:r>
                </w:p>
              </w:tc>
              <w:tc>
                <w:tcPr>
                  <w:tcW w:w="1858" w:type="dxa"/>
                  <w:noWrap w:val="0"/>
                  <w:vAlign w:val="center"/>
                </w:tcPr>
                <w:p w14:paraId="37FECF62">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排放限值mg/m</w:t>
                  </w:r>
                  <w:r>
                    <w:rPr>
                      <w:rFonts w:hint="eastAsia" w:ascii="宋体" w:hAnsi="宋体" w:eastAsia="宋体" w:cs="宋体"/>
                      <w:color w:val="auto"/>
                      <w:szCs w:val="21"/>
                      <w:vertAlign w:val="superscript"/>
                    </w:rPr>
                    <w:t>3</w:t>
                  </w:r>
                </w:p>
              </w:tc>
              <w:tc>
                <w:tcPr>
                  <w:tcW w:w="2606" w:type="dxa"/>
                  <w:noWrap w:val="0"/>
                  <w:vAlign w:val="center"/>
                </w:tcPr>
                <w:p w14:paraId="3D4D7D65">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限值含义</w:t>
                  </w:r>
                </w:p>
              </w:tc>
              <w:tc>
                <w:tcPr>
                  <w:tcW w:w="2307" w:type="dxa"/>
                  <w:noWrap w:val="0"/>
                  <w:vAlign w:val="center"/>
                </w:tcPr>
                <w:p w14:paraId="751C7E70">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无组织排放监控位置</w:t>
                  </w:r>
                </w:p>
              </w:tc>
            </w:tr>
            <w:tr w14:paraId="03E9F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360" w:type="dxa"/>
                  <w:vMerge w:val="restart"/>
                  <w:noWrap w:val="0"/>
                  <w:vAlign w:val="center"/>
                </w:tcPr>
                <w:p w14:paraId="18D43A71">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非甲烷总烃</w:t>
                  </w:r>
                </w:p>
              </w:tc>
              <w:tc>
                <w:tcPr>
                  <w:tcW w:w="1858" w:type="dxa"/>
                  <w:noWrap w:val="0"/>
                  <w:vAlign w:val="center"/>
                </w:tcPr>
                <w:p w14:paraId="771FE498">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10</w:t>
                  </w:r>
                </w:p>
              </w:tc>
              <w:tc>
                <w:tcPr>
                  <w:tcW w:w="2606" w:type="dxa"/>
                  <w:noWrap w:val="0"/>
                  <w:vAlign w:val="center"/>
                </w:tcPr>
                <w:p w14:paraId="43ECB763">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监控点处1h平均浓度值</w:t>
                  </w:r>
                </w:p>
              </w:tc>
              <w:tc>
                <w:tcPr>
                  <w:tcW w:w="2307" w:type="dxa"/>
                  <w:vMerge w:val="restart"/>
                  <w:noWrap w:val="0"/>
                  <w:vAlign w:val="center"/>
                </w:tcPr>
                <w:p w14:paraId="23DC118F">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在厂房外设置监控点</w:t>
                  </w:r>
                </w:p>
              </w:tc>
            </w:tr>
            <w:tr w14:paraId="4977B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60" w:type="dxa"/>
                  <w:vMerge w:val="continue"/>
                  <w:noWrap w:val="0"/>
                  <w:vAlign w:val="center"/>
                </w:tcPr>
                <w:p w14:paraId="06B48192">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p>
              </w:tc>
              <w:tc>
                <w:tcPr>
                  <w:tcW w:w="1858" w:type="dxa"/>
                  <w:noWrap w:val="0"/>
                  <w:vAlign w:val="center"/>
                </w:tcPr>
                <w:p w14:paraId="0F571AD3">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30</w:t>
                  </w:r>
                </w:p>
              </w:tc>
              <w:tc>
                <w:tcPr>
                  <w:tcW w:w="2606" w:type="dxa"/>
                  <w:noWrap w:val="0"/>
                  <w:vAlign w:val="center"/>
                </w:tcPr>
                <w:p w14:paraId="41E66DA2">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监控点处任一次浓度值</w:t>
                  </w:r>
                </w:p>
              </w:tc>
              <w:tc>
                <w:tcPr>
                  <w:tcW w:w="2307" w:type="dxa"/>
                  <w:vMerge w:val="continue"/>
                  <w:noWrap w:val="0"/>
                  <w:vAlign w:val="center"/>
                </w:tcPr>
                <w:p w14:paraId="13726464">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Cs w:val="21"/>
                    </w:rPr>
                  </w:pPr>
                </w:p>
              </w:tc>
            </w:tr>
          </w:tbl>
          <w:p w14:paraId="7A4E0F2C">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2、噪声排放标准</w:t>
            </w:r>
          </w:p>
          <w:p w14:paraId="059CAFDC">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项目施工期噪声执行《建筑施工场界环境噪声排放标准》（GB12523—2011）：昼间70dB（A），夜间55dB（A）；</w:t>
            </w:r>
          </w:p>
          <w:p w14:paraId="20335B64">
            <w:pPr>
              <w:keepNext w:val="0"/>
              <w:keepLines w:val="0"/>
              <w:widowControl/>
              <w:suppressLineNumbers w:val="0"/>
              <w:spacing w:before="0" w:beforeAutospacing="0" w:after="0" w:afterAutospacing="0" w:line="420" w:lineRule="exact"/>
              <w:ind w:left="0" w:right="0"/>
              <w:jc w:val="center"/>
              <w:rPr>
                <w:rFonts w:hint="eastAsia" w:ascii="宋体" w:hAnsi="宋体" w:eastAsia="宋体" w:cs="宋体"/>
                <w:b/>
                <w:color w:val="auto"/>
                <w:sz w:val="24"/>
              </w:rPr>
            </w:pPr>
            <w:r>
              <w:rPr>
                <w:rFonts w:hint="eastAsia" w:ascii="宋体" w:hAnsi="宋体" w:eastAsia="宋体" w:cs="宋体"/>
                <w:b/>
                <w:color w:val="auto"/>
                <w:kern w:val="0"/>
                <w:sz w:val="24"/>
              </w:rPr>
              <w:t>表</w:t>
            </w:r>
            <w:r>
              <w:rPr>
                <w:rFonts w:hint="eastAsia" w:ascii="宋体" w:hAnsi="宋体" w:eastAsia="宋体" w:cs="宋体"/>
                <w:b/>
                <w:color w:val="auto"/>
                <w:kern w:val="0"/>
                <w:sz w:val="24"/>
                <w:lang w:val="en-US" w:eastAsia="zh-CN"/>
              </w:rPr>
              <w:t>3-1</w:t>
            </w:r>
            <w:r>
              <w:rPr>
                <w:rFonts w:hint="eastAsia" w:eastAsia="宋体" w:cs="宋体"/>
                <w:b/>
                <w:color w:val="auto"/>
                <w:kern w:val="0"/>
                <w:sz w:val="24"/>
                <w:lang w:val="en-US" w:eastAsia="zh-CN"/>
              </w:rPr>
              <w:t>0</w:t>
            </w:r>
            <w:r>
              <w:rPr>
                <w:rFonts w:hint="eastAsia" w:ascii="宋体" w:hAnsi="宋体" w:eastAsia="宋体" w:cs="宋体"/>
                <w:b/>
                <w:color w:val="auto"/>
                <w:kern w:val="0"/>
                <w:sz w:val="24"/>
              </w:rPr>
              <w:t>《建筑施工场界环境噪声排放标准》（GB12523-2011）</w:t>
            </w:r>
          </w:p>
          <w:tbl>
            <w:tblPr>
              <w:tblStyle w:val="26"/>
              <w:tblW w:w="82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5"/>
              <w:gridCol w:w="2947"/>
              <w:gridCol w:w="3193"/>
            </w:tblGrid>
            <w:tr w14:paraId="0285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75" w:type="dxa"/>
                  <w:tcBorders>
                    <w:tl2br w:val="nil"/>
                    <w:tr2bl w:val="nil"/>
                  </w:tcBorders>
                  <w:vAlign w:val="center"/>
                </w:tcPr>
                <w:p w14:paraId="5A26AAE3">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单位</w:t>
                  </w:r>
                </w:p>
              </w:tc>
              <w:tc>
                <w:tcPr>
                  <w:tcW w:w="2947" w:type="dxa"/>
                  <w:tcBorders>
                    <w:tl2br w:val="nil"/>
                    <w:tr2bl w:val="nil"/>
                  </w:tcBorders>
                  <w:vAlign w:val="center"/>
                </w:tcPr>
                <w:p w14:paraId="5F6BF302">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昼间</w:t>
                  </w:r>
                </w:p>
              </w:tc>
              <w:tc>
                <w:tcPr>
                  <w:tcW w:w="3193" w:type="dxa"/>
                  <w:tcBorders>
                    <w:tl2br w:val="nil"/>
                    <w:tr2bl w:val="nil"/>
                  </w:tcBorders>
                  <w:vAlign w:val="center"/>
                </w:tcPr>
                <w:p w14:paraId="22CAFA85">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夜间</w:t>
                  </w:r>
                </w:p>
              </w:tc>
            </w:tr>
            <w:tr w14:paraId="2776E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075" w:type="dxa"/>
                  <w:tcBorders>
                    <w:tl2br w:val="nil"/>
                    <w:tr2bl w:val="nil"/>
                  </w:tcBorders>
                  <w:vAlign w:val="center"/>
                </w:tcPr>
                <w:p w14:paraId="2996FA1B">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dB(A)</w:t>
                  </w:r>
                </w:p>
              </w:tc>
              <w:tc>
                <w:tcPr>
                  <w:tcW w:w="2947" w:type="dxa"/>
                  <w:tcBorders>
                    <w:tl2br w:val="nil"/>
                    <w:tr2bl w:val="nil"/>
                  </w:tcBorders>
                  <w:vAlign w:val="center"/>
                </w:tcPr>
                <w:p w14:paraId="741A227A">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70</w:t>
                  </w:r>
                </w:p>
              </w:tc>
              <w:tc>
                <w:tcPr>
                  <w:tcW w:w="3193" w:type="dxa"/>
                  <w:tcBorders>
                    <w:tl2br w:val="nil"/>
                    <w:tr2bl w:val="nil"/>
                  </w:tcBorders>
                  <w:vAlign w:val="center"/>
                </w:tcPr>
                <w:p w14:paraId="434D45BF">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55</w:t>
                  </w:r>
                </w:p>
              </w:tc>
            </w:tr>
          </w:tbl>
          <w:p w14:paraId="24E3E395">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项目运营期厂界噪声排放执行《工业企业厂界环境噪声排放标准》（GB12348-2008）中2类标准限值，见表</w:t>
            </w:r>
            <w:r>
              <w:rPr>
                <w:rFonts w:hint="eastAsia" w:ascii="宋体" w:hAnsi="宋体" w:eastAsia="宋体" w:cs="宋体"/>
                <w:color w:val="auto"/>
                <w:sz w:val="24"/>
                <w:lang w:val="en-US" w:eastAsia="zh-CN"/>
              </w:rPr>
              <w:t>3-</w:t>
            </w:r>
            <w:r>
              <w:rPr>
                <w:rFonts w:hint="eastAsia" w:ascii="宋体" w:hAnsi="宋体" w:eastAsia="宋体" w:cs="宋体"/>
                <w:color w:val="auto"/>
                <w:sz w:val="24"/>
              </w:rPr>
              <w:t>1</w:t>
            </w:r>
            <w:r>
              <w:rPr>
                <w:rFonts w:hint="eastAsia" w:eastAsia="宋体" w:cs="宋体"/>
                <w:color w:val="auto"/>
                <w:sz w:val="24"/>
                <w:lang w:val="en-US" w:eastAsia="zh-CN"/>
              </w:rPr>
              <w:t>1</w:t>
            </w:r>
            <w:r>
              <w:rPr>
                <w:rFonts w:hint="eastAsia" w:ascii="宋体" w:hAnsi="宋体" w:eastAsia="宋体" w:cs="宋体"/>
                <w:color w:val="auto"/>
                <w:sz w:val="24"/>
              </w:rPr>
              <w:t xml:space="preserve">。 </w:t>
            </w:r>
          </w:p>
          <w:p w14:paraId="4D941749">
            <w:pPr>
              <w:keepNext w:val="0"/>
              <w:keepLines w:val="0"/>
              <w:suppressLineNumbers w:val="0"/>
              <w:spacing w:before="0" w:beforeAutospacing="0" w:after="0" w:afterAutospacing="0"/>
              <w:ind w:left="0" w:right="0" w:firstLine="482" w:firstLineChars="20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3-1</w:t>
            </w:r>
            <w:r>
              <w:rPr>
                <w:rFonts w:hint="eastAsia" w:eastAsia="宋体" w:cs="宋体"/>
                <w:b/>
                <w:bCs/>
                <w:color w:val="auto"/>
                <w:sz w:val="24"/>
                <w:lang w:val="en-US" w:eastAsia="zh-CN"/>
              </w:rPr>
              <w:t>1</w:t>
            </w:r>
            <w:r>
              <w:rPr>
                <w:rFonts w:hint="eastAsia" w:ascii="宋体" w:hAnsi="宋体" w:eastAsia="宋体" w:cs="宋体"/>
                <w:b/>
                <w:bCs/>
                <w:color w:val="auto"/>
                <w:sz w:val="24"/>
              </w:rPr>
              <w:t xml:space="preserve"> 《工业企业厂界环境噪声排放标准》（GB12348-2008）</w:t>
            </w:r>
          </w:p>
          <w:tbl>
            <w:tblPr>
              <w:tblStyle w:val="26"/>
              <w:tblW w:w="81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31"/>
              <w:gridCol w:w="2248"/>
              <w:gridCol w:w="2251"/>
            </w:tblGrid>
            <w:tr w14:paraId="66847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31" w:type="dxa"/>
                  <w:vMerge w:val="restart"/>
                  <w:tcBorders>
                    <w:tl2br w:val="nil"/>
                    <w:tr2bl w:val="nil"/>
                  </w:tcBorders>
                  <w:vAlign w:val="center"/>
                </w:tcPr>
                <w:p w14:paraId="37845E82">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声环境功能区类</w:t>
                  </w:r>
                </w:p>
              </w:tc>
              <w:tc>
                <w:tcPr>
                  <w:tcW w:w="4499" w:type="dxa"/>
                  <w:gridSpan w:val="2"/>
                  <w:tcBorders>
                    <w:tl2br w:val="nil"/>
                    <w:tr2bl w:val="nil"/>
                  </w:tcBorders>
                  <w:vAlign w:val="center"/>
                </w:tcPr>
                <w:p w14:paraId="3AA71D8D">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时    段</w:t>
                  </w:r>
                </w:p>
              </w:tc>
            </w:tr>
            <w:tr w14:paraId="14BC5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31" w:type="dxa"/>
                  <w:vMerge w:val="continue"/>
                  <w:tcBorders>
                    <w:tl2br w:val="nil"/>
                    <w:tr2bl w:val="nil"/>
                  </w:tcBorders>
                  <w:vAlign w:val="center"/>
                </w:tcPr>
                <w:p w14:paraId="5D453460">
                  <w:pPr>
                    <w:keepNext w:val="0"/>
                    <w:keepLines w:val="0"/>
                    <w:widowControl/>
                    <w:suppressLineNumbers w:val="0"/>
                    <w:spacing w:before="0" w:beforeAutospacing="0" w:after="0" w:afterAutospacing="0" w:line="0" w:lineRule="atLeast"/>
                    <w:ind w:left="0" w:right="0"/>
                    <w:jc w:val="left"/>
                    <w:rPr>
                      <w:rFonts w:hint="eastAsia" w:ascii="宋体" w:hAnsi="宋体" w:eastAsia="宋体" w:cs="宋体"/>
                      <w:color w:val="auto"/>
                      <w:kern w:val="0"/>
                      <w:szCs w:val="21"/>
                    </w:rPr>
                  </w:pPr>
                </w:p>
              </w:tc>
              <w:tc>
                <w:tcPr>
                  <w:tcW w:w="2248" w:type="dxa"/>
                  <w:tcBorders>
                    <w:tl2br w:val="nil"/>
                    <w:tr2bl w:val="nil"/>
                  </w:tcBorders>
                  <w:vAlign w:val="center"/>
                </w:tcPr>
                <w:p w14:paraId="33326C80">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昼间</w:t>
                  </w:r>
                </w:p>
              </w:tc>
              <w:tc>
                <w:tcPr>
                  <w:tcW w:w="2251" w:type="dxa"/>
                  <w:tcBorders>
                    <w:tl2br w:val="nil"/>
                    <w:tr2bl w:val="nil"/>
                  </w:tcBorders>
                  <w:vAlign w:val="center"/>
                </w:tcPr>
                <w:p w14:paraId="0C9FBBEE">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夜间</w:t>
                  </w:r>
                </w:p>
              </w:tc>
            </w:tr>
            <w:tr w14:paraId="746AA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31" w:type="dxa"/>
                  <w:tcBorders>
                    <w:tl2br w:val="nil"/>
                    <w:tr2bl w:val="nil"/>
                  </w:tcBorders>
                  <w:vAlign w:val="center"/>
                </w:tcPr>
                <w:p w14:paraId="752E10F0">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2类标准限值dB(A)</w:t>
                  </w:r>
                </w:p>
              </w:tc>
              <w:tc>
                <w:tcPr>
                  <w:tcW w:w="2248" w:type="dxa"/>
                  <w:tcBorders>
                    <w:tl2br w:val="nil"/>
                    <w:tr2bl w:val="nil"/>
                  </w:tcBorders>
                  <w:vAlign w:val="center"/>
                </w:tcPr>
                <w:p w14:paraId="10B9EBD8">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60</w:t>
                  </w:r>
                </w:p>
              </w:tc>
              <w:tc>
                <w:tcPr>
                  <w:tcW w:w="2251" w:type="dxa"/>
                  <w:tcBorders>
                    <w:tl2br w:val="nil"/>
                    <w:tr2bl w:val="nil"/>
                  </w:tcBorders>
                  <w:vAlign w:val="center"/>
                </w:tcPr>
                <w:p w14:paraId="2BE8FC21">
                  <w:pPr>
                    <w:pStyle w:val="9"/>
                    <w:keepNext w:val="0"/>
                    <w:keepLines w:val="0"/>
                    <w:suppressLineNumbers w:val="0"/>
                    <w:snapToGrid w:val="0"/>
                    <w:spacing w:before="0" w:beforeAutospacing="0" w:after="0" w:afterAutospacing="0" w:line="0" w:lineRule="atLeast"/>
                    <w:ind w:left="0" w:right="0"/>
                    <w:jc w:val="center"/>
                    <w:rPr>
                      <w:rFonts w:hint="eastAsia" w:ascii="宋体" w:hAnsi="宋体" w:eastAsia="宋体" w:cs="宋体"/>
                      <w:color w:val="auto"/>
                      <w:szCs w:val="21"/>
                    </w:rPr>
                  </w:pPr>
                  <w:r>
                    <w:rPr>
                      <w:rFonts w:hint="eastAsia" w:ascii="宋体" w:hAnsi="宋体" w:eastAsia="宋体" w:cs="宋体"/>
                      <w:color w:val="auto"/>
                      <w:szCs w:val="21"/>
                    </w:rPr>
                    <w:t>50</w:t>
                  </w:r>
                </w:p>
              </w:tc>
            </w:tr>
          </w:tbl>
          <w:p w14:paraId="787C6793">
            <w:pPr>
              <w:keepNext w:val="0"/>
              <w:keepLines w:val="0"/>
              <w:suppressLineNumbers w:val="0"/>
              <w:adjustRightInd w:val="0"/>
              <w:snapToGrid w:val="0"/>
              <w:spacing w:before="0" w:beforeAutospacing="0" w:after="0" w:afterAutospacing="0" w:line="360" w:lineRule="auto"/>
              <w:ind w:left="0" w:right="0"/>
              <w:rPr>
                <w:rFonts w:hint="eastAsia" w:ascii="宋体" w:hAnsi="宋体" w:eastAsia="宋体" w:cs="宋体"/>
                <w:b w:val="0"/>
                <w:bCs/>
                <w:color w:val="auto"/>
                <w:sz w:val="28"/>
                <w:szCs w:val="28"/>
                <w:lang w:val="en-US" w:eastAsia="zh-CN"/>
              </w:rPr>
            </w:pPr>
            <w:r>
              <w:rPr>
                <w:rFonts w:hint="eastAsia" w:ascii="宋体" w:hAnsi="宋体" w:eastAsia="宋体" w:cs="宋体"/>
                <w:b w:val="0"/>
                <w:bCs/>
                <w:color w:val="auto"/>
                <w:sz w:val="28"/>
                <w:szCs w:val="28"/>
                <w:lang w:val="en-US" w:eastAsia="zh-CN"/>
              </w:rPr>
              <w:t>3、固体废物</w:t>
            </w:r>
          </w:p>
          <w:p w14:paraId="1D279B70">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Cs w:val="21"/>
              </w:rPr>
            </w:pPr>
            <w:r>
              <w:rPr>
                <w:rFonts w:hint="eastAsia" w:ascii="宋体" w:hAnsi="宋体" w:eastAsia="宋体" w:cs="宋体"/>
                <w:color w:val="auto"/>
                <w:sz w:val="24"/>
              </w:rPr>
              <w:t>一般工业固体废物执行</w:t>
            </w:r>
            <w:r>
              <w:rPr>
                <w:rFonts w:hint="eastAsia" w:ascii="宋体" w:hAnsi="宋体" w:eastAsia="宋体" w:cs="宋体"/>
                <w:color w:val="auto"/>
                <w:kern w:val="0"/>
                <w:sz w:val="24"/>
              </w:rPr>
              <w:t>《一般工业固体废物贮存和填埋污染控制标准》（GB 18599-2020）标准要求</w:t>
            </w:r>
            <w:r>
              <w:rPr>
                <w:rFonts w:hint="eastAsia" w:ascii="宋体" w:hAnsi="宋体" w:eastAsia="宋体" w:cs="宋体"/>
                <w:color w:val="auto"/>
                <w:sz w:val="24"/>
              </w:rPr>
              <w:t>。</w:t>
            </w:r>
          </w:p>
        </w:tc>
      </w:tr>
      <w:tr w14:paraId="02AAF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57" w:type="dxa"/>
            <w:vAlign w:val="center"/>
          </w:tcPr>
          <w:p w14:paraId="3A5F6C4C">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总量控制指标</w:t>
            </w:r>
          </w:p>
        </w:tc>
        <w:tc>
          <w:tcPr>
            <w:tcW w:w="8375" w:type="dxa"/>
            <w:vAlign w:val="center"/>
          </w:tcPr>
          <w:p w14:paraId="478FF691">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szCs w:val="24"/>
              </w:rPr>
            </w:pPr>
            <w:r>
              <w:rPr>
                <w:rFonts w:hint="eastAsia" w:ascii="宋体" w:hAnsi="宋体" w:eastAsia="宋体" w:cs="宋体"/>
                <w:bCs/>
                <w:color w:val="auto"/>
                <w:sz w:val="24"/>
                <w:szCs w:val="24"/>
              </w:rPr>
              <w:t>按照国家目前对总量控制的有关要求</w:t>
            </w:r>
            <w:r>
              <w:rPr>
                <w:rFonts w:hint="eastAsia" w:ascii="宋体" w:hAnsi="宋体" w:eastAsia="宋体" w:cs="宋体"/>
                <w:bCs/>
                <w:color w:val="auto"/>
                <w:sz w:val="24"/>
                <w:szCs w:val="24"/>
                <w:lang w:eastAsia="zh-CN"/>
              </w:rPr>
              <w:t>结合本项目实际情况</w:t>
            </w:r>
            <w:r>
              <w:rPr>
                <w:rFonts w:hint="eastAsia" w:ascii="宋体" w:hAnsi="宋体" w:eastAsia="宋体" w:cs="宋体"/>
                <w:bCs/>
                <w:color w:val="auto"/>
                <w:sz w:val="24"/>
                <w:szCs w:val="24"/>
              </w:rPr>
              <w:t>，本项目实施总量控制的指标的项目为</w:t>
            </w:r>
            <w:r>
              <w:rPr>
                <w:rFonts w:hint="eastAsia" w:ascii="宋体" w:hAnsi="宋体" w:eastAsia="宋体" w:cs="宋体"/>
                <w:bCs/>
                <w:color w:val="auto"/>
                <w:sz w:val="24"/>
                <w:szCs w:val="24"/>
                <w:lang w:val="en-US" w:eastAsia="zh-CN"/>
              </w:rPr>
              <w:t>颗粒物、SO</w:t>
            </w:r>
            <w:r>
              <w:rPr>
                <w:rFonts w:hint="eastAsia" w:ascii="宋体" w:hAnsi="宋体" w:eastAsia="宋体" w:cs="宋体"/>
                <w:bCs/>
                <w:color w:val="auto"/>
                <w:sz w:val="24"/>
                <w:szCs w:val="24"/>
                <w:vertAlign w:val="subscript"/>
                <w:lang w:val="en-US" w:eastAsia="zh-CN"/>
              </w:rPr>
              <w:t>2</w:t>
            </w:r>
            <w:r>
              <w:rPr>
                <w:rFonts w:hint="eastAsia" w:ascii="宋体" w:hAnsi="宋体" w:eastAsia="宋体" w:cs="宋体"/>
                <w:bCs/>
                <w:color w:val="auto"/>
                <w:sz w:val="24"/>
                <w:szCs w:val="24"/>
                <w:lang w:val="en-US" w:eastAsia="zh-CN"/>
              </w:rPr>
              <w:t>、</w:t>
            </w:r>
            <w:r>
              <w:rPr>
                <w:rFonts w:hint="eastAsia" w:ascii="宋体" w:hAnsi="宋体" w:eastAsia="宋体" w:cs="宋体"/>
                <w:bCs/>
                <w:color w:val="auto"/>
                <w:sz w:val="24"/>
                <w:szCs w:val="24"/>
              </w:rPr>
              <w:t>NOx</w:t>
            </w:r>
            <w:r>
              <w:rPr>
                <w:rFonts w:hint="eastAsia" w:ascii="宋体" w:hAnsi="宋体" w:eastAsia="宋体" w:cs="宋体"/>
                <w:bCs/>
                <w:color w:val="auto"/>
                <w:sz w:val="24"/>
                <w:szCs w:val="24"/>
                <w:lang w:val="en-US" w:eastAsia="zh-CN"/>
              </w:rPr>
              <w:t>和VOCs</w:t>
            </w:r>
            <w:r>
              <w:rPr>
                <w:rFonts w:hint="eastAsia" w:ascii="宋体" w:hAnsi="宋体" w:eastAsia="宋体" w:cs="宋体"/>
                <w:color w:val="auto"/>
                <w:sz w:val="24"/>
                <w:szCs w:val="24"/>
              </w:rPr>
              <w:t>。</w:t>
            </w:r>
          </w:p>
          <w:p w14:paraId="0BB82FFC">
            <w:pPr>
              <w:pStyle w:val="38"/>
              <w:keepNext w:val="0"/>
              <w:keepLines w:val="0"/>
              <w:suppressLineNumbers w:val="0"/>
              <w:spacing w:before="0" w:beforeAutospacing="0" w:after="0" w:afterAutospacing="0" w:line="360" w:lineRule="auto"/>
              <w:ind w:left="0" w:right="0" w:firstLine="480"/>
              <w:rPr>
                <w:rFonts w:hint="eastAsia" w:ascii="宋体" w:hAnsi="宋体" w:eastAsia="宋体" w:cs="宋体"/>
                <w:bCs/>
                <w:color w:val="auto"/>
                <w:sz w:val="24"/>
                <w:szCs w:val="24"/>
                <w:lang w:val="en-US" w:eastAsia="zh-CN"/>
              </w:rPr>
            </w:pPr>
            <w:r>
              <w:rPr>
                <w:rFonts w:hint="eastAsia" w:ascii="宋体" w:hAnsi="宋体" w:eastAsia="宋体" w:cs="宋体"/>
                <w:color w:val="auto"/>
                <w:kern w:val="2"/>
                <w:sz w:val="24"/>
                <w:szCs w:val="24"/>
                <w:lang w:val="en-US" w:eastAsia="zh-CN"/>
              </w:rPr>
              <w:t>技改项目</w:t>
            </w:r>
            <w:r>
              <w:rPr>
                <w:rFonts w:hint="eastAsia" w:ascii="宋体" w:hAnsi="宋体" w:eastAsia="宋体" w:cs="宋体"/>
                <w:bCs/>
                <w:color w:val="auto"/>
                <w:sz w:val="24"/>
                <w:szCs w:val="24"/>
                <w:lang w:val="en-US" w:eastAsia="zh-CN"/>
              </w:rPr>
              <w:t>VOCs全部无组织排放，不申请总量控制指标。</w:t>
            </w:r>
          </w:p>
          <w:p w14:paraId="249A9290">
            <w:pPr>
              <w:pStyle w:val="38"/>
              <w:keepNext w:val="0"/>
              <w:keepLines w:val="0"/>
              <w:suppressLineNumbers w:val="0"/>
              <w:spacing w:before="0" w:beforeAutospacing="0" w:after="0" w:afterAutospacing="0" w:line="360" w:lineRule="auto"/>
              <w:ind w:left="0" w:right="0" w:firstLine="480"/>
              <w:rPr>
                <w:rFonts w:hint="eastAsia" w:ascii="宋体" w:hAnsi="宋体" w:eastAsia="宋体" w:cs="宋体"/>
                <w:b/>
                <w:bCs/>
                <w:color w:val="auto"/>
                <w:sz w:val="24"/>
                <w:szCs w:val="24"/>
                <w:lang w:val="en-US"/>
              </w:rPr>
            </w:pPr>
            <w:r>
              <w:rPr>
                <w:rFonts w:hint="eastAsia" w:ascii="宋体" w:hAnsi="宋体" w:eastAsia="宋体" w:cs="宋体"/>
                <w:color w:val="auto"/>
                <w:kern w:val="2"/>
                <w:sz w:val="24"/>
                <w:szCs w:val="24"/>
                <w:lang w:val="en-US" w:eastAsia="zh-CN"/>
              </w:rPr>
              <w:t>项目大气</w:t>
            </w:r>
            <w:r>
              <w:rPr>
                <w:rFonts w:hint="eastAsia" w:ascii="宋体" w:hAnsi="宋体" w:eastAsia="宋体" w:cs="宋体"/>
                <w:color w:val="auto"/>
                <w:kern w:val="2"/>
                <w:sz w:val="24"/>
                <w:szCs w:val="24"/>
                <w:lang w:val="en-US"/>
              </w:rPr>
              <w:t>污染物排放“三本账”</w:t>
            </w:r>
            <w:r>
              <w:rPr>
                <w:rFonts w:hint="eastAsia" w:ascii="宋体" w:hAnsi="宋体" w:eastAsia="宋体" w:cs="宋体"/>
                <w:color w:val="auto"/>
                <w:kern w:val="2"/>
                <w:sz w:val="24"/>
                <w:szCs w:val="24"/>
                <w:lang w:val="en-US" w:eastAsia="zh-CN"/>
              </w:rPr>
              <w:t>分析</w:t>
            </w:r>
            <w:r>
              <w:rPr>
                <w:rFonts w:hint="eastAsia" w:ascii="宋体" w:hAnsi="宋体" w:eastAsia="宋体" w:cs="宋体"/>
                <w:color w:val="auto"/>
                <w:kern w:val="2"/>
                <w:sz w:val="24"/>
                <w:szCs w:val="24"/>
                <w:lang w:val="en-US"/>
              </w:rPr>
              <w:t>见下表：</w:t>
            </w:r>
          </w:p>
          <w:p w14:paraId="185394BB">
            <w:pPr>
              <w:keepNext w:val="0"/>
              <w:keepLines w:val="0"/>
              <w:suppressLineNumbers w:val="0"/>
              <w:spacing w:before="0" w:beforeAutospacing="0" w:after="0" w:afterAutospacing="0" w:line="240" w:lineRule="auto"/>
              <w:ind w:left="0" w:right="0" w:firstLine="482" w:firstLineChars="200"/>
              <w:jc w:val="center"/>
              <w:rPr>
                <w:rFonts w:hint="eastAsia" w:ascii="宋体" w:hAnsi="宋体" w:eastAsia="宋体" w:cs="宋体"/>
                <w:color w:val="auto"/>
                <w:kern w:val="0"/>
                <w:szCs w:val="21"/>
              </w:rPr>
            </w:pPr>
            <w:r>
              <w:rPr>
                <w:rFonts w:hint="eastAsia" w:ascii="宋体" w:hAnsi="宋体" w:eastAsia="宋体" w:cs="宋体"/>
                <w:b/>
                <w:bCs/>
                <w:color w:val="auto"/>
                <w:sz w:val="24"/>
              </w:rPr>
              <w:t>表3-</w:t>
            </w:r>
            <w:r>
              <w:rPr>
                <w:rFonts w:hint="eastAsia" w:ascii="宋体" w:hAnsi="宋体" w:eastAsia="宋体" w:cs="宋体"/>
                <w:b/>
                <w:bCs/>
                <w:color w:val="auto"/>
                <w:sz w:val="24"/>
                <w:lang w:val="en-US" w:eastAsia="zh-CN"/>
              </w:rPr>
              <w:t>13</w:t>
            </w:r>
            <w:r>
              <w:rPr>
                <w:rFonts w:hint="eastAsia" w:ascii="宋体" w:hAnsi="宋体" w:eastAsia="宋体" w:cs="宋体"/>
                <w:b/>
                <w:bCs/>
                <w:color w:val="auto"/>
                <w:sz w:val="24"/>
              </w:rPr>
              <w:t xml:space="preserve"> 项目</w:t>
            </w:r>
            <w:r>
              <w:rPr>
                <w:rFonts w:hint="eastAsia" w:ascii="宋体" w:hAnsi="宋体" w:eastAsia="宋体" w:cs="宋体"/>
                <w:b/>
                <w:bCs/>
                <w:color w:val="auto"/>
                <w:sz w:val="24"/>
                <w:lang w:eastAsia="zh-CN"/>
              </w:rPr>
              <w:t>技改</w:t>
            </w:r>
            <w:r>
              <w:rPr>
                <w:rFonts w:hint="eastAsia" w:ascii="宋体" w:hAnsi="宋体" w:eastAsia="宋体" w:cs="宋体"/>
                <w:b/>
                <w:bCs/>
                <w:color w:val="auto"/>
                <w:sz w:val="24"/>
              </w:rPr>
              <w:t>前后</w:t>
            </w:r>
            <w:r>
              <w:rPr>
                <w:rFonts w:hint="eastAsia" w:ascii="宋体" w:hAnsi="宋体" w:eastAsia="宋体" w:cs="宋体"/>
                <w:b/>
                <w:bCs/>
                <w:color w:val="auto"/>
                <w:sz w:val="24"/>
                <w:lang w:eastAsia="zh-CN"/>
              </w:rPr>
              <w:t>大气污染物</w:t>
            </w:r>
            <w:r>
              <w:rPr>
                <w:rFonts w:hint="eastAsia" w:ascii="宋体" w:hAnsi="宋体" w:eastAsia="宋体" w:cs="宋体"/>
                <w:b/>
                <w:bCs/>
                <w:color w:val="auto"/>
                <w:sz w:val="24"/>
              </w:rPr>
              <w:t xml:space="preserve">“三本账”  </w:t>
            </w:r>
            <w:r>
              <w:rPr>
                <w:rFonts w:hint="eastAsia" w:ascii="宋体" w:hAnsi="宋体" w:eastAsia="宋体" w:cs="宋体"/>
                <w:b/>
                <w:bCs/>
                <w:color w:val="auto"/>
                <w:sz w:val="24"/>
                <w:lang w:val="en-US" w:eastAsia="zh-CN"/>
              </w:rPr>
              <w:t xml:space="preserve">  </w:t>
            </w:r>
            <w:r>
              <w:rPr>
                <w:rFonts w:hint="eastAsia" w:ascii="宋体" w:hAnsi="宋体" w:eastAsia="宋体" w:cs="宋体"/>
                <w:b/>
                <w:bCs/>
                <w:color w:val="auto"/>
                <w:sz w:val="24"/>
              </w:rPr>
              <w:t>单位</w:t>
            </w:r>
            <w:r>
              <w:rPr>
                <w:rFonts w:hint="eastAsia" w:ascii="宋体" w:hAnsi="宋体" w:eastAsia="宋体" w:cs="宋体"/>
                <w:b/>
                <w:bCs/>
                <w:color w:val="auto"/>
                <w:sz w:val="24"/>
                <w:lang w:eastAsia="zh-CN"/>
              </w:rPr>
              <w:t>：</w:t>
            </w:r>
            <w:r>
              <w:rPr>
                <w:rFonts w:hint="eastAsia" w:ascii="宋体" w:hAnsi="宋体" w:eastAsia="宋体" w:cs="宋体"/>
                <w:b/>
                <w:bCs/>
                <w:color w:val="auto"/>
                <w:sz w:val="24"/>
              </w:rPr>
              <w:t>t/a</w:t>
            </w:r>
            <w:r>
              <w:rPr>
                <w:rFonts w:hint="default"/>
              </w:rPr>
              <w:commentReference w:id="4"/>
            </w:r>
          </w:p>
          <w:tbl>
            <w:tblPr>
              <w:tblStyle w:val="26"/>
              <w:tblW w:w="81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800"/>
              <w:gridCol w:w="913"/>
              <w:gridCol w:w="1074"/>
              <w:gridCol w:w="938"/>
              <w:gridCol w:w="825"/>
              <w:gridCol w:w="1085"/>
              <w:gridCol w:w="1043"/>
              <w:gridCol w:w="805"/>
            </w:tblGrid>
            <w:tr w14:paraId="38D46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9" w:type="dxa"/>
                  <w:noWrap w:val="0"/>
                  <w:vAlign w:val="center"/>
                </w:tcPr>
                <w:p w14:paraId="3145B5CE">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环境</w:t>
                  </w:r>
                </w:p>
                <w:p w14:paraId="35B73A2D">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要素</w:t>
                  </w:r>
                </w:p>
              </w:tc>
              <w:tc>
                <w:tcPr>
                  <w:tcW w:w="800" w:type="dxa"/>
                  <w:noWrap w:val="0"/>
                  <w:vAlign w:val="center"/>
                </w:tcPr>
                <w:p w14:paraId="0B976095">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排放形式</w:t>
                  </w:r>
                </w:p>
              </w:tc>
              <w:tc>
                <w:tcPr>
                  <w:tcW w:w="913" w:type="dxa"/>
                  <w:noWrap w:val="0"/>
                  <w:vAlign w:val="center"/>
                </w:tcPr>
                <w:p w14:paraId="1AAD9580">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污染物</w:t>
                  </w:r>
                </w:p>
              </w:tc>
              <w:tc>
                <w:tcPr>
                  <w:tcW w:w="1074" w:type="dxa"/>
                  <w:noWrap w:val="0"/>
                  <w:vAlign w:val="center"/>
                </w:tcPr>
                <w:p w14:paraId="19B86AAC">
                  <w:pPr>
                    <w:pStyle w:val="4"/>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现有工程排放量</w:t>
                  </w:r>
                </w:p>
              </w:tc>
              <w:tc>
                <w:tcPr>
                  <w:tcW w:w="938" w:type="dxa"/>
                  <w:noWrap w:val="0"/>
                  <w:vAlign w:val="center"/>
                </w:tcPr>
                <w:p w14:paraId="4DE1F032">
                  <w:pPr>
                    <w:pStyle w:val="4"/>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现有项目许可排放量</w:t>
                  </w:r>
                </w:p>
              </w:tc>
              <w:tc>
                <w:tcPr>
                  <w:tcW w:w="825" w:type="dxa"/>
                  <w:noWrap w:val="0"/>
                  <w:vAlign w:val="center"/>
                </w:tcPr>
                <w:p w14:paraId="11F0CABB">
                  <w:pPr>
                    <w:pStyle w:val="4"/>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本项目排放量</w:t>
                  </w:r>
                </w:p>
              </w:tc>
              <w:tc>
                <w:tcPr>
                  <w:tcW w:w="1085" w:type="dxa"/>
                  <w:noWrap w:val="0"/>
                  <w:vAlign w:val="center"/>
                </w:tcPr>
                <w:p w14:paraId="31BC761D">
                  <w:pPr>
                    <w:pStyle w:val="4"/>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highlight w:val="yellow"/>
                    </w:rPr>
                  </w:pPr>
                  <w:r>
                    <w:rPr>
                      <w:rFonts w:hint="eastAsia" w:ascii="宋体" w:hAnsi="宋体" w:eastAsia="宋体" w:cs="宋体"/>
                      <w:b w:val="0"/>
                      <w:bCs w:val="0"/>
                      <w:color w:val="auto"/>
                      <w:sz w:val="21"/>
                      <w:szCs w:val="21"/>
                      <w:highlight w:val="yellow"/>
                    </w:rPr>
                    <w:t>以新带老削减量</w:t>
                  </w:r>
                </w:p>
              </w:tc>
              <w:tc>
                <w:tcPr>
                  <w:tcW w:w="1043" w:type="dxa"/>
                  <w:noWrap w:val="0"/>
                  <w:vAlign w:val="center"/>
                </w:tcPr>
                <w:p w14:paraId="3566F019">
                  <w:pPr>
                    <w:pStyle w:val="4"/>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eastAsia="zh-CN"/>
                    </w:rPr>
                    <w:t>技改</w:t>
                  </w:r>
                  <w:r>
                    <w:rPr>
                      <w:rFonts w:hint="eastAsia" w:ascii="宋体" w:hAnsi="宋体" w:eastAsia="宋体" w:cs="宋体"/>
                      <w:b w:val="0"/>
                      <w:bCs w:val="0"/>
                      <w:color w:val="auto"/>
                      <w:sz w:val="21"/>
                      <w:szCs w:val="21"/>
                    </w:rPr>
                    <w:t>后总排放量</w:t>
                  </w:r>
                </w:p>
              </w:tc>
              <w:tc>
                <w:tcPr>
                  <w:tcW w:w="805" w:type="dxa"/>
                  <w:noWrap w:val="0"/>
                  <w:vAlign w:val="center"/>
                </w:tcPr>
                <w:p w14:paraId="50AB0E92">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增减量变化</w:t>
                  </w:r>
                </w:p>
              </w:tc>
            </w:tr>
            <w:tr w14:paraId="5BA35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9" w:type="dxa"/>
                  <w:vMerge w:val="restart"/>
                  <w:noWrap w:val="0"/>
                  <w:vAlign w:val="center"/>
                </w:tcPr>
                <w:p w14:paraId="15133963">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废气</w:t>
                  </w:r>
                </w:p>
              </w:tc>
              <w:tc>
                <w:tcPr>
                  <w:tcW w:w="800" w:type="dxa"/>
                  <w:vMerge w:val="restart"/>
                  <w:noWrap w:val="0"/>
                  <w:vAlign w:val="center"/>
                </w:tcPr>
                <w:p w14:paraId="4B202B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eastAsia="zh-CN"/>
                    </w:rPr>
                    <w:t>有组织</w:t>
                  </w:r>
                </w:p>
              </w:tc>
              <w:tc>
                <w:tcPr>
                  <w:tcW w:w="913" w:type="dxa"/>
                  <w:noWrap w:val="0"/>
                  <w:vAlign w:val="center"/>
                </w:tcPr>
                <w:p w14:paraId="2C11EBE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rPr>
                      <w:rFonts w:hint="eastAsia" w:ascii="宋体" w:hAnsi="宋体" w:eastAsia="宋体" w:cs="宋体"/>
                      <w:b w:val="0"/>
                      <w:bCs w:val="0"/>
                      <w:snapToGrid w:val="0"/>
                      <w:color w:val="auto"/>
                      <w:kern w:val="21"/>
                      <w:sz w:val="21"/>
                      <w:szCs w:val="21"/>
                      <w:highlight w:val="none"/>
                    </w:rPr>
                  </w:pPr>
                  <w:r>
                    <w:rPr>
                      <w:rFonts w:hint="eastAsia" w:ascii="宋体" w:hAnsi="宋体" w:eastAsia="宋体" w:cs="宋体"/>
                      <w:b w:val="0"/>
                      <w:bCs w:val="0"/>
                      <w:snapToGrid w:val="0"/>
                      <w:color w:val="auto"/>
                      <w:kern w:val="21"/>
                      <w:sz w:val="21"/>
                      <w:szCs w:val="21"/>
                      <w:highlight w:val="none"/>
                    </w:rPr>
                    <w:t>颗粒物</w:t>
                  </w:r>
                </w:p>
              </w:tc>
              <w:tc>
                <w:tcPr>
                  <w:tcW w:w="1074" w:type="dxa"/>
                  <w:noWrap w:val="0"/>
                  <w:vAlign w:val="center"/>
                </w:tcPr>
                <w:p w14:paraId="0E71B71E">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color w:val="auto"/>
                      <w:kern w:val="0"/>
                      <w:szCs w:val="21"/>
                      <w:lang w:val="en-US" w:eastAsia="zh-CN" w:bidi="ar"/>
                    </w:rPr>
                    <w:t>0.646</w:t>
                  </w:r>
                </w:p>
              </w:tc>
              <w:tc>
                <w:tcPr>
                  <w:tcW w:w="938" w:type="dxa"/>
                  <w:noWrap w:val="0"/>
                  <w:vAlign w:val="center"/>
                </w:tcPr>
                <w:p w14:paraId="7861512C">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leftChars="0" w:right="0" w:rightChars="0" w:firstLine="0" w:firstLineChars="0"/>
                    <w:jc w:val="center"/>
                    <w:textAlignment w:val="center"/>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0</w:t>
                  </w:r>
                </w:p>
              </w:tc>
              <w:tc>
                <w:tcPr>
                  <w:tcW w:w="825" w:type="dxa"/>
                  <w:noWrap w:val="0"/>
                  <w:vAlign w:val="center"/>
                </w:tcPr>
                <w:p w14:paraId="7BD91CC0">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kern w:val="0"/>
                      <w:sz w:val="21"/>
                      <w:szCs w:val="21"/>
                      <w:highlight w:val="none"/>
                      <w:lang w:val="en-US" w:bidi="ar"/>
                    </w:rPr>
                  </w:pPr>
                  <w:r>
                    <w:rPr>
                      <w:rFonts w:hint="eastAsia" w:ascii="宋体" w:hAnsi="宋体" w:eastAsia="宋体" w:cs="宋体"/>
                      <w:color w:val="auto"/>
                      <w:kern w:val="2"/>
                      <w:sz w:val="21"/>
                      <w:szCs w:val="21"/>
                      <w:lang w:val="en-US" w:eastAsia="zh-CN" w:bidi="ar-SA"/>
                    </w:rPr>
                    <w:t>0.0</w:t>
                  </w:r>
                  <w:r>
                    <w:rPr>
                      <w:rFonts w:hint="eastAsia" w:eastAsia="宋体" w:cs="宋体"/>
                      <w:color w:val="auto"/>
                      <w:kern w:val="2"/>
                      <w:sz w:val="21"/>
                      <w:szCs w:val="21"/>
                      <w:lang w:val="en-US" w:eastAsia="zh-CN" w:bidi="ar-SA"/>
                    </w:rPr>
                    <w:t>7</w:t>
                  </w:r>
                  <w:r>
                    <w:rPr>
                      <w:rFonts w:hint="eastAsia" w:ascii="宋体" w:hAnsi="宋体" w:eastAsia="宋体" w:cs="宋体"/>
                      <w:color w:val="auto"/>
                      <w:kern w:val="2"/>
                      <w:sz w:val="21"/>
                      <w:szCs w:val="21"/>
                      <w:lang w:val="en-US" w:eastAsia="zh-CN" w:bidi="ar-SA"/>
                    </w:rPr>
                    <w:t>8</w:t>
                  </w:r>
                </w:p>
              </w:tc>
              <w:tc>
                <w:tcPr>
                  <w:tcW w:w="1085" w:type="dxa"/>
                  <w:noWrap w:val="0"/>
                  <w:vAlign w:val="center"/>
                </w:tcPr>
                <w:p w14:paraId="4230A6F1">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sz w:val="21"/>
                      <w:szCs w:val="21"/>
                      <w:highlight w:val="yellow"/>
                      <w:lang w:val="en-US" w:eastAsia="zh-CN"/>
                    </w:rPr>
                  </w:pPr>
                  <w:r>
                    <w:rPr>
                      <w:rFonts w:hint="eastAsia" w:ascii="宋体" w:hAnsi="宋体" w:eastAsia="宋体" w:cs="宋体"/>
                      <w:color w:val="auto"/>
                      <w:kern w:val="0"/>
                      <w:szCs w:val="21"/>
                      <w:highlight w:val="yellow"/>
                      <w:lang w:val="en-US" w:eastAsia="zh-CN" w:bidi="ar"/>
                    </w:rPr>
                    <w:t>0.646</w:t>
                  </w:r>
                </w:p>
              </w:tc>
              <w:tc>
                <w:tcPr>
                  <w:tcW w:w="1043" w:type="dxa"/>
                  <w:noWrap w:val="0"/>
                  <w:vAlign w:val="center"/>
                </w:tcPr>
                <w:p w14:paraId="532FEAD8">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sz w:val="21"/>
                      <w:szCs w:val="21"/>
                      <w:highlight w:val="none"/>
                      <w:lang w:val="en-US"/>
                    </w:rPr>
                  </w:pPr>
                  <w:r>
                    <w:rPr>
                      <w:rFonts w:hint="eastAsia" w:ascii="宋体" w:hAnsi="宋体" w:eastAsia="宋体" w:cs="宋体"/>
                      <w:color w:val="auto"/>
                      <w:kern w:val="2"/>
                      <w:sz w:val="21"/>
                      <w:szCs w:val="21"/>
                      <w:lang w:val="en-US" w:eastAsia="zh-CN" w:bidi="ar-SA"/>
                    </w:rPr>
                    <w:t>0.0</w:t>
                  </w:r>
                  <w:r>
                    <w:rPr>
                      <w:rFonts w:hint="eastAsia" w:eastAsia="宋体" w:cs="宋体"/>
                      <w:color w:val="auto"/>
                      <w:kern w:val="2"/>
                      <w:sz w:val="21"/>
                      <w:szCs w:val="21"/>
                      <w:lang w:val="en-US" w:eastAsia="zh-CN" w:bidi="ar-SA"/>
                    </w:rPr>
                    <w:t>78</w:t>
                  </w:r>
                </w:p>
              </w:tc>
              <w:tc>
                <w:tcPr>
                  <w:tcW w:w="805" w:type="dxa"/>
                  <w:noWrap w:val="0"/>
                  <w:vAlign w:val="center"/>
                </w:tcPr>
                <w:p w14:paraId="31DC30BB">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color w:val="auto"/>
                      <w:kern w:val="0"/>
                      <w:sz w:val="21"/>
                      <w:szCs w:val="21"/>
                      <w:lang w:val="en-US" w:eastAsia="zh-CN" w:bidi="ar"/>
                    </w:rPr>
                    <w:t>-0.</w:t>
                  </w:r>
                  <w:r>
                    <w:rPr>
                      <w:rFonts w:hint="eastAsia" w:eastAsia="宋体" w:cs="宋体"/>
                      <w:color w:val="auto"/>
                      <w:kern w:val="0"/>
                      <w:sz w:val="21"/>
                      <w:szCs w:val="21"/>
                      <w:lang w:val="en-US" w:eastAsia="zh-CN" w:bidi="ar"/>
                    </w:rPr>
                    <w:t>568</w:t>
                  </w:r>
                </w:p>
              </w:tc>
            </w:tr>
            <w:tr w14:paraId="3285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9" w:type="dxa"/>
                  <w:vMerge w:val="continue"/>
                  <w:noWrap w:val="0"/>
                  <w:vAlign w:val="center"/>
                </w:tcPr>
                <w:p w14:paraId="43F59CA8">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p>
              </w:tc>
              <w:tc>
                <w:tcPr>
                  <w:tcW w:w="800" w:type="dxa"/>
                  <w:vMerge w:val="continue"/>
                  <w:noWrap w:val="0"/>
                  <w:vAlign w:val="center"/>
                </w:tcPr>
                <w:p w14:paraId="3C0A732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rPr>
                      <w:rFonts w:hint="eastAsia" w:ascii="宋体" w:hAnsi="宋体" w:eastAsia="宋体" w:cs="宋体"/>
                      <w:b w:val="0"/>
                      <w:bCs w:val="0"/>
                      <w:snapToGrid w:val="0"/>
                      <w:color w:val="auto"/>
                      <w:kern w:val="21"/>
                      <w:sz w:val="21"/>
                      <w:szCs w:val="21"/>
                      <w:highlight w:val="none"/>
                    </w:rPr>
                  </w:pPr>
                </w:p>
              </w:tc>
              <w:tc>
                <w:tcPr>
                  <w:tcW w:w="913" w:type="dxa"/>
                  <w:noWrap w:val="0"/>
                  <w:vAlign w:val="center"/>
                </w:tcPr>
                <w:p w14:paraId="511F161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SO</w:t>
                  </w:r>
                  <w:r>
                    <w:rPr>
                      <w:rFonts w:hint="eastAsia" w:ascii="宋体" w:hAnsi="宋体" w:eastAsia="宋体" w:cs="宋体"/>
                      <w:b w:val="0"/>
                      <w:bCs w:val="0"/>
                      <w:color w:val="auto"/>
                      <w:sz w:val="21"/>
                      <w:szCs w:val="21"/>
                      <w:vertAlign w:val="subscript"/>
                      <w:lang w:val="en-US" w:eastAsia="zh-CN"/>
                    </w:rPr>
                    <w:t>2</w:t>
                  </w:r>
                </w:p>
              </w:tc>
              <w:tc>
                <w:tcPr>
                  <w:tcW w:w="1074" w:type="dxa"/>
                  <w:noWrap w:val="0"/>
                  <w:vAlign w:val="center"/>
                </w:tcPr>
                <w:p w14:paraId="73F3A251">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color w:val="auto"/>
                      <w:kern w:val="0"/>
                      <w:szCs w:val="21"/>
                      <w:lang w:val="en-US" w:eastAsia="zh-CN" w:bidi="ar"/>
                    </w:rPr>
                    <w:t>2.325</w:t>
                  </w:r>
                </w:p>
              </w:tc>
              <w:tc>
                <w:tcPr>
                  <w:tcW w:w="938" w:type="dxa"/>
                  <w:noWrap w:val="0"/>
                  <w:vAlign w:val="center"/>
                </w:tcPr>
                <w:p w14:paraId="67A834CC">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leftChars="0" w:right="0" w:rightChars="0" w:firstLine="0" w:firstLineChars="0"/>
                    <w:jc w:val="center"/>
                    <w:textAlignment w:val="center"/>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0</w:t>
                  </w:r>
                </w:p>
              </w:tc>
              <w:tc>
                <w:tcPr>
                  <w:tcW w:w="825" w:type="dxa"/>
                  <w:noWrap w:val="0"/>
                  <w:vAlign w:val="center"/>
                </w:tcPr>
                <w:p w14:paraId="71783DE6">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snapToGrid w:val="0"/>
                      <w:color w:val="auto"/>
                      <w:kern w:val="21"/>
                      <w:sz w:val="21"/>
                      <w:szCs w:val="21"/>
                      <w:highlight w:val="none"/>
                      <w:lang w:val="en-US" w:eastAsia="zh-CN"/>
                    </w:rPr>
                  </w:pPr>
                  <w:r>
                    <w:rPr>
                      <w:rFonts w:hint="eastAsia" w:ascii="宋体" w:hAnsi="宋体" w:eastAsia="宋体" w:cs="宋体"/>
                      <w:color w:val="auto"/>
                      <w:szCs w:val="21"/>
                      <w:lang w:val="en-US" w:eastAsia="zh-CN"/>
                    </w:rPr>
                    <w:t>0.006</w:t>
                  </w:r>
                </w:p>
              </w:tc>
              <w:tc>
                <w:tcPr>
                  <w:tcW w:w="1085" w:type="dxa"/>
                  <w:noWrap w:val="0"/>
                  <w:vAlign w:val="center"/>
                </w:tcPr>
                <w:p w14:paraId="55FF6242">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snapToGrid w:val="0"/>
                      <w:color w:val="auto"/>
                      <w:kern w:val="21"/>
                      <w:sz w:val="21"/>
                      <w:szCs w:val="21"/>
                      <w:highlight w:val="yellow"/>
                      <w:lang w:val="en-US" w:eastAsia="zh-CN"/>
                    </w:rPr>
                  </w:pPr>
                  <w:r>
                    <w:rPr>
                      <w:rFonts w:hint="eastAsia" w:ascii="宋体" w:hAnsi="宋体" w:eastAsia="宋体" w:cs="宋体"/>
                      <w:color w:val="auto"/>
                      <w:kern w:val="0"/>
                      <w:szCs w:val="21"/>
                      <w:highlight w:val="yellow"/>
                      <w:lang w:val="en-US" w:eastAsia="zh-CN" w:bidi="ar"/>
                    </w:rPr>
                    <w:t>2.325</w:t>
                  </w:r>
                </w:p>
              </w:tc>
              <w:tc>
                <w:tcPr>
                  <w:tcW w:w="1043" w:type="dxa"/>
                  <w:noWrap w:val="0"/>
                  <w:vAlign w:val="center"/>
                </w:tcPr>
                <w:p w14:paraId="21FB52AB">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snapToGrid w:val="0"/>
                      <w:color w:val="auto"/>
                      <w:kern w:val="21"/>
                      <w:sz w:val="21"/>
                      <w:szCs w:val="21"/>
                      <w:highlight w:val="none"/>
                      <w:lang w:val="en-US" w:eastAsia="zh-CN"/>
                    </w:rPr>
                  </w:pPr>
                  <w:r>
                    <w:rPr>
                      <w:rFonts w:hint="eastAsia" w:ascii="宋体" w:hAnsi="宋体" w:eastAsia="宋体" w:cs="宋体"/>
                      <w:color w:val="auto"/>
                      <w:szCs w:val="21"/>
                      <w:lang w:val="en-US" w:eastAsia="zh-CN"/>
                    </w:rPr>
                    <w:t>0.006</w:t>
                  </w:r>
                </w:p>
              </w:tc>
              <w:tc>
                <w:tcPr>
                  <w:tcW w:w="805" w:type="dxa"/>
                  <w:noWrap w:val="0"/>
                  <w:vAlign w:val="center"/>
                </w:tcPr>
                <w:p w14:paraId="36A41132">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color w:val="auto"/>
                      <w:kern w:val="0"/>
                      <w:szCs w:val="21"/>
                      <w:lang w:val="en-US" w:eastAsia="zh-CN" w:bidi="ar"/>
                    </w:rPr>
                    <w:t>-2.319</w:t>
                  </w:r>
                </w:p>
              </w:tc>
            </w:tr>
            <w:tr w14:paraId="004FB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9" w:type="dxa"/>
                  <w:vMerge w:val="continue"/>
                  <w:noWrap w:val="0"/>
                  <w:vAlign w:val="center"/>
                </w:tcPr>
                <w:p w14:paraId="06CC004D">
                  <w:pPr>
                    <w:keepNext w:val="0"/>
                    <w:keepLines w:val="0"/>
                    <w:pageBreakBefore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 w:val="0"/>
                      <w:bCs w:val="0"/>
                      <w:color w:val="auto"/>
                      <w:sz w:val="21"/>
                      <w:szCs w:val="21"/>
                    </w:rPr>
                  </w:pPr>
                </w:p>
              </w:tc>
              <w:tc>
                <w:tcPr>
                  <w:tcW w:w="800" w:type="dxa"/>
                  <w:vMerge w:val="continue"/>
                  <w:noWrap w:val="0"/>
                  <w:vAlign w:val="center"/>
                </w:tcPr>
                <w:p w14:paraId="3763EA3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rPr>
                      <w:rFonts w:hint="eastAsia" w:ascii="宋体" w:hAnsi="宋体" w:eastAsia="宋体" w:cs="宋体"/>
                      <w:b w:val="0"/>
                      <w:bCs w:val="0"/>
                      <w:snapToGrid w:val="0"/>
                      <w:color w:val="auto"/>
                      <w:kern w:val="21"/>
                      <w:sz w:val="21"/>
                      <w:szCs w:val="21"/>
                      <w:highlight w:val="none"/>
                    </w:rPr>
                  </w:pPr>
                </w:p>
              </w:tc>
              <w:tc>
                <w:tcPr>
                  <w:tcW w:w="913" w:type="dxa"/>
                  <w:noWrap w:val="0"/>
                  <w:vAlign w:val="center"/>
                </w:tcPr>
                <w:p w14:paraId="3D1503B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NOx</w:t>
                  </w:r>
                </w:p>
              </w:tc>
              <w:tc>
                <w:tcPr>
                  <w:tcW w:w="1074" w:type="dxa"/>
                  <w:noWrap w:val="0"/>
                  <w:vAlign w:val="center"/>
                </w:tcPr>
                <w:p w14:paraId="526E93FD">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kern w:val="0"/>
                      <w:sz w:val="21"/>
                      <w:szCs w:val="21"/>
                      <w:highlight w:val="none"/>
                      <w:lang w:val="en-US" w:eastAsia="zh-CN" w:bidi="ar"/>
                    </w:rPr>
                  </w:pPr>
                  <w:commentRangeStart w:id="5"/>
                  <w:r>
                    <w:rPr>
                      <w:rFonts w:hint="eastAsia" w:ascii="宋体" w:hAnsi="宋体" w:eastAsia="宋体" w:cs="宋体"/>
                      <w:color w:val="auto"/>
                      <w:kern w:val="0"/>
                      <w:szCs w:val="21"/>
                      <w:lang w:val="en-US" w:eastAsia="zh-CN" w:bidi="ar"/>
                    </w:rPr>
                    <w:t>1.421</w:t>
                  </w:r>
                  <w:commentRangeEnd w:id="5"/>
                  <w:r>
                    <w:rPr>
                      <w:rFonts w:hint="default"/>
                    </w:rPr>
                    <w:commentReference w:id="5"/>
                  </w:r>
                </w:p>
              </w:tc>
              <w:tc>
                <w:tcPr>
                  <w:tcW w:w="938" w:type="dxa"/>
                  <w:noWrap w:val="0"/>
                  <w:vAlign w:val="center"/>
                </w:tcPr>
                <w:p w14:paraId="22BFBB39">
                  <w:pPr>
                    <w:keepNext w:val="0"/>
                    <w:keepLines w:val="0"/>
                    <w:pageBreakBefore w:val="0"/>
                    <w:widowControl/>
                    <w:suppressLineNumbers w:val="0"/>
                    <w:kinsoku/>
                    <w:wordWrap/>
                    <w:overflowPunct/>
                    <w:topLinePunct w:val="0"/>
                    <w:autoSpaceDE/>
                    <w:autoSpaceDN/>
                    <w:bidi w:val="0"/>
                    <w:spacing w:before="0" w:beforeAutospacing="0" w:after="0" w:afterAutospacing="0" w:line="360" w:lineRule="exact"/>
                    <w:ind w:left="0" w:leftChars="0" w:right="0" w:rightChars="0" w:firstLine="0" w:firstLineChars="0"/>
                    <w:jc w:val="center"/>
                    <w:textAlignment w:val="center"/>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0</w:t>
                  </w:r>
                </w:p>
              </w:tc>
              <w:tc>
                <w:tcPr>
                  <w:tcW w:w="825" w:type="dxa"/>
                  <w:noWrap w:val="0"/>
                  <w:vAlign w:val="center"/>
                </w:tcPr>
                <w:p w14:paraId="42D00287">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snapToGrid w:val="0"/>
                      <w:color w:val="auto"/>
                      <w:kern w:val="21"/>
                      <w:sz w:val="21"/>
                      <w:szCs w:val="21"/>
                      <w:highlight w:val="none"/>
                      <w:lang w:val="en-US" w:eastAsia="zh-CN"/>
                    </w:rPr>
                  </w:pPr>
                  <w:r>
                    <w:rPr>
                      <w:rFonts w:hint="eastAsia" w:eastAsia="宋体" w:cs="宋体"/>
                      <w:color w:val="auto"/>
                      <w:szCs w:val="21"/>
                      <w:lang w:val="en-US" w:eastAsia="zh-CN"/>
                    </w:rPr>
                    <w:t>0.636</w:t>
                  </w:r>
                </w:p>
              </w:tc>
              <w:tc>
                <w:tcPr>
                  <w:tcW w:w="1085" w:type="dxa"/>
                  <w:noWrap w:val="0"/>
                  <w:vAlign w:val="center"/>
                </w:tcPr>
                <w:p w14:paraId="5051B38E">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snapToGrid w:val="0"/>
                      <w:color w:val="auto"/>
                      <w:kern w:val="21"/>
                      <w:sz w:val="21"/>
                      <w:szCs w:val="21"/>
                      <w:highlight w:val="yellow"/>
                      <w:lang w:val="en-US" w:eastAsia="zh-CN"/>
                    </w:rPr>
                  </w:pPr>
                  <w:r>
                    <w:rPr>
                      <w:rFonts w:hint="eastAsia" w:ascii="宋体" w:hAnsi="宋体" w:eastAsia="宋体" w:cs="宋体"/>
                      <w:color w:val="auto"/>
                      <w:kern w:val="0"/>
                      <w:szCs w:val="21"/>
                      <w:highlight w:val="yellow"/>
                      <w:lang w:val="en-US" w:eastAsia="zh-CN" w:bidi="ar"/>
                    </w:rPr>
                    <w:t>1.421</w:t>
                  </w:r>
                </w:p>
              </w:tc>
              <w:tc>
                <w:tcPr>
                  <w:tcW w:w="1043" w:type="dxa"/>
                  <w:noWrap w:val="0"/>
                  <w:vAlign w:val="center"/>
                </w:tcPr>
                <w:p w14:paraId="4E017D12">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snapToGrid w:val="0"/>
                      <w:color w:val="auto"/>
                      <w:kern w:val="21"/>
                      <w:sz w:val="21"/>
                      <w:szCs w:val="21"/>
                      <w:highlight w:val="none"/>
                      <w:lang w:val="en-US" w:eastAsia="zh-CN"/>
                    </w:rPr>
                  </w:pPr>
                  <w:r>
                    <w:rPr>
                      <w:rFonts w:hint="eastAsia" w:eastAsia="宋体" w:cs="宋体"/>
                      <w:color w:val="auto"/>
                      <w:szCs w:val="21"/>
                      <w:lang w:val="en-US" w:eastAsia="zh-CN"/>
                    </w:rPr>
                    <w:t>0.636</w:t>
                  </w:r>
                </w:p>
              </w:tc>
              <w:tc>
                <w:tcPr>
                  <w:tcW w:w="805" w:type="dxa"/>
                  <w:noWrap w:val="0"/>
                  <w:vAlign w:val="center"/>
                </w:tcPr>
                <w:p w14:paraId="6D175CFF">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color w:val="auto"/>
                      <w:kern w:val="0"/>
                      <w:szCs w:val="21"/>
                      <w:lang w:val="en-US" w:eastAsia="zh-CN" w:bidi="ar"/>
                    </w:rPr>
                    <w:t>-</w:t>
                  </w:r>
                  <w:r>
                    <w:rPr>
                      <w:rFonts w:hint="eastAsia" w:eastAsia="宋体" w:cs="宋体"/>
                      <w:color w:val="auto"/>
                      <w:kern w:val="0"/>
                      <w:szCs w:val="21"/>
                      <w:lang w:val="en-US" w:eastAsia="zh-CN" w:bidi="ar"/>
                    </w:rPr>
                    <w:t>0.785</w:t>
                  </w:r>
                </w:p>
              </w:tc>
            </w:tr>
          </w:tbl>
          <w:p w14:paraId="589F2223">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Cs w:val="21"/>
              </w:rPr>
            </w:pPr>
            <w:r>
              <w:rPr>
                <w:rFonts w:hint="eastAsia" w:ascii="宋体" w:hAnsi="宋体" w:eastAsia="宋体" w:cs="宋体"/>
                <w:bCs/>
                <w:color w:val="auto"/>
                <w:sz w:val="24"/>
                <w:szCs w:val="24"/>
                <w:highlight w:val="none"/>
              </w:rPr>
              <w:t>根</w:t>
            </w:r>
            <w:r>
              <w:rPr>
                <w:rFonts w:hint="eastAsia" w:ascii="宋体" w:hAnsi="宋体" w:eastAsia="宋体" w:cs="宋体"/>
                <w:bCs/>
                <w:color w:val="auto"/>
                <w:sz w:val="24"/>
                <w:szCs w:val="24"/>
              </w:rPr>
              <w:t>据</w:t>
            </w:r>
            <w:r>
              <w:rPr>
                <w:rFonts w:hint="eastAsia" w:ascii="宋体" w:hAnsi="宋体" w:eastAsia="宋体" w:cs="宋体"/>
                <w:bCs/>
                <w:color w:val="auto"/>
                <w:sz w:val="24"/>
                <w:szCs w:val="24"/>
                <w:lang w:eastAsia="zh-CN"/>
              </w:rPr>
              <w:t>上表计算结果</w:t>
            </w:r>
            <w:r>
              <w:rPr>
                <w:rFonts w:hint="eastAsia" w:ascii="宋体" w:hAnsi="宋体" w:eastAsia="宋体" w:cs="宋体"/>
                <w:bCs/>
                <w:color w:val="auto"/>
                <w:sz w:val="24"/>
                <w:szCs w:val="24"/>
              </w:rPr>
              <w:t>，本次</w:t>
            </w:r>
            <w:r>
              <w:rPr>
                <w:rFonts w:hint="eastAsia" w:ascii="宋体" w:hAnsi="宋体" w:eastAsia="宋体" w:cs="宋体"/>
                <w:bCs/>
                <w:color w:val="auto"/>
                <w:sz w:val="24"/>
                <w:szCs w:val="24"/>
                <w:lang w:eastAsia="zh-CN"/>
              </w:rPr>
              <w:t>技改后颗粒物、</w:t>
            </w:r>
            <w:r>
              <w:rPr>
                <w:rFonts w:hint="eastAsia" w:ascii="宋体" w:hAnsi="宋体" w:eastAsia="宋体" w:cs="宋体"/>
                <w:bCs/>
                <w:color w:val="auto"/>
                <w:sz w:val="24"/>
                <w:szCs w:val="24"/>
                <w:lang w:val="en-US" w:eastAsia="zh-CN"/>
              </w:rPr>
              <w:t>SO</w:t>
            </w:r>
            <w:r>
              <w:rPr>
                <w:rFonts w:hint="eastAsia" w:ascii="宋体" w:hAnsi="宋体" w:eastAsia="宋体" w:cs="宋体"/>
                <w:bCs/>
                <w:color w:val="auto"/>
                <w:sz w:val="24"/>
                <w:szCs w:val="24"/>
                <w:vertAlign w:val="subscript"/>
                <w:lang w:val="en-US" w:eastAsia="zh-CN"/>
              </w:rPr>
              <w:t>2</w:t>
            </w:r>
            <w:r>
              <w:rPr>
                <w:rFonts w:hint="eastAsia" w:ascii="宋体" w:hAnsi="宋体" w:eastAsia="宋体" w:cs="宋体"/>
                <w:bCs/>
                <w:color w:val="auto"/>
                <w:sz w:val="24"/>
                <w:szCs w:val="24"/>
                <w:lang w:val="en-US" w:eastAsia="zh-CN"/>
              </w:rPr>
              <w:t>、</w:t>
            </w:r>
            <w:r>
              <w:rPr>
                <w:rFonts w:hint="eastAsia" w:ascii="宋体" w:hAnsi="宋体" w:eastAsia="宋体" w:cs="宋体"/>
                <w:bCs/>
                <w:color w:val="auto"/>
                <w:sz w:val="24"/>
                <w:szCs w:val="24"/>
              </w:rPr>
              <w:t>NOx</w:t>
            </w:r>
            <w:r>
              <w:rPr>
                <w:rFonts w:hint="eastAsia" w:ascii="宋体" w:hAnsi="宋体" w:eastAsia="宋体" w:cs="宋体"/>
                <w:bCs/>
                <w:color w:val="auto"/>
                <w:sz w:val="24"/>
                <w:szCs w:val="24"/>
                <w:lang w:eastAsia="zh-CN"/>
              </w:rPr>
              <w:t>排放量均低于现有项目排放量，不需申请总量控制指标</w:t>
            </w:r>
            <w:r>
              <w:rPr>
                <w:rFonts w:hint="eastAsia" w:ascii="宋体" w:hAnsi="宋体" w:eastAsia="宋体" w:cs="宋体"/>
                <w:bCs/>
                <w:color w:val="auto"/>
                <w:sz w:val="24"/>
                <w:szCs w:val="24"/>
              </w:rPr>
              <w:t>。</w:t>
            </w:r>
          </w:p>
        </w:tc>
      </w:tr>
    </w:tbl>
    <w:p w14:paraId="696435DD">
      <w:pPr>
        <w:rPr>
          <w:rFonts w:hint="eastAsia" w:ascii="宋体" w:hAnsi="宋体" w:eastAsia="宋体" w:cs="宋体"/>
          <w:color w:val="auto"/>
          <w:sz w:val="28"/>
          <w:szCs w:val="28"/>
        </w:rPr>
      </w:pPr>
    </w:p>
    <w:p w14:paraId="543FAD68">
      <w:pPr>
        <w:pStyle w:val="24"/>
        <w:ind w:firstLine="600"/>
        <w:jc w:val="center"/>
        <w:outlineLvl w:val="0"/>
        <w:rPr>
          <w:rFonts w:hint="eastAsia" w:ascii="宋体" w:hAnsi="宋体" w:eastAsia="宋体" w:cs="宋体"/>
          <w:snapToGrid w:val="0"/>
          <w:color w:val="auto"/>
          <w:sz w:val="30"/>
          <w:szCs w:val="30"/>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21F679C">
      <w:pPr>
        <w:pStyle w:val="24"/>
        <w:keepNext w:val="0"/>
        <w:keepLines w:val="0"/>
        <w:pageBreakBefore w:val="0"/>
        <w:widowControl/>
        <w:kinsoku/>
        <w:wordWrap/>
        <w:overflowPunct/>
        <w:topLinePunct w:val="0"/>
        <w:autoSpaceDE/>
        <w:autoSpaceDN/>
        <w:bidi w:val="0"/>
        <w:adjustRightInd/>
        <w:snapToGrid/>
        <w:ind w:firstLine="601"/>
        <w:jc w:val="center"/>
        <w:textAlignment w:val="auto"/>
        <w:outlineLvl w:val="0"/>
        <w:rPr>
          <w:rFonts w:hint="eastAsia" w:ascii="宋体" w:hAnsi="宋体" w:eastAsia="宋体" w:cs="宋体"/>
          <w:snapToGrid w:val="0"/>
          <w:color w:val="auto"/>
          <w:sz w:val="30"/>
          <w:szCs w:val="30"/>
        </w:rPr>
      </w:pPr>
      <w:r>
        <w:rPr>
          <w:rFonts w:hint="eastAsia" w:ascii="宋体" w:hAnsi="宋体" w:eastAsia="宋体" w:cs="宋体"/>
          <w:snapToGrid w:val="0"/>
          <w:color w:val="auto"/>
          <w:sz w:val="30"/>
          <w:szCs w:val="30"/>
        </w:rPr>
        <w:t>四、主要环境影响和保护措施</w:t>
      </w:r>
    </w:p>
    <w:tbl>
      <w:tblPr>
        <w:tblStyle w:val="27"/>
        <w:tblW w:w="93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8579"/>
      </w:tblGrid>
      <w:tr w14:paraId="750BB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3" w:type="dxa"/>
            <w:vAlign w:val="center"/>
          </w:tcPr>
          <w:p w14:paraId="61DD0987">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val="0"/>
                <w:bCs w:val="0"/>
                <w:color w:val="auto"/>
                <w:sz w:val="24"/>
                <w:szCs w:val="24"/>
              </w:rPr>
              <w:t>施工期环境保护措施</w:t>
            </w:r>
          </w:p>
        </w:tc>
        <w:tc>
          <w:tcPr>
            <w:tcW w:w="8579" w:type="dxa"/>
            <w:vAlign w:val="center"/>
          </w:tcPr>
          <w:p w14:paraId="49F5059C">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本项目</w:t>
            </w:r>
            <w:r>
              <w:rPr>
                <w:rFonts w:hint="eastAsia" w:ascii="宋体" w:hAnsi="宋体" w:eastAsia="宋体" w:cs="宋体"/>
                <w:color w:val="auto"/>
                <w:sz w:val="24"/>
                <w:lang w:eastAsia="zh-CN"/>
              </w:rPr>
              <w:t>不涉及土建施工，主要施工内容为旧设备拆除和新设备安装</w:t>
            </w:r>
            <w:r>
              <w:rPr>
                <w:rFonts w:hint="eastAsia" w:ascii="宋体" w:hAnsi="宋体" w:eastAsia="宋体" w:cs="宋体"/>
                <w:color w:val="auto"/>
                <w:sz w:val="24"/>
              </w:rPr>
              <w:t>，施工过程中将产生废气、废水、噪声及</w:t>
            </w:r>
            <w:r>
              <w:rPr>
                <w:rFonts w:hint="eastAsia" w:ascii="宋体" w:hAnsi="宋体" w:eastAsia="宋体" w:cs="宋体"/>
                <w:color w:val="auto"/>
                <w:sz w:val="24"/>
                <w:lang w:eastAsia="zh-CN"/>
              </w:rPr>
              <w:t>固体废物</w:t>
            </w:r>
            <w:r>
              <w:rPr>
                <w:rFonts w:hint="eastAsia" w:ascii="宋体" w:hAnsi="宋体" w:eastAsia="宋体" w:cs="宋体"/>
                <w:color w:val="auto"/>
                <w:sz w:val="24"/>
              </w:rPr>
              <w:t>等污染物。</w:t>
            </w:r>
          </w:p>
          <w:p w14:paraId="3F48BEFA">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rPr>
            </w:pPr>
            <w:r>
              <w:rPr>
                <w:rFonts w:hint="eastAsia" w:ascii="宋体" w:hAnsi="宋体" w:eastAsia="宋体" w:cs="宋体"/>
                <w:b w:val="0"/>
                <w:bCs w:val="0"/>
                <w:sz w:val="28"/>
                <w:szCs w:val="28"/>
              </w:rPr>
              <w:t>1、大气环境影响分析</w:t>
            </w:r>
          </w:p>
          <w:p w14:paraId="1F4A8D19">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本项目施工期主要大气污染物为</w:t>
            </w:r>
            <w:r>
              <w:rPr>
                <w:rFonts w:hint="eastAsia" w:ascii="宋体" w:hAnsi="宋体" w:eastAsia="宋体" w:cs="宋体"/>
                <w:color w:val="000000" w:themeColor="text1"/>
                <w:sz w:val="24"/>
                <w:lang w:eastAsia="zh-CN"/>
                <w14:textFill>
                  <w14:solidFill>
                    <w14:schemeClr w14:val="tx1"/>
                  </w14:solidFill>
                </w14:textFill>
              </w:rPr>
              <w:t>汽车运输</w:t>
            </w:r>
            <w:r>
              <w:rPr>
                <w:rFonts w:hint="eastAsia" w:ascii="宋体" w:hAnsi="宋体" w:eastAsia="宋体" w:cs="宋体"/>
                <w:color w:val="000000" w:themeColor="text1"/>
                <w:sz w:val="24"/>
                <w14:textFill>
                  <w14:solidFill>
                    <w14:schemeClr w14:val="tx1"/>
                  </w14:solidFill>
                </w14:textFill>
              </w:rPr>
              <w:t>扬尘和施工机械尾气。</w:t>
            </w:r>
          </w:p>
          <w:p w14:paraId="31275214">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运输道路应经常洒水，以减少扬尘污染，限制车辆行驶速度（不大于5km/h）。施工机械尾气主要含有CO、NO</w:t>
            </w:r>
            <w:r>
              <w:rPr>
                <w:rFonts w:hint="eastAsia" w:ascii="宋体" w:hAnsi="宋体" w:eastAsia="宋体" w:cs="宋体"/>
                <w:color w:val="000000" w:themeColor="text1"/>
                <w:sz w:val="24"/>
                <w:vertAlign w:val="subscript"/>
                <w14:textFill>
                  <w14:solidFill>
                    <w14:schemeClr w14:val="tx1"/>
                  </w14:solidFill>
                </w14:textFill>
              </w:rPr>
              <w:t>x</w:t>
            </w:r>
            <w:r>
              <w:rPr>
                <w:rFonts w:hint="eastAsia" w:ascii="宋体" w:hAnsi="宋体" w:eastAsia="宋体" w:cs="宋体"/>
                <w:color w:val="000000" w:themeColor="text1"/>
                <w:sz w:val="24"/>
                <w14:textFill>
                  <w14:solidFill>
                    <w14:schemeClr w14:val="tx1"/>
                  </w14:solidFill>
                </w14:textFill>
              </w:rPr>
              <w:t>等污染物</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应加强对施工车辆的检修和维护，严禁使用超期服役和尾气超标的车辆。对施工期进出现场车流量进行合理安排，防止施工现场车流量过大。尽可能使用耗油低，排气小的施工车辆，选用优质燃油，减少机械和车辆有害废气排放。</w:t>
            </w:r>
          </w:p>
          <w:p w14:paraId="0A203A1A">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rPr>
            </w:pPr>
            <w:r>
              <w:rPr>
                <w:rFonts w:hint="eastAsia" w:ascii="宋体" w:hAnsi="宋体" w:eastAsia="宋体" w:cs="宋体"/>
                <w:b w:val="0"/>
                <w:bCs w:val="0"/>
                <w:sz w:val="28"/>
                <w:szCs w:val="28"/>
              </w:rPr>
              <w:t>2、水环境</w:t>
            </w:r>
          </w:p>
          <w:p w14:paraId="462E4D6D">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FF0000"/>
                <w:sz w:val="24"/>
                <w:lang w:val="zh-CN"/>
              </w:rPr>
            </w:pPr>
            <w:commentRangeStart w:id="6"/>
            <w:r>
              <w:rPr>
                <w:rFonts w:hint="eastAsia" w:ascii="宋体" w:hAnsi="宋体" w:eastAsia="宋体" w:cs="宋体"/>
                <w:color w:val="FF0000"/>
                <w:sz w:val="24"/>
                <w:lang w:eastAsia="zh-CN"/>
              </w:rPr>
              <w:t>施工人员</w:t>
            </w:r>
            <w:r>
              <w:rPr>
                <w:rFonts w:hint="eastAsia" w:ascii="宋体" w:hAnsi="宋体" w:eastAsia="宋体" w:cs="宋体"/>
                <w:color w:val="FF0000"/>
                <w:sz w:val="24"/>
              </w:rPr>
              <w:t>生活污水</w:t>
            </w:r>
            <w:r>
              <w:rPr>
                <w:rFonts w:hint="eastAsia" w:eastAsia="宋体" w:cs="宋体"/>
                <w:color w:val="FF0000"/>
                <w:sz w:val="24"/>
                <w:lang w:val="en-US" w:eastAsia="zh-CN"/>
              </w:rPr>
              <w:t>依托</w:t>
            </w:r>
            <w:r>
              <w:rPr>
                <w:rFonts w:hint="eastAsia" w:ascii="宋体" w:hAnsi="宋体" w:eastAsia="宋体" w:cs="宋体"/>
                <w:color w:val="FF0000"/>
                <w:sz w:val="24"/>
              </w:rPr>
              <w:t>厂区</w:t>
            </w:r>
            <w:r>
              <w:rPr>
                <w:rFonts w:hint="eastAsia" w:ascii="宋体" w:hAnsi="宋体" w:eastAsia="宋体" w:cs="宋体"/>
                <w:color w:val="FF0000"/>
                <w:sz w:val="24"/>
                <w:lang w:eastAsia="zh-CN"/>
              </w:rPr>
              <w:t>现有</w:t>
            </w:r>
            <w:r>
              <w:rPr>
                <w:rFonts w:hint="eastAsia" w:ascii="宋体" w:hAnsi="宋体" w:eastAsia="宋体" w:cs="宋体"/>
                <w:color w:val="FF0000"/>
                <w:sz w:val="24"/>
              </w:rPr>
              <w:t>化粪池</w:t>
            </w:r>
            <w:r>
              <w:rPr>
                <w:rFonts w:hint="eastAsia" w:eastAsia="宋体" w:cs="宋体"/>
                <w:color w:val="FF0000"/>
                <w:sz w:val="24"/>
                <w:lang w:val="en-US" w:eastAsia="zh-CN"/>
              </w:rPr>
              <w:t>收集</w:t>
            </w:r>
            <w:r>
              <w:rPr>
                <w:rFonts w:hint="eastAsia" w:ascii="宋体" w:hAnsi="宋体" w:eastAsia="宋体" w:cs="宋体"/>
                <w:color w:val="FF0000"/>
                <w:sz w:val="24"/>
              </w:rPr>
              <w:t>，</w:t>
            </w:r>
            <w:r>
              <w:rPr>
                <w:rFonts w:hint="eastAsia" w:ascii="宋体" w:hAnsi="宋体" w:eastAsia="宋体" w:cs="宋体"/>
                <w:color w:val="FF0000"/>
                <w:sz w:val="24"/>
                <w:lang w:val="en-US" w:eastAsia="zh-CN"/>
              </w:rPr>
              <w:t>委托内蒙古诚远服务有限公司拉运处理</w:t>
            </w:r>
            <w:r>
              <w:rPr>
                <w:rFonts w:hint="eastAsia" w:ascii="宋体" w:hAnsi="宋体" w:eastAsia="宋体" w:cs="宋体"/>
                <w:color w:val="FF0000"/>
                <w:sz w:val="24"/>
              </w:rPr>
              <w:t>。</w:t>
            </w:r>
            <w:commentRangeEnd w:id="6"/>
            <w:r>
              <w:rPr>
                <w:rFonts w:hint="default"/>
                <w:color w:val="FF0000"/>
              </w:rPr>
              <w:commentReference w:id="6"/>
            </w:r>
          </w:p>
          <w:p w14:paraId="656A0FF8">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rPr>
            </w:pPr>
            <w:r>
              <w:rPr>
                <w:rFonts w:hint="eastAsia" w:ascii="宋体" w:hAnsi="宋体" w:eastAsia="宋体" w:cs="宋体"/>
                <w:b w:val="0"/>
                <w:bCs w:val="0"/>
                <w:sz w:val="28"/>
                <w:szCs w:val="28"/>
              </w:rPr>
              <w:t>3、噪声</w:t>
            </w:r>
          </w:p>
          <w:p w14:paraId="40812B78">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lang w:val="zh-CN"/>
                <w14:textFill>
                  <w14:solidFill>
                    <w14:schemeClr w14:val="tx1"/>
                  </w14:solidFill>
                </w14:textFill>
              </w:rPr>
            </w:pPr>
            <w:r>
              <w:rPr>
                <w:rFonts w:hint="eastAsia" w:ascii="宋体" w:hAnsi="宋体" w:eastAsia="宋体" w:cs="宋体"/>
                <w:color w:val="000000" w:themeColor="text1"/>
                <w:sz w:val="24"/>
                <w:lang w:val="zh-CN"/>
                <w14:textFill>
                  <w14:solidFill>
                    <w14:schemeClr w14:val="tx1"/>
                  </w14:solidFill>
                </w14:textFill>
              </w:rPr>
              <w:t>本项目施工期间的噪声主要来自施工机械和运输车辆，为了减少施工现场噪声污染的影响，施工过程中可采取以下噪声防治措施：</w:t>
            </w:r>
          </w:p>
          <w:p w14:paraId="698728D4">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lang w:val="zh-CN"/>
                <w14:textFill>
                  <w14:solidFill>
                    <w14:schemeClr w14:val="tx1"/>
                  </w14:solidFill>
                </w14:textFill>
              </w:rPr>
            </w:pPr>
            <w:r>
              <w:rPr>
                <w:rFonts w:hint="eastAsia" w:ascii="宋体" w:hAnsi="宋体" w:eastAsia="宋体" w:cs="宋体"/>
                <w:color w:val="000000" w:themeColor="text1"/>
                <w:sz w:val="24"/>
                <w:lang w:val="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1</w:t>
            </w:r>
            <w:r>
              <w:rPr>
                <w:rFonts w:hint="eastAsia" w:ascii="宋体" w:hAnsi="宋体" w:eastAsia="宋体" w:cs="宋体"/>
                <w:color w:val="000000" w:themeColor="text1"/>
                <w:sz w:val="24"/>
                <w:lang w:val="zh-CN"/>
                <w14:textFill>
                  <w14:solidFill>
                    <w14:schemeClr w14:val="tx1"/>
                  </w14:solidFill>
                </w14:textFill>
              </w:rPr>
              <w:t>）合理布局高噪声设备，空压机、电锯、备用发电机等可移动的高噪声设备放置在远离办公生活区一侧，避免在同一地点安排大量动力机械设备，以免局部声级过高。</w:t>
            </w:r>
          </w:p>
          <w:p w14:paraId="0E5F3C1C">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lang w:val="zh-CN"/>
                <w14:textFill>
                  <w14:solidFill>
                    <w14:schemeClr w14:val="tx1"/>
                  </w14:solidFill>
                </w14:textFill>
              </w:rPr>
            </w:pPr>
            <w:r>
              <w:rPr>
                <w:rFonts w:hint="eastAsia" w:ascii="宋体" w:hAnsi="宋体" w:eastAsia="宋体" w:cs="宋体"/>
                <w:color w:val="000000" w:themeColor="text1"/>
                <w:sz w:val="24"/>
                <w:lang w:val="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2</w:t>
            </w:r>
            <w:r>
              <w:rPr>
                <w:rFonts w:hint="eastAsia" w:ascii="宋体" w:hAnsi="宋体" w:eastAsia="宋体" w:cs="宋体"/>
                <w:color w:val="000000" w:themeColor="text1"/>
                <w:sz w:val="24"/>
                <w:lang w:val="zh-CN"/>
                <w14:textFill>
                  <w14:solidFill>
                    <w14:schemeClr w14:val="tx1"/>
                  </w14:solidFill>
                </w14:textFill>
              </w:rPr>
              <w:t>）施工单位应尽量选用低噪声或带有隔音、消音的机械设备，如以液压机械代替燃油机械，并加强对设备的维护保养。</w:t>
            </w:r>
          </w:p>
          <w:p w14:paraId="51D43D9D">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lang w:val="zh-CN"/>
                <w14:textFill>
                  <w14:solidFill>
                    <w14:schemeClr w14:val="tx1"/>
                  </w14:solidFill>
                </w14:textFill>
              </w:rPr>
            </w:pPr>
            <w:r>
              <w:rPr>
                <w:rFonts w:hint="eastAsia" w:ascii="宋体" w:hAnsi="宋体" w:eastAsia="宋体" w:cs="宋体"/>
                <w:color w:val="000000" w:themeColor="text1"/>
                <w:sz w:val="24"/>
                <w:lang w:val="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3</w:t>
            </w:r>
            <w:r>
              <w:rPr>
                <w:rFonts w:hint="eastAsia" w:ascii="宋体" w:hAnsi="宋体" w:eastAsia="宋体" w:cs="宋体"/>
                <w:color w:val="000000" w:themeColor="text1"/>
                <w:sz w:val="24"/>
                <w:lang w:val="zh-CN"/>
                <w14:textFill>
                  <w14:solidFill>
                    <w14:schemeClr w14:val="tx1"/>
                  </w14:solidFill>
                </w14:textFill>
              </w:rPr>
              <w:t>）降低人为噪声，按规定操作机械设备，遵守作业规定，减少碰撞噪音。</w:t>
            </w:r>
          </w:p>
          <w:p w14:paraId="6B804663">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lang w:val="zh-CN"/>
                <w14:textFill>
                  <w14:solidFill>
                    <w14:schemeClr w14:val="tx1"/>
                  </w14:solidFill>
                </w14:textFill>
              </w:rPr>
            </w:pPr>
            <w:r>
              <w:rPr>
                <w:rFonts w:hint="eastAsia" w:ascii="宋体" w:hAnsi="宋体" w:eastAsia="宋体" w:cs="宋体"/>
                <w:color w:val="000000" w:themeColor="text1"/>
                <w:sz w:val="24"/>
                <w:lang w:val="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4</w:t>
            </w:r>
            <w:r>
              <w:rPr>
                <w:rFonts w:hint="eastAsia" w:ascii="宋体" w:hAnsi="宋体" w:eastAsia="宋体" w:cs="宋体"/>
                <w:color w:val="000000" w:themeColor="text1"/>
                <w:sz w:val="24"/>
                <w:lang w:val="zh-CN"/>
                <w14:textFill>
                  <w14:solidFill>
                    <w14:schemeClr w14:val="tx1"/>
                  </w14:solidFill>
                </w14:textFill>
              </w:rPr>
              <w:t>）对位置相对固定的高噪声机械设备，尽量在工棚内操作，不能进入棚内的，可采取围档之类的单面隔声板。</w:t>
            </w:r>
          </w:p>
          <w:p w14:paraId="4C189D1E">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color w:val="000000" w:themeColor="text1"/>
                <w:sz w:val="24"/>
                <w:lang w:val="zh-CN"/>
                <w14:textFill>
                  <w14:solidFill>
                    <w14:schemeClr w14:val="tx1"/>
                  </w14:solidFill>
                </w14:textFill>
              </w:rPr>
            </w:pPr>
            <w:r>
              <w:rPr>
                <w:rFonts w:hint="eastAsia" w:ascii="宋体" w:hAnsi="宋体" w:eastAsia="宋体" w:cs="宋体"/>
                <w:color w:val="000000" w:themeColor="text1"/>
                <w:sz w:val="24"/>
                <w:lang w:val="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5</w:t>
            </w:r>
            <w:r>
              <w:rPr>
                <w:rFonts w:hint="eastAsia" w:ascii="宋体" w:hAnsi="宋体" w:eastAsia="宋体" w:cs="宋体"/>
                <w:color w:val="000000" w:themeColor="text1"/>
                <w:sz w:val="24"/>
                <w:lang w:val="zh-CN"/>
                <w14:textFill>
                  <w14:solidFill>
                    <w14:schemeClr w14:val="tx1"/>
                  </w14:solidFill>
                </w14:textFill>
              </w:rPr>
              <w:t>）加强运输车辆的管理，按规定组织车辆运输，合理规定运输通道。施工场地内道路应尽量保持平坦，减少由于道路不平而引起的车辆颠簸噪声。</w:t>
            </w:r>
          </w:p>
          <w:p w14:paraId="661E1384">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rPr>
            </w:pPr>
            <w:r>
              <w:rPr>
                <w:rFonts w:hint="eastAsia" w:ascii="宋体" w:hAnsi="宋体" w:eastAsia="宋体" w:cs="宋体"/>
                <w:b w:val="0"/>
                <w:bCs w:val="0"/>
                <w:sz w:val="28"/>
                <w:szCs w:val="28"/>
                <w:lang w:val="en-US" w:eastAsia="zh-CN"/>
              </w:rPr>
              <w:t>4、</w:t>
            </w:r>
            <w:r>
              <w:rPr>
                <w:rFonts w:hint="eastAsia" w:ascii="宋体" w:hAnsi="宋体" w:eastAsia="宋体" w:cs="宋体"/>
                <w:b w:val="0"/>
                <w:bCs w:val="0"/>
                <w:sz w:val="28"/>
                <w:szCs w:val="28"/>
              </w:rPr>
              <w:t>固体废物</w:t>
            </w:r>
          </w:p>
          <w:p w14:paraId="0F4BA904">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Cs w:val="21"/>
              </w:rPr>
            </w:pPr>
            <w:r>
              <w:rPr>
                <w:rFonts w:hint="eastAsia" w:ascii="宋体" w:hAnsi="宋体" w:eastAsia="宋体" w:cs="宋体"/>
                <w:color w:val="000000" w:themeColor="text1"/>
                <w:sz w:val="24"/>
                <w:lang w:eastAsia="zh-CN"/>
                <w14:textFill>
                  <w14:solidFill>
                    <w14:schemeClr w14:val="tx1"/>
                  </w14:solidFill>
                </w14:textFill>
              </w:rPr>
              <w:t>拆除的旧设备委托有资质单位处置；废包装材料外售废品回收站；施工人员生活垃圾由厂区现有垃圾桶收集，</w:t>
            </w:r>
            <w:r>
              <w:rPr>
                <w:rFonts w:hint="eastAsia" w:ascii="宋体" w:hAnsi="宋体" w:eastAsia="宋体" w:cs="宋体"/>
                <w:color w:val="000000" w:themeColor="text1"/>
                <w:sz w:val="24"/>
                <w:lang w:val="en-US" w:eastAsia="zh-CN"/>
                <w14:textFill>
                  <w14:solidFill>
                    <w14:schemeClr w14:val="tx1"/>
                  </w14:solidFill>
                </w14:textFill>
              </w:rPr>
              <w:t>定期送至内蒙古太平矿业有限公司垃圾收集点，集中处置</w:t>
            </w:r>
            <w:r>
              <w:rPr>
                <w:rFonts w:hint="eastAsia" w:ascii="宋体" w:hAnsi="宋体" w:eastAsia="宋体" w:cs="宋体"/>
                <w:color w:val="000000" w:themeColor="text1"/>
                <w:sz w:val="24"/>
                <w:lang w:eastAsia="zh-CN"/>
                <w14:textFill>
                  <w14:solidFill>
                    <w14:schemeClr w14:val="tx1"/>
                  </w14:solidFill>
                </w14:textFill>
              </w:rPr>
              <w:t>。</w:t>
            </w:r>
          </w:p>
        </w:tc>
      </w:tr>
      <w:tr w14:paraId="10EC9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4" w:hRule="atLeast"/>
          <w:jc w:val="center"/>
        </w:trPr>
        <w:tc>
          <w:tcPr>
            <w:tcW w:w="723" w:type="dxa"/>
            <w:vAlign w:val="center"/>
          </w:tcPr>
          <w:p w14:paraId="7E5A066C">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rPr>
            </w:pPr>
            <w:r>
              <w:rPr>
                <w:rFonts w:hint="eastAsia" w:ascii="宋体" w:hAnsi="宋体" w:eastAsia="宋体" w:cs="宋体"/>
                <w:b w:val="0"/>
                <w:bCs w:val="0"/>
                <w:color w:val="auto"/>
                <w:sz w:val="24"/>
                <w:szCs w:val="24"/>
              </w:rPr>
              <w:t>运营期环境影响和保护措施</w:t>
            </w:r>
          </w:p>
        </w:tc>
        <w:tc>
          <w:tcPr>
            <w:tcW w:w="8579" w:type="dxa"/>
            <w:vAlign w:val="center"/>
          </w:tcPr>
          <w:p w14:paraId="3AD1480E">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1、废气环境影响分析及防治措施</w:t>
            </w:r>
          </w:p>
          <w:p w14:paraId="28F99E43">
            <w:pPr>
              <w:pStyle w:val="79"/>
              <w:keepNext w:val="0"/>
              <w:keepLines w:val="0"/>
              <w:suppressLineNumbers w:val="0"/>
              <w:spacing w:before="0" w:beforeAutospacing="0" w:after="0" w:afterAutospacing="0"/>
              <w:ind w:left="0" w:right="0" w:firstLine="480"/>
              <w:jc w:val="both"/>
              <w:rPr>
                <w:rFonts w:hint="eastAsia" w:ascii="宋体" w:hAnsi="宋体" w:eastAsia="宋体" w:cs="宋体"/>
                <w:color w:val="auto"/>
                <w:kern w:val="0"/>
                <w:sz w:val="24"/>
                <w:lang w:eastAsia="zh-CN"/>
              </w:rPr>
            </w:pPr>
            <w:r>
              <w:rPr>
                <w:rFonts w:hint="eastAsia" w:ascii="宋体" w:hAnsi="宋体" w:eastAsia="宋体" w:cs="宋体"/>
                <w:color w:val="auto"/>
                <w:kern w:val="0"/>
                <w:sz w:val="24"/>
                <w:lang w:eastAsia="zh-CN"/>
              </w:rPr>
              <w:t>技改项目</w:t>
            </w:r>
            <w:r>
              <w:rPr>
                <w:rFonts w:hint="eastAsia" w:ascii="宋体" w:hAnsi="宋体" w:eastAsia="宋体" w:cs="宋体"/>
                <w:color w:val="auto"/>
                <w:kern w:val="0"/>
                <w:sz w:val="24"/>
              </w:rPr>
              <w:t>运营期废气主要为</w:t>
            </w:r>
            <w:r>
              <w:rPr>
                <w:rFonts w:hint="eastAsia" w:ascii="宋体" w:hAnsi="宋体" w:eastAsia="宋体" w:cs="宋体"/>
                <w:color w:val="auto"/>
                <w:kern w:val="0"/>
                <w:sz w:val="24"/>
                <w:lang w:eastAsia="zh-CN"/>
              </w:rPr>
              <w:t>燃油</w:t>
            </w:r>
            <w:r>
              <w:rPr>
                <w:rFonts w:hint="eastAsia" w:ascii="宋体" w:hAnsi="宋体" w:eastAsia="宋体" w:cs="宋体"/>
                <w:color w:val="auto"/>
                <w:kern w:val="0"/>
                <w:sz w:val="24"/>
              </w:rPr>
              <w:t>锅炉烟气</w:t>
            </w:r>
            <w:r>
              <w:rPr>
                <w:rFonts w:hint="eastAsia" w:ascii="宋体" w:hAnsi="宋体" w:eastAsia="宋体" w:cs="宋体"/>
                <w:color w:val="auto"/>
                <w:kern w:val="0"/>
                <w:sz w:val="24"/>
                <w:lang w:eastAsia="zh-CN"/>
              </w:rPr>
              <w:t>（</w:t>
            </w:r>
            <w:r>
              <w:rPr>
                <w:rFonts w:hint="eastAsia" w:ascii="宋体" w:hAnsi="宋体" w:eastAsia="宋体" w:cs="宋体"/>
                <w:color w:val="auto"/>
                <w:sz w:val="24"/>
                <w:szCs w:val="21"/>
                <w:lang w:eastAsia="zh-CN"/>
              </w:rPr>
              <w:t>颗粒物、</w:t>
            </w:r>
            <w:r>
              <w:rPr>
                <w:rFonts w:hint="eastAsia" w:ascii="宋体" w:hAnsi="宋体" w:eastAsia="宋体" w:cs="宋体"/>
                <w:color w:val="auto"/>
                <w:sz w:val="24"/>
                <w:szCs w:val="21"/>
                <w:lang w:val="en-US" w:eastAsia="zh-CN"/>
              </w:rPr>
              <w:t>SO</w:t>
            </w:r>
            <w:r>
              <w:rPr>
                <w:rFonts w:hint="eastAsia" w:ascii="宋体" w:hAnsi="宋体" w:eastAsia="宋体" w:cs="宋体"/>
                <w:color w:val="auto"/>
                <w:sz w:val="24"/>
                <w:szCs w:val="21"/>
                <w:vertAlign w:val="subscript"/>
                <w:lang w:val="en-US" w:eastAsia="zh-CN"/>
              </w:rPr>
              <w:t>2</w:t>
            </w:r>
            <w:r>
              <w:rPr>
                <w:rFonts w:hint="eastAsia" w:ascii="宋体" w:hAnsi="宋体" w:eastAsia="宋体" w:cs="宋体"/>
                <w:color w:val="auto"/>
                <w:sz w:val="24"/>
                <w:szCs w:val="21"/>
                <w:lang w:val="en-US" w:eastAsia="zh-CN"/>
              </w:rPr>
              <w:t>、NOx</w:t>
            </w:r>
            <w:r>
              <w:rPr>
                <w:rFonts w:hint="eastAsia" w:ascii="宋体" w:hAnsi="宋体" w:eastAsia="宋体" w:cs="宋体"/>
                <w:color w:val="auto"/>
                <w:kern w:val="0"/>
                <w:sz w:val="24"/>
                <w:lang w:eastAsia="zh-CN"/>
              </w:rPr>
              <w:t>）和新增柴油燃料卸油、储存和使用过程挥发的有机废气（以非甲烷总烃计）。</w:t>
            </w:r>
          </w:p>
          <w:p w14:paraId="59212550">
            <w:pPr>
              <w:pStyle w:val="79"/>
              <w:keepNext w:val="0"/>
              <w:keepLines w:val="0"/>
              <w:suppressLineNumbers w:val="0"/>
              <w:spacing w:before="0" w:beforeAutospacing="0" w:after="0" w:afterAutospacing="0"/>
              <w:ind w:left="0" w:right="0" w:firstLine="482"/>
              <w:jc w:val="both"/>
              <w:rPr>
                <w:rFonts w:hint="eastAsia" w:ascii="宋体" w:hAnsi="宋体" w:eastAsia="宋体" w:cs="宋体"/>
                <w:b w:val="0"/>
                <w:bCs w:val="0"/>
                <w:color w:val="auto"/>
                <w:kern w:val="0"/>
                <w:sz w:val="24"/>
              </w:rPr>
            </w:pPr>
            <w:r>
              <w:rPr>
                <w:rFonts w:hint="eastAsia" w:ascii="宋体" w:hAnsi="宋体" w:eastAsia="宋体" w:cs="宋体"/>
                <w:b w:val="0"/>
                <w:bCs w:val="0"/>
                <w:color w:val="auto"/>
                <w:kern w:val="0"/>
                <w:sz w:val="24"/>
              </w:rPr>
              <w:t>（</w:t>
            </w:r>
            <w:r>
              <w:rPr>
                <w:rFonts w:hint="eastAsia" w:ascii="宋体" w:hAnsi="宋体" w:eastAsia="宋体" w:cs="宋体"/>
                <w:b w:val="0"/>
                <w:bCs w:val="0"/>
                <w:color w:val="auto"/>
                <w:kern w:val="0"/>
                <w:sz w:val="24"/>
                <w:lang w:val="en-US" w:eastAsia="zh-CN"/>
              </w:rPr>
              <w:t>1</w:t>
            </w:r>
            <w:r>
              <w:rPr>
                <w:rFonts w:hint="eastAsia" w:ascii="宋体" w:hAnsi="宋体" w:eastAsia="宋体" w:cs="宋体"/>
                <w:b w:val="0"/>
                <w:bCs w:val="0"/>
                <w:color w:val="auto"/>
                <w:kern w:val="0"/>
                <w:sz w:val="24"/>
              </w:rPr>
              <w:t>）废气污染源源强分析</w:t>
            </w:r>
          </w:p>
          <w:p w14:paraId="3255F61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1"/>
                <w:lang w:eastAsia="zh-CN"/>
              </w:rPr>
            </w:pPr>
            <w:r>
              <w:rPr>
                <w:rFonts w:hint="eastAsia" w:ascii="宋体" w:hAnsi="宋体" w:eastAsia="宋体" w:cs="宋体"/>
                <w:color w:val="auto"/>
                <w:sz w:val="24"/>
                <w:szCs w:val="21"/>
                <w:lang w:eastAsia="zh-CN"/>
              </w:rPr>
              <w:t>①锅炉烟气</w:t>
            </w:r>
          </w:p>
          <w:p w14:paraId="3A2BB730">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1"/>
              </w:rPr>
            </w:pPr>
            <w:r>
              <w:rPr>
                <w:rFonts w:hint="eastAsia" w:ascii="宋体" w:hAnsi="宋体" w:eastAsia="宋体" w:cs="宋体"/>
                <w:color w:val="auto"/>
                <w:sz w:val="24"/>
                <w:szCs w:val="21"/>
                <w:lang w:eastAsia="zh-CN"/>
              </w:rPr>
              <w:t>技改项目新建</w:t>
            </w:r>
            <w:r>
              <w:rPr>
                <w:rFonts w:hint="eastAsia" w:ascii="宋体" w:hAnsi="宋体" w:eastAsia="宋体" w:cs="宋体"/>
                <w:color w:val="auto"/>
                <w:sz w:val="24"/>
                <w:szCs w:val="21"/>
              </w:rPr>
              <w:t>1台</w:t>
            </w:r>
            <w:r>
              <w:rPr>
                <w:rFonts w:hint="eastAsia" w:ascii="宋体" w:hAnsi="宋体" w:eastAsia="宋体" w:cs="宋体"/>
                <w:color w:val="auto"/>
                <w:sz w:val="24"/>
                <w:szCs w:val="21"/>
                <w:lang w:val="en-US" w:eastAsia="zh-CN"/>
              </w:rPr>
              <w:t>1</w:t>
            </w:r>
            <w:r>
              <w:rPr>
                <w:rFonts w:hint="eastAsia" w:ascii="宋体" w:hAnsi="宋体" w:eastAsia="宋体" w:cs="宋体"/>
                <w:color w:val="auto"/>
                <w:sz w:val="24"/>
                <w:szCs w:val="21"/>
              </w:rPr>
              <w:t>t/h燃</w:t>
            </w:r>
            <w:r>
              <w:rPr>
                <w:rFonts w:hint="eastAsia" w:ascii="宋体" w:hAnsi="宋体" w:eastAsia="宋体" w:cs="宋体"/>
                <w:color w:val="auto"/>
                <w:sz w:val="24"/>
                <w:szCs w:val="21"/>
                <w:lang w:val="en-US" w:eastAsia="zh-CN"/>
              </w:rPr>
              <w:t>油</w:t>
            </w:r>
            <w:r>
              <w:rPr>
                <w:rFonts w:hint="eastAsia" w:ascii="宋体" w:hAnsi="宋体" w:eastAsia="宋体" w:cs="宋体"/>
                <w:color w:val="auto"/>
                <w:sz w:val="24"/>
                <w:szCs w:val="21"/>
              </w:rPr>
              <w:t>蒸汽锅炉</w:t>
            </w:r>
            <w:r>
              <w:rPr>
                <w:rFonts w:hint="eastAsia" w:ascii="宋体" w:hAnsi="宋体" w:eastAsia="宋体" w:cs="宋体"/>
                <w:color w:val="auto"/>
                <w:sz w:val="24"/>
                <w:szCs w:val="21"/>
                <w:lang w:val="en-US" w:eastAsia="zh-CN"/>
              </w:rPr>
              <w:t>和1台1</w:t>
            </w:r>
            <w:r>
              <w:rPr>
                <w:rFonts w:hint="eastAsia" w:ascii="宋体" w:hAnsi="宋体" w:eastAsia="宋体" w:cs="宋体"/>
                <w:color w:val="auto"/>
                <w:sz w:val="24"/>
                <w:szCs w:val="21"/>
              </w:rPr>
              <w:t>t/h燃</w:t>
            </w:r>
            <w:r>
              <w:rPr>
                <w:rFonts w:hint="eastAsia" w:ascii="宋体" w:hAnsi="宋体" w:eastAsia="宋体" w:cs="宋体"/>
                <w:color w:val="auto"/>
                <w:sz w:val="24"/>
                <w:szCs w:val="21"/>
                <w:lang w:val="en-US" w:eastAsia="zh-CN"/>
              </w:rPr>
              <w:t>油</w:t>
            </w:r>
            <w:r>
              <w:rPr>
                <w:rFonts w:hint="eastAsia" w:ascii="宋体" w:hAnsi="宋体" w:eastAsia="宋体" w:cs="宋体"/>
                <w:color w:val="auto"/>
                <w:sz w:val="24"/>
                <w:szCs w:val="21"/>
              </w:rPr>
              <w:t>蒸汽</w:t>
            </w:r>
            <w:r>
              <w:rPr>
                <w:rFonts w:hint="eastAsia" w:ascii="宋体" w:hAnsi="宋体" w:eastAsia="宋体" w:cs="宋体"/>
                <w:color w:val="auto"/>
                <w:sz w:val="24"/>
                <w:szCs w:val="21"/>
                <w:lang w:val="en-US" w:eastAsia="zh-CN"/>
              </w:rPr>
              <w:t>发生器（备用）</w:t>
            </w:r>
            <w:r>
              <w:rPr>
                <w:rFonts w:hint="eastAsia" w:ascii="宋体" w:hAnsi="宋体" w:eastAsia="宋体" w:cs="宋体"/>
                <w:color w:val="auto"/>
                <w:sz w:val="24"/>
                <w:szCs w:val="21"/>
              </w:rPr>
              <w:t>，</w:t>
            </w:r>
            <w:r>
              <w:rPr>
                <w:rFonts w:hint="eastAsia" w:ascii="宋体" w:hAnsi="宋体" w:eastAsia="宋体" w:cs="宋体"/>
                <w:color w:val="auto"/>
                <w:sz w:val="24"/>
                <w:szCs w:val="21"/>
                <w:lang w:eastAsia="zh-CN"/>
              </w:rPr>
              <w:t>备用</w:t>
            </w:r>
            <w:r>
              <w:rPr>
                <w:rFonts w:hint="eastAsia" w:ascii="宋体" w:hAnsi="宋体" w:eastAsia="宋体" w:cs="宋体"/>
                <w:color w:val="auto"/>
                <w:sz w:val="24"/>
                <w:szCs w:val="21"/>
              </w:rPr>
              <w:t>燃</w:t>
            </w:r>
            <w:r>
              <w:rPr>
                <w:rFonts w:hint="eastAsia" w:ascii="宋体" w:hAnsi="宋体" w:eastAsia="宋体" w:cs="宋体"/>
                <w:color w:val="auto"/>
                <w:sz w:val="24"/>
                <w:szCs w:val="21"/>
                <w:lang w:val="en-US" w:eastAsia="zh-CN"/>
              </w:rPr>
              <w:t>油</w:t>
            </w:r>
            <w:r>
              <w:rPr>
                <w:rFonts w:hint="eastAsia" w:ascii="宋体" w:hAnsi="宋体" w:eastAsia="宋体" w:cs="宋体"/>
                <w:color w:val="auto"/>
                <w:sz w:val="24"/>
                <w:szCs w:val="21"/>
              </w:rPr>
              <w:t>蒸汽</w:t>
            </w:r>
            <w:r>
              <w:rPr>
                <w:rFonts w:hint="eastAsia" w:ascii="宋体" w:hAnsi="宋体" w:eastAsia="宋体" w:cs="宋体"/>
                <w:color w:val="auto"/>
                <w:sz w:val="24"/>
                <w:szCs w:val="21"/>
                <w:lang w:val="en-US" w:eastAsia="zh-CN"/>
              </w:rPr>
              <w:t>发生器</w:t>
            </w:r>
            <w:r>
              <w:rPr>
                <w:rFonts w:hint="eastAsia" w:ascii="宋体" w:hAnsi="宋体" w:eastAsia="宋体" w:cs="宋体"/>
                <w:color w:val="auto"/>
                <w:sz w:val="24"/>
                <w:szCs w:val="21"/>
              </w:rPr>
              <w:t>仅在</w:t>
            </w:r>
            <w:r>
              <w:rPr>
                <w:rFonts w:hint="eastAsia" w:ascii="宋体" w:hAnsi="宋体" w:eastAsia="宋体" w:cs="宋体"/>
                <w:color w:val="auto"/>
                <w:sz w:val="24"/>
                <w:szCs w:val="21"/>
                <w:lang w:eastAsia="zh-CN"/>
              </w:rPr>
              <w:t>燃油</w:t>
            </w:r>
            <w:r>
              <w:rPr>
                <w:rFonts w:hint="eastAsia" w:ascii="宋体" w:hAnsi="宋体" w:eastAsia="宋体" w:cs="宋体"/>
                <w:color w:val="auto"/>
                <w:sz w:val="24"/>
                <w:szCs w:val="21"/>
              </w:rPr>
              <w:t>蒸汽锅炉</w:t>
            </w:r>
            <w:r>
              <w:rPr>
                <w:rFonts w:hint="eastAsia" w:ascii="宋体" w:hAnsi="宋体" w:eastAsia="宋体" w:cs="宋体"/>
                <w:color w:val="auto"/>
                <w:sz w:val="24"/>
                <w:szCs w:val="21"/>
                <w:lang w:eastAsia="zh-CN"/>
              </w:rPr>
              <w:t>故障、检修时</w:t>
            </w:r>
            <w:r>
              <w:rPr>
                <w:rFonts w:hint="eastAsia" w:ascii="宋体" w:hAnsi="宋体" w:eastAsia="宋体" w:cs="宋体"/>
                <w:color w:val="auto"/>
                <w:sz w:val="24"/>
                <w:szCs w:val="21"/>
              </w:rPr>
              <w:t>使用</w:t>
            </w:r>
            <w:r>
              <w:rPr>
                <w:rFonts w:hint="eastAsia" w:ascii="宋体" w:hAnsi="宋体" w:eastAsia="宋体" w:cs="宋体"/>
                <w:color w:val="auto"/>
                <w:sz w:val="24"/>
                <w:szCs w:val="21"/>
                <w:lang w:eastAsia="zh-CN"/>
              </w:rPr>
              <w:t>。燃油</w:t>
            </w:r>
            <w:r>
              <w:rPr>
                <w:rFonts w:hint="eastAsia" w:ascii="宋体" w:hAnsi="宋体" w:eastAsia="宋体" w:cs="宋体"/>
                <w:color w:val="auto"/>
                <w:sz w:val="24"/>
                <w:szCs w:val="21"/>
              </w:rPr>
              <w:t>蒸汽锅炉年运行时间为</w:t>
            </w:r>
            <w:r>
              <w:rPr>
                <w:rFonts w:hint="eastAsia" w:ascii="宋体" w:hAnsi="宋体" w:eastAsia="宋体" w:cs="宋体"/>
                <w:color w:val="auto"/>
                <w:sz w:val="24"/>
                <w:szCs w:val="21"/>
                <w:lang w:val="en-US" w:eastAsia="zh-CN"/>
              </w:rPr>
              <w:t>1200</w:t>
            </w:r>
            <w:r>
              <w:rPr>
                <w:rFonts w:hint="eastAsia" w:ascii="宋体" w:hAnsi="宋体" w:eastAsia="宋体" w:cs="宋体"/>
                <w:color w:val="auto"/>
                <w:sz w:val="24"/>
                <w:szCs w:val="21"/>
              </w:rPr>
              <w:t>h，</w:t>
            </w:r>
            <w:r>
              <w:rPr>
                <w:rFonts w:hint="eastAsia" w:ascii="宋体" w:hAnsi="宋体" w:eastAsia="宋体" w:cs="宋体"/>
                <w:color w:val="auto"/>
                <w:sz w:val="24"/>
                <w:szCs w:val="21"/>
                <w:lang w:eastAsia="zh-CN"/>
              </w:rPr>
              <w:t>柴油</w:t>
            </w:r>
            <w:r>
              <w:rPr>
                <w:rFonts w:hint="eastAsia" w:ascii="宋体" w:hAnsi="宋体" w:eastAsia="宋体" w:cs="宋体"/>
                <w:color w:val="auto"/>
                <w:sz w:val="24"/>
                <w:szCs w:val="21"/>
              </w:rPr>
              <w:t>消耗量为</w:t>
            </w:r>
            <w:r>
              <w:rPr>
                <w:rFonts w:hint="eastAsia" w:ascii="宋体" w:hAnsi="宋体" w:eastAsia="宋体" w:cs="宋体"/>
                <w:color w:val="auto"/>
                <w:sz w:val="24"/>
                <w:szCs w:val="21"/>
                <w:lang w:val="en-US" w:eastAsia="zh-CN"/>
              </w:rPr>
              <w:t>300</w:t>
            </w:r>
            <w:r>
              <w:rPr>
                <w:rFonts w:hint="eastAsia" w:ascii="宋体" w:hAnsi="宋体" w:eastAsia="宋体" w:cs="宋体"/>
                <w:color w:val="auto"/>
                <w:sz w:val="24"/>
                <w:szCs w:val="21"/>
              </w:rPr>
              <w:t>t/a。</w:t>
            </w:r>
          </w:p>
          <w:p w14:paraId="75D9EDDC">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bidi="ar"/>
              </w:rPr>
            </w:pPr>
            <w:r>
              <w:rPr>
                <w:rFonts w:hint="eastAsia" w:ascii="宋体" w:hAnsi="宋体" w:eastAsia="宋体" w:cs="宋体"/>
                <w:color w:val="auto"/>
                <w:sz w:val="24"/>
                <w:szCs w:val="21"/>
                <w:lang w:eastAsia="zh-CN"/>
              </w:rPr>
              <w:t>燃油</w:t>
            </w:r>
            <w:r>
              <w:rPr>
                <w:rFonts w:hint="eastAsia" w:ascii="宋体" w:hAnsi="宋体" w:eastAsia="宋体" w:cs="宋体"/>
                <w:color w:val="auto"/>
                <w:sz w:val="24"/>
                <w:szCs w:val="21"/>
              </w:rPr>
              <w:t>锅炉烟气中</w:t>
            </w:r>
            <w:r>
              <w:rPr>
                <w:rFonts w:hint="eastAsia" w:ascii="宋体" w:hAnsi="宋体" w:eastAsia="宋体" w:cs="宋体"/>
                <w:color w:val="auto"/>
                <w:sz w:val="24"/>
                <w:szCs w:val="21"/>
                <w:lang w:eastAsia="zh-CN"/>
              </w:rPr>
              <w:t>主要污染物为颗粒物、</w:t>
            </w:r>
            <w:r>
              <w:rPr>
                <w:rFonts w:hint="eastAsia" w:ascii="宋体" w:hAnsi="宋体" w:eastAsia="宋体" w:cs="宋体"/>
                <w:color w:val="auto"/>
                <w:sz w:val="24"/>
                <w:szCs w:val="21"/>
                <w:lang w:val="en-US" w:eastAsia="zh-CN"/>
              </w:rPr>
              <w:t>SO</w:t>
            </w:r>
            <w:r>
              <w:rPr>
                <w:rFonts w:hint="eastAsia" w:ascii="宋体" w:hAnsi="宋体" w:eastAsia="宋体" w:cs="宋体"/>
                <w:color w:val="auto"/>
                <w:sz w:val="24"/>
                <w:szCs w:val="21"/>
                <w:vertAlign w:val="subscript"/>
                <w:lang w:val="en-US" w:eastAsia="zh-CN"/>
              </w:rPr>
              <w:t>2</w:t>
            </w:r>
            <w:r>
              <w:rPr>
                <w:rFonts w:hint="eastAsia" w:ascii="宋体" w:hAnsi="宋体" w:eastAsia="宋体" w:cs="宋体"/>
                <w:color w:val="auto"/>
                <w:sz w:val="24"/>
                <w:szCs w:val="21"/>
                <w:lang w:val="en-US" w:eastAsia="zh-CN"/>
              </w:rPr>
              <w:t>、NOx，</w:t>
            </w:r>
            <w:r>
              <w:rPr>
                <w:rFonts w:hint="eastAsia" w:ascii="宋体" w:hAnsi="宋体" w:eastAsia="宋体" w:cs="宋体"/>
                <w:color w:val="auto"/>
                <w:sz w:val="24"/>
                <w:szCs w:val="21"/>
              </w:rPr>
              <w:t>污染物</w:t>
            </w:r>
            <w:r>
              <w:rPr>
                <w:rFonts w:hint="eastAsia" w:ascii="宋体" w:hAnsi="宋体" w:eastAsia="宋体" w:cs="宋体"/>
                <w:color w:val="auto"/>
                <w:sz w:val="24"/>
                <w:szCs w:val="21"/>
                <w:lang w:eastAsia="zh-CN"/>
              </w:rPr>
              <w:t>源强</w:t>
            </w:r>
            <w:r>
              <w:rPr>
                <w:rFonts w:hint="eastAsia" w:ascii="宋体" w:hAnsi="宋体" w:eastAsia="宋体" w:cs="宋体"/>
                <w:color w:val="auto"/>
                <w:sz w:val="24"/>
                <w:szCs w:val="21"/>
                <w:lang w:bidi="ar"/>
              </w:rPr>
              <w:t>参考</w:t>
            </w:r>
            <w:r>
              <w:rPr>
                <w:rFonts w:hint="eastAsia" w:ascii="宋体" w:hAnsi="宋体" w:eastAsia="宋体" w:cs="宋体"/>
                <w:color w:val="auto"/>
                <w:sz w:val="24"/>
                <w:szCs w:val="21"/>
              </w:rPr>
              <w:t>《排放源统计调查产排污核算方法和系数手册》中4430工业锅炉（热力供应）行业系数手册中</w:t>
            </w:r>
            <w:r>
              <w:rPr>
                <w:rFonts w:hint="eastAsia" w:ascii="宋体" w:hAnsi="宋体" w:eastAsia="宋体" w:cs="宋体"/>
                <w:bCs/>
                <w:color w:val="auto"/>
                <w:sz w:val="24"/>
              </w:rPr>
              <w:t>产排污系数表-燃</w:t>
            </w:r>
            <w:r>
              <w:rPr>
                <w:rFonts w:hint="eastAsia" w:ascii="宋体" w:hAnsi="宋体" w:eastAsia="宋体" w:cs="宋体"/>
                <w:bCs/>
                <w:color w:val="auto"/>
                <w:sz w:val="24"/>
                <w:lang w:eastAsia="zh-CN"/>
              </w:rPr>
              <w:t>油</w:t>
            </w:r>
            <w:r>
              <w:rPr>
                <w:rFonts w:hint="eastAsia" w:ascii="宋体" w:hAnsi="宋体" w:eastAsia="宋体" w:cs="宋体"/>
                <w:bCs/>
                <w:color w:val="auto"/>
                <w:sz w:val="24"/>
              </w:rPr>
              <w:t>工业锅炉-</w:t>
            </w:r>
            <w:r>
              <w:rPr>
                <w:rFonts w:hint="eastAsia" w:ascii="宋体" w:hAnsi="宋体" w:eastAsia="宋体" w:cs="宋体"/>
                <w:bCs/>
                <w:color w:val="auto"/>
                <w:sz w:val="24"/>
                <w:lang w:eastAsia="zh-CN"/>
              </w:rPr>
              <w:t>柴油</w:t>
            </w:r>
            <w:r>
              <w:rPr>
                <w:rFonts w:hint="eastAsia" w:ascii="宋体" w:hAnsi="宋体" w:eastAsia="宋体" w:cs="宋体"/>
                <w:bCs/>
                <w:color w:val="auto"/>
                <w:sz w:val="24"/>
              </w:rPr>
              <w:t>-</w:t>
            </w:r>
            <w:r>
              <w:rPr>
                <w:rFonts w:hint="eastAsia" w:ascii="宋体" w:hAnsi="宋体" w:eastAsia="宋体" w:cs="宋体"/>
                <w:bCs/>
                <w:color w:val="auto"/>
                <w:sz w:val="24"/>
                <w:lang w:eastAsia="zh-CN"/>
              </w:rPr>
              <w:t>室燃炉的</w:t>
            </w:r>
            <w:r>
              <w:rPr>
                <w:rFonts w:hint="eastAsia" w:ascii="宋体" w:hAnsi="宋体" w:eastAsia="宋体" w:cs="宋体"/>
                <w:color w:val="auto"/>
                <w:sz w:val="24"/>
                <w:lang w:bidi="ar"/>
              </w:rPr>
              <w:t>产污系数，详见下表。</w:t>
            </w:r>
          </w:p>
          <w:p w14:paraId="310F1F8A">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4-1</w:t>
            </w:r>
            <w:r>
              <w:rPr>
                <w:rFonts w:hint="eastAsia" w:ascii="宋体" w:hAnsi="宋体" w:eastAsia="宋体" w:cs="宋体"/>
                <w:b/>
                <w:bCs/>
                <w:color w:val="auto"/>
                <w:sz w:val="24"/>
              </w:rPr>
              <w:t xml:space="preserve"> 工业锅炉（热力生产和供应行业）产排污系数表-</w:t>
            </w:r>
            <w:r>
              <w:rPr>
                <w:rFonts w:hint="eastAsia" w:ascii="宋体" w:hAnsi="宋体" w:eastAsia="宋体" w:cs="宋体"/>
                <w:b/>
                <w:bCs/>
                <w:color w:val="auto"/>
                <w:sz w:val="24"/>
                <w:lang w:eastAsia="zh-CN"/>
              </w:rPr>
              <w:t>燃油</w:t>
            </w:r>
            <w:r>
              <w:rPr>
                <w:rFonts w:hint="eastAsia" w:ascii="宋体" w:hAnsi="宋体" w:eastAsia="宋体" w:cs="宋体"/>
                <w:b/>
                <w:bCs/>
                <w:color w:val="auto"/>
                <w:sz w:val="24"/>
              </w:rPr>
              <w:t>工业锅炉</w:t>
            </w:r>
          </w:p>
          <w:tbl>
            <w:tblPr>
              <w:tblStyle w:val="26"/>
              <w:tblW w:w="83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9"/>
              <w:gridCol w:w="2079"/>
              <w:gridCol w:w="2079"/>
              <w:gridCol w:w="2080"/>
            </w:tblGrid>
            <w:tr w14:paraId="745C6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2079" w:type="dxa"/>
                  <w:tcBorders>
                    <w:tl2br w:val="nil"/>
                    <w:tr2bl w:val="nil"/>
                  </w:tcBorders>
                  <w:vAlign w:val="center"/>
                </w:tcPr>
                <w:p w14:paraId="49B90DB1">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原料名称</w:t>
                  </w:r>
                </w:p>
              </w:tc>
              <w:tc>
                <w:tcPr>
                  <w:tcW w:w="2079" w:type="dxa"/>
                  <w:tcBorders>
                    <w:tl2br w:val="nil"/>
                    <w:tr2bl w:val="nil"/>
                  </w:tcBorders>
                  <w:vAlign w:val="center"/>
                </w:tcPr>
                <w:p w14:paraId="5E2F9872">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污染物指标</w:t>
                  </w:r>
                </w:p>
              </w:tc>
              <w:tc>
                <w:tcPr>
                  <w:tcW w:w="2079" w:type="dxa"/>
                  <w:tcBorders>
                    <w:tl2br w:val="nil"/>
                    <w:tr2bl w:val="nil"/>
                  </w:tcBorders>
                  <w:vAlign w:val="center"/>
                </w:tcPr>
                <w:p w14:paraId="2E5364CD">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单位</w:t>
                  </w:r>
                </w:p>
              </w:tc>
              <w:tc>
                <w:tcPr>
                  <w:tcW w:w="2080" w:type="dxa"/>
                  <w:tcBorders>
                    <w:tl2br w:val="nil"/>
                    <w:tr2bl w:val="nil"/>
                  </w:tcBorders>
                  <w:vAlign w:val="center"/>
                </w:tcPr>
                <w:p w14:paraId="3D60DB26">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产污系数</w:t>
                  </w:r>
                </w:p>
              </w:tc>
            </w:tr>
            <w:tr w14:paraId="2C1B8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079" w:type="dxa"/>
                  <w:vMerge w:val="restart"/>
                  <w:tcBorders>
                    <w:tl2br w:val="nil"/>
                    <w:tr2bl w:val="nil"/>
                  </w:tcBorders>
                  <w:vAlign w:val="center"/>
                </w:tcPr>
                <w:p w14:paraId="06E31D80">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柴油</w:t>
                  </w:r>
                </w:p>
              </w:tc>
              <w:tc>
                <w:tcPr>
                  <w:tcW w:w="2079" w:type="dxa"/>
                  <w:tcBorders>
                    <w:tl2br w:val="nil"/>
                    <w:tr2bl w:val="nil"/>
                  </w:tcBorders>
                  <w:vAlign w:val="center"/>
                </w:tcPr>
                <w:p w14:paraId="18DAFD93">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工业废气量</w:t>
                  </w:r>
                </w:p>
              </w:tc>
              <w:tc>
                <w:tcPr>
                  <w:tcW w:w="2079" w:type="dxa"/>
                  <w:tcBorders>
                    <w:tl2br w:val="nil"/>
                    <w:tr2bl w:val="nil"/>
                  </w:tcBorders>
                  <w:vAlign w:val="center"/>
                </w:tcPr>
                <w:p w14:paraId="0750BB7B">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标立方米/吨-原料</w:t>
                  </w:r>
                </w:p>
              </w:tc>
              <w:tc>
                <w:tcPr>
                  <w:tcW w:w="2080" w:type="dxa"/>
                  <w:tcBorders>
                    <w:tl2br w:val="nil"/>
                    <w:tr2bl w:val="nil"/>
                  </w:tcBorders>
                  <w:vAlign w:val="center"/>
                </w:tcPr>
                <w:p w14:paraId="6B14A108">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17804</w:t>
                  </w:r>
                </w:p>
              </w:tc>
            </w:tr>
            <w:tr w14:paraId="14A71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079" w:type="dxa"/>
                  <w:vMerge w:val="continue"/>
                  <w:tcBorders>
                    <w:tl2br w:val="nil"/>
                    <w:tr2bl w:val="nil"/>
                  </w:tcBorders>
                  <w:vAlign w:val="center"/>
                </w:tcPr>
                <w:p w14:paraId="4DF4FF24">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2079" w:type="dxa"/>
                  <w:tcBorders>
                    <w:tl2br w:val="nil"/>
                    <w:tr2bl w:val="nil"/>
                  </w:tcBorders>
                  <w:vAlign w:val="center"/>
                </w:tcPr>
                <w:p w14:paraId="539F9895">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颗粒物</w:t>
                  </w:r>
                </w:p>
              </w:tc>
              <w:tc>
                <w:tcPr>
                  <w:tcW w:w="2079" w:type="dxa"/>
                  <w:tcBorders>
                    <w:tl2br w:val="nil"/>
                    <w:tr2bl w:val="nil"/>
                  </w:tcBorders>
                  <w:vAlign w:val="center"/>
                </w:tcPr>
                <w:p w14:paraId="60336C8C">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千克/吨-原料</w:t>
                  </w:r>
                </w:p>
              </w:tc>
              <w:tc>
                <w:tcPr>
                  <w:tcW w:w="2080" w:type="dxa"/>
                  <w:tcBorders>
                    <w:tl2br w:val="nil"/>
                    <w:tr2bl w:val="nil"/>
                  </w:tcBorders>
                  <w:vAlign w:val="center"/>
                </w:tcPr>
                <w:p w14:paraId="5DF814BC">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0.26</w:t>
                  </w:r>
                </w:p>
              </w:tc>
            </w:tr>
            <w:tr w14:paraId="46B32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079" w:type="dxa"/>
                  <w:vMerge w:val="continue"/>
                  <w:tcBorders>
                    <w:tl2br w:val="nil"/>
                    <w:tr2bl w:val="nil"/>
                  </w:tcBorders>
                  <w:vAlign w:val="center"/>
                </w:tcPr>
                <w:p w14:paraId="086842BC">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2079" w:type="dxa"/>
                  <w:tcBorders>
                    <w:tl2br w:val="nil"/>
                    <w:tr2bl w:val="nil"/>
                  </w:tcBorders>
                  <w:vAlign w:val="center"/>
                </w:tcPr>
                <w:p w14:paraId="33DF0304">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二氧化硫</w:t>
                  </w:r>
                </w:p>
              </w:tc>
              <w:tc>
                <w:tcPr>
                  <w:tcW w:w="2079" w:type="dxa"/>
                  <w:tcBorders>
                    <w:tl2br w:val="nil"/>
                    <w:tr2bl w:val="nil"/>
                  </w:tcBorders>
                  <w:vAlign w:val="center"/>
                </w:tcPr>
                <w:p w14:paraId="103480AD">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千克/吨-原料</w:t>
                  </w:r>
                </w:p>
              </w:tc>
              <w:tc>
                <w:tcPr>
                  <w:tcW w:w="2080" w:type="dxa"/>
                  <w:tcBorders>
                    <w:tl2br w:val="nil"/>
                    <w:tr2bl w:val="nil"/>
                  </w:tcBorders>
                  <w:vAlign w:val="center"/>
                </w:tcPr>
                <w:p w14:paraId="773DF25B">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9</w:t>
                  </w:r>
                  <w:r>
                    <w:rPr>
                      <w:rFonts w:hint="eastAsia" w:ascii="宋体" w:hAnsi="宋体" w:eastAsia="宋体" w:cs="宋体"/>
                      <w:color w:val="auto"/>
                      <w:sz w:val="21"/>
                      <w:szCs w:val="21"/>
                    </w:rPr>
                    <w:t>S</w:t>
                  </w:r>
                  <w:r>
                    <w:rPr>
                      <w:rFonts w:hint="eastAsia" w:ascii="宋体" w:hAnsi="宋体" w:eastAsia="宋体" w:cs="宋体"/>
                      <w:color w:val="auto"/>
                      <w:sz w:val="21"/>
                      <w:szCs w:val="21"/>
                      <w:vertAlign w:val="superscript"/>
                    </w:rPr>
                    <w:fldChar w:fldCharType="begin"/>
                  </w:r>
                  <w:r>
                    <w:rPr>
                      <w:rFonts w:hint="eastAsia" w:ascii="宋体" w:hAnsi="宋体" w:eastAsia="宋体" w:cs="宋体"/>
                      <w:color w:val="auto"/>
                      <w:sz w:val="21"/>
                      <w:szCs w:val="21"/>
                      <w:vertAlign w:val="superscript"/>
                    </w:rPr>
                    <w:instrText xml:space="preserve"> = 1 \* GB3 </w:instrText>
                  </w:r>
                  <w:r>
                    <w:rPr>
                      <w:rFonts w:hint="eastAsia" w:ascii="宋体" w:hAnsi="宋体" w:eastAsia="宋体" w:cs="宋体"/>
                      <w:color w:val="auto"/>
                      <w:sz w:val="21"/>
                      <w:szCs w:val="21"/>
                      <w:vertAlign w:val="superscript"/>
                    </w:rPr>
                    <w:fldChar w:fldCharType="separate"/>
                  </w:r>
                  <w:r>
                    <w:rPr>
                      <w:rFonts w:hint="eastAsia" w:ascii="宋体" w:hAnsi="宋体" w:eastAsia="宋体" w:cs="宋体"/>
                      <w:color w:val="auto"/>
                      <w:sz w:val="21"/>
                      <w:szCs w:val="21"/>
                      <w:vertAlign w:val="superscript"/>
                    </w:rPr>
                    <w:t>①</w:t>
                  </w:r>
                  <w:r>
                    <w:rPr>
                      <w:rFonts w:hint="eastAsia" w:ascii="宋体" w:hAnsi="宋体" w:eastAsia="宋体" w:cs="宋体"/>
                      <w:color w:val="auto"/>
                      <w:sz w:val="21"/>
                      <w:szCs w:val="21"/>
                      <w:vertAlign w:val="superscript"/>
                    </w:rPr>
                    <w:fldChar w:fldCharType="end"/>
                  </w:r>
                </w:p>
              </w:tc>
            </w:tr>
            <w:tr w14:paraId="3B671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2079" w:type="dxa"/>
                  <w:vMerge w:val="continue"/>
                  <w:tcBorders>
                    <w:tl2br w:val="nil"/>
                    <w:tr2bl w:val="nil"/>
                  </w:tcBorders>
                  <w:vAlign w:val="center"/>
                </w:tcPr>
                <w:p w14:paraId="7B6D7054">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2079" w:type="dxa"/>
                  <w:tcBorders>
                    <w:tl2br w:val="nil"/>
                    <w:tr2bl w:val="nil"/>
                  </w:tcBorders>
                  <w:vAlign w:val="center"/>
                </w:tcPr>
                <w:p w14:paraId="743784EC">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氮氧化物</w:t>
                  </w:r>
                </w:p>
              </w:tc>
              <w:tc>
                <w:tcPr>
                  <w:tcW w:w="2079" w:type="dxa"/>
                  <w:tcBorders>
                    <w:tl2br w:val="nil"/>
                    <w:tr2bl w:val="nil"/>
                  </w:tcBorders>
                  <w:vAlign w:val="center"/>
                </w:tcPr>
                <w:p w14:paraId="60D5BF5C">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千克/吨-原料</w:t>
                  </w:r>
                </w:p>
              </w:tc>
              <w:tc>
                <w:tcPr>
                  <w:tcW w:w="2080" w:type="dxa"/>
                  <w:tcBorders>
                    <w:tl2br w:val="nil"/>
                    <w:tr2bl w:val="nil"/>
                  </w:tcBorders>
                  <w:vAlign w:val="center"/>
                </w:tcPr>
                <w:p w14:paraId="10DF2691">
                  <w:pPr>
                    <w:keepNext w:val="0"/>
                    <w:keepLines w:val="0"/>
                    <w:suppressLineNumbers w:val="0"/>
                    <w:autoSpaceDE w:val="0"/>
                    <w:autoSpaceDN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3.03</w:t>
                  </w:r>
                </w:p>
              </w:tc>
            </w:tr>
            <w:tr w14:paraId="2082C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8317" w:type="dxa"/>
                  <w:gridSpan w:val="4"/>
                  <w:tcBorders>
                    <w:tl2br w:val="nil"/>
                    <w:tr2bl w:val="nil"/>
                  </w:tcBorders>
                  <w:vAlign w:val="center"/>
                </w:tcPr>
                <w:p w14:paraId="653FEB2F">
                  <w:pPr>
                    <w:keepNext w:val="0"/>
                    <w:keepLines w:val="0"/>
                    <w:suppressLineNumbers w:val="0"/>
                    <w:spacing w:before="0" w:beforeAutospacing="0" w:after="0" w:afterAutospacing="0" w:line="360" w:lineRule="exact"/>
                    <w:ind w:left="0" w:right="0"/>
                    <w:jc w:val="left"/>
                    <w:rPr>
                      <w:rFonts w:hint="eastAsia" w:ascii="宋体" w:hAnsi="宋体" w:eastAsia="宋体" w:cs="宋体"/>
                      <w:color w:val="auto"/>
                      <w:sz w:val="21"/>
                      <w:szCs w:val="21"/>
                    </w:rPr>
                  </w:pPr>
                  <w:r>
                    <w:rPr>
                      <w:rFonts w:hint="eastAsia" w:ascii="宋体" w:hAnsi="宋体" w:eastAsia="宋体" w:cs="宋体"/>
                      <w:color w:val="auto"/>
                      <w:sz w:val="21"/>
                      <w:szCs w:val="21"/>
                    </w:rPr>
                    <w:t>注释：</w:t>
                  </w:r>
                  <w:r>
                    <w:rPr>
                      <w:rFonts w:hint="eastAsia" w:ascii="宋体" w:hAnsi="宋体" w:eastAsia="宋体" w:cs="宋体"/>
                      <w:color w:val="auto"/>
                      <w:sz w:val="21"/>
                      <w:szCs w:val="21"/>
                      <w:lang w:eastAsia="zh-CN"/>
                    </w:rPr>
                    <w:t>柴油</w:t>
                  </w:r>
                  <w:r>
                    <w:rPr>
                      <w:rFonts w:hint="eastAsia" w:ascii="宋体" w:hAnsi="宋体" w:eastAsia="宋体" w:cs="宋体"/>
                      <w:color w:val="auto"/>
                      <w:sz w:val="21"/>
                      <w:szCs w:val="21"/>
                    </w:rPr>
                    <w:t>S%=</w:t>
                  </w:r>
                  <w:r>
                    <w:rPr>
                      <w:rFonts w:hint="eastAsia" w:ascii="宋体" w:hAnsi="宋体" w:eastAsia="宋体" w:cs="宋体"/>
                      <w:color w:val="auto"/>
                      <w:sz w:val="21"/>
                      <w:szCs w:val="21"/>
                      <w:lang w:val="en-US" w:eastAsia="zh-CN"/>
                    </w:rPr>
                    <w:t>0.001%</w:t>
                  </w:r>
                  <w:r>
                    <w:rPr>
                      <w:rFonts w:hint="eastAsia" w:ascii="宋体" w:hAnsi="宋体" w:eastAsia="宋体" w:cs="宋体"/>
                      <w:color w:val="auto"/>
                      <w:sz w:val="21"/>
                      <w:szCs w:val="21"/>
                    </w:rPr>
                    <w:t>。</w:t>
                  </w:r>
                </w:p>
              </w:tc>
            </w:tr>
          </w:tbl>
          <w:p w14:paraId="76A062A8">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szCs w:val="21"/>
                <w:lang w:eastAsia="zh-CN"/>
              </w:rPr>
              <w:t>项目</w:t>
            </w:r>
            <w:r>
              <w:rPr>
                <w:rFonts w:hint="default" w:ascii="Times New Roman" w:hAnsi="Times New Roman" w:eastAsia="宋体" w:cs="Times New Roman"/>
                <w:color w:val="auto"/>
                <w:sz w:val="24"/>
                <w:szCs w:val="21"/>
                <w:lang w:val="en-US" w:eastAsia="zh-CN"/>
              </w:rPr>
              <w:t>燃油锅炉燃用</w:t>
            </w:r>
            <w:r>
              <w:rPr>
                <w:rFonts w:hint="eastAsia" w:eastAsia="宋体" w:cs="宋体"/>
                <w:color w:val="auto"/>
                <w:sz w:val="24"/>
                <w:szCs w:val="21"/>
              </w:rPr>
              <w:t>低硫油</w:t>
            </w:r>
            <w:r>
              <w:rPr>
                <w:rFonts w:hint="default" w:ascii="Times New Roman" w:hAnsi="Times New Roman" w:eastAsia="宋体" w:cs="Times New Roman"/>
                <w:color w:val="auto"/>
                <w:sz w:val="24"/>
                <w:szCs w:val="21"/>
                <w:lang w:val="en-US" w:eastAsia="zh-CN"/>
              </w:rPr>
              <w:t>，锅炉烟气采用低氮燃烧技术处理后经1根15m高排气筒（DA001）排放</w:t>
            </w:r>
            <w:r>
              <w:rPr>
                <w:rFonts w:hint="default" w:ascii="Times New Roman" w:hAnsi="Times New Roman" w:eastAsia="宋体" w:cs="Times New Roman"/>
                <w:color w:val="auto"/>
                <w:sz w:val="24"/>
                <w:szCs w:val="21"/>
                <w:lang w:eastAsia="zh-CN"/>
              </w:rPr>
              <w:t>。</w:t>
            </w:r>
            <w:r>
              <w:rPr>
                <w:rFonts w:hint="default" w:ascii="Times New Roman" w:hAnsi="Times New Roman" w:eastAsia="宋体" w:cs="Times New Roman"/>
                <w:color w:val="auto"/>
                <w:sz w:val="24"/>
                <w:szCs w:val="21"/>
                <w:lang w:val="en-US" w:eastAsia="zh-CN"/>
              </w:rPr>
              <w:t>备用燃油蒸汽发生器燃用低硫油，采用低氮燃烧技术，</w:t>
            </w:r>
            <w:r>
              <w:rPr>
                <w:rFonts w:hint="eastAsia" w:ascii="Times New Roman" w:hAnsi="Times New Roman" w:eastAsia="宋体" w:cs="Times New Roman"/>
                <w:color w:val="auto"/>
                <w:sz w:val="24"/>
                <w:szCs w:val="21"/>
                <w:lang w:val="en-US" w:eastAsia="zh-CN"/>
              </w:rPr>
              <w:t>处理后经</w:t>
            </w:r>
            <w:r>
              <w:rPr>
                <w:rFonts w:hint="default" w:ascii="Times New Roman" w:hAnsi="Times New Roman" w:eastAsia="宋体" w:cs="Times New Roman"/>
                <w:color w:val="auto"/>
                <w:sz w:val="24"/>
                <w:szCs w:val="21"/>
                <w:lang w:val="en-US" w:eastAsia="zh-CN"/>
              </w:rPr>
              <w:t>1根15m高排气筒（DA001）。</w:t>
            </w:r>
            <w:r>
              <w:rPr>
                <w:rFonts w:hint="default" w:ascii="Times New Roman" w:hAnsi="Times New Roman" w:eastAsia="宋体" w:cs="Times New Roman"/>
                <w:color w:val="auto"/>
                <w:sz w:val="24"/>
                <w:szCs w:val="21"/>
                <w:lang w:eastAsia="zh-CN"/>
              </w:rPr>
              <w:t>燃油</w:t>
            </w:r>
            <w:r>
              <w:rPr>
                <w:rFonts w:hint="default" w:ascii="Times New Roman" w:hAnsi="Times New Roman" w:eastAsia="宋体" w:cs="Times New Roman"/>
                <w:color w:val="auto"/>
                <w:kern w:val="0"/>
                <w:sz w:val="24"/>
              </w:rPr>
              <w:t>锅炉烟气产排污情况见表</w:t>
            </w:r>
            <w:r>
              <w:rPr>
                <w:rFonts w:hint="default" w:ascii="Times New Roman" w:hAnsi="Times New Roman" w:eastAsia="宋体" w:cs="Times New Roman"/>
                <w:color w:val="auto"/>
                <w:kern w:val="0"/>
                <w:sz w:val="24"/>
                <w:lang w:val="en-US" w:eastAsia="zh-CN"/>
              </w:rPr>
              <w:t>4-2</w:t>
            </w:r>
            <w:r>
              <w:rPr>
                <w:rFonts w:hint="default" w:ascii="Times New Roman" w:hAnsi="Times New Roman" w:eastAsia="宋体" w:cs="Times New Roman"/>
                <w:color w:val="auto"/>
                <w:kern w:val="0"/>
                <w:sz w:val="24"/>
              </w:rPr>
              <w:t>所示。</w:t>
            </w:r>
          </w:p>
          <w:p w14:paraId="7614A76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4-2</w:t>
            </w:r>
            <w:r>
              <w:rPr>
                <w:rFonts w:hint="default" w:ascii="Times New Roman" w:hAnsi="Times New Roman" w:eastAsia="宋体" w:cs="Times New Roman"/>
                <w:b/>
                <w:bCs/>
                <w:color w:val="auto"/>
                <w:sz w:val="24"/>
              </w:rPr>
              <w:t xml:space="preserve"> </w:t>
            </w:r>
            <w:r>
              <w:rPr>
                <w:rFonts w:hint="default" w:ascii="Times New Roman" w:hAnsi="Times New Roman" w:eastAsia="宋体" w:cs="Times New Roman"/>
                <w:b/>
                <w:bCs/>
                <w:color w:val="auto"/>
                <w:sz w:val="24"/>
                <w:lang w:eastAsia="zh-CN"/>
              </w:rPr>
              <w:t>燃油锅炉烟气产排情况</w:t>
            </w:r>
          </w:p>
          <w:tbl>
            <w:tblPr>
              <w:tblStyle w:val="26"/>
              <w:tblW w:w="8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832"/>
              <w:gridCol w:w="914"/>
              <w:gridCol w:w="1067"/>
              <w:gridCol w:w="1529"/>
              <w:gridCol w:w="940"/>
              <w:gridCol w:w="948"/>
              <w:gridCol w:w="1101"/>
            </w:tblGrid>
            <w:tr w14:paraId="6BBD6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0" w:type="dxa"/>
                  <w:tcBorders>
                    <w:tl2br w:val="nil"/>
                    <w:tr2bl w:val="nil"/>
                  </w:tcBorders>
                  <w:vAlign w:val="center"/>
                </w:tcPr>
                <w:p w14:paraId="0FB82B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bidi="ar"/>
                    </w:rPr>
                    <w:t>污染物</w:t>
                  </w:r>
                </w:p>
              </w:tc>
              <w:tc>
                <w:tcPr>
                  <w:tcW w:w="832" w:type="dxa"/>
                  <w:tcBorders>
                    <w:tl2br w:val="nil"/>
                    <w:tr2bl w:val="nil"/>
                  </w:tcBorders>
                  <w:vAlign w:val="center"/>
                </w:tcPr>
                <w:p w14:paraId="31D949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bidi="ar"/>
                    </w:rPr>
                    <w:t>产生量t/a</w:t>
                  </w:r>
                </w:p>
              </w:tc>
              <w:tc>
                <w:tcPr>
                  <w:tcW w:w="914" w:type="dxa"/>
                  <w:tcBorders>
                    <w:tl2br w:val="nil"/>
                    <w:tr2bl w:val="nil"/>
                  </w:tcBorders>
                  <w:vAlign w:val="center"/>
                </w:tcPr>
                <w:p w14:paraId="0C961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eastAsia="zh-CN" w:bidi="ar"/>
                    </w:rPr>
                    <w:t>产生速率</w:t>
                  </w:r>
                  <w:r>
                    <w:rPr>
                      <w:rFonts w:hint="default" w:ascii="Times New Roman" w:hAnsi="Times New Roman" w:eastAsia="宋体" w:cs="Times New Roman"/>
                      <w:color w:val="auto"/>
                      <w:szCs w:val="21"/>
                      <w:lang w:val="en-US" w:eastAsia="zh-CN" w:bidi="ar"/>
                    </w:rPr>
                    <w:t>kg/h</w:t>
                  </w:r>
                </w:p>
              </w:tc>
              <w:tc>
                <w:tcPr>
                  <w:tcW w:w="1067" w:type="dxa"/>
                  <w:tcBorders>
                    <w:tl2br w:val="nil"/>
                    <w:tr2bl w:val="nil"/>
                  </w:tcBorders>
                  <w:vAlign w:val="center"/>
                </w:tcPr>
                <w:p w14:paraId="06FC28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bidi="ar"/>
                    </w:rPr>
                    <w:t>产生浓度mg/m</w:t>
                  </w:r>
                  <w:r>
                    <w:rPr>
                      <w:rFonts w:hint="default" w:ascii="Times New Roman" w:hAnsi="Times New Roman" w:eastAsia="宋体" w:cs="Times New Roman"/>
                      <w:color w:val="auto"/>
                      <w:szCs w:val="21"/>
                      <w:vertAlign w:val="superscript"/>
                      <w:lang w:bidi="ar"/>
                    </w:rPr>
                    <w:t>3</w:t>
                  </w:r>
                </w:p>
              </w:tc>
              <w:tc>
                <w:tcPr>
                  <w:tcW w:w="1529" w:type="dxa"/>
                  <w:tcBorders>
                    <w:tl2br w:val="nil"/>
                    <w:tr2bl w:val="nil"/>
                  </w:tcBorders>
                  <w:vAlign w:val="center"/>
                </w:tcPr>
                <w:p w14:paraId="7BFBC2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bidi="ar"/>
                    </w:rPr>
                    <w:t>处理效率</w:t>
                  </w:r>
                </w:p>
              </w:tc>
              <w:tc>
                <w:tcPr>
                  <w:tcW w:w="940" w:type="dxa"/>
                  <w:tcBorders>
                    <w:tl2br w:val="nil"/>
                    <w:tr2bl w:val="nil"/>
                  </w:tcBorders>
                  <w:vAlign w:val="center"/>
                </w:tcPr>
                <w:p w14:paraId="75596A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bidi="ar"/>
                    </w:rPr>
                    <w:t>排放</w:t>
                  </w:r>
                  <w:r>
                    <w:rPr>
                      <w:rFonts w:hint="default" w:ascii="Times New Roman" w:hAnsi="Times New Roman" w:eastAsia="宋体" w:cs="Times New Roman"/>
                      <w:color w:val="auto"/>
                      <w:szCs w:val="21"/>
                      <w:lang w:bidi="ar"/>
                    </w:rPr>
                    <w:t>量t/a</w:t>
                  </w:r>
                </w:p>
              </w:tc>
              <w:tc>
                <w:tcPr>
                  <w:tcW w:w="948" w:type="dxa"/>
                  <w:tcBorders>
                    <w:tl2br w:val="nil"/>
                    <w:tr2bl w:val="nil"/>
                  </w:tcBorders>
                  <w:vAlign w:val="center"/>
                </w:tcPr>
                <w:p w14:paraId="5214EB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eastAsia="zh-CN" w:bidi="ar"/>
                    </w:rPr>
                    <w:t>排放速率</w:t>
                  </w:r>
                  <w:r>
                    <w:rPr>
                      <w:rFonts w:hint="default" w:ascii="Times New Roman" w:hAnsi="Times New Roman" w:eastAsia="宋体" w:cs="Times New Roman"/>
                      <w:color w:val="auto"/>
                      <w:szCs w:val="21"/>
                      <w:lang w:val="en-US" w:eastAsia="zh-CN" w:bidi="ar"/>
                    </w:rPr>
                    <w:t>kg/h</w:t>
                  </w:r>
                </w:p>
              </w:tc>
              <w:tc>
                <w:tcPr>
                  <w:tcW w:w="1101" w:type="dxa"/>
                  <w:tcBorders>
                    <w:tl2br w:val="nil"/>
                    <w:tr2bl w:val="nil"/>
                  </w:tcBorders>
                  <w:vAlign w:val="center"/>
                </w:tcPr>
                <w:p w14:paraId="7EFDD0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bidi="ar"/>
                    </w:rPr>
                    <w:t>排放浓度mg/m</w:t>
                  </w:r>
                  <w:r>
                    <w:rPr>
                      <w:rFonts w:hint="default" w:ascii="Times New Roman" w:hAnsi="Times New Roman" w:eastAsia="宋体" w:cs="Times New Roman"/>
                      <w:color w:val="auto"/>
                      <w:szCs w:val="21"/>
                      <w:vertAlign w:val="superscript"/>
                      <w:lang w:bidi="ar"/>
                    </w:rPr>
                    <w:t>3</w:t>
                  </w:r>
                </w:p>
              </w:tc>
            </w:tr>
            <w:tr w14:paraId="2AA04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0" w:type="dxa"/>
                  <w:tcBorders>
                    <w:tl2br w:val="nil"/>
                    <w:tr2bl w:val="nil"/>
                  </w:tcBorders>
                  <w:vAlign w:val="center"/>
                </w:tcPr>
                <w:p w14:paraId="4442A7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bidi="ar"/>
                    </w:rPr>
                    <w:t>烟气量</w:t>
                  </w:r>
                </w:p>
              </w:tc>
              <w:tc>
                <w:tcPr>
                  <w:tcW w:w="2813" w:type="dxa"/>
                  <w:gridSpan w:val="3"/>
                  <w:tcBorders>
                    <w:tl2br w:val="nil"/>
                    <w:tr2bl w:val="nil"/>
                  </w:tcBorders>
                  <w:vAlign w:val="center"/>
                </w:tcPr>
                <w:p w14:paraId="329C4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val="en-US" w:eastAsia="zh-CN" w:bidi="ar"/>
                    </w:rPr>
                    <w:t>534.12</w:t>
                  </w:r>
                  <w:r>
                    <w:rPr>
                      <w:rFonts w:hint="default" w:ascii="Times New Roman" w:hAnsi="Times New Roman" w:eastAsia="宋体" w:cs="Times New Roman"/>
                      <w:color w:val="auto"/>
                      <w:szCs w:val="21"/>
                      <w:lang w:bidi="ar"/>
                    </w:rPr>
                    <w:t>×10</w:t>
                  </w:r>
                  <w:r>
                    <w:rPr>
                      <w:rFonts w:hint="default" w:ascii="Times New Roman" w:hAnsi="Times New Roman" w:eastAsia="宋体" w:cs="Times New Roman"/>
                      <w:color w:val="auto"/>
                      <w:szCs w:val="21"/>
                      <w:vertAlign w:val="superscript"/>
                      <w:lang w:bidi="ar"/>
                    </w:rPr>
                    <w:t>4</w:t>
                  </w:r>
                  <w:r>
                    <w:rPr>
                      <w:rFonts w:hint="default" w:ascii="Times New Roman" w:hAnsi="Times New Roman" w:eastAsia="宋体" w:cs="Times New Roman"/>
                      <w:color w:val="auto"/>
                      <w:szCs w:val="21"/>
                      <w:lang w:bidi="ar"/>
                    </w:rPr>
                    <w:t>m</w:t>
                  </w:r>
                  <w:r>
                    <w:rPr>
                      <w:rFonts w:hint="default" w:ascii="Times New Roman" w:hAnsi="Times New Roman" w:eastAsia="宋体" w:cs="Times New Roman"/>
                      <w:color w:val="auto"/>
                      <w:szCs w:val="21"/>
                      <w:vertAlign w:val="superscript"/>
                      <w:lang w:bidi="ar"/>
                    </w:rPr>
                    <w:t>3</w:t>
                  </w:r>
                  <w:r>
                    <w:rPr>
                      <w:rFonts w:hint="default" w:ascii="Times New Roman" w:hAnsi="Times New Roman" w:eastAsia="宋体" w:cs="Times New Roman"/>
                      <w:color w:val="auto"/>
                      <w:szCs w:val="21"/>
                      <w:lang w:bidi="ar"/>
                    </w:rPr>
                    <w:t>/a</w:t>
                  </w:r>
                </w:p>
              </w:tc>
              <w:tc>
                <w:tcPr>
                  <w:tcW w:w="1529" w:type="dxa"/>
                  <w:tcBorders>
                    <w:tl2br w:val="nil"/>
                    <w:tr2bl w:val="nil"/>
                  </w:tcBorders>
                  <w:vAlign w:val="center"/>
                </w:tcPr>
                <w:p w14:paraId="550B76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2989" w:type="dxa"/>
                  <w:gridSpan w:val="3"/>
                  <w:tcBorders>
                    <w:tl2br w:val="nil"/>
                    <w:tr2bl w:val="nil"/>
                  </w:tcBorders>
                  <w:vAlign w:val="center"/>
                </w:tcPr>
                <w:p w14:paraId="61DB3A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bidi="ar"/>
                    </w:rPr>
                    <w:t>534.12</w:t>
                  </w:r>
                  <w:r>
                    <w:rPr>
                      <w:rFonts w:hint="default" w:ascii="Times New Roman" w:hAnsi="Times New Roman" w:eastAsia="宋体" w:cs="Times New Roman"/>
                      <w:color w:val="auto"/>
                      <w:szCs w:val="21"/>
                      <w:lang w:bidi="ar"/>
                    </w:rPr>
                    <w:t>×10</w:t>
                  </w:r>
                  <w:r>
                    <w:rPr>
                      <w:rFonts w:hint="default" w:ascii="Times New Roman" w:hAnsi="Times New Roman" w:eastAsia="宋体" w:cs="Times New Roman"/>
                      <w:color w:val="auto"/>
                      <w:szCs w:val="21"/>
                      <w:vertAlign w:val="superscript"/>
                      <w:lang w:bidi="ar"/>
                    </w:rPr>
                    <w:t>4</w:t>
                  </w:r>
                  <w:r>
                    <w:rPr>
                      <w:rFonts w:hint="default" w:ascii="Times New Roman" w:hAnsi="Times New Roman" w:eastAsia="宋体" w:cs="Times New Roman"/>
                      <w:color w:val="auto"/>
                      <w:szCs w:val="21"/>
                      <w:lang w:bidi="ar"/>
                    </w:rPr>
                    <w:t>m</w:t>
                  </w:r>
                  <w:r>
                    <w:rPr>
                      <w:rFonts w:hint="default" w:ascii="Times New Roman" w:hAnsi="Times New Roman" w:eastAsia="宋体" w:cs="Times New Roman"/>
                      <w:color w:val="auto"/>
                      <w:szCs w:val="21"/>
                      <w:vertAlign w:val="superscript"/>
                      <w:lang w:bidi="ar"/>
                    </w:rPr>
                    <w:t>3</w:t>
                  </w:r>
                  <w:r>
                    <w:rPr>
                      <w:rFonts w:hint="default" w:ascii="Times New Roman" w:hAnsi="Times New Roman" w:eastAsia="宋体" w:cs="Times New Roman"/>
                      <w:color w:val="auto"/>
                      <w:szCs w:val="21"/>
                      <w:lang w:bidi="ar"/>
                    </w:rPr>
                    <w:t>/a</w:t>
                  </w:r>
                </w:p>
              </w:tc>
            </w:tr>
            <w:tr w14:paraId="2C1CF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0" w:type="dxa"/>
                  <w:tcBorders>
                    <w:tl2br w:val="nil"/>
                    <w:tr2bl w:val="nil"/>
                  </w:tcBorders>
                  <w:vAlign w:val="center"/>
                </w:tcPr>
                <w:p w14:paraId="479FCA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lang w:bidi="ar"/>
                    </w:rPr>
                    <w:t>颗粒物</w:t>
                  </w:r>
                </w:p>
              </w:tc>
              <w:tc>
                <w:tcPr>
                  <w:tcW w:w="832" w:type="dxa"/>
                  <w:tcBorders>
                    <w:tl2br w:val="nil"/>
                    <w:tr2bl w:val="nil"/>
                  </w:tcBorders>
                  <w:vAlign w:val="center"/>
                </w:tcPr>
                <w:p w14:paraId="62C2E5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0.078</w:t>
                  </w:r>
                </w:p>
              </w:tc>
              <w:tc>
                <w:tcPr>
                  <w:tcW w:w="914" w:type="dxa"/>
                  <w:tcBorders>
                    <w:tl2br w:val="nil"/>
                    <w:tr2bl w:val="nil"/>
                  </w:tcBorders>
                  <w:vAlign w:val="center"/>
                </w:tcPr>
                <w:p w14:paraId="5825F4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0.0</w:t>
                  </w:r>
                  <w:r>
                    <w:rPr>
                      <w:rFonts w:hint="eastAsia" w:ascii="Times New Roman" w:hAnsi="Times New Roman" w:eastAsia="宋体" w:cs="Times New Roman"/>
                      <w:color w:val="auto"/>
                      <w:szCs w:val="21"/>
                      <w:lang w:val="en-US" w:eastAsia="zh-CN" w:bidi="ar"/>
                    </w:rPr>
                    <w:t>65</w:t>
                  </w:r>
                </w:p>
              </w:tc>
              <w:tc>
                <w:tcPr>
                  <w:tcW w:w="1067" w:type="dxa"/>
                  <w:tcBorders>
                    <w:tl2br w:val="nil"/>
                    <w:tr2bl w:val="nil"/>
                  </w:tcBorders>
                  <w:vAlign w:val="center"/>
                </w:tcPr>
                <w:p w14:paraId="6FDE2C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14.6</w:t>
                  </w:r>
                </w:p>
              </w:tc>
              <w:tc>
                <w:tcPr>
                  <w:tcW w:w="1529" w:type="dxa"/>
                  <w:tcBorders>
                    <w:tl2br w:val="nil"/>
                    <w:tr2bl w:val="nil"/>
                  </w:tcBorders>
                  <w:vAlign w:val="center"/>
                </w:tcPr>
                <w:p w14:paraId="3FAF65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eastAsiaTheme="minorEastAsia"/>
                      <w:color w:val="auto"/>
                      <w:szCs w:val="21"/>
                      <w:lang w:val="en-US" w:eastAsia="zh-CN" w:bidi="ar"/>
                    </w:rPr>
                  </w:pPr>
                  <w:r>
                    <w:rPr>
                      <w:rFonts w:hint="eastAsia"/>
                      <w:color w:val="auto"/>
                      <w:lang w:val="en-US" w:eastAsia="zh-CN"/>
                    </w:rPr>
                    <w:t>/</w:t>
                  </w:r>
                </w:p>
              </w:tc>
              <w:tc>
                <w:tcPr>
                  <w:tcW w:w="940" w:type="dxa"/>
                  <w:tcBorders>
                    <w:tl2br w:val="nil"/>
                    <w:tr2bl w:val="nil"/>
                  </w:tcBorders>
                  <w:vAlign w:val="center"/>
                </w:tcPr>
                <w:p w14:paraId="1F519C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0.078</w:t>
                  </w:r>
                </w:p>
              </w:tc>
              <w:tc>
                <w:tcPr>
                  <w:tcW w:w="948" w:type="dxa"/>
                  <w:tcBorders>
                    <w:tl2br w:val="nil"/>
                    <w:tr2bl w:val="nil"/>
                  </w:tcBorders>
                  <w:vAlign w:val="center"/>
                </w:tcPr>
                <w:p w14:paraId="0D1646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0.0</w:t>
                  </w:r>
                  <w:r>
                    <w:rPr>
                      <w:rFonts w:hint="eastAsia" w:ascii="Times New Roman" w:hAnsi="Times New Roman" w:eastAsia="宋体" w:cs="Times New Roman"/>
                      <w:color w:val="auto"/>
                      <w:szCs w:val="21"/>
                      <w:lang w:val="en-US" w:eastAsia="zh-CN" w:bidi="ar"/>
                    </w:rPr>
                    <w:t>65</w:t>
                  </w:r>
                </w:p>
              </w:tc>
              <w:tc>
                <w:tcPr>
                  <w:tcW w:w="1101" w:type="dxa"/>
                  <w:tcBorders>
                    <w:tl2br w:val="nil"/>
                    <w:tr2bl w:val="nil"/>
                  </w:tcBorders>
                  <w:vAlign w:val="center"/>
                </w:tcPr>
                <w:p w14:paraId="792462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14.6</w:t>
                  </w:r>
                </w:p>
              </w:tc>
            </w:tr>
            <w:tr w14:paraId="27C5E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0" w:type="dxa"/>
                  <w:tcBorders>
                    <w:tl2br w:val="nil"/>
                    <w:tr2bl w:val="nil"/>
                  </w:tcBorders>
                  <w:vAlign w:val="center"/>
                </w:tcPr>
                <w:p w14:paraId="1FA405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bidi="ar"/>
                    </w:rPr>
                    <w:t>SO</w:t>
                  </w:r>
                  <w:r>
                    <w:rPr>
                      <w:rFonts w:hint="default" w:ascii="Times New Roman" w:hAnsi="Times New Roman" w:eastAsia="宋体" w:cs="Times New Roman"/>
                      <w:color w:val="auto"/>
                      <w:szCs w:val="21"/>
                      <w:vertAlign w:val="subscript"/>
                      <w:lang w:bidi="ar"/>
                    </w:rPr>
                    <w:t>2</w:t>
                  </w:r>
                </w:p>
              </w:tc>
              <w:tc>
                <w:tcPr>
                  <w:tcW w:w="832" w:type="dxa"/>
                  <w:tcBorders>
                    <w:tl2br w:val="nil"/>
                    <w:tr2bl w:val="nil"/>
                  </w:tcBorders>
                  <w:vAlign w:val="center"/>
                </w:tcPr>
                <w:p w14:paraId="14E6B2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0.006</w:t>
                  </w:r>
                </w:p>
              </w:tc>
              <w:tc>
                <w:tcPr>
                  <w:tcW w:w="914" w:type="dxa"/>
                  <w:tcBorders>
                    <w:tl2br w:val="nil"/>
                    <w:tr2bl w:val="nil"/>
                  </w:tcBorders>
                  <w:vAlign w:val="center"/>
                </w:tcPr>
                <w:p w14:paraId="38C694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0.0</w:t>
                  </w:r>
                  <w:r>
                    <w:rPr>
                      <w:rFonts w:hint="eastAsia" w:ascii="Times New Roman" w:hAnsi="Times New Roman" w:eastAsia="宋体" w:cs="Times New Roman"/>
                      <w:color w:val="auto"/>
                      <w:szCs w:val="21"/>
                      <w:lang w:val="en-US" w:eastAsia="zh-CN" w:bidi="ar"/>
                    </w:rPr>
                    <w:t>05</w:t>
                  </w:r>
                </w:p>
              </w:tc>
              <w:tc>
                <w:tcPr>
                  <w:tcW w:w="1067" w:type="dxa"/>
                  <w:tcBorders>
                    <w:tl2br w:val="nil"/>
                    <w:tr2bl w:val="nil"/>
                  </w:tcBorders>
                  <w:vAlign w:val="center"/>
                </w:tcPr>
                <w:p w14:paraId="63CE7E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1.2</w:t>
                  </w:r>
                </w:p>
              </w:tc>
              <w:tc>
                <w:tcPr>
                  <w:tcW w:w="1529" w:type="dxa"/>
                  <w:tcBorders>
                    <w:tl2br w:val="nil"/>
                    <w:tr2bl w:val="nil"/>
                  </w:tcBorders>
                  <w:vAlign w:val="center"/>
                </w:tcPr>
                <w:p w14:paraId="17D91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 w:val="20"/>
                      <w:szCs w:val="20"/>
                      <w:lang w:val="en-US" w:eastAsia="zh-CN"/>
                    </w:rPr>
                  </w:pPr>
                  <w:r>
                    <w:rPr>
                      <w:rFonts w:hint="default" w:ascii="Times New Roman" w:hAnsi="Times New Roman" w:eastAsia="宋体" w:cs="Times New Roman"/>
                      <w:color w:val="auto"/>
                      <w:sz w:val="20"/>
                      <w:szCs w:val="20"/>
                      <w:lang w:val="en-US" w:eastAsia="zh-CN"/>
                    </w:rPr>
                    <w:t>/</w:t>
                  </w:r>
                </w:p>
              </w:tc>
              <w:tc>
                <w:tcPr>
                  <w:tcW w:w="940" w:type="dxa"/>
                  <w:tcBorders>
                    <w:tl2br w:val="nil"/>
                    <w:tr2bl w:val="nil"/>
                  </w:tcBorders>
                  <w:vAlign w:val="center"/>
                </w:tcPr>
                <w:p w14:paraId="6DA8FE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0.006</w:t>
                  </w:r>
                </w:p>
              </w:tc>
              <w:tc>
                <w:tcPr>
                  <w:tcW w:w="948" w:type="dxa"/>
                  <w:tcBorders>
                    <w:tl2br w:val="nil"/>
                    <w:tr2bl w:val="nil"/>
                  </w:tcBorders>
                  <w:vAlign w:val="center"/>
                </w:tcPr>
                <w:p w14:paraId="01AD66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bidi="ar"/>
                    </w:rPr>
                    <w:t>0.00</w:t>
                  </w:r>
                  <w:r>
                    <w:rPr>
                      <w:rFonts w:hint="eastAsia" w:ascii="Times New Roman" w:hAnsi="Times New Roman" w:eastAsia="宋体" w:cs="Times New Roman"/>
                      <w:color w:val="auto"/>
                      <w:szCs w:val="21"/>
                      <w:lang w:val="en-US" w:eastAsia="zh-CN" w:bidi="ar"/>
                    </w:rPr>
                    <w:t>5</w:t>
                  </w:r>
                </w:p>
              </w:tc>
              <w:tc>
                <w:tcPr>
                  <w:tcW w:w="1101" w:type="dxa"/>
                  <w:tcBorders>
                    <w:tl2br w:val="nil"/>
                    <w:tr2bl w:val="nil"/>
                  </w:tcBorders>
                  <w:vAlign w:val="center"/>
                </w:tcPr>
                <w:p w14:paraId="6C854D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bidi="ar"/>
                    </w:rPr>
                    <w:t>1.2</w:t>
                  </w:r>
                </w:p>
              </w:tc>
            </w:tr>
            <w:tr w14:paraId="709A9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0" w:type="dxa"/>
                  <w:tcBorders>
                    <w:tl2br w:val="nil"/>
                    <w:tr2bl w:val="nil"/>
                  </w:tcBorders>
                  <w:vAlign w:val="center"/>
                </w:tcPr>
                <w:p w14:paraId="1AD262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rPr>
                  </w:pPr>
                  <w:commentRangeStart w:id="7"/>
                  <w:r>
                    <w:rPr>
                      <w:rFonts w:hint="default" w:ascii="Times New Roman" w:hAnsi="Times New Roman" w:eastAsia="宋体" w:cs="Times New Roman"/>
                      <w:color w:val="auto"/>
                      <w:szCs w:val="21"/>
                      <w:lang w:bidi="ar"/>
                    </w:rPr>
                    <w:t>NO</w:t>
                  </w:r>
                  <w:r>
                    <w:rPr>
                      <w:rFonts w:hint="default" w:ascii="Times New Roman" w:hAnsi="Times New Roman" w:eastAsia="宋体" w:cs="Times New Roman"/>
                      <w:color w:val="auto"/>
                      <w:szCs w:val="21"/>
                      <w:vertAlign w:val="subscript"/>
                      <w:lang w:bidi="ar"/>
                    </w:rPr>
                    <w:t>x</w:t>
                  </w:r>
                </w:p>
              </w:tc>
              <w:tc>
                <w:tcPr>
                  <w:tcW w:w="832" w:type="dxa"/>
                  <w:tcBorders>
                    <w:tl2br w:val="nil"/>
                    <w:tr2bl w:val="nil"/>
                  </w:tcBorders>
                  <w:vAlign w:val="center"/>
                </w:tcPr>
                <w:p w14:paraId="386E40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0.909</w:t>
                  </w:r>
                </w:p>
              </w:tc>
              <w:tc>
                <w:tcPr>
                  <w:tcW w:w="914" w:type="dxa"/>
                  <w:tcBorders>
                    <w:tl2br w:val="nil"/>
                    <w:tr2bl w:val="nil"/>
                  </w:tcBorders>
                  <w:vAlign w:val="center"/>
                </w:tcPr>
                <w:p w14:paraId="2DE7EF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0.</w:t>
                  </w:r>
                  <w:r>
                    <w:rPr>
                      <w:rFonts w:hint="eastAsia" w:ascii="Times New Roman" w:hAnsi="Times New Roman" w:eastAsia="宋体" w:cs="Times New Roman"/>
                      <w:color w:val="auto"/>
                      <w:szCs w:val="21"/>
                      <w:lang w:val="en-US" w:eastAsia="zh-CN" w:bidi="ar"/>
                    </w:rPr>
                    <w:t>758</w:t>
                  </w:r>
                </w:p>
              </w:tc>
              <w:tc>
                <w:tcPr>
                  <w:tcW w:w="1067" w:type="dxa"/>
                  <w:tcBorders>
                    <w:tl2br w:val="nil"/>
                    <w:tr2bl w:val="nil"/>
                  </w:tcBorders>
                  <w:vAlign w:val="center"/>
                </w:tcPr>
                <w:p w14:paraId="158481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170.2</w:t>
                  </w:r>
                </w:p>
              </w:tc>
              <w:tc>
                <w:tcPr>
                  <w:tcW w:w="1529" w:type="dxa"/>
                  <w:tcBorders>
                    <w:tl2br w:val="nil"/>
                    <w:tr2bl w:val="nil"/>
                  </w:tcBorders>
                  <w:vAlign w:val="center"/>
                </w:tcPr>
                <w:p w14:paraId="7E18F6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sz w:val="20"/>
                      <w:szCs w:val="20"/>
                      <w:lang w:val="en-US" w:eastAsia="zh-CN"/>
                    </w:rPr>
                  </w:pPr>
                  <w:commentRangeStart w:id="8"/>
                  <w:r>
                    <w:rPr>
                      <w:rFonts w:hint="eastAsia" w:ascii="Times New Roman" w:hAnsi="Times New Roman" w:eastAsia="宋体" w:cs="Times New Roman"/>
                      <w:color w:val="auto"/>
                      <w:sz w:val="20"/>
                      <w:szCs w:val="20"/>
                      <w:highlight w:val="yellow"/>
                      <w:lang w:val="en-US" w:eastAsia="zh-CN"/>
                    </w:rPr>
                    <w:t>30%</w:t>
                  </w:r>
                  <w:commentRangeEnd w:id="8"/>
                  <w:r>
                    <w:rPr>
                      <w:rFonts w:hint="default"/>
                      <w:highlight w:val="yellow"/>
                    </w:rPr>
                    <w:commentReference w:id="8"/>
                  </w:r>
                </w:p>
              </w:tc>
              <w:tc>
                <w:tcPr>
                  <w:tcW w:w="940" w:type="dxa"/>
                  <w:tcBorders>
                    <w:tl2br w:val="nil"/>
                    <w:tr2bl w:val="nil"/>
                  </w:tcBorders>
                  <w:vAlign w:val="center"/>
                </w:tcPr>
                <w:p w14:paraId="7C530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r>
                    <w:rPr>
                      <w:rFonts w:hint="eastAsia" w:ascii="Times New Roman" w:hAnsi="Times New Roman" w:eastAsia="宋体" w:cs="Times New Roman"/>
                      <w:color w:val="auto"/>
                      <w:szCs w:val="21"/>
                      <w:lang w:val="en-US" w:eastAsia="zh-CN"/>
                    </w:rPr>
                    <w:t>636</w:t>
                  </w:r>
                </w:p>
              </w:tc>
              <w:tc>
                <w:tcPr>
                  <w:tcW w:w="948" w:type="dxa"/>
                  <w:tcBorders>
                    <w:tl2br w:val="nil"/>
                    <w:tr2bl w:val="nil"/>
                  </w:tcBorders>
                  <w:vAlign w:val="center"/>
                </w:tcPr>
                <w:p w14:paraId="51212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0.531</w:t>
                  </w:r>
                </w:p>
              </w:tc>
              <w:tc>
                <w:tcPr>
                  <w:tcW w:w="1101" w:type="dxa"/>
                  <w:tcBorders>
                    <w:tl2br w:val="nil"/>
                    <w:tr2bl w:val="nil"/>
                  </w:tcBorders>
                  <w:vAlign w:val="center"/>
                </w:tcPr>
                <w:p w14:paraId="2C51B9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bidi="ar"/>
                    </w:rPr>
                    <w:t>119.1</w:t>
                  </w:r>
                  <w:commentRangeEnd w:id="7"/>
                  <w:r>
                    <w:rPr>
                      <w:rFonts w:hint="default"/>
                    </w:rPr>
                    <w:commentReference w:id="7"/>
                  </w:r>
                </w:p>
              </w:tc>
            </w:tr>
          </w:tbl>
          <w:p w14:paraId="47343EC8">
            <w:pPr>
              <w:pStyle w:val="79"/>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由上表计算结果可知，</w:t>
            </w:r>
            <w:r>
              <w:rPr>
                <w:rFonts w:hint="default" w:ascii="Times New Roman" w:hAnsi="Times New Roman" w:eastAsia="宋体" w:cs="Times New Roman"/>
                <w:color w:val="auto"/>
                <w:sz w:val="24"/>
                <w:lang w:eastAsia="zh-CN" w:bidi="ar"/>
              </w:rPr>
              <w:t>燃油</w:t>
            </w:r>
            <w:r>
              <w:rPr>
                <w:rFonts w:hint="default" w:ascii="Times New Roman" w:hAnsi="Times New Roman" w:eastAsia="宋体" w:cs="Times New Roman"/>
                <w:color w:val="auto"/>
                <w:sz w:val="24"/>
              </w:rPr>
              <w:t>锅炉烟气</w:t>
            </w:r>
            <w:r>
              <w:rPr>
                <w:rFonts w:hint="default" w:ascii="Times New Roman" w:hAnsi="Times New Roman" w:eastAsia="宋体" w:cs="Times New Roman"/>
                <w:color w:val="auto"/>
                <w:sz w:val="24"/>
                <w:lang w:bidi="ar"/>
              </w:rPr>
              <w:t>颗粒物排放浓度为</w:t>
            </w:r>
            <w:r>
              <w:rPr>
                <w:rFonts w:hint="eastAsia" w:ascii="Times New Roman" w:hAnsi="Times New Roman" w:eastAsia="宋体" w:cs="Times New Roman"/>
                <w:color w:val="auto"/>
                <w:sz w:val="24"/>
                <w:lang w:val="en-US" w:eastAsia="zh-CN" w:bidi="ar"/>
              </w:rPr>
              <w:t>14.6</w:t>
            </w:r>
            <w:r>
              <w:rPr>
                <w:rFonts w:hint="default" w:ascii="Times New Roman" w:hAnsi="Times New Roman" w:eastAsia="宋体" w:cs="Times New Roman"/>
                <w:color w:val="auto"/>
                <w:sz w:val="24"/>
                <w:lang w:bidi="ar"/>
              </w:rPr>
              <w:t>mg/m</w:t>
            </w:r>
            <w:r>
              <w:rPr>
                <w:rFonts w:hint="default" w:ascii="Times New Roman" w:hAnsi="Times New Roman" w:eastAsia="宋体" w:cs="Times New Roman"/>
                <w:color w:val="auto"/>
                <w:sz w:val="24"/>
                <w:vertAlign w:val="superscript"/>
                <w:lang w:bidi="ar"/>
              </w:rPr>
              <w:t>3</w:t>
            </w:r>
            <w:r>
              <w:rPr>
                <w:rFonts w:hint="default" w:ascii="Times New Roman" w:hAnsi="Times New Roman" w:eastAsia="宋体" w:cs="Times New Roman"/>
                <w:color w:val="auto"/>
                <w:sz w:val="24"/>
                <w:lang w:bidi="ar"/>
              </w:rPr>
              <w:t>，SO</w:t>
            </w:r>
            <w:r>
              <w:rPr>
                <w:rFonts w:hint="default" w:ascii="Times New Roman" w:hAnsi="Times New Roman" w:eastAsia="宋体" w:cs="Times New Roman"/>
                <w:color w:val="auto"/>
                <w:sz w:val="24"/>
                <w:vertAlign w:val="subscript"/>
                <w:lang w:bidi="ar"/>
              </w:rPr>
              <w:t>2</w:t>
            </w:r>
            <w:r>
              <w:rPr>
                <w:rFonts w:hint="default" w:ascii="Times New Roman" w:hAnsi="Times New Roman" w:eastAsia="宋体" w:cs="Times New Roman"/>
                <w:color w:val="auto"/>
                <w:sz w:val="24"/>
                <w:lang w:bidi="ar"/>
              </w:rPr>
              <w:t>排放浓度为</w:t>
            </w:r>
            <w:r>
              <w:rPr>
                <w:rFonts w:hint="default" w:ascii="Times New Roman" w:hAnsi="Times New Roman" w:eastAsia="宋体" w:cs="Times New Roman"/>
                <w:color w:val="auto"/>
                <w:sz w:val="24"/>
                <w:lang w:val="en-US" w:eastAsia="zh-CN" w:bidi="ar"/>
              </w:rPr>
              <w:t>1.2</w:t>
            </w:r>
            <w:r>
              <w:rPr>
                <w:rFonts w:hint="default" w:ascii="Times New Roman" w:hAnsi="Times New Roman" w:eastAsia="宋体" w:cs="Times New Roman"/>
                <w:color w:val="auto"/>
                <w:sz w:val="24"/>
                <w:lang w:bidi="ar"/>
              </w:rPr>
              <w:t>mg/m</w:t>
            </w:r>
            <w:r>
              <w:rPr>
                <w:rFonts w:hint="default" w:ascii="Times New Roman" w:hAnsi="Times New Roman" w:eastAsia="宋体" w:cs="Times New Roman"/>
                <w:color w:val="auto"/>
                <w:sz w:val="24"/>
                <w:vertAlign w:val="superscript"/>
                <w:lang w:bidi="ar"/>
              </w:rPr>
              <w:t>3</w:t>
            </w:r>
            <w:r>
              <w:rPr>
                <w:rFonts w:hint="default" w:ascii="Times New Roman" w:hAnsi="Times New Roman" w:eastAsia="宋体" w:cs="Times New Roman"/>
                <w:color w:val="auto"/>
                <w:sz w:val="24"/>
                <w:lang w:bidi="ar"/>
              </w:rPr>
              <w:t>，NO</w:t>
            </w:r>
            <w:r>
              <w:rPr>
                <w:rFonts w:hint="default" w:ascii="Times New Roman" w:hAnsi="Times New Roman" w:eastAsia="宋体" w:cs="Times New Roman"/>
                <w:color w:val="auto"/>
                <w:sz w:val="24"/>
                <w:vertAlign w:val="subscript"/>
                <w:lang w:bidi="ar"/>
              </w:rPr>
              <w:t>x</w:t>
            </w:r>
            <w:r>
              <w:rPr>
                <w:rFonts w:hint="default" w:ascii="Times New Roman" w:hAnsi="Times New Roman" w:eastAsia="宋体" w:cs="Times New Roman"/>
                <w:color w:val="auto"/>
                <w:sz w:val="24"/>
                <w:lang w:bidi="ar"/>
              </w:rPr>
              <w:t>排放浓度为</w:t>
            </w:r>
            <w:r>
              <w:rPr>
                <w:rFonts w:hint="eastAsia" w:ascii="Times New Roman" w:hAnsi="Times New Roman" w:eastAsia="宋体" w:cs="Times New Roman"/>
                <w:color w:val="auto"/>
                <w:sz w:val="24"/>
                <w:lang w:val="en-US" w:eastAsia="zh-CN" w:bidi="ar"/>
              </w:rPr>
              <w:t>119.1</w:t>
            </w:r>
            <w:r>
              <w:rPr>
                <w:rFonts w:hint="default" w:ascii="Times New Roman" w:hAnsi="Times New Roman" w:eastAsia="宋体" w:cs="Times New Roman"/>
                <w:color w:val="auto"/>
                <w:sz w:val="24"/>
                <w:lang w:bidi="ar"/>
              </w:rPr>
              <w:t>mg/m</w:t>
            </w:r>
            <w:r>
              <w:rPr>
                <w:rFonts w:hint="default" w:ascii="Times New Roman" w:hAnsi="Times New Roman" w:eastAsia="宋体" w:cs="Times New Roman"/>
                <w:color w:val="auto"/>
                <w:sz w:val="24"/>
                <w:vertAlign w:val="superscript"/>
                <w:lang w:bidi="ar"/>
              </w:rPr>
              <w:t>3</w:t>
            </w:r>
            <w:r>
              <w:rPr>
                <w:rFonts w:hint="default" w:ascii="Times New Roman" w:hAnsi="Times New Roman" w:eastAsia="宋体" w:cs="Times New Roman"/>
                <w:color w:val="auto"/>
                <w:sz w:val="24"/>
                <w:vertAlign w:val="baseline"/>
                <w:lang w:eastAsia="zh-CN" w:bidi="ar"/>
              </w:rPr>
              <w:t>，均满足</w:t>
            </w:r>
            <w:r>
              <w:rPr>
                <w:rFonts w:hint="default" w:ascii="Times New Roman" w:hAnsi="Times New Roman" w:eastAsia="宋体" w:cs="Times New Roman"/>
                <w:color w:val="auto"/>
                <w:sz w:val="24"/>
              </w:rPr>
              <w:t>《锅炉大气污染物排放标准》（GB13271-2014）表2新建燃</w:t>
            </w:r>
            <w:r>
              <w:rPr>
                <w:rFonts w:hint="default" w:ascii="Times New Roman" w:hAnsi="Times New Roman" w:eastAsia="宋体" w:cs="Times New Roman"/>
                <w:color w:val="auto"/>
                <w:sz w:val="24"/>
                <w:lang w:eastAsia="zh-CN"/>
              </w:rPr>
              <w:t>油</w:t>
            </w:r>
            <w:r>
              <w:rPr>
                <w:rFonts w:hint="default" w:ascii="Times New Roman" w:hAnsi="Times New Roman" w:eastAsia="宋体" w:cs="Times New Roman"/>
                <w:color w:val="auto"/>
                <w:sz w:val="24"/>
              </w:rPr>
              <w:t>锅炉大气污染物排放浓度限值。</w:t>
            </w:r>
          </w:p>
          <w:p w14:paraId="339F06A0">
            <w:pPr>
              <w:keepNext w:val="0"/>
              <w:keepLines w:val="0"/>
              <w:suppressLineNumbers w:val="0"/>
              <w:spacing w:before="0" w:beforeAutospacing="0" w:after="0" w:afterAutospacing="0" w:line="360" w:lineRule="auto"/>
              <w:ind w:left="0" w:right="0" w:firstLine="480" w:firstLineChars="200"/>
              <w:jc w:val="left"/>
              <w:rPr>
                <w:rFonts w:hint="default" w:ascii="宋体" w:hAnsi="宋体" w:eastAsia="宋体" w:cs="宋体"/>
                <w:color w:val="auto"/>
                <w:sz w:val="24"/>
                <w:lang w:val="en-US" w:eastAsia="zh-CN"/>
              </w:rPr>
            </w:pPr>
            <w:r>
              <w:rPr>
                <w:rFonts w:hint="eastAsia" w:eastAsia="宋体" w:cs="宋体"/>
                <w:color w:val="auto"/>
                <w:sz w:val="24"/>
                <w:lang w:val="en-US" w:eastAsia="zh-CN"/>
              </w:rPr>
              <w:t>根据《</w:t>
            </w:r>
            <w:r>
              <w:rPr>
                <w:rFonts w:hint="eastAsia" w:ascii="宋体" w:hAnsi="宋体" w:eastAsia="宋体" w:cs="宋体"/>
                <w:color w:val="auto"/>
                <w:sz w:val="24"/>
                <w:lang w:eastAsia="zh-CN"/>
              </w:rPr>
              <w:t>锅炉大气污染物排放标准</w:t>
            </w:r>
            <w:r>
              <w:rPr>
                <w:rFonts w:hint="eastAsia" w:eastAsia="宋体" w:cs="宋体"/>
                <w:color w:val="auto"/>
                <w:sz w:val="24"/>
                <w:lang w:val="en-US" w:eastAsia="zh-CN"/>
              </w:rPr>
              <w:t>》（GB13271-2014）中4.5规定，每个新建燃煤锅炉房只能设一根烟囱，燃油、燃气锅炉烟囱不低于8米。新建锅炉房的烟囱周围半径200m距离内有建筑物时，其烟囱应高出最高建筑物3m以上。本项目排气筒周边最高建筑物为8m，结合项目现场实际情况燃油锅炉排气筒高度确定为15m，满足《</w:t>
            </w:r>
            <w:r>
              <w:rPr>
                <w:rFonts w:hint="eastAsia" w:ascii="宋体" w:hAnsi="宋体" w:eastAsia="宋体" w:cs="宋体"/>
                <w:color w:val="auto"/>
                <w:sz w:val="24"/>
                <w:lang w:eastAsia="zh-CN"/>
              </w:rPr>
              <w:t>锅炉大气污染物排放标准</w:t>
            </w:r>
            <w:r>
              <w:rPr>
                <w:rFonts w:hint="eastAsia" w:eastAsia="宋体" w:cs="宋体"/>
                <w:color w:val="auto"/>
                <w:sz w:val="24"/>
                <w:lang w:val="en-US" w:eastAsia="zh-CN"/>
              </w:rPr>
              <w:t>》（GB13271-2014）中的要求。</w:t>
            </w:r>
          </w:p>
          <w:p w14:paraId="6A51D2F4">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lang w:eastAsia="zh-CN"/>
              </w:rPr>
            </w:pPr>
            <w:r>
              <w:rPr>
                <w:rFonts w:hint="eastAsia" w:ascii="宋体" w:hAnsi="宋体" w:eastAsia="宋体" w:cs="宋体"/>
                <w:color w:val="auto"/>
                <w:sz w:val="24"/>
                <w:lang w:eastAsia="zh-CN"/>
              </w:rPr>
              <w:t>②柴油挥发废气</w:t>
            </w:r>
          </w:p>
          <w:p w14:paraId="4B322E8F">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lang w:eastAsia="zh-CN"/>
              </w:rPr>
              <w:t>锅炉用柴油依托现有</w:t>
            </w:r>
            <w:r>
              <w:rPr>
                <w:rFonts w:hint="eastAsia" w:ascii="宋体" w:hAnsi="宋体" w:eastAsia="宋体" w:cs="宋体"/>
                <w:color w:val="auto"/>
                <w:sz w:val="24"/>
              </w:rPr>
              <w:t>柴油罐</w:t>
            </w:r>
            <w:r>
              <w:rPr>
                <w:rFonts w:hint="eastAsia" w:ascii="宋体" w:hAnsi="宋体" w:eastAsia="宋体" w:cs="宋体"/>
                <w:color w:val="auto"/>
                <w:sz w:val="24"/>
                <w:lang w:eastAsia="zh-CN"/>
              </w:rPr>
              <w:t>储存，技改项目新增柴油用量</w:t>
            </w:r>
            <w:r>
              <w:rPr>
                <w:rFonts w:hint="eastAsia" w:ascii="宋体" w:hAnsi="宋体" w:eastAsia="宋体" w:cs="宋体"/>
                <w:color w:val="auto"/>
                <w:sz w:val="24"/>
                <w:lang w:val="en-US" w:eastAsia="zh-CN"/>
              </w:rPr>
              <w:t>300t/a</w:t>
            </w:r>
            <w:r>
              <w:rPr>
                <w:rFonts w:hint="eastAsia" w:ascii="宋体" w:hAnsi="宋体" w:eastAsia="宋体" w:cs="宋体"/>
                <w:color w:val="auto"/>
                <w:sz w:val="24"/>
                <w:lang w:eastAsia="zh-CN"/>
              </w:rPr>
              <w:t>，新增柴油在</w:t>
            </w:r>
            <w:r>
              <w:rPr>
                <w:rFonts w:hint="eastAsia" w:ascii="宋体" w:hAnsi="宋体" w:eastAsia="宋体" w:cs="宋体"/>
                <w:color w:val="auto"/>
                <w:sz w:val="24"/>
              </w:rPr>
              <w:t>卸油、储油和</w:t>
            </w:r>
            <w:r>
              <w:rPr>
                <w:rFonts w:hint="eastAsia" w:ascii="宋体" w:hAnsi="宋体" w:eastAsia="宋体" w:cs="宋体"/>
                <w:color w:val="auto"/>
                <w:sz w:val="24"/>
                <w:lang w:eastAsia="zh-CN"/>
              </w:rPr>
              <w:t>使用</w:t>
            </w:r>
            <w:r>
              <w:rPr>
                <w:rFonts w:hint="eastAsia" w:ascii="宋体" w:hAnsi="宋体" w:eastAsia="宋体" w:cs="宋体"/>
                <w:color w:val="auto"/>
                <w:sz w:val="24"/>
              </w:rPr>
              <w:t>过程</w:t>
            </w:r>
            <w:r>
              <w:rPr>
                <w:rFonts w:hint="eastAsia" w:ascii="宋体" w:hAnsi="宋体" w:eastAsia="宋体" w:cs="宋体"/>
                <w:color w:val="auto"/>
                <w:sz w:val="24"/>
                <w:lang w:eastAsia="zh-CN"/>
              </w:rPr>
              <w:t>会挥发少量的挥发性有机物（以</w:t>
            </w:r>
            <w:r>
              <w:rPr>
                <w:rFonts w:hint="eastAsia" w:ascii="宋体" w:hAnsi="宋体" w:eastAsia="宋体" w:cs="宋体"/>
                <w:color w:val="auto"/>
                <w:sz w:val="24"/>
              </w:rPr>
              <w:t>非甲烷总</w:t>
            </w:r>
            <w:r>
              <w:rPr>
                <w:rFonts w:hint="eastAsia" w:ascii="宋体" w:hAnsi="宋体" w:eastAsia="宋体" w:cs="宋体"/>
                <w:color w:val="auto"/>
                <w:sz w:val="24"/>
                <w:lang w:eastAsia="zh-CN"/>
              </w:rPr>
              <w:t>烃计）</w:t>
            </w:r>
            <w:r>
              <w:rPr>
                <w:rFonts w:hint="eastAsia" w:ascii="宋体" w:hAnsi="宋体" w:eastAsia="宋体" w:cs="宋体"/>
                <w:color w:val="auto"/>
                <w:sz w:val="24"/>
              </w:rPr>
              <w:t>。非甲烷总烃主要来源于油罐车卸油、</w:t>
            </w:r>
            <w:r>
              <w:rPr>
                <w:rFonts w:hint="eastAsia" w:ascii="宋体" w:hAnsi="宋体" w:eastAsia="宋体" w:cs="宋体"/>
                <w:color w:val="auto"/>
                <w:sz w:val="24"/>
                <w:lang w:eastAsia="zh-CN"/>
              </w:rPr>
              <w:t>油罐储油、使用</w:t>
            </w:r>
            <w:r>
              <w:rPr>
                <w:rFonts w:hint="eastAsia" w:ascii="宋体" w:hAnsi="宋体" w:eastAsia="宋体" w:cs="宋体"/>
                <w:color w:val="auto"/>
                <w:sz w:val="24"/>
              </w:rPr>
              <w:t>等过程造成燃料油以气态形式逸出进人大气环境，从而引起对大气环境的污染。</w:t>
            </w:r>
            <w:r>
              <w:rPr>
                <w:rFonts w:hint="eastAsia" w:ascii="宋体" w:hAnsi="宋体" w:eastAsia="宋体" w:cs="宋体"/>
                <w:color w:val="auto"/>
                <w:sz w:val="24"/>
                <w:lang w:eastAsia="zh-CN"/>
              </w:rPr>
              <w:t>柴</w:t>
            </w:r>
            <w:r>
              <w:rPr>
                <w:rFonts w:hint="eastAsia" w:ascii="宋体" w:hAnsi="宋体" w:eastAsia="宋体" w:cs="宋体"/>
                <w:color w:val="auto"/>
                <w:sz w:val="24"/>
              </w:rPr>
              <w:t>油罐在装卸料时或静置时，由于环境温度的变化和罐内压力的变化，使得罐内逸出的烃类气体通过罐顶的呼吸阀排入大气，这种现象称为储罐大小呼吸。</w:t>
            </w:r>
          </w:p>
          <w:p w14:paraId="1133B9F9">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柴油卸油、储油和</w:t>
            </w:r>
            <w:r>
              <w:rPr>
                <w:rFonts w:hint="eastAsia" w:ascii="宋体" w:hAnsi="宋体" w:eastAsia="宋体" w:cs="宋体"/>
                <w:color w:val="auto"/>
                <w:sz w:val="24"/>
                <w:lang w:eastAsia="zh-CN"/>
              </w:rPr>
              <w:t>使用</w:t>
            </w:r>
            <w:r>
              <w:rPr>
                <w:rFonts w:hint="eastAsia" w:ascii="宋体" w:hAnsi="宋体" w:eastAsia="宋体" w:cs="宋体"/>
                <w:color w:val="auto"/>
                <w:sz w:val="24"/>
              </w:rPr>
              <w:t>过程挥发的非甲烷总烃源强参考</w:t>
            </w:r>
            <w:bookmarkStart w:id="8" w:name="OLE_LINK2"/>
            <w:r>
              <w:rPr>
                <w:rFonts w:hint="eastAsia" w:ascii="宋体" w:hAnsi="宋体" w:eastAsia="宋体" w:cs="宋体"/>
                <w:color w:val="auto"/>
                <w:sz w:val="24"/>
              </w:rPr>
              <w:t>《散装液态石油产品损耗》（GB11085-1989）</w:t>
            </w:r>
            <w:bookmarkEnd w:id="8"/>
            <w:r>
              <w:rPr>
                <w:rFonts w:hint="eastAsia" w:ascii="宋体" w:hAnsi="宋体" w:eastAsia="宋体" w:cs="宋体"/>
                <w:color w:val="auto"/>
                <w:sz w:val="24"/>
              </w:rPr>
              <w:t>，规定了散装液态石油产品接卸、贮存、零售的损耗，油品各种损耗规定具体见下表：</w:t>
            </w:r>
          </w:p>
          <w:p w14:paraId="026FAF9C">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4-3</w:t>
            </w:r>
            <w:r>
              <w:rPr>
                <w:rFonts w:hint="eastAsia" w:ascii="宋体" w:hAnsi="宋体" w:eastAsia="宋体" w:cs="宋体"/>
                <w:b/>
                <w:bCs/>
                <w:color w:val="auto"/>
                <w:sz w:val="24"/>
              </w:rPr>
              <w:t xml:space="preserve"> 油品贮存损耗率       单位%</w:t>
            </w:r>
          </w:p>
          <w:p w14:paraId="4E452C37">
            <w:pPr>
              <w:keepNext w:val="0"/>
              <w:keepLines w:val="0"/>
              <w:suppressLineNumbers w:val="0"/>
              <w:autoSpaceDE w:val="0"/>
              <w:autoSpaceDN w:val="0"/>
              <w:adjustRightInd w:val="0"/>
              <w:spacing w:before="9" w:beforeAutospacing="0" w:after="0" w:afterAutospacing="0" w:line="20" w:lineRule="exact"/>
              <w:ind w:left="0" w:right="0"/>
              <w:jc w:val="left"/>
              <w:rPr>
                <w:rFonts w:hint="eastAsia" w:ascii="宋体" w:hAnsi="宋体" w:eastAsia="宋体" w:cs="宋体"/>
                <w:color w:val="auto"/>
                <w:kern w:val="0"/>
                <w:szCs w:val="21"/>
              </w:rPr>
            </w:pPr>
          </w:p>
          <w:tbl>
            <w:tblPr>
              <w:tblStyle w:val="26"/>
              <w:tblW w:w="8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08"/>
              <w:gridCol w:w="1324"/>
              <w:gridCol w:w="1330"/>
              <w:gridCol w:w="1761"/>
              <w:gridCol w:w="3051"/>
            </w:tblGrid>
            <w:tr w14:paraId="2EFCA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908" w:type="dxa"/>
                  <w:vMerge w:val="restart"/>
                  <w:noWrap w:val="0"/>
                  <w:vAlign w:val="center"/>
                </w:tcPr>
                <w:p w14:paraId="32F4ED6D">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地区</w:t>
                  </w:r>
                </w:p>
              </w:tc>
              <w:tc>
                <w:tcPr>
                  <w:tcW w:w="4415" w:type="dxa"/>
                  <w:gridSpan w:val="3"/>
                  <w:noWrap w:val="0"/>
                  <w:vAlign w:val="center"/>
                </w:tcPr>
                <w:p w14:paraId="3961202B">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立式金属罐</w:t>
                  </w:r>
                </w:p>
              </w:tc>
              <w:tc>
                <w:tcPr>
                  <w:tcW w:w="3051" w:type="dxa"/>
                  <w:noWrap w:val="0"/>
                  <w:vAlign w:val="center"/>
                </w:tcPr>
                <w:p w14:paraId="0E736C97">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commentRangeStart w:id="9"/>
                  <w:r>
                    <w:rPr>
                      <w:rFonts w:hint="default" w:ascii="Times New Roman" w:hAnsi="Times New Roman" w:eastAsia="宋体" w:cs="Times New Roman"/>
                      <w:b w:val="0"/>
                      <w:bCs w:val="0"/>
                      <w:color w:val="auto"/>
                      <w:kern w:val="0"/>
                      <w:szCs w:val="21"/>
                    </w:rPr>
                    <w:t>隐敝罐</w:t>
                  </w:r>
                  <w:commentRangeEnd w:id="9"/>
                  <w:r>
                    <w:rPr>
                      <w:rFonts w:hint="default"/>
                    </w:rPr>
                    <w:commentReference w:id="9"/>
                  </w:r>
                  <w:r>
                    <w:rPr>
                      <w:rFonts w:hint="default" w:ascii="Times New Roman" w:hAnsi="Times New Roman" w:eastAsia="宋体" w:cs="Times New Roman"/>
                      <w:b w:val="0"/>
                      <w:bCs w:val="0"/>
                      <w:color w:val="auto"/>
                      <w:kern w:val="0"/>
                      <w:szCs w:val="21"/>
                    </w:rPr>
                    <w:t>、浮顶罐</w:t>
                  </w:r>
                </w:p>
              </w:tc>
            </w:tr>
            <w:tr w14:paraId="56574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8" w:type="dxa"/>
                  <w:vMerge w:val="continue"/>
                  <w:noWrap w:val="0"/>
                  <w:vAlign w:val="center"/>
                </w:tcPr>
                <w:p w14:paraId="22046D4F">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c>
                <w:tcPr>
                  <w:tcW w:w="2654" w:type="dxa"/>
                  <w:gridSpan w:val="2"/>
                  <w:noWrap w:val="0"/>
                  <w:vAlign w:val="center"/>
                </w:tcPr>
                <w:p w14:paraId="3C606714">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汽油</w:t>
                  </w:r>
                </w:p>
              </w:tc>
              <w:tc>
                <w:tcPr>
                  <w:tcW w:w="1761" w:type="dxa"/>
                  <w:noWrap w:val="0"/>
                  <w:vAlign w:val="center"/>
                </w:tcPr>
                <w:p w14:paraId="24CF31DA">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其他油</w:t>
                  </w:r>
                </w:p>
              </w:tc>
              <w:tc>
                <w:tcPr>
                  <w:tcW w:w="3051" w:type="dxa"/>
                  <w:noWrap w:val="0"/>
                  <w:vAlign w:val="center"/>
                </w:tcPr>
                <w:p w14:paraId="64630AC9">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r>
            <w:tr w14:paraId="5B19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8" w:type="dxa"/>
                  <w:vMerge w:val="continue"/>
                  <w:noWrap w:val="0"/>
                  <w:vAlign w:val="center"/>
                </w:tcPr>
                <w:p w14:paraId="6A99AE70">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c>
                <w:tcPr>
                  <w:tcW w:w="1324" w:type="dxa"/>
                  <w:noWrap w:val="0"/>
                  <w:vAlign w:val="center"/>
                </w:tcPr>
                <w:p w14:paraId="40623A68">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春冬季</w:t>
                  </w:r>
                </w:p>
              </w:tc>
              <w:tc>
                <w:tcPr>
                  <w:tcW w:w="1330" w:type="dxa"/>
                  <w:noWrap w:val="0"/>
                  <w:vAlign w:val="center"/>
                </w:tcPr>
                <w:p w14:paraId="44F6E6A4">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夏秋季</w:t>
                  </w:r>
                </w:p>
              </w:tc>
              <w:tc>
                <w:tcPr>
                  <w:tcW w:w="1761" w:type="dxa"/>
                  <w:noWrap w:val="0"/>
                  <w:vAlign w:val="center"/>
                </w:tcPr>
                <w:p w14:paraId="2C3DE349">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不分季节</w:t>
                  </w:r>
                </w:p>
              </w:tc>
              <w:tc>
                <w:tcPr>
                  <w:tcW w:w="3051" w:type="dxa"/>
                  <w:noWrap w:val="0"/>
                  <w:vAlign w:val="center"/>
                </w:tcPr>
                <w:p w14:paraId="1E7383AE">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不分油品、季节</w:t>
                  </w:r>
                </w:p>
              </w:tc>
            </w:tr>
            <w:tr w14:paraId="52CAE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8" w:type="dxa"/>
                  <w:noWrap w:val="0"/>
                  <w:vAlign w:val="center"/>
                </w:tcPr>
                <w:p w14:paraId="175468F2">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A</w:t>
                  </w:r>
                </w:p>
              </w:tc>
              <w:tc>
                <w:tcPr>
                  <w:tcW w:w="1324" w:type="dxa"/>
                  <w:noWrap w:val="0"/>
                  <w:vAlign w:val="center"/>
                </w:tcPr>
                <w:p w14:paraId="6333B2C9">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0.11</w:t>
                  </w:r>
                </w:p>
              </w:tc>
              <w:tc>
                <w:tcPr>
                  <w:tcW w:w="1330" w:type="dxa"/>
                  <w:noWrap w:val="0"/>
                  <w:vAlign w:val="center"/>
                </w:tcPr>
                <w:p w14:paraId="7E4767CB">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0.21</w:t>
                  </w:r>
                </w:p>
              </w:tc>
              <w:tc>
                <w:tcPr>
                  <w:tcW w:w="1761" w:type="dxa"/>
                  <w:vMerge w:val="restart"/>
                  <w:noWrap w:val="0"/>
                  <w:vAlign w:val="center"/>
                </w:tcPr>
                <w:p w14:paraId="762088CC">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0.01</w:t>
                  </w:r>
                </w:p>
              </w:tc>
              <w:tc>
                <w:tcPr>
                  <w:tcW w:w="3051" w:type="dxa"/>
                  <w:vMerge w:val="restart"/>
                  <w:noWrap w:val="0"/>
                  <w:vAlign w:val="center"/>
                </w:tcPr>
                <w:p w14:paraId="5420F208">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0.01</w:t>
                  </w:r>
                </w:p>
              </w:tc>
            </w:tr>
            <w:tr w14:paraId="56914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08" w:type="dxa"/>
                  <w:noWrap w:val="0"/>
                  <w:vAlign w:val="center"/>
                </w:tcPr>
                <w:p w14:paraId="218609C5">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B</w:t>
                  </w:r>
                </w:p>
              </w:tc>
              <w:tc>
                <w:tcPr>
                  <w:tcW w:w="1324" w:type="dxa"/>
                  <w:noWrap w:val="0"/>
                  <w:vAlign w:val="center"/>
                </w:tcPr>
                <w:p w14:paraId="02650D16">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0.05</w:t>
                  </w:r>
                </w:p>
              </w:tc>
              <w:tc>
                <w:tcPr>
                  <w:tcW w:w="1330" w:type="dxa"/>
                  <w:noWrap w:val="0"/>
                  <w:vAlign w:val="center"/>
                </w:tcPr>
                <w:p w14:paraId="18132BC6">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0.12</w:t>
                  </w:r>
                </w:p>
              </w:tc>
              <w:tc>
                <w:tcPr>
                  <w:tcW w:w="1761" w:type="dxa"/>
                  <w:vMerge w:val="continue"/>
                  <w:noWrap w:val="0"/>
                  <w:vAlign w:val="center"/>
                </w:tcPr>
                <w:p w14:paraId="1DDFB295">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c>
                <w:tcPr>
                  <w:tcW w:w="3051" w:type="dxa"/>
                  <w:vMerge w:val="continue"/>
                  <w:noWrap w:val="0"/>
                  <w:vAlign w:val="center"/>
                </w:tcPr>
                <w:p w14:paraId="58A710F2">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r>
            <w:tr w14:paraId="4C7B9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2" w:hRule="atLeast"/>
                <w:jc w:val="center"/>
              </w:trPr>
              <w:tc>
                <w:tcPr>
                  <w:tcW w:w="908" w:type="dxa"/>
                  <w:noWrap w:val="0"/>
                  <w:vAlign w:val="center"/>
                </w:tcPr>
                <w:p w14:paraId="02676872">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C</w:t>
                  </w:r>
                </w:p>
              </w:tc>
              <w:tc>
                <w:tcPr>
                  <w:tcW w:w="1324" w:type="dxa"/>
                  <w:noWrap w:val="0"/>
                  <w:vAlign w:val="center"/>
                </w:tcPr>
                <w:p w14:paraId="035CADC0">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0.03</w:t>
                  </w:r>
                </w:p>
              </w:tc>
              <w:tc>
                <w:tcPr>
                  <w:tcW w:w="1330" w:type="dxa"/>
                  <w:noWrap w:val="0"/>
                  <w:vAlign w:val="center"/>
                </w:tcPr>
                <w:p w14:paraId="058CC450">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r>
                    <w:rPr>
                      <w:rFonts w:hint="default" w:ascii="Times New Roman" w:hAnsi="Times New Roman" w:eastAsia="宋体" w:cs="Times New Roman"/>
                      <w:b w:val="0"/>
                      <w:bCs w:val="0"/>
                      <w:color w:val="auto"/>
                      <w:kern w:val="0"/>
                      <w:szCs w:val="21"/>
                    </w:rPr>
                    <w:t>0.09</w:t>
                  </w:r>
                </w:p>
              </w:tc>
              <w:tc>
                <w:tcPr>
                  <w:tcW w:w="1761" w:type="dxa"/>
                  <w:vMerge w:val="continue"/>
                  <w:noWrap w:val="0"/>
                  <w:vAlign w:val="center"/>
                </w:tcPr>
                <w:p w14:paraId="4A3D2C1B">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c>
                <w:tcPr>
                  <w:tcW w:w="3051" w:type="dxa"/>
                  <w:vMerge w:val="continue"/>
                  <w:noWrap w:val="0"/>
                  <w:vAlign w:val="center"/>
                </w:tcPr>
                <w:p w14:paraId="0529F4AC">
                  <w:pPr>
                    <w:keepNext w:val="0"/>
                    <w:keepLines w:val="0"/>
                    <w:suppressLineNumbers w:val="0"/>
                    <w:autoSpaceDE w:val="0"/>
                    <w:autoSpaceDN w:val="0"/>
                    <w:adjustRightInd w:val="0"/>
                    <w:spacing w:before="0" w:beforeAutospacing="0" w:after="0" w:afterAutospacing="0" w:line="360" w:lineRule="exact"/>
                    <w:ind w:left="0" w:right="0"/>
                    <w:jc w:val="center"/>
                    <w:rPr>
                      <w:rFonts w:hint="default" w:ascii="Times New Roman" w:hAnsi="Times New Roman" w:eastAsia="宋体" w:cs="Times New Roman"/>
                      <w:b w:val="0"/>
                      <w:bCs w:val="0"/>
                      <w:color w:val="auto"/>
                      <w:kern w:val="0"/>
                      <w:szCs w:val="21"/>
                    </w:rPr>
                  </w:pPr>
                </w:p>
              </w:tc>
            </w:tr>
          </w:tbl>
          <w:p w14:paraId="40AF12D0">
            <w:pPr>
              <w:keepNext w:val="0"/>
              <w:keepLines w:val="0"/>
              <w:suppressLineNumbers w:val="0"/>
              <w:spacing w:before="0" w:beforeAutospacing="0" w:after="0" w:afterAutospacing="0" w:line="240" w:lineRule="auto"/>
              <w:ind w:left="0" w:right="0"/>
              <w:jc w:val="center"/>
              <w:rPr>
                <w:rFonts w:hint="eastAsia" w:eastAsiaTheme="minorEastAsia"/>
                <w:color w:val="auto"/>
                <w:lang w:val="en-US" w:eastAsia="zh-CN"/>
              </w:rPr>
            </w:pPr>
            <w:r>
              <w:rPr>
                <w:rFonts w:hint="default" w:ascii="Times New Roman" w:hAnsi="Times New Roman" w:cs="Times New Roman"/>
                <w:b/>
                <w:bCs/>
                <w:color w:val="auto"/>
                <w:lang w:val="en-US" w:eastAsia="zh-CN"/>
              </w:rPr>
              <w:t>表</w:t>
            </w:r>
            <w:r>
              <w:rPr>
                <w:rFonts w:hint="default" w:ascii="Times New Roman" w:hAnsi="Times New Roman" w:eastAsia="宋体" w:cs="Times New Roman"/>
                <w:b/>
                <w:bCs/>
                <w:color w:val="auto"/>
                <w:sz w:val="24"/>
                <w:lang w:val="en-US" w:eastAsia="zh-CN"/>
              </w:rPr>
              <w:t>4-4</w:t>
            </w:r>
            <w:r>
              <w:rPr>
                <w:rFonts w:hint="default" w:ascii="Times New Roman" w:hAnsi="Times New Roman" w:eastAsia="宋体" w:cs="Times New Roman"/>
                <w:b/>
                <w:bCs/>
                <w:color w:val="auto"/>
                <w:sz w:val="24"/>
              </w:rPr>
              <w:t xml:space="preserve"> </w:t>
            </w:r>
            <w:r>
              <w:rPr>
                <w:rFonts w:hint="default" w:ascii="Times New Roman" w:hAnsi="Times New Roman" w:eastAsia="宋体" w:cs="Times New Roman"/>
                <w:b/>
                <w:bCs/>
                <w:color w:val="auto"/>
                <w:sz w:val="24"/>
                <w:lang w:val="en-US" w:eastAsia="zh-CN"/>
              </w:rPr>
              <w:t>海拔高度修正</w:t>
            </w:r>
            <w:r>
              <w:rPr>
                <w:rFonts w:hint="default" w:ascii="Times New Roman" w:hAnsi="Times New Roman" w:eastAsia="宋体" w:cs="Times New Roman"/>
                <w:b/>
                <w:bCs/>
                <w:color w:val="auto"/>
                <w:sz w:val="24"/>
              </w:rPr>
              <w:t xml:space="preserve">损耗率   </w:t>
            </w:r>
            <w:r>
              <w:rPr>
                <w:rFonts w:hint="eastAsia" w:ascii="宋体" w:hAnsi="宋体" w:eastAsia="宋体" w:cs="宋体"/>
                <w:b/>
                <w:bCs/>
                <w:color w:val="auto"/>
                <w:sz w:val="24"/>
              </w:rPr>
              <w:t xml:space="preserve">    单位%</w:t>
            </w:r>
          </w:p>
          <w:tbl>
            <w:tblPr>
              <w:tblStyle w:val="26"/>
              <w:tblW w:w="83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40"/>
              <w:gridCol w:w="3413"/>
            </w:tblGrid>
            <w:tr w14:paraId="0BB40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4940" w:type="dxa"/>
                  <w:noWrap w:val="0"/>
                  <w:vAlign w:val="center"/>
                </w:tcPr>
                <w:p w14:paraId="3175DB95">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海拔高度，m</w:t>
                  </w:r>
                </w:p>
              </w:tc>
              <w:tc>
                <w:tcPr>
                  <w:tcW w:w="3413" w:type="dxa"/>
                  <w:noWrap w:val="0"/>
                  <w:vAlign w:val="center"/>
                </w:tcPr>
                <w:p w14:paraId="1B16BE0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增加损耗，21%</w:t>
                  </w:r>
                </w:p>
              </w:tc>
            </w:tr>
            <w:tr w14:paraId="5792F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4940" w:type="dxa"/>
                  <w:noWrap w:val="0"/>
                  <w:vAlign w:val="center"/>
                </w:tcPr>
                <w:p w14:paraId="5003883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1001~2000</w:t>
                  </w:r>
                </w:p>
              </w:tc>
              <w:tc>
                <w:tcPr>
                  <w:tcW w:w="3413" w:type="dxa"/>
                  <w:noWrap w:val="0"/>
                  <w:vAlign w:val="center"/>
                </w:tcPr>
                <w:p w14:paraId="0327EA56">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21</w:t>
                  </w:r>
                </w:p>
              </w:tc>
            </w:tr>
            <w:tr w14:paraId="52A45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4940" w:type="dxa"/>
                  <w:noWrap w:val="0"/>
                  <w:vAlign w:val="center"/>
                </w:tcPr>
                <w:p w14:paraId="25DD4098">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2001~3000</w:t>
                  </w:r>
                </w:p>
              </w:tc>
              <w:tc>
                <w:tcPr>
                  <w:tcW w:w="3413" w:type="dxa"/>
                  <w:noWrap w:val="0"/>
                  <w:vAlign w:val="center"/>
                </w:tcPr>
                <w:p w14:paraId="6C4922C0">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37</w:t>
                  </w:r>
                </w:p>
              </w:tc>
            </w:tr>
            <w:tr w14:paraId="59976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4940" w:type="dxa"/>
                  <w:noWrap w:val="0"/>
                  <w:vAlign w:val="center"/>
                </w:tcPr>
                <w:p w14:paraId="2FF3ADC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3001~4000</w:t>
                  </w:r>
                </w:p>
              </w:tc>
              <w:tc>
                <w:tcPr>
                  <w:tcW w:w="3413" w:type="dxa"/>
                  <w:noWrap w:val="0"/>
                  <w:vAlign w:val="center"/>
                </w:tcPr>
                <w:p w14:paraId="48BC5FDC">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55</w:t>
                  </w:r>
                </w:p>
              </w:tc>
            </w:tr>
            <w:tr w14:paraId="346E5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4940" w:type="dxa"/>
                  <w:noWrap w:val="0"/>
                  <w:vAlign w:val="center"/>
                </w:tcPr>
                <w:p w14:paraId="120C6D8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4000以上</w:t>
                  </w:r>
                </w:p>
              </w:tc>
              <w:tc>
                <w:tcPr>
                  <w:tcW w:w="3413" w:type="dxa"/>
                  <w:noWrap w:val="0"/>
                  <w:vAlign w:val="center"/>
                </w:tcPr>
                <w:p w14:paraId="61DF3B9D">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lang w:val="en-US" w:eastAsia="zh-CN"/>
                    </w:rPr>
                  </w:pPr>
                  <w:r>
                    <w:rPr>
                      <w:rFonts w:hint="eastAsia" w:ascii="宋体" w:hAnsi="宋体" w:eastAsia="宋体" w:cs="宋体"/>
                      <w:b w:val="0"/>
                      <w:bCs w:val="0"/>
                      <w:color w:val="auto"/>
                      <w:kern w:val="0"/>
                      <w:szCs w:val="21"/>
                      <w:lang w:val="en-US" w:eastAsia="zh-CN"/>
                    </w:rPr>
                    <w:t>76</w:t>
                  </w:r>
                </w:p>
              </w:tc>
            </w:tr>
          </w:tbl>
          <w:p w14:paraId="15D76D99">
            <w:pPr>
              <w:keepNext w:val="0"/>
              <w:keepLines w:val="0"/>
              <w:suppressLineNumbers w:val="0"/>
              <w:spacing w:before="0" w:beforeAutospacing="0" w:after="0" w:afterAutospacing="0" w:line="360" w:lineRule="auto"/>
              <w:ind w:left="0" w:right="0" w:firstLine="480" w:firstLineChars="200"/>
              <w:jc w:val="both"/>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eastAsia="zh-CN"/>
              </w:rPr>
              <w:t>高原地区，根据油罐所在地海拔高度修正贮存损耗率，海拔高度在</w:t>
            </w:r>
            <w:r>
              <w:rPr>
                <w:rFonts w:hint="eastAsia" w:ascii="宋体" w:hAnsi="宋体" w:eastAsia="宋体" w:cs="宋体"/>
                <w:b w:val="0"/>
                <w:bCs/>
                <w:color w:val="auto"/>
                <w:sz w:val="24"/>
                <w:lang w:val="en-US" w:eastAsia="zh-CN"/>
              </w:rPr>
              <w:t>1001~2000m的损耗率增加21%。</w:t>
            </w:r>
            <w:r>
              <w:rPr>
                <w:rFonts w:hint="eastAsia" w:ascii="宋体" w:hAnsi="宋体" w:eastAsia="宋体" w:cs="宋体"/>
                <w:b w:val="0"/>
                <w:bCs/>
                <w:color w:val="auto"/>
                <w:sz w:val="24"/>
                <w:lang w:eastAsia="zh-CN"/>
              </w:rPr>
              <w:t>本项目所在地海拔</w:t>
            </w:r>
            <w:r>
              <w:rPr>
                <w:rFonts w:hint="eastAsia" w:ascii="宋体" w:hAnsi="宋体" w:eastAsia="宋体" w:cs="宋体"/>
                <w:b w:val="0"/>
                <w:bCs/>
                <w:color w:val="auto"/>
                <w:sz w:val="24"/>
                <w:highlight w:val="none"/>
                <w:lang w:eastAsia="zh-CN"/>
              </w:rPr>
              <w:t>高度为</w:t>
            </w:r>
            <w:r>
              <w:rPr>
                <w:rFonts w:hint="eastAsia" w:ascii="宋体" w:hAnsi="宋体" w:eastAsia="宋体" w:cs="宋体"/>
                <w:b w:val="0"/>
                <w:bCs/>
                <w:color w:val="auto"/>
                <w:sz w:val="24"/>
                <w:highlight w:val="none"/>
                <w:lang w:val="en-US" w:eastAsia="zh-CN"/>
              </w:rPr>
              <w:t>1672.5m</w:t>
            </w:r>
            <w:r>
              <w:rPr>
                <w:rFonts w:hint="eastAsia" w:ascii="宋体" w:hAnsi="宋体" w:eastAsia="宋体" w:cs="宋体"/>
                <w:b w:val="0"/>
                <w:bCs/>
                <w:color w:val="auto"/>
                <w:sz w:val="24"/>
                <w:highlight w:val="none"/>
                <w:lang w:eastAsia="zh-CN"/>
              </w:rPr>
              <w:t>，油罐</w:t>
            </w:r>
            <w:r>
              <w:rPr>
                <w:rFonts w:hint="eastAsia" w:ascii="宋体" w:hAnsi="宋体" w:eastAsia="宋体" w:cs="宋体"/>
                <w:b w:val="0"/>
                <w:bCs/>
                <w:color w:val="auto"/>
                <w:sz w:val="24"/>
                <w:lang w:eastAsia="zh-CN"/>
              </w:rPr>
              <w:t>贮存损耗率增加</w:t>
            </w:r>
            <w:r>
              <w:rPr>
                <w:rFonts w:hint="eastAsia" w:ascii="宋体" w:hAnsi="宋体" w:eastAsia="宋体" w:cs="宋体"/>
                <w:b w:val="0"/>
                <w:bCs/>
                <w:color w:val="auto"/>
                <w:sz w:val="24"/>
                <w:lang w:val="en-US" w:eastAsia="zh-CN"/>
              </w:rPr>
              <w:t>21%。</w:t>
            </w:r>
          </w:p>
          <w:p w14:paraId="4CB840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4-</w:t>
            </w:r>
            <w:r>
              <w:rPr>
                <w:rFonts w:hint="eastAsia" w:eastAsia="宋体" w:cs="宋体"/>
                <w:b/>
                <w:bCs/>
                <w:color w:val="auto"/>
                <w:sz w:val="24"/>
                <w:lang w:val="en-US" w:eastAsia="zh-CN"/>
              </w:rPr>
              <w:t>5</w:t>
            </w:r>
            <w:r>
              <w:rPr>
                <w:rFonts w:hint="eastAsia" w:ascii="宋体" w:hAnsi="宋体" w:eastAsia="宋体" w:cs="宋体"/>
                <w:b/>
                <w:bCs/>
                <w:color w:val="auto"/>
                <w:sz w:val="24"/>
              </w:rPr>
              <w:t xml:space="preserve"> 油罐车卸油时油品损耗率         单位%</w:t>
            </w:r>
          </w:p>
          <w:p w14:paraId="79A9D535">
            <w:pPr>
              <w:keepNext w:val="0"/>
              <w:keepLines w:val="0"/>
              <w:suppressLineNumbers w:val="0"/>
              <w:autoSpaceDE w:val="0"/>
              <w:autoSpaceDN w:val="0"/>
              <w:adjustRightInd w:val="0"/>
              <w:spacing w:before="2" w:beforeAutospacing="0" w:after="0" w:afterAutospacing="0" w:line="40" w:lineRule="exact"/>
              <w:ind w:left="0" w:right="0"/>
              <w:jc w:val="left"/>
              <w:rPr>
                <w:rFonts w:hint="eastAsia" w:ascii="宋体" w:hAnsi="宋体" w:eastAsia="宋体" w:cs="宋体"/>
                <w:color w:val="auto"/>
                <w:kern w:val="0"/>
                <w:szCs w:val="21"/>
              </w:rPr>
            </w:pPr>
          </w:p>
          <w:tbl>
            <w:tblPr>
              <w:tblStyle w:val="26"/>
              <w:tblW w:w="8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63"/>
              <w:gridCol w:w="1673"/>
              <w:gridCol w:w="1678"/>
              <w:gridCol w:w="1677"/>
              <w:gridCol w:w="1682"/>
            </w:tblGrid>
            <w:tr w14:paraId="337D2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63" w:type="dxa"/>
                  <w:vMerge w:val="restart"/>
                  <w:noWrap w:val="0"/>
                  <w:vAlign w:val="center"/>
                </w:tcPr>
                <w:p w14:paraId="7E1F4F74">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地区</w:t>
                  </w:r>
                </w:p>
              </w:tc>
              <w:tc>
                <w:tcPr>
                  <w:tcW w:w="3351" w:type="dxa"/>
                  <w:gridSpan w:val="2"/>
                  <w:noWrap w:val="0"/>
                  <w:vAlign w:val="center"/>
                </w:tcPr>
                <w:p w14:paraId="59C0D0A7">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汽油</w:t>
                  </w:r>
                </w:p>
              </w:tc>
              <w:tc>
                <w:tcPr>
                  <w:tcW w:w="1677" w:type="dxa"/>
                  <w:noWrap w:val="0"/>
                  <w:vAlign w:val="center"/>
                </w:tcPr>
                <w:p w14:paraId="353F7FE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煤、柴油</w:t>
                  </w:r>
                </w:p>
              </w:tc>
              <w:tc>
                <w:tcPr>
                  <w:tcW w:w="1682" w:type="dxa"/>
                  <w:noWrap w:val="0"/>
                  <w:vAlign w:val="center"/>
                </w:tcPr>
                <w:p w14:paraId="3AC2D97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润滑油</w:t>
                  </w:r>
                </w:p>
              </w:tc>
            </w:tr>
            <w:tr w14:paraId="2D6B9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663" w:type="dxa"/>
                  <w:vMerge w:val="continue"/>
                  <w:noWrap w:val="0"/>
                  <w:vAlign w:val="center"/>
                </w:tcPr>
                <w:p w14:paraId="2A56C1EF">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c>
                <w:tcPr>
                  <w:tcW w:w="1673" w:type="dxa"/>
                  <w:noWrap w:val="0"/>
                  <w:vAlign w:val="center"/>
                </w:tcPr>
                <w:p w14:paraId="142A9E6C">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浮顶罐</w:t>
                  </w:r>
                </w:p>
              </w:tc>
              <w:tc>
                <w:tcPr>
                  <w:tcW w:w="1678" w:type="dxa"/>
                  <w:noWrap w:val="0"/>
                  <w:vAlign w:val="center"/>
                </w:tcPr>
                <w:p w14:paraId="05B6EC4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其他罐</w:t>
                  </w:r>
                </w:p>
              </w:tc>
              <w:tc>
                <w:tcPr>
                  <w:tcW w:w="3359" w:type="dxa"/>
                  <w:gridSpan w:val="2"/>
                  <w:noWrap w:val="0"/>
                  <w:vAlign w:val="center"/>
                </w:tcPr>
                <w:p w14:paraId="2D6D25F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不分罐形</w:t>
                  </w:r>
                </w:p>
              </w:tc>
            </w:tr>
            <w:tr w14:paraId="1045B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63" w:type="dxa"/>
                  <w:noWrap w:val="0"/>
                  <w:vAlign w:val="center"/>
                </w:tcPr>
                <w:p w14:paraId="42A8619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A</w:t>
                  </w:r>
                </w:p>
              </w:tc>
              <w:tc>
                <w:tcPr>
                  <w:tcW w:w="1673" w:type="dxa"/>
                  <w:vMerge w:val="restart"/>
                  <w:noWrap w:val="0"/>
                  <w:vAlign w:val="center"/>
                </w:tcPr>
                <w:p w14:paraId="5B9D3296">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0.01</w:t>
                  </w:r>
                </w:p>
              </w:tc>
              <w:tc>
                <w:tcPr>
                  <w:tcW w:w="1678" w:type="dxa"/>
                  <w:noWrap w:val="0"/>
                  <w:vAlign w:val="center"/>
                </w:tcPr>
                <w:p w14:paraId="3C54DF6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0.23</w:t>
                  </w:r>
                </w:p>
              </w:tc>
              <w:tc>
                <w:tcPr>
                  <w:tcW w:w="1677" w:type="dxa"/>
                  <w:vMerge w:val="restart"/>
                  <w:noWrap w:val="0"/>
                  <w:vAlign w:val="center"/>
                </w:tcPr>
                <w:p w14:paraId="675D2F18">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0.05</w:t>
                  </w:r>
                </w:p>
              </w:tc>
              <w:tc>
                <w:tcPr>
                  <w:tcW w:w="1682" w:type="dxa"/>
                  <w:vMerge w:val="restart"/>
                  <w:noWrap w:val="0"/>
                  <w:vAlign w:val="center"/>
                </w:tcPr>
                <w:p w14:paraId="5A91F9D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0.04</w:t>
                  </w:r>
                </w:p>
              </w:tc>
            </w:tr>
            <w:tr w14:paraId="644D8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63" w:type="dxa"/>
                  <w:noWrap w:val="0"/>
                  <w:vAlign w:val="center"/>
                </w:tcPr>
                <w:p w14:paraId="58033498">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B</w:t>
                  </w:r>
                </w:p>
              </w:tc>
              <w:tc>
                <w:tcPr>
                  <w:tcW w:w="1673" w:type="dxa"/>
                  <w:vMerge w:val="continue"/>
                  <w:noWrap w:val="0"/>
                  <w:vAlign w:val="center"/>
                </w:tcPr>
                <w:p w14:paraId="08691AFD">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c>
                <w:tcPr>
                  <w:tcW w:w="1678" w:type="dxa"/>
                  <w:noWrap w:val="0"/>
                  <w:vAlign w:val="center"/>
                </w:tcPr>
                <w:p w14:paraId="186B95D7">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0.20</w:t>
                  </w:r>
                </w:p>
              </w:tc>
              <w:tc>
                <w:tcPr>
                  <w:tcW w:w="1677" w:type="dxa"/>
                  <w:vMerge w:val="continue"/>
                  <w:noWrap w:val="0"/>
                  <w:vAlign w:val="center"/>
                </w:tcPr>
                <w:p w14:paraId="6880A06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c>
                <w:tcPr>
                  <w:tcW w:w="1682" w:type="dxa"/>
                  <w:vMerge w:val="continue"/>
                  <w:noWrap w:val="0"/>
                  <w:vAlign w:val="center"/>
                </w:tcPr>
                <w:p w14:paraId="64BC3A91">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r>
            <w:tr w14:paraId="14217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63" w:type="dxa"/>
                  <w:noWrap w:val="0"/>
                  <w:vAlign w:val="center"/>
                </w:tcPr>
                <w:p w14:paraId="237B89B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C</w:t>
                  </w:r>
                </w:p>
              </w:tc>
              <w:tc>
                <w:tcPr>
                  <w:tcW w:w="1673" w:type="dxa"/>
                  <w:vMerge w:val="continue"/>
                  <w:noWrap w:val="0"/>
                  <w:vAlign w:val="center"/>
                </w:tcPr>
                <w:p w14:paraId="5D1BB2BC">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c>
                <w:tcPr>
                  <w:tcW w:w="1678" w:type="dxa"/>
                  <w:noWrap w:val="0"/>
                  <w:vAlign w:val="center"/>
                </w:tcPr>
                <w:p w14:paraId="4E924CE8">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0.13</w:t>
                  </w:r>
                </w:p>
              </w:tc>
              <w:tc>
                <w:tcPr>
                  <w:tcW w:w="1677" w:type="dxa"/>
                  <w:vMerge w:val="continue"/>
                  <w:noWrap w:val="0"/>
                  <w:vAlign w:val="center"/>
                </w:tcPr>
                <w:p w14:paraId="77DD15BF">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c>
                <w:tcPr>
                  <w:tcW w:w="1682" w:type="dxa"/>
                  <w:vMerge w:val="continue"/>
                  <w:noWrap w:val="0"/>
                  <w:vAlign w:val="center"/>
                </w:tcPr>
                <w:p w14:paraId="373A58F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p>
              </w:tc>
            </w:tr>
          </w:tbl>
          <w:p w14:paraId="66ABDF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4-</w:t>
            </w:r>
            <w:r>
              <w:rPr>
                <w:rFonts w:hint="eastAsia" w:eastAsia="宋体" w:cs="宋体"/>
                <w:b/>
                <w:bCs/>
                <w:color w:val="auto"/>
                <w:sz w:val="24"/>
                <w:lang w:val="en-US" w:eastAsia="zh-CN"/>
              </w:rPr>
              <w:t>6</w:t>
            </w:r>
            <w:r>
              <w:rPr>
                <w:rFonts w:hint="eastAsia" w:ascii="宋体" w:hAnsi="宋体" w:eastAsia="宋体" w:cs="宋体"/>
                <w:b/>
                <w:bCs/>
                <w:color w:val="auto"/>
                <w:sz w:val="24"/>
              </w:rPr>
              <w:t xml:space="preserve"> 零售（加油作业）时油品损耗率         单位%</w:t>
            </w:r>
          </w:p>
          <w:tbl>
            <w:tblPr>
              <w:tblStyle w:val="26"/>
              <w:tblW w:w="8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4"/>
              <w:gridCol w:w="1394"/>
              <w:gridCol w:w="1399"/>
              <w:gridCol w:w="1402"/>
              <w:gridCol w:w="1394"/>
              <w:gridCol w:w="1400"/>
            </w:tblGrid>
            <w:tr w14:paraId="5B794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84" w:type="dxa"/>
                  <w:noWrap w:val="0"/>
                  <w:vAlign w:val="center"/>
                </w:tcPr>
                <w:p w14:paraId="3F3525F8">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零售方式</w:t>
                  </w:r>
                </w:p>
              </w:tc>
              <w:tc>
                <w:tcPr>
                  <w:tcW w:w="4195" w:type="dxa"/>
                  <w:gridSpan w:val="3"/>
                  <w:noWrap w:val="0"/>
                  <w:vAlign w:val="center"/>
                </w:tcPr>
                <w:p w14:paraId="14B2EECE">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加油机付油</w:t>
                  </w:r>
                </w:p>
              </w:tc>
              <w:tc>
                <w:tcPr>
                  <w:tcW w:w="1394" w:type="dxa"/>
                  <w:noWrap w:val="0"/>
                  <w:vAlign w:val="center"/>
                </w:tcPr>
                <w:p w14:paraId="55191E1D">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量提付油</w:t>
                  </w:r>
                </w:p>
              </w:tc>
              <w:tc>
                <w:tcPr>
                  <w:tcW w:w="1400" w:type="dxa"/>
                  <w:noWrap w:val="0"/>
                  <w:vAlign w:val="center"/>
                </w:tcPr>
                <w:p w14:paraId="1EC634C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称量付油</w:t>
                  </w:r>
                </w:p>
              </w:tc>
            </w:tr>
            <w:tr w14:paraId="452A8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84" w:type="dxa"/>
                  <w:noWrap w:val="0"/>
                  <w:vAlign w:val="center"/>
                </w:tcPr>
                <w:p w14:paraId="06033AE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油品</w:t>
                  </w:r>
                </w:p>
              </w:tc>
              <w:tc>
                <w:tcPr>
                  <w:tcW w:w="1394" w:type="dxa"/>
                  <w:noWrap w:val="0"/>
                  <w:vAlign w:val="center"/>
                </w:tcPr>
                <w:p w14:paraId="622D330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汽油</w:t>
                  </w:r>
                </w:p>
              </w:tc>
              <w:tc>
                <w:tcPr>
                  <w:tcW w:w="1399" w:type="dxa"/>
                  <w:noWrap w:val="0"/>
                  <w:vAlign w:val="center"/>
                </w:tcPr>
                <w:p w14:paraId="7C337504">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煤油</w:t>
                  </w:r>
                </w:p>
              </w:tc>
              <w:tc>
                <w:tcPr>
                  <w:tcW w:w="1402" w:type="dxa"/>
                  <w:noWrap w:val="0"/>
                  <w:vAlign w:val="center"/>
                </w:tcPr>
                <w:p w14:paraId="7DC08C5E">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柴油</w:t>
                  </w:r>
                </w:p>
              </w:tc>
              <w:tc>
                <w:tcPr>
                  <w:tcW w:w="1394" w:type="dxa"/>
                  <w:noWrap w:val="0"/>
                  <w:vAlign w:val="center"/>
                </w:tcPr>
                <w:p w14:paraId="3BA1BAE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煤油</w:t>
                  </w:r>
                </w:p>
              </w:tc>
              <w:tc>
                <w:tcPr>
                  <w:tcW w:w="1400" w:type="dxa"/>
                  <w:noWrap w:val="0"/>
                  <w:vAlign w:val="center"/>
                </w:tcPr>
                <w:p w14:paraId="5E6715A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润滑油</w:t>
                  </w:r>
                </w:p>
              </w:tc>
            </w:tr>
            <w:tr w14:paraId="7025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84" w:type="dxa"/>
                  <w:noWrap w:val="0"/>
                  <w:vAlign w:val="center"/>
                </w:tcPr>
                <w:p w14:paraId="522BFE3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损耗率</w:t>
                  </w:r>
                </w:p>
              </w:tc>
              <w:tc>
                <w:tcPr>
                  <w:tcW w:w="1394" w:type="dxa"/>
                  <w:noWrap w:val="0"/>
                  <w:vAlign w:val="center"/>
                </w:tcPr>
                <w:p w14:paraId="48FC9F5E">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0.29</w:t>
                  </w:r>
                </w:p>
              </w:tc>
              <w:tc>
                <w:tcPr>
                  <w:tcW w:w="1399" w:type="dxa"/>
                  <w:noWrap w:val="0"/>
                  <w:vAlign w:val="center"/>
                </w:tcPr>
                <w:p w14:paraId="2F698038">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0.12</w:t>
                  </w:r>
                </w:p>
              </w:tc>
              <w:tc>
                <w:tcPr>
                  <w:tcW w:w="1402" w:type="dxa"/>
                  <w:noWrap w:val="0"/>
                  <w:vAlign w:val="center"/>
                </w:tcPr>
                <w:p w14:paraId="1E8484E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0.08</w:t>
                  </w:r>
                </w:p>
              </w:tc>
              <w:tc>
                <w:tcPr>
                  <w:tcW w:w="1394" w:type="dxa"/>
                  <w:noWrap w:val="0"/>
                  <w:vAlign w:val="center"/>
                </w:tcPr>
                <w:p w14:paraId="69162DD6">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0.16</w:t>
                  </w:r>
                </w:p>
              </w:tc>
              <w:tc>
                <w:tcPr>
                  <w:tcW w:w="1400" w:type="dxa"/>
                  <w:noWrap w:val="0"/>
                  <w:vAlign w:val="center"/>
                </w:tcPr>
                <w:p w14:paraId="4C740A0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rPr>
                  </w:pPr>
                  <w:r>
                    <w:rPr>
                      <w:rFonts w:hint="eastAsia" w:ascii="宋体" w:hAnsi="宋体" w:eastAsia="宋体" w:cs="宋体"/>
                      <w:b w:val="0"/>
                      <w:bCs w:val="0"/>
                      <w:color w:val="auto"/>
                      <w:kern w:val="0"/>
                      <w:szCs w:val="21"/>
                    </w:rPr>
                    <w:t>0.47</w:t>
                  </w:r>
                </w:p>
              </w:tc>
            </w:tr>
          </w:tbl>
          <w:p w14:paraId="32A59406">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rPr>
              <w:t>本项目位于内蒙古自治区，属于C类区，油罐</w:t>
            </w:r>
            <w:r>
              <w:rPr>
                <w:rFonts w:hint="eastAsia" w:ascii="宋体" w:hAnsi="宋体" w:eastAsia="宋体" w:cs="宋体"/>
                <w:color w:val="auto"/>
                <w:sz w:val="24"/>
                <w:lang w:eastAsia="zh-CN"/>
              </w:rPr>
              <w:t>（依托）</w:t>
            </w:r>
            <w:r>
              <w:rPr>
                <w:rFonts w:hint="eastAsia" w:ascii="宋体" w:hAnsi="宋体" w:eastAsia="宋体" w:cs="宋体"/>
                <w:color w:val="auto"/>
                <w:sz w:val="24"/>
              </w:rPr>
              <w:t>为</w:t>
            </w:r>
            <w:r>
              <w:rPr>
                <w:rFonts w:hint="eastAsia" w:ascii="宋体" w:hAnsi="宋体" w:eastAsia="宋体" w:cs="宋体"/>
                <w:color w:val="auto"/>
                <w:sz w:val="24"/>
                <w:lang w:eastAsia="zh-CN"/>
              </w:rPr>
              <w:t>埋地油罐</w:t>
            </w:r>
            <w:r>
              <w:rPr>
                <w:rFonts w:hint="eastAsia" w:ascii="宋体" w:hAnsi="宋体" w:eastAsia="宋体" w:cs="宋体"/>
                <w:color w:val="auto"/>
                <w:sz w:val="24"/>
              </w:rPr>
              <w:t>，油品贮存过程中油品最大损耗率取</w:t>
            </w:r>
            <w:commentRangeStart w:id="10"/>
            <w:r>
              <w:rPr>
                <w:rFonts w:hint="eastAsia" w:ascii="宋体" w:hAnsi="宋体" w:eastAsia="宋体" w:cs="宋体"/>
                <w:color w:val="auto"/>
                <w:sz w:val="24"/>
                <w:highlight w:val="yellow"/>
              </w:rPr>
              <w:t>0.01</w:t>
            </w:r>
            <w:r>
              <w:rPr>
                <w:rFonts w:hint="eastAsia" w:ascii="宋体" w:hAnsi="宋体" w:eastAsia="宋体" w:cs="宋体"/>
                <w:color w:val="auto"/>
                <w:sz w:val="24"/>
                <w:highlight w:val="yellow"/>
                <w:lang w:val="en-US" w:eastAsia="zh-CN"/>
              </w:rPr>
              <w:t>21</w:t>
            </w:r>
            <w:r>
              <w:rPr>
                <w:rFonts w:hint="eastAsia" w:ascii="宋体" w:hAnsi="宋体" w:eastAsia="宋体" w:cs="宋体"/>
                <w:color w:val="auto"/>
                <w:sz w:val="24"/>
                <w:highlight w:val="yellow"/>
              </w:rPr>
              <w:t>%；</w:t>
            </w:r>
            <w:commentRangeEnd w:id="10"/>
            <w:r>
              <w:rPr>
                <w:rFonts w:hint="default"/>
              </w:rPr>
              <w:commentReference w:id="10"/>
            </w:r>
            <w:r>
              <w:rPr>
                <w:rFonts w:hint="eastAsia" w:ascii="宋体" w:hAnsi="宋体" w:eastAsia="宋体" w:cs="宋体"/>
                <w:color w:val="auto"/>
                <w:sz w:val="24"/>
              </w:rPr>
              <w:t>油罐车卸油过程中柴油最大损耗率取0.05%；油品零售过程中柴油最大损耗率取0.08%，</w:t>
            </w:r>
            <w:r>
              <w:rPr>
                <w:rFonts w:hint="eastAsia" w:ascii="宋体" w:hAnsi="宋体" w:eastAsia="宋体" w:cs="宋体"/>
                <w:color w:val="auto"/>
                <w:sz w:val="24"/>
                <w:lang w:eastAsia="zh-CN"/>
              </w:rPr>
              <w:t>技改项目新增柴油用量</w:t>
            </w:r>
            <w:r>
              <w:rPr>
                <w:rFonts w:hint="eastAsia" w:ascii="宋体" w:hAnsi="宋体" w:eastAsia="宋体" w:cs="宋体"/>
                <w:color w:val="auto"/>
                <w:sz w:val="24"/>
                <w:lang w:val="en-US" w:eastAsia="zh-CN"/>
              </w:rPr>
              <w:t>300t/a，</w:t>
            </w:r>
            <w:r>
              <w:rPr>
                <w:rFonts w:hint="eastAsia" w:ascii="宋体" w:hAnsi="宋体" w:eastAsia="宋体" w:cs="宋体"/>
                <w:color w:val="auto"/>
                <w:sz w:val="24"/>
              </w:rPr>
              <w:t>经计算</w:t>
            </w:r>
            <w:r>
              <w:rPr>
                <w:rFonts w:hint="eastAsia" w:ascii="宋体" w:hAnsi="宋体" w:eastAsia="宋体" w:cs="宋体"/>
                <w:color w:val="auto"/>
                <w:sz w:val="24"/>
                <w:lang w:eastAsia="zh-CN"/>
              </w:rPr>
              <w:t>技改</w:t>
            </w:r>
            <w:r>
              <w:rPr>
                <w:rFonts w:hint="eastAsia" w:ascii="宋体" w:hAnsi="宋体" w:eastAsia="宋体" w:cs="宋体"/>
                <w:color w:val="auto"/>
                <w:sz w:val="24"/>
              </w:rPr>
              <w:t>项目运营过程中</w:t>
            </w:r>
            <w:r>
              <w:rPr>
                <w:rFonts w:hint="eastAsia" w:ascii="宋体" w:hAnsi="宋体" w:eastAsia="宋体" w:cs="宋体"/>
                <w:color w:val="auto"/>
                <w:sz w:val="24"/>
                <w:lang w:eastAsia="zh-CN"/>
              </w:rPr>
              <w:t>新增</w:t>
            </w:r>
            <w:r>
              <w:rPr>
                <w:rFonts w:hint="eastAsia" w:ascii="宋体" w:hAnsi="宋体" w:eastAsia="宋体" w:cs="宋体"/>
                <w:color w:val="auto"/>
                <w:sz w:val="24"/>
                <w:highlight w:val="none"/>
              </w:rPr>
              <w:t>非甲烷总烃产生量为0.</w:t>
            </w:r>
            <w:r>
              <w:rPr>
                <w:rFonts w:hint="eastAsia" w:ascii="宋体" w:hAnsi="宋体" w:eastAsia="宋体" w:cs="宋体"/>
                <w:color w:val="auto"/>
                <w:sz w:val="24"/>
                <w:highlight w:val="none"/>
                <w:lang w:val="en-US" w:eastAsia="zh-CN"/>
              </w:rPr>
              <w:t>426</w:t>
            </w:r>
            <w:r>
              <w:rPr>
                <w:rFonts w:hint="eastAsia" w:ascii="宋体" w:hAnsi="宋体" w:eastAsia="宋体" w:cs="宋体"/>
                <w:color w:val="auto"/>
                <w:sz w:val="24"/>
                <w:highlight w:val="none"/>
              </w:rPr>
              <w:t>t/a，具体见下表：</w:t>
            </w:r>
          </w:p>
          <w:p w14:paraId="0CED921A">
            <w:pPr>
              <w:keepNext w:val="0"/>
              <w:keepLines w:val="0"/>
              <w:suppressLineNumbers w:val="0"/>
              <w:spacing w:before="0" w:beforeAutospacing="0" w:after="0" w:afterAutospacing="0"/>
              <w:ind w:left="0" w:right="0"/>
              <w:jc w:val="center"/>
              <w:rPr>
                <w:rFonts w:hint="eastAsia" w:ascii="宋体" w:hAnsi="宋体" w:eastAsia="宋体" w:cs="宋体"/>
                <w:color w:val="auto"/>
                <w:sz w:val="24"/>
                <w:highlight w:val="none"/>
              </w:rPr>
            </w:pPr>
            <w:r>
              <w:rPr>
                <w:rFonts w:hint="eastAsia" w:ascii="宋体" w:hAnsi="宋体" w:eastAsia="宋体" w:cs="宋体"/>
                <w:b/>
                <w:bCs/>
                <w:color w:val="auto"/>
                <w:sz w:val="24"/>
                <w:highlight w:val="none"/>
              </w:rPr>
              <w:t>表</w:t>
            </w:r>
            <w:r>
              <w:rPr>
                <w:rFonts w:hint="eastAsia" w:ascii="宋体" w:hAnsi="宋体" w:eastAsia="宋体" w:cs="宋体"/>
                <w:b/>
                <w:bCs/>
                <w:color w:val="auto"/>
                <w:sz w:val="24"/>
                <w:highlight w:val="none"/>
                <w:lang w:val="en-US" w:eastAsia="zh-CN"/>
              </w:rPr>
              <w:t>4-</w:t>
            </w:r>
            <w:r>
              <w:rPr>
                <w:rFonts w:hint="eastAsia" w:eastAsia="宋体" w:cs="宋体"/>
                <w:b/>
                <w:bCs/>
                <w:color w:val="auto"/>
                <w:sz w:val="24"/>
                <w:highlight w:val="none"/>
                <w:lang w:val="en-US" w:eastAsia="zh-CN"/>
              </w:rPr>
              <w:t>7</w:t>
            </w:r>
            <w:r>
              <w:rPr>
                <w:rFonts w:hint="eastAsia" w:ascii="宋体" w:hAnsi="宋体" w:eastAsia="宋体" w:cs="宋体"/>
                <w:b/>
                <w:bCs/>
                <w:color w:val="auto"/>
                <w:sz w:val="24"/>
                <w:highlight w:val="none"/>
              </w:rPr>
              <w:t xml:space="preserve"> </w:t>
            </w:r>
            <w:r>
              <w:rPr>
                <w:rFonts w:hint="eastAsia" w:ascii="宋体" w:hAnsi="宋体" w:eastAsia="宋体" w:cs="宋体"/>
                <w:b/>
                <w:bCs/>
                <w:color w:val="auto"/>
                <w:sz w:val="24"/>
                <w:highlight w:val="none"/>
                <w:lang w:eastAsia="zh-CN"/>
              </w:rPr>
              <w:t>技改项目新增柴油卸油、储油、使用过程</w:t>
            </w:r>
            <w:r>
              <w:rPr>
                <w:rFonts w:hint="eastAsia" w:ascii="宋体" w:hAnsi="宋体" w:eastAsia="宋体" w:cs="宋体"/>
                <w:b/>
                <w:bCs/>
                <w:color w:val="auto"/>
                <w:sz w:val="24"/>
                <w:highlight w:val="none"/>
              </w:rPr>
              <w:t>非甲烷总烃产排情况一览表</w:t>
            </w:r>
          </w:p>
          <w:p w14:paraId="4CF53F0B">
            <w:pPr>
              <w:keepNext w:val="0"/>
              <w:keepLines w:val="0"/>
              <w:suppressLineNumbers w:val="0"/>
              <w:autoSpaceDE w:val="0"/>
              <w:autoSpaceDN w:val="0"/>
              <w:adjustRightInd w:val="0"/>
              <w:spacing w:before="9" w:beforeAutospacing="0" w:after="0" w:afterAutospacing="0" w:line="40" w:lineRule="exact"/>
              <w:ind w:left="0" w:right="0"/>
              <w:jc w:val="left"/>
              <w:rPr>
                <w:rFonts w:hint="eastAsia" w:ascii="宋体" w:hAnsi="宋体" w:eastAsia="宋体" w:cs="宋体"/>
                <w:color w:val="auto"/>
                <w:kern w:val="0"/>
                <w:szCs w:val="21"/>
                <w:highlight w:val="none"/>
              </w:rPr>
            </w:pPr>
          </w:p>
          <w:tbl>
            <w:tblPr>
              <w:tblStyle w:val="26"/>
              <w:tblW w:w="8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25"/>
              <w:gridCol w:w="754"/>
              <w:gridCol w:w="1081"/>
              <w:gridCol w:w="1463"/>
              <w:gridCol w:w="1149"/>
              <w:gridCol w:w="1149"/>
              <w:gridCol w:w="1152"/>
            </w:tblGrid>
            <w:tr w14:paraId="2B404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79" w:type="dxa"/>
                  <w:gridSpan w:val="2"/>
                  <w:noWrap w:val="0"/>
                  <w:vAlign w:val="center"/>
                </w:tcPr>
                <w:p w14:paraId="3B213DB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污染源名称</w:t>
                  </w:r>
                </w:p>
              </w:tc>
              <w:tc>
                <w:tcPr>
                  <w:tcW w:w="1081" w:type="dxa"/>
                  <w:noWrap w:val="0"/>
                  <w:vAlign w:val="center"/>
                </w:tcPr>
                <w:p w14:paraId="2880129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损耗率</w:t>
                  </w:r>
                </w:p>
              </w:tc>
              <w:tc>
                <w:tcPr>
                  <w:tcW w:w="1463" w:type="dxa"/>
                  <w:noWrap w:val="0"/>
                  <w:vAlign w:val="center"/>
                </w:tcPr>
                <w:p w14:paraId="5FA59B8E">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年通过量或转移量（t/a）</w:t>
                  </w:r>
                </w:p>
              </w:tc>
              <w:tc>
                <w:tcPr>
                  <w:tcW w:w="1149" w:type="dxa"/>
                  <w:noWrap w:val="0"/>
                  <w:vAlign w:val="center"/>
                </w:tcPr>
                <w:p w14:paraId="3840FFFD">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非甲烷总烃产生量（t/a）</w:t>
                  </w:r>
                </w:p>
              </w:tc>
              <w:tc>
                <w:tcPr>
                  <w:tcW w:w="1149" w:type="dxa"/>
                  <w:noWrap w:val="0"/>
                  <w:vAlign w:val="center"/>
                </w:tcPr>
                <w:p w14:paraId="6089AC6A">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采取的措施</w:t>
                  </w:r>
                </w:p>
              </w:tc>
              <w:tc>
                <w:tcPr>
                  <w:tcW w:w="1152" w:type="dxa"/>
                  <w:noWrap w:val="0"/>
                  <w:vAlign w:val="center"/>
                </w:tcPr>
                <w:p w14:paraId="2A84395F">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非甲烷总烃排放量（t/a）</w:t>
                  </w:r>
                </w:p>
              </w:tc>
            </w:tr>
            <w:tr w14:paraId="01966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625" w:type="dxa"/>
                  <w:noWrap w:val="0"/>
                  <w:vAlign w:val="center"/>
                </w:tcPr>
                <w:p w14:paraId="597CF0C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油罐车卸油</w:t>
                  </w:r>
                </w:p>
                <w:p w14:paraId="0554696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损失（大呼吸）</w:t>
                  </w:r>
                </w:p>
              </w:tc>
              <w:tc>
                <w:tcPr>
                  <w:tcW w:w="754" w:type="dxa"/>
                  <w:noWrap w:val="0"/>
                  <w:vAlign w:val="center"/>
                </w:tcPr>
                <w:p w14:paraId="70E659E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柴油</w:t>
                  </w:r>
                </w:p>
              </w:tc>
              <w:tc>
                <w:tcPr>
                  <w:tcW w:w="1081" w:type="dxa"/>
                  <w:noWrap w:val="0"/>
                  <w:vAlign w:val="center"/>
                </w:tcPr>
                <w:p w14:paraId="2114417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0.05%</w:t>
                  </w:r>
                </w:p>
              </w:tc>
              <w:tc>
                <w:tcPr>
                  <w:tcW w:w="1463" w:type="dxa"/>
                  <w:noWrap w:val="0"/>
                  <w:vAlign w:val="center"/>
                </w:tcPr>
                <w:p w14:paraId="68003C0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300</w:t>
                  </w:r>
                </w:p>
              </w:tc>
              <w:tc>
                <w:tcPr>
                  <w:tcW w:w="1149" w:type="dxa"/>
                  <w:noWrap w:val="0"/>
                  <w:vAlign w:val="center"/>
                </w:tcPr>
                <w:p w14:paraId="70F68CD2">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0.15</w:t>
                  </w:r>
                </w:p>
              </w:tc>
              <w:tc>
                <w:tcPr>
                  <w:tcW w:w="1149" w:type="dxa"/>
                  <w:noWrap w:val="0"/>
                  <w:vAlign w:val="center"/>
                </w:tcPr>
                <w:p w14:paraId="5FF8BFD0">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w:t>
                  </w:r>
                </w:p>
              </w:tc>
              <w:tc>
                <w:tcPr>
                  <w:tcW w:w="1152" w:type="dxa"/>
                  <w:noWrap w:val="0"/>
                  <w:vAlign w:val="center"/>
                </w:tcPr>
                <w:p w14:paraId="77008C58">
                  <w:pPr>
                    <w:keepNext w:val="0"/>
                    <w:keepLines w:val="0"/>
                    <w:suppressLineNumbers w:val="0"/>
                    <w:autoSpaceDE w:val="0"/>
                    <w:autoSpaceDN w:val="0"/>
                    <w:adjustRightInd w:val="0"/>
                    <w:spacing w:before="0" w:beforeAutospacing="0" w:after="0" w:afterAutospacing="0" w:line="360" w:lineRule="exact"/>
                    <w:ind w:left="0" w:leftChars="0" w:right="0" w:rightChars="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lang w:val="en-US" w:eastAsia="zh-CN"/>
                    </w:rPr>
                    <w:t>0.15</w:t>
                  </w:r>
                </w:p>
              </w:tc>
            </w:tr>
            <w:tr w14:paraId="74A36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25" w:type="dxa"/>
                  <w:noWrap w:val="0"/>
                  <w:vAlign w:val="center"/>
                </w:tcPr>
                <w:p w14:paraId="61503C9C">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储油损失（小呼吸）</w:t>
                  </w:r>
                </w:p>
              </w:tc>
              <w:tc>
                <w:tcPr>
                  <w:tcW w:w="754" w:type="dxa"/>
                  <w:noWrap w:val="0"/>
                  <w:vAlign w:val="center"/>
                </w:tcPr>
                <w:p w14:paraId="6EE3B12F">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eastAsia="zh-CN"/>
                    </w:rPr>
                  </w:pPr>
                  <w:r>
                    <w:rPr>
                      <w:rFonts w:hint="eastAsia" w:ascii="宋体" w:hAnsi="宋体" w:eastAsia="宋体" w:cs="宋体"/>
                      <w:b w:val="0"/>
                      <w:bCs w:val="0"/>
                      <w:color w:val="auto"/>
                      <w:kern w:val="0"/>
                      <w:szCs w:val="21"/>
                      <w:highlight w:val="none"/>
                      <w:lang w:eastAsia="zh-CN"/>
                    </w:rPr>
                    <w:t>柴油</w:t>
                  </w:r>
                </w:p>
              </w:tc>
              <w:tc>
                <w:tcPr>
                  <w:tcW w:w="1081" w:type="dxa"/>
                  <w:noWrap w:val="0"/>
                  <w:vAlign w:val="center"/>
                </w:tcPr>
                <w:p w14:paraId="4FD0670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0.01</w:t>
                  </w:r>
                  <w:r>
                    <w:rPr>
                      <w:rFonts w:hint="eastAsia" w:ascii="宋体" w:hAnsi="宋体" w:eastAsia="宋体" w:cs="宋体"/>
                      <w:b w:val="0"/>
                      <w:bCs w:val="0"/>
                      <w:color w:val="auto"/>
                      <w:kern w:val="0"/>
                      <w:szCs w:val="21"/>
                      <w:highlight w:val="none"/>
                      <w:lang w:val="en-US" w:eastAsia="zh-CN"/>
                    </w:rPr>
                    <w:t>21</w:t>
                  </w:r>
                  <w:r>
                    <w:rPr>
                      <w:rFonts w:hint="eastAsia" w:ascii="宋体" w:hAnsi="宋体" w:eastAsia="宋体" w:cs="宋体"/>
                      <w:b w:val="0"/>
                      <w:bCs w:val="0"/>
                      <w:color w:val="auto"/>
                      <w:kern w:val="0"/>
                      <w:szCs w:val="21"/>
                      <w:highlight w:val="none"/>
                    </w:rPr>
                    <w:t>%</w:t>
                  </w:r>
                </w:p>
              </w:tc>
              <w:tc>
                <w:tcPr>
                  <w:tcW w:w="1463" w:type="dxa"/>
                  <w:noWrap w:val="0"/>
                  <w:vAlign w:val="center"/>
                </w:tcPr>
                <w:p w14:paraId="67D08E74">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300</w:t>
                  </w:r>
                </w:p>
              </w:tc>
              <w:tc>
                <w:tcPr>
                  <w:tcW w:w="1149" w:type="dxa"/>
                  <w:noWrap w:val="0"/>
                  <w:vAlign w:val="center"/>
                </w:tcPr>
                <w:p w14:paraId="701AFF6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cs="宋体" w:eastAsiaTheme="minorEastAsia"/>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0.036</w:t>
                  </w:r>
                </w:p>
              </w:tc>
              <w:tc>
                <w:tcPr>
                  <w:tcW w:w="1149" w:type="dxa"/>
                  <w:noWrap w:val="0"/>
                  <w:vAlign w:val="center"/>
                </w:tcPr>
                <w:p w14:paraId="4D365AA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w:t>
                  </w:r>
                </w:p>
              </w:tc>
              <w:tc>
                <w:tcPr>
                  <w:tcW w:w="1152" w:type="dxa"/>
                  <w:noWrap w:val="0"/>
                  <w:vAlign w:val="center"/>
                </w:tcPr>
                <w:p w14:paraId="0EC70912">
                  <w:pPr>
                    <w:keepNext w:val="0"/>
                    <w:keepLines w:val="0"/>
                    <w:suppressLineNumbers w:val="0"/>
                    <w:autoSpaceDE w:val="0"/>
                    <w:autoSpaceDN w:val="0"/>
                    <w:adjustRightInd w:val="0"/>
                    <w:spacing w:before="0" w:beforeAutospacing="0" w:after="0" w:afterAutospacing="0" w:line="360" w:lineRule="exact"/>
                    <w:ind w:left="0" w:leftChars="0" w:right="0" w:rightChars="0"/>
                    <w:jc w:val="center"/>
                    <w:rPr>
                      <w:rFonts w:hint="default"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0.036</w:t>
                  </w:r>
                </w:p>
              </w:tc>
            </w:tr>
            <w:tr w14:paraId="13CE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625" w:type="dxa"/>
                  <w:noWrap w:val="0"/>
                  <w:vAlign w:val="center"/>
                </w:tcPr>
                <w:p w14:paraId="23528900">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加油</w:t>
                  </w:r>
                  <w:r>
                    <w:rPr>
                      <w:rFonts w:hint="eastAsia" w:ascii="宋体" w:hAnsi="宋体" w:eastAsia="宋体" w:cs="宋体"/>
                      <w:b w:val="0"/>
                      <w:bCs w:val="0"/>
                      <w:color w:val="auto"/>
                      <w:kern w:val="0"/>
                      <w:szCs w:val="21"/>
                      <w:highlight w:val="none"/>
                      <w:lang w:eastAsia="zh-CN"/>
                    </w:rPr>
                    <w:t>（使用）</w:t>
                  </w:r>
                  <w:r>
                    <w:rPr>
                      <w:rFonts w:hint="eastAsia" w:ascii="宋体" w:hAnsi="宋体" w:eastAsia="宋体" w:cs="宋体"/>
                      <w:b w:val="0"/>
                      <w:bCs w:val="0"/>
                      <w:color w:val="auto"/>
                      <w:kern w:val="0"/>
                      <w:szCs w:val="21"/>
                      <w:highlight w:val="none"/>
                    </w:rPr>
                    <w:t>作业损失</w:t>
                  </w:r>
                </w:p>
              </w:tc>
              <w:tc>
                <w:tcPr>
                  <w:tcW w:w="754" w:type="dxa"/>
                  <w:noWrap w:val="0"/>
                  <w:vAlign w:val="center"/>
                </w:tcPr>
                <w:p w14:paraId="6F30A23E">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柴油</w:t>
                  </w:r>
                </w:p>
              </w:tc>
              <w:tc>
                <w:tcPr>
                  <w:tcW w:w="1081" w:type="dxa"/>
                  <w:noWrap w:val="0"/>
                  <w:vAlign w:val="center"/>
                </w:tcPr>
                <w:p w14:paraId="2552E349">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0.08%</w:t>
                  </w:r>
                </w:p>
              </w:tc>
              <w:tc>
                <w:tcPr>
                  <w:tcW w:w="1463" w:type="dxa"/>
                  <w:noWrap w:val="0"/>
                  <w:vAlign w:val="center"/>
                </w:tcPr>
                <w:p w14:paraId="400292E4">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300</w:t>
                  </w:r>
                </w:p>
              </w:tc>
              <w:tc>
                <w:tcPr>
                  <w:tcW w:w="1149" w:type="dxa"/>
                  <w:noWrap w:val="0"/>
                  <w:vAlign w:val="center"/>
                </w:tcPr>
                <w:p w14:paraId="7B3FD783">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0.24</w:t>
                  </w:r>
                </w:p>
              </w:tc>
              <w:tc>
                <w:tcPr>
                  <w:tcW w:w="1149" w:type="dxa"/>
                  <w:noWrap w:val="0"/>
                  <w:vAlign w:val="center"/>
                </w:tcPr>
                <w:p w14:paraId="7F1EB686">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w:t>
                  </w:r>
                </w:p>
              </w:tc>
              <w:tc>
                <w:tcPr>
                  <w:tcW w:w="1152" w:type="dxa"/>
                  <w:noWrap w:val="0"/>
                  <w:vAlign w:val="center"/>
                </w:tcPr>
                <w:p w14:paraId="43F11ED3">
                  <w:pPr>
                    <w:keepNext w:val="0"/>
                    <w:keepLines w:val="0"/>
                    <w:suppressLineNumbers w:val="0"/>
                    <w:autoSpaceDE w:val="0"/>
                    <w:autoSpaceDN w:val="0"/>
                    <w:adjustRightInd w:val="0"/>
                    <w:spacing w:before="0" w:beforeAutospacing="0" w:after="0" w:afterAutospacing="0" w:line="360" w:lineRule="exact"/>
                    <w:ind w:left="0" w:leftChars="0" w:right="0" w:rightChars="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lang w:val="en-US" w:eastAsia="zh-CN"/>
                    </w:rPr>
                    <w:t>0.24</w:t>
                  </w:r>
                </w:p>
              </w:tc>
            </w:tr>
            <w:tr w14:paraId="38AE2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379" w:type="dxa"/>
                  <w:gridSpan w:val="2"/>
                  <w:noWrap w:val="0"/>
                  <w:vAlign w:val="center"/>
                </w:tcPr>
                <w:p w14:paraId="36D41F2D">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合计</w:t>
                  </w:r>
                </w:p>
              </w:tc>
              <w:tc>
                <w:tcPr>
                  <w:tcW w:w="1081" w:type="dxa"/>
                  <w:noWrap w:val="0"/>
                  <w:vAlign w:val="center"/>
                </w:tcPr>
                <w:p w14:paraId="126CB61D">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rPr>
                    <w:t>-</w:t>
                  </w:r>
                </w:p>
              </w:tc>
              <w:tc>
                <w:tcPr>
                  <w:tcW w:w="1463" w:type="dxa"/>
                  <w:noWrap w:val="0"/>
                  <w:vAlign w:val="center"/>
                </w:tcPr>
                <w:p w14:paraId="118A1AA1">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p>
              </w:tc>
              <w:tc>
                <w:tcPr>
                  <w:tcW w:w="1149" w:type="dxa"/>
                  <w:noWrap w:val="0"/>
                  <w:vAlign w:val="center"/>
                </w:tcPr>
                <w:p w14:paraId="5735D80C">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eastAsia="zh-CN"/>
                    </w:rPr>
                    <w:t>0.</w:t>
                  </w:r>
                  <w:r>
                    <w:rPr>
                      <w:rFonts w:hint="eastAsia" w:ascii="宋体" w:hAnsi="宋体" w:eastAsia="宋体" w:cs="宋体"/>
                      <w:b w:val="0"/>
                      <w:bCs w:val="0"/>
                      <w:color w:val="auto"/>
                      <w:kern w:val="0"/>
                      <w:szCs w:val="21"/>
                      <w:highlight w:val="none"/>
                      <w:lang w:val="en-US" w:eastAsia="zh-CN"/>
                    </w:rPr>
                    <w:t>426</w:t>
                  </w:r>
                </w:p>
              </w:tc>
              <w:tc>
                <w:tcPr>
                  <w:tcW w:w="1149" w:type="dxa"/>
                  <w:noWrap w:val="0"/>
                  <w:vAlign w:val="center"/>
                </w:tcPr>
                <w:p w14:paraId="49EDFBBB">
                  <w:pPr>
                    <w:keepNext w:val="0"/>
                    <w:keepLines w:val="0"/>
                    <w:suppressLineNumbers w:val="0"/>
                    <w:autoSpaceDE w:val="0"/>
                    <w:autoSpaceDN w:val="0"/>
                    <w:adjustRightInd w:val="0"/>
                    <w:spacing w:before="0" w:beforeAutospacing="0" w:after="0" w:afterAutospacing="0" w:line="360" w:lineRule="exact"/>
                    <w:ind w:left="0" w:right="0"/>
                    <w:jc w:val="center"/>
                    <w:rPr>
                      <w:rFonts w:hint="eastAsia" w:ascii="宋体" w:hAnsi="宋体" w:eastAsia="宋体" w:cs="宋体"/>
                      <w:b w:val="0"/>
                      <w:bCs w:val="0"/>
                      <w:color w:val="auto"/>
                      <w:kern w:val="0"/>
                      <w:szCs w:val="21"/>
                      <w:highlight w:val="none"/>
                    </w:rPr>
                  </w:pPr>
                </w:p>
              </w:tc>
              <w:tc>
                <w:tcPr>
                  <w:tcW w:w="1152" w:type="dxa"/>
                  <w:noWrap w:val="0"/>
                  <w:vAlign w:val="center"/>
                </w:tcPr>
                <w:p w14:paraId="6CF829E4">
                  <w:pPr>
                    <w:keepNext w:val="0"/>
                    <w:keepLines w:val="0"/>
                    <w:suppressLineNumbers w:val="0"/>
                    <w:autoSpaceDE w:val="0"/>
                    <w:autoSpaceDN w:val="0"/>
                    <w:adjustRightInd w:val="0"/>
                    <w:spacing w:before="0" w:beforeAutospacing="0" w:after="0" w:afterAutospacing="0" w:line="360" w:lineRule="exact"/>
                    <w:ind w:left="0" w:leftChars="0" w:right="0" w:rightChars="0"/>
                    <w:jc w:val="center"/>
                    <w:rPr>
                      <w:rFonts w:hint="eastAsia" w:ascii="宋体" w:hAnsi="宋体" w:eastAsia="宋体" w:cs="宋体"/>
                      <w:b w:val="0"/>
                      <w:bCs w:val="0"/>
                      <w:color w:val="auto"/>
                      <w:kern w:val="0"/>
                      <w:szCs w:val="21"/>
                      <w:highlight w:val="none"/>
                      <w:lang w:val="en-US" w:eastAsia="zh-CN"/>
                    </w:rPr>
                  </w:pPr>
                  <w:r>
                    <w:rPr>
                      <w:rFonts w:hint="eastAsia" w:ascii="宋体" w:hAnsi="宋体" w:eastAsia="宋体" w:cs="宋体"/>
                      <w:b w:val="0"/>
                      <w:bCs w:val="0"/>
                      <w:color w:val="auto"/>
                      <w:kern w:val="0"/>
                      <w:szCs w:val="21"/>
                      <w:highlight w:val="none"/>
                      <w:lang w:val="en-US" w:eastAsia="zh-CN"/>
                    </w:rPr>
                    <w:t>0.426</w:t>
                  </w:r>
                </w:p>
              </w:tc>
            </w:tr>
          </w:tbl>
          <w:p w14:paraId="69B38F0C">
            <w:pPr>
              <w:keepNext w:val="0"/>
              <w:keepLines w:val="0"/>
              <w:suppressLineNumbers w:val="0"/>
              <w:bidi w:val="0"/>
              <w:spacing w:before="0" w:beforeAutospacing="0" w:after="0" w:afterAutospacing="0" w:line="360" w:lineRule="auto"/>
              <w:ind w:left="0" w:right="0" w:firstLine="480" w:firstLineChars="200"/>
              <w:rPr>
                <w:rFonts w:hint="eastAsia"/>
                <w:sz w:val="24"/>
                <w:szCs w:val="24"/>
              </w:rPr>
            </w:pPr>
            <w:r>
              <w:rPr>
                <w:rFonts w:hint="eastAsia" w:ascii="宋体" w:hAnsi="宋体" w:eastAsia="宋体" w:cs="宋体"/>
                <w:color w:val="auto"/>
                <w:kern w:val="0"/>
                <w:sz w:val="24"/>
                <w:szCs w:val="24"/>
                <w:highlight w:val="none"/>
                <w:lang w:eastAsia="zh-CN"/>
              </w:rPr>
              <w:t>根据</w:t>
            </w:r>
            <w:r>
              <w:rPr>
                <w:rFonts w:hint="eastAsia" w:ascii="宋体" w:hAnsi="宋体" w:eastAsia="宋体" w:cs="宋体"/>
                <w:color w:val="auto"/>
                <w:kern w:val="0"/>
                <w:sz w:val="24"/>
                <w:szCs w:val="24"/>
                <w:highlight w:val="none"/>
              </w:rPr>
              <w:t>上表</w:t>
            </w:r>
            <w:r>
              <w:rPr>
                <w:rFonts w:hint="eastAsia" w:ascii="宋体" w:hAnsi="宋体" w:eastAsia="宋体" w:cs="宋体"/>
                <w:color w:val="auto"/>
                <w:kern w:val="0"/>
                <w:sz w:val="24"/>
                <w:szCs w:val="24"/>
                <w:highlight w:val="none"/>
                <w:lang w:eastAsia="zh-CN"/>
              </w:rPr>
              <w:t>计算结果</w:t>
            </w:r>
            <w:r>
              <w:rPr>
                <w:rFonts w:hint="eastAsia" w:ascii="宋体" w:hAnsi="宋体" w:eastAsia="宋体" w:cs="宋体"/>
                <w:color w:val="auto"/>
                <w:kern w:val="0"/>
                <w:sz w:val="24"/>
                <w:szCs w:val="24"/>
                <w:highlight w:val="none"/>
              </w:rPr>
              <w:t>，</w:t>
            </w:r>
            <w:r>
              <w:rPr>
                <w:rFonts w:hint="eastAsia" w:ascii="宋体" w:hAnsi="宋体" w:eastAsia="宋体" w:cs="宋体"/>
                <w:color w:val="auto"/>
                <w:kern w:val="0"/>
                <w:sz w:val="24"/>
                <w:szCs w:val="24"/>
                <w:highlight w:val="none"/>
                <w:lang w:eastAsia="zh-CN"/>
              </w:rPr>
              <w:t>技改项目柴油卸油、储油和使用过程中新增</w:t>
            </w:r>
            <w:r>
              <w:rPr>
                <w:rFonts w:hint="eastAsia" w:ascii="宋体" w:hAnsi="宋体" w:eastAsia="宋体" w:cs="宋体"/>
                <w:color w:val="auto"/>
                <w:kern w:val="0"/>
                <w:sz w:val="24"/>
                <w:szCs w:val="24"/>
                <w:highlight w:val="none"/>
              </w:rPr>
              <w:t>非甲烷总烃产生量为</w:t>
            </w:r>
            <w:r>
              <w:rPr>
                <w:rFonts w:hint="eastAsia" w:ascii="宋体" w:hAnsi="宋体" w:eastAsia="宋体" w:cs="宋体"/>
                <w:color w:val="auto"/>
                <w:kern w:val="0"/>
                <w:sz w:val="24"/>
                <w:szCs w:val="24"/>
                <w:highlight w:val="none"/>
                <w:lang w:val="en-US" w:eastAsia="zh-CN"/>
              </w:rPr>
              <w:t>0.426</w:t>
            </w:r>
            <w:r>
              <w:rPr>
                <w:rFonts w:hint="eastAsia" w:ascii="宋体" w:hAnsi="宋体" w:eastAsia="宋体" w:cs="宋体"/>
                <w:color w:val="auto"/>
                <w:kern w:val="0"/>
                <w:sz w:val="24"/>
                <w:szCs w:val="24"/>
                <w:highlight w:val="none"/>
              </w:rPr>
              <w:t>t/a，</w:t>
            </w:r>
            <w:r>
              <w:rPr>
                <w:rFonts w:hint="eastAsia" w:ascii="宋体" w:hAnsi="宋体" w:eastAsia="宋体" w:cs="宋体"/>
                <w:color w:val="auto"/>
                <w:kern w:val="0"/>
                <w:sz w:val="24"/>
                <w:szCs w:val="24"/>
                <w:highlight w:val="none"/>
                <w:lang w:eastAsia="zh-CN"/>
              </w:rPr>
              <w:t>其中卸油和使用过程挥发的非甲烷</w:t>
            </w:r>
            <w:r>
              <w:rPr>
                <w:rFonts w:hint="eastAsia" w:ascii="宋体" w:hAnsi="宋体" w:eastAsia="宋体" w:cs="宋体"/>
                <w:color w:val="auto"/>
                <w:kern w:val="0"/>
                <w:sz w:val="24"/>
                <w:szCs w:val="24"/>
                <w:lang w:eastAsia="zh-CN"/>
              </w:rPr>
              <w:t>总烃无组织排放</w:t>
            </w:r>
            <w:r>
              <w:rPr>
                <w:rFonts w:hint="eastAsia" w:ascii="宋体" w:hAnsi="宋体" w:eastAsia="宋体" w:cs="宋体"/>
                <w:color w:val="auto"/>
                <w:kern w:val="0"/>
                <w:sz w:val="24"/>
                <w:szCs w:val="24"/>
                <w:lang w:val="en-US" w:eastAsia="zh-CN"/>
              </w:rPr>
              <w:t>，</w:t>
            </w:r>
            <w:r>
              <w:rPr>
                <w:rFonts w:hint="eastAsia" w:ascii="宋体" w:hAnsi="宋体" w:eastAsia="宋体" w:cs="宋体"/>
                <w:color w:val="auto"/>
                <w:kern w:val="0"/>
                <w:sz w:val="24"/>
                <w:szCs w:val="24"/>
                <w:lang w:eastAsia="zh-CN"/>
              </w:rPr>
              <w:t>储油过程</w:t>
            </w:r>
            <w:r>
              <w:rPr>
                <w:rFonts w:hint="eastAsia"/>
                <w:color w:val="auto"/>
                <w:sz w:val="24"/>
                <w:szCs w:val="24"/>
                <w:lang w:eastAsia="zh-CN"/>
              </w:rPr>
              <w:t>挥发的非甲烷总烃</w:t>
            </w:r>
            <w:r>
              <w:rPr>
                <w:rFonts w:hint="eastAsia"/>
                <w:color w:val="auto"/>
                <w:sz w:val="24"/>
                <w:szCs w:val="24"/>
              </w:rPr>
              <w:t>经4m高的通气管</w:t>
            </w:r>
            <w:r>
              <w:rPr>
                <w:rFonts w:hint="eastAsia"/>
                <w:color w:val="auto"/>
                <w:sz w:val="24"/>
                <w:szCs w:val="24"/>
                <w:lang w:eastAsia="zh-CN"/>
              </w:rPr>
              <w:t>（依托）无组织</w:t>
            </w:r>
            <w:r>
              <w:rPr>
                <w:rFonts w:hint="eastAsia"/>
                <w:color w:val="auto"/>
                <w:sz w:val="24"/>
                <w:szCs w:val="24"/>
              </w:rPr>
              <w:t>排放。</w:t>
            </w:r>
          </w:p>
          <w:p w14:paraId="16B6C21B">
            <w:pPr>
              <w:keepNext w:val="0"/>
              <w:keepLines w:val="0"/>
              <w:suppressLineNumbers w:val="0"/>
              <w:bidi w:val="0"/>
              <w:spacing w:before="0" w:beforeAutospacing="0" w:after="0" w:afterAutospacing="0" w:line="360" w:lineRule="auto"/>
              <w:ind w:left="0" w:right="0" w:firstLine="480" w:firstLineChars="200"/>
              <w:rPr>
                <w:rFonts w:hint="default"/>
                <w:color w:val="auto"/>
                <w:sz w:val="24"/>
                <w:szCs w:val="24"/>
                <w:lang w:val="en-US" w:eastAsia="zh-CN"/>
              </w:rPr>
            </w:pPr>
            <w:r>
              <w:rPr>
                <w:rFonts w:hint="eastAsia"/>
                <w:color w:val="auto"/>
                <w:sz w:val="24"/>
                <w:szCs w:val="24"/>
                <w:lang w:val="en-US" w:eastAsia="zh-CN"/>
              </w:rPr>
              <w:t>根据《加油站大气污染物排放标准》（GB 20952—2020）</w:t>
            </w:r>
            <w:r>
              <w:rPr>
                <w:rFonts w:hint="eastAsia"/>
                <w:color w:val="auto"/>
                <w:sz w:val="24"/>
                <w:szCs w:val="24"/>
              </w:rPr>
              <w:t xml:space="preserve">4.6.2 </w:t>
            </w:r>
            <w:r>
              <w:rPr>
                <w:rFonts w:hint="eastAsia"/>
                <w:color w:val="auto"/>
                <w:sz w:val="24"/>
                <w:szCs w:val="24"/>
                <w:lang w:val="en-US" w:eastAsia="zh-CN"/>
              </w:rPr>
              <w:t>规定，</w:t>
            </w:r>
            <w:r>
              <w:rPr>
                <w:rFonts w:hint="eastAsia"/>
                <w:color w:val="auto"/>
                <w:sz w:val="24"/>
                <w:szCs w:val="24"/>
              </w:rPr>
              <w:t>油气处理装置排气口距地平面高度不应小于4m</w:t>
            </w:r>
            <w:r>
              <w:rPr>
                <w:rFonts w:hint="eastAsia"/>
                <w:color w:val="auto"/>
                <w:sz w:val="24"/>
                <w:szCs w:val="24"/>
                <w:lang w:eastAsia="zh-CN"/>
              </w:rPr>
              <w:t>；</w:t>
            </w:r>
            <w:r>
              <w:rPr>
                <w:rFonts w:hint="eastAsia"/>
                <w:color w:val="auto"/>
                <w:sz w:val="24"/>
                <w:szCs w:val="24"/>
                <w:lang w:val="en-US" w:eastAsia="zh-CN"/>
              </w:rPr>
              <w:t>现有项目储罐区通气管高度为4m，满足《加油站大气污染物排放标准》（GB 20952—2020）要求，因此，</w:t>
            </w:r>
            <w:r>
              <w:rPr>
                <w:rFonts w:hint="eastAsia"/>
                <w:color w:val="auto"/>
                <w:sz w:val="24"/>
                <w:szCs w:val="24"/>
                <w:lang w:eastAsia="zh-CN"/>
              </w:rPr>
              <w:t>技改项目柴油卸油、储油和使用过程中新增</w:t>
            </w:r>
            <w:r>
              <w:rPr>
                <w:rFonts w:hint="eastAsia"/>
                <w:color w:val="auto"/>
                <w:sz w:val="24"/>
                <w:szCs w:val="24"/>
              </w:rPr>
              <w:t>非甲烷总烃</w:t>
            </w:r>
            <w:r>
              <w:rPr>
                <w:rFonts w:hint="eastAsia"/>
                <w:color w:val="auto"/>
                <w:sz w:val="24"/>
                <w:szCs w:val="24"/>
                <w:lang w:eastAsia="zh-CN"/>
              </w:rPr>
              <w:t>依托</w:t>
            </w:r>
            <w:r>
              <w:rPr>
                <w:rFonts w:hint="eastAsia"/>
                <w:color w:val="auto"/>
                <w:sz w:val="24"/>
                <w:szCs w:val="24"/>
              </w:rPr>
              <w:t>4m高的通气管</w:t>
            </w:r>
            <w:r>
              <w:rPr>
                <w:rFonts w:hint="eastAsia"/>
                <w:color w:val="auto"/>
                <w:sz w:val="24"/>
                <w:szCs w:val="24"/>
                <w:lang w:eastAsia="zh-CN"/>
              </w:rPr>
              <w:t>无组织</w:t>
            </w:r>
            <w:r>
              <w:rPr>
                <w:rFonts w:hint="eastAsia"/>
                <w:color w:val="auto"/>
                <w:sz w:val="24"/>
                <w:szCs w:val="24"/>
              </w:rPr>
              <w:t>排放</w:t>
            </w:r>
            <w:r>
              <w:rPr>
                <w:rFonts w:hint="eastAsia"/>
                <w:color w:val="auto"/>
                <w:sz w:val="24"/>
                <w:szCs w:val="24"/>
                <w:lang w:val="en-US" w:eastAsia="zh-CN"/>
              </w:rPr>
              <w:t>可行</w:t>
            </w:r>
            <w:r>
              <w:rPr>
                <w:rFonts w:hint="eastAsia"/>
                <w:color w:val="auto"/>
                <w:sz w:val="24"/>
                <w:szCs w:val="24"/>
              </w:rPr>
              <w:t>。</w:t>
            </w:r>
          </w:p>
          <w:p w14:paraId="4A50C3F7">
            <w:pPr>
              <w:keepNext w:val="0"/>
              <w:keepLines w:val="0"/>
              <w:suppressLineNumbers w:val="0"/>
              <w:spacing w:before="0" w:beforeAutospacing="0" w:after="0" w:afterAutospacing="0" w:line="360" w:lineRule="auto"/>
              <w:ind w:left="0" w:right="0" w:firstLine="470" w:firstLineChars="196"/>
              <w:outlineLvl w:val="0"/>
              <w:rPr>
                <w:rFonts w:hint="eastAsia" w:ascii="宋体" w:hAnsi="宋体" w:eastAsia="宋体" w:cs="宋体"/>
                <w:b w:val="0"/>
                <w:bCs w:val="0"/>
                <w:color w:val="auto"/>
                <w:sz w:val="24"/>
              </w:rPr>
            </w:pPr>
            <w:r>
              <w:rPr>
                <w:rFonts w:hint="eastAsia" w:ascii="宋体" w:hAnsi="宋体" w:eastAsia="宋体" w:cs="宋体"/>
                <w:b w:val="0"/>
                <w:bCs w:val="0"/>
                <w:color w:val="auto"/>
                <w:sz w:val="24"/>
                <w:lang w:bidi="ar"/>
              </w:rPr>
              <w:t>（</w:t>
            </w:r>
            <w:r>
              <w:rPr>
                <w:rFonts w:hint="eastAsia" w:ascii="宋体" w:hAnsi="宋体" w:eastAsia="宋体" w:cs="宋体"/>
                <w:b w:val="0"/>
                <w:bCs w:val="0"/>
                <w:color w:val="auto"/>
                <w:sz w:val="24"/>
                <w:lang w:val="en-US" w:eastAsia="zh-CN" w:bidi="ar"/>
              </w:rPr>
              <w:t>2</w:t>
            </w:r>
            <w:r>
              <w:rPr>
                <w:rFonts w:hint="eastAsia" w:ascii="宋体" w:hAnsi="宋体" w:eastAsia="宋体" w:cs="宋体"/>
                <w:b w:val="0"/>
                <w:bCs w:val="0"/>
                <w:color w:val="auto"/>
                <w:sz w:val="24"/>
                <w:lang w:bidi="ar"/>
              </w:rPr>
              <w:t>）</w:t>
            </w:r>
            <w:r>
              <w:rPr>
                <w:rFonts w:hint="eastAsia" w:ascii="宋体" w:hAnsi="宋体" w:eastAsia="宋体" w:cs="宋体"/>
                <w:b w:val="0"/>
                <w:bCs w:val="0"/>
                <w:color w:val="auto"/>
                <w:sz w:val="24"/>
              </w:rPr>
              <w:t>废气处理措施可行性</w:t>
            </w:r>
          </w:p>
          <w:p w14:paraId="37F62DBE">
            <w:pPr>
              <w:pStyle w:val="79"/>
              <w:keepNext w:val="0"/>
              <w:keepLines w:val="0"/>
              <w:suppressLineNumbers w:val="0"/>
              <w:spacing w:before="0" w:beforeAutospacing="0" w:after="0" w:afterAutospacing="0"/>
              <w:ind w:left="0" w:right="0" w:firstLine="480"/>
              <w:jc w:val="both"/>
              <w:rPr>
                <w:rFonts w:hint="default" w:ascii="Times New Roman" w:hAnsi="Times New Roman" w:eastAsia="宋体" w:cs="Times New Roman"/>
                <w:color w:val="auto"/>
                <w:sz w:val="24"/>
                <w:szCs w:val="24"/>
                <w:lang w:val="en-US" w:eastAsia="zh-CN"/>
              </w:rPr>
            </w:pPr>
            <w:r>
              <w:rPr>
                <w:rFonts w:hint="eastAsia" w:ascii="宋体" w:hAnsi="宋体" w:eastAsia="宋体" w:cs="宋体"/>
                <w:color w:val="auto"/>
                <w:sz w:val="24"/>
                <w:szCs w:val="24"/>
                <w:lang w:bidi="ar"/>
              </w:rPr>
              <w:t>项目</w:t>
            </w:r>
            <w:r>
              <w:rPr>
                <w:rFonts w:hint="eastAsia" w:ascii="宋体" w:hAnsi="宋体" w:eastAsia="宋体" w:cs="宋体"/>
                <w:color w:val="auto"/>
                <w:sz w:val="24"/>
                <w:szCs w:val="24"/>
                <w:lang w:eastAsia="zh-CN" w:bidi="ar"/>
              </w:rPr>
              <w:t>燃油锅炉</w:t>
            </w:r>
            <w:r>
              <w:rPr>
                <w:rFonts w:hint="eastAsia" w:ascii="宋体" w:hAnsi="宋体" w:eastAsia="宋体" w:cs="宋体"/>
                <w:color w:val="auto"/>
                <w:sz w:val="24"/>
                <w:szCs w:val="24"/>
                <w:lang w:val="en-US" w:eastAsia="zh-CN"/>
              </w:rPr>
              <w:t>燃用低硫油，采用低氮燃烧技术</w:t>
            </w:r>
            <w:r>
              <w:rPr>
                <w:rFonts w:hint="eastAsia" w:eastAsia="宋体" w:cs="宋体"/>
                <w:color w:val="auto"/>
                <w:sz w:val="24"/>
                <w:szCs w:val="24"/>
                <w:lang w:val="en-US" w:eastAsia="zh-CN"/>
              </w:rPr>
              <w:t>处理后</w:t>
            </w:r>
            <w:r>
              <w:rPr>
                <w:rFonts w:hint="eastAsia" w:ascii="宋体" w:hAnsi="宋体" w:eastAsia="宋体" w:cs="宋体"/>
                <w:color w:val="auto"/>
                <w:sz w:val="24"/>
                <w:szCs w:val="24"/>
                <w:lang w:val="en-US" w:eastAsia="zh-CN"/>
              </w:rPr>
              <w:t>后经1根15m高排气筒（DA001）排放</w:t>
            </w:r>
            <w:r>
              <w:rPr>
                <w:rFonts w:hint="eastAsia" w:ascii="宋体" w:hAnsi="宋体" w:eastAsia="宋体" w:cs="宋体"/>
                <w:color w:val="auto"/>
                <w:sz w:val="24"/>
                <w:szCs w:val="24"/>
              </w:rPr>
              <w:t>。</w:t>
            </w:r>
            <w:r>
              <w:rPr>
                <w:rFonts w:hint="default" w:ascii="Times New Roman" w:hAnsi="Times New Roman" w:eastAsia="宋体" w:cs="Times New Roman"/>
                <w:color w:val="auto"/>
                <w:sz w:val="24"/>
                <w:szCs w:val="24"/>
                <w:lang w:bidi="ar"/>
              </w:rPr>
              <w:t>颗粒物排放浓度为</w:t>
            </w:r>
            <w:r>
              <w:rPr>
                <w:rFonts w:hint="eastAsia" w:ascii="Times New Roman" w:hAnsi="Times New Roman" w:eastAsia="宋体" w:cs="Times New Roman"/>
                <w:color w:val="auto"/>
                <w:sz w:val="24"/>
                <w:szCs w:val="24"/>
                <w:lang w:val="en-US" w:eastAsia="zh-CN" w:bidi="ar"/>
              </w:rPr>
              <w:t>14.6</w:t>
            </w:r>
            <w:r>
              <w:rPr>
                <w:rFonts w:hint="default" w:ascii="Times New Roman" w:hAnsi="Times New Roman" w:eastAsia="宋体" w:cs="Times New Roman"/>
                <w:color w:val="auto"/>
                <w:sz w:val="24"/>
                <w:szCs w:val="24"/>
                <w:lang w:bidi="ar"/>
              </w:rPr>
              <w:t>mg/m</w:t>
            </w:r>
            <w:r>
              <w:rPr>
                <w:rFonts w:hint="default" w:ascii="Times New Roman" w:hAnsi="Times New Roman" w:eastAsia="宋体" w:cs="Times New Roman"/>
                <w:color w:val="auto"/>
                <w:sz w:val="24"/>
                <w:szCs w:val="24"/>
                <w:vertAlign w:val="superscript"/>
                <w:lang w:bidi="ar"/>
              </w:rPr>
              <w:t>3</w:t>
            </w:r>
            <w:r>
              <w:rPr>
                <w:rFonts w:hint="default" w:ascii="Times New Roman" w:hAnsi="Times New Roman" w:eastAsia="宋体" w:cs="Times New Roman"/>
                <w:color w:val="auto"/>
                <w:sz w:val="24"/>
                <w:szCs w:val="24"/>
                <w:lang w:bidi="ar"/>
              </w:rPr>
              <w:t>，SO</w:t>
            </w:r>
            <w:r>
              <w:rPr>
                <w:rFonts w:hint="default" w:ascii="Times New Roman" w:hAnsi="Times New Roman" w:eastAsia="宋体" w:cs="Times New Roman"/>
                <w:color w:val="auto"/>
                <w:sz w:val="24"/>
                <w:szCs w:val="24"/>
                <w:vertAlign w:val="subscript"/>
                <w:lang w:bidi="ar"/>
              </w:rPr>
              <w:t>2</w:t>
            </w:r>
            <w:r>
              <w:rPr>
                <w:rFonts w:hint="default" w:ascii="Times New Roman" w:hAnsi="Times New Roman" w:eastAsia="宋体" w:cs="Times New Roman"/>
                <w:color w:val="auto"/>
                <w:sz w:val="24"/>
                <w:szCs w:val="24"/>
                <w:lang w:bidi="ar"/>
              </w:rPr>
              <w:t>排放浓度为</w:t>
            </w:r>
            <w:r>
              <w:rPr>
                <w:rFonts w:hint="default" w:ascii="Times New Roman" w:hAnsi="Times New Roman" w:eastAsia="宋体" w:cs="Times New Roman"/>
                <w:color w:val="auto"/>
                <w:sz w:val="24"/>
                <w:szCs w:val="24"/>
                <w:lang w:val="en-US" w:eastAsia="zh-CN" w:bidi="ar"/>
              </w:rPr>
              <w:t>1.2</w:t>
            </w:r>
            <w:r>
              <w:rPr>
                <w:rFonts w:hint="default" w:ascii="Times New Roman" w:hAnsi="Times New Roman" w:eastAsia="宋体" w:cs="Times New Roman"/>
                <w:color w:val="auto"/>
                <w:sz w:val="24"/>
                <w:szCs w:val="24"/>
                <w:lang w:bidi="ar"/>
              </w:rPr>
              <w:t>mg/m</w:t>
            </w:r>
            <w:r>
              <w:rPr>
                <w:rFonts w:hint="default" w:ascii="Times New Roman" w:hAnsi="Times New Roman" w:eastAsia="宋体" w:cs="Times New Roman"/>
                <w:color w:val="auto"/>
                <w:sz w:val="24"/>
                <w:szCs w:val="24"/>
                <w:vertAlign w:val="superscript"/>
                <w:lang w:bidi="ar"/>
              </w:rPr>
              <w:t>3</w:t>
            </w:r>
            <w:r>
              <w:rPr>
                <w:rFonts w:hint="default" w:ascii="Times New Roman" w:hAnsi="Times New Roman" w:eastAsia="宋体" w:cs="Times New Roman"/>
                <w:color w:val="auto"/>
                <w:sz w:val="24"/>
                <w:szCs w:val="24"/>
                <w:lang w:bidi="ar"/>
              </w:rPr>
              <w:t>，NO</w:t>
            </w:r>
            <w:r>
              <w:rPr>
                <w:rFonts w:hint="default" w:ascii="Times New Roman" w:hAnsi="Times New Roman" w:eastAsia="宋体" w:cs="Times New Roman"/>
                <w:color w:val="auto"/>
                <w:sz w:val="24"/>
                <w:szCs w:val="24"/>
                <w:vertAlign w:val="subscript"/>
                <w:lang w:bidi="ar"/>
              </w:rPr>
              <w:t>x</w:t>
            </w:r>
            <w:r>
              <w:rPr>
                <w:rFonts w:hint="default" w:ascii="Times New Roman" w:hAnsi="Times New Roman" w:eastAsia="宋体" w:cs="Times New Roman"/>
                <w:color w:val="auto"/>
                <w:sz w:val="24"/>
                <w:szCs w:val="24"/>
                <w:lang w:bidi="ar"/>
              </w:rPr>
              <w:t>排放浓度为</w:t>
            </w:r>
            <w:r>
              <w:rPr>
                <w:rFonts w:hint="eastAsia" w:ascii="Times New Roman" w:hAnsi="Times New Roman" w:eastAsia="宋体" w:cs="Times New Roman"/>
                <w:color w:val="auto"/>
                <w:sz w:val="24"/>
                <w:szCs w:val="24"/>
                <w:lang w:val="en-US" w:eastAsia="zh-CN" w:bidi="ar"/>
              </w:rPr>
              <w:t>119.1</w:t>
            </w:r>
            <w:r>
              <w:rPr>
                <w:rFonts w:hint="default" w:ascii="Times New Roman" w:hAnsi="Times New Roman" w:eastAsia="宋体" w:cs="Times New Roman"/>
                <w:color w:val="auto"/>
                <w:sz w:val="24"/>
                <w:szCs w:val="24"/>
                <w:lang w:bidi="ar"/>
              </w:rPr>
              <w:t>mg/m</w:t>
            </w:r>
            <w:r>
              <w:rPr>
                <w:rFonts w:hint="default" w:ascii="Times New Roman" w:hAnsi="Times New Roman" w:eastAsia="宋体" w:cs="Times New Roman"/>
                <w:color w:val="auto"/>
                <w:sz w:val="24"/>
                <w:szCs w:val="24"/>
                <w:vertAlign w:val="superscript"/>
                <w:lang w:bidi="ar"/>
              </w:rPr>
              <w:t>3</w:t>
            </w:r>
            <w:r>
              <w:rPr>
                <w:rFonts w:hint="default" w:ascii="Times New Roman" w:hAnsi="Times New Roman" w:eastAsia="宋体" w:cs="Times New Roman"/>
                <w:color w:val="auto"/>
                <w:sz w:val="24"/>
                <w:szCs w:val="24"/>
                <w:vertAlign w:val="baseline"/>
                <w:lang w:eastAsia="zh-CN" w:bidi="ar"/>
              </w:rPr>
              <w:t>，均满足</w:t>
            </w:r>
            <w:r>
              <w:rPr>
                <w:rFonts w:hint="default" w:ascii="Times New Roman" w:hAnsi="Times New Roman" w:eastAsia="宋体" w:cs="Times New Roman"/>
                <w:color w:val="auto"/>
                <w:sz w:val="24"/>
                <w:szCs w:val="24"/>
              </w:rPr>
              <w:t>《锅炉大气污染物排放标准》（GB13271-2014）表2新建燃</w:t>
            </w:r>
            <w:r>
              <w:rPr>
                <w:rFonts w:hint="default" w:ascii="Times New Roman" w:hAnsi="Times New Roman" w:eastAsia="宋体" w:cs="Times New Roman"/>
                <w:color w:val="auto"/>
                <w:sz w:val="24"/>
                <w:szCs w:val="24"/>
                <w:lang w:eastAsia="zh-CN"/>
              </w:rPr>
              <w:t>油</w:t>
            </w:r>
            <w:r>
              <w:rPr>
                <w:rFonts w:hint="default" w:ascii="Times New Roman" w:hAnsi="Times New Roman" w:eastAsia="宋体" w:cs="Times New Roman"/>
                <w:color w:val="auto"/>
                <w:sz w:val="24"/>
                <w:szCs w:val="24"/>
              </w:rPr>
              <w:t>锅炉大气污染物排放浓度限值。</w:t>
            </w:r>
            <w:r>
              <w:rPr>
                <w:rFonts w:hint="eastAsia" w:ascii="Times New Roman" w:hAnsi="Times New Roman" w:eastAsia="宋体" w:cs="Times New Roman"/>
                <w:color w:val="auto"/>
                <w:sz w:val="24"/>
                <w:szCs w:val="24"/>
                <w:lang w:val="en-US" w:eastAsia="zh-CN"/>
              </w:rPr>
              <w:t>颗粒物不上除尘措施即可达标排放，因此本项目不上颗粒物除尘设施。</w:t>
            </w:r>
          </w:p>
          <w:p w14:paraId="6D6BA3F9">
            <w:pPr>
              <w:pStyle w:val="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auto"/>
                <w:vertAlign w:val="baseline"/>
                <w:lang w:val="en-US" w:eastAsia="zh-CN"/>
              </w:rPr>
            </w:pPr>
            <w:r>
              <w:rPr>
                <w:rFonts w:hint="eastAsia" w:eastAsia="宋体" w:cs="宋体"/>
                <w:color w:val="auto"/>
                <w:vertAlign w:val="baseline"/>
                <w:lang w:val="en-US" w:eastAsia="zh-CN"/>
              </w:rPr>
              <w:t>技改项目</w:t>
            </w:r>
            <w:r>
              <w:rPr>
                <w:rFonts w:hint="eastAsia" w:ascii="宋体" w:hAnsi="宋体" w:eastAsia="宋体" w:cs="宋体"/>
                <w:color w:val="auto"/>
                <w:vertAlign w:val="baseline"/>
                <w:lang w:val="en-US" w:eastAsia="zh-CN"/>
              </w:rPr>
              <w:t>废气处理措施与《排污许可证申请与核发技术规范 锅炉》（HJ953—2018）规定的可行性技术对照分析如下：</w:t>
            </w:r>
          </w:p>
          <w:p w14:paraId="5EBB07E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ind w:left="0" w:right="0"/>
              <w:jc w:val="center"/>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表 4-</w:t>
            </w:r>
            <w:r>
              <w:rPr>
                <w:rFonts w:hint="eastAsia" w:eastAsia="宋体" w:cs="宋体"/>
                <w:b/>
                <w:color w:val="auto"/>
                <w:sz w:val="24"/>
                <w:szCs w:val="24"/>
                <w:lang w:val="en-US" w:eastAsia="zh-CN"/>
              </w:rPr>
              <w:t>8</w:t>
            </w:r>
            <w:r>
              <w:rPr>
                <w:rFonts w:hint="eastAsia" w:ascii="宋体" w:hAnsi="宋体" w:eastAsia="宋体" w:cs="宋体"/>
                <w:b/>
                <w:color w:val="auto"/>
                <w:sz w:val="24"/>
                <w:szCs w:val="24"/>
                <w:lang w:val="en-US" w:eastAsia="zh-CN"/>
              </w:rPr>
              <w:t xml:space="preserve"> </w:t>
            </w:r>
            <w:r>
              <w:rPr>
                <w:rFonts w:hint="eastAsia" w:ascii="宋体" w:hAnsi="宋体" w:eastAsia="宋体" w:cs="宋体"/>
                <w:b/>
                <w:color w:val="auto"/>
                <w:sz w:val="24"/>
                <w:szCs w:val="24"/>
              </w:rPr>
              <w:t>废气处理措施符合性分析</w:t>
            </w:r>
          </w:p>
          <w:tbl>
            <w:tblPr>
              <w:tblStyle w:val="26"/>
              <w:tblW w:w="83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90"/>
              <w:gridCol w:w="3191"/>
              <w:gridCol w:w="3372"/>
              <w:gridCol w:w="820"/>
            </w:tblGrid>
            <w:tr w14:paraId="3A5D9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90" w:type="dxa"/>
                  <w:vAlign w:val="center"/>
                </w:tcPr>
                <w:p w14:paraId="76328E5D">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b/>
                      <w:color w:val="auto"/>
                      <w:sz w:val="21"/>
                    </w:rPr>
                  </w:pPr>
                  <w:r>
                    <w:rPr>
                      <w:rFonts w:hint="eastAsia" w:ascii="宋体" w:hAnsi="宋体" w:eastAsia="宋体" w:cs="宋体"/>
                      <w:b/>
                      <w:color w:val="auto"/>
                      <w:sz w:val="21"/>
                    </w:rPr>
                    <w:t>污染物</w:t>
                  </w:r>
                </w:p>
              </w:tc>
              <w:tc>
                <w:tcPr>
                  <w:tcW w:w="3191" w:type="dxa"/>
                  <w:vAlign w:val="center"/>
                </w:tcPr>
                <w:p w14:paraId="4229DEE7">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b/>
                      <w:color w:val="auto"/>
                      <w:sz w:val="21"/>
                    </w:rPr>
                  </w:pPr>
                  <w:r>
                    <w:rPr>
                      <w:rFonts w:hint="eastAsia" w:ascii="宋体" w:hAnsi="宋体" w:eastAsia="宋体" w:cs="宋体"/>
                      <w:b/>
                      <w:color w:val="auto"/>
                      <w:sz w:val="21"/>
                    </w:rPr>
                    <w:t>规范要求</w:t>
                  </w:r>
                </w:p>
              </w:tc>
              <w:tc>
                <w:tcPr>
                  <w:tcW w:w="3372" w:type="dxa"/>
                  <w:vAlign w:val="center"/>
                </w:tcPr>
                <w:p w14:paraId="754E9F66">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b/>
                      <w:color w:val="auto"/>
                      <w:sz w:val="21"/>
                      <w:lang w:eastAsia="zh-CN"/>
                    </w:rPr>
                  </w:pPr>
                  <w:r>
                    <w:rPr>
                      <w:rFonts w:hint="eastAsia" w:ascii="宋体" w:hAnsi="宋体" w:eastAsia="宋体" w:cs="宋体"/>
                      <w:b/>
                      <w:color w:val="auto"/>
                      <w:sz w:val="21"/>
                    </w:rPr>
                    <w:t>本项目</w:t>
                  </w:r>
                  <w:r>
                    <w:rPr>
                      <w:rFonts w:hint="eastAsia" w:ascii="宋体" w:hAnsi="宋体" w:eastAsia="宋体" w:cs="宋体"/>
                      <w:b/>
                      <w:color w:val="auto"/>
                      <w:sz w:val="21"/>
                      <w:lang w:eastAsia="zh-CN"/>
                    </w:rPr>
                    <w:t>情况</w:t>
                  </w:r>
                </w:p>
              </w:tc>
              <w:tc>
                <w:tcPr>
                  <w:tcW w:w="820" w:type="dxa"/>
                  <w:vAlign w:val="center"/>
                </w:tcPr>
                <w:p w14:paraId="25463288">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b/>
                      <w:color w:val="auto"/>
                      <w:sz w:val="21"/>
                    </w:rPr>
                  </w:pPr>
                  <w:r>
                    <w:rPr>
                      <w:rFonts w:hint="eastAsia" w:ascii="宋体" w:hAnsi="宋体" w:eastAsia="宋体" w:cs="宋体"/>
                      <w:b/>
                      <w:color w:val="auto"/>
                      <w:sz w:val="21"/>
                    </w:rPr>
                    <w:t>符合</w:t>
                  </w:r>
                  <w:r>
                    <w:rPr>
                      <w:rFonts w:hint="eastAsia" w:ascii="宋体" w:hAnsi="宋体" w:eastAsia="宋体" w:cs="宋体"/>
                      <w:b/>
                      <w:color w:val="auto"/>
                      <w:w w:val="99"/>
                      <w:sz w:val="21"/>
                    </w:rPr>
                    <w:t>性</w:t>
                  </w:r>
                </w:p>
              </w:tc>
            </w:tr>
            <w:tr w14:paraId="4F53E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90" w:type="dxa"/>
                  <w:vAlign w:val="center"/>
                </w:tcPr>
                <w:p w14:paraId="75B7999E">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b w:val="0"/>
                      <w:bCs/>
                      <w:color w:val="auto"/>
                      <w:sz w:val="21"/>
                      <w:lang w:val="en-US" w:eastAsia="zh-CN"/>
                    </w:rPr>
                  </w:pPr>
                  <w:r>
                    <w:rPr>
                      <w:rFonts w:hint="eastAsia" w:eastAsia="宋体" w:cs="宋体"/>
                      <w:b w:val="0"/>
                      <w:bCs/>
                      <w:color w:val="auto"/>
                      <w:sz w:val="21"/>
                      <w:lang w:val="en-US" w:eastAsia="zh-CN"/>
                    </w:rPr>
                    <w:t>颗粒物</w:t>
                  </w:r>
                </w:p>
              </w:tc>
              <w:tc>
                <w:tcPr>
                  <w:tcW w:w="3191" w:type="dxa"/>
                  <w:vAlign w:val="center"/>
                </w:tcPr>
                <w:p w14:paraId="5FA4E729">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default" w:ascii="宋体" w:hAnsi="宋体" w:eastAsia="宋体" w:cs="宋体"/>
                      <w:b w:val="0"/>
                      <w:bCs/>
                      <w:color w:val="auto"/>
                      <w:sz w:val="21"/>
                      <w:lang w:val="en-US" w:eastAsia="zh-CN"/>
                    </w:rPr>
                  </w:pPr>
                  <w:r>
                    <w:rPr>
                      <w:rFonts w:hint="eastAsia" w:eastAsia="宋体" w:cs="宋体"/>
                      <w:b w:val="0"/>
                      <w:bCs/>
                      <w:color w:val="auto"/>
                      <w:sz w:val="21"/>
                      <w:lang w:val="en-US" w:eastAsia="zh-CN"/>
                    </w:rPr>
                    <w:t>袋式除尘技术</w:t>
                  </w:r>
                </w:p>
              </w:tc>
              <w:tc>
                <w:tcPr>
                  <w:tcW w:w="3372" w:type="dxa"/>
                  <w:vAlign w:val="center"/>
                </w:tcPr>
                <w:p w14:paraId="20312C2B">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default" w:ascii="宋体" w:hAnsi="宋体" w:eastAsia="宋体" w:cs="宋体"/>
                      <w:b/>
                      <w:color w:val="auto"/>
                      <w:sz w:val="21"/>
                      <w:lang w:val="en-US"/>
                    </w:rPr>
                  </w:pPr>
                  <w:r>
                    <w:rPr>
                      <w:rFonts w:hint="eastAsia" w:ascii="宋体" w:hAnsi="宋体" w:eastAsia="宋体" w:cs="宋体"/>
                      <w:b w:val="0"/>
                      <w:bCs/>
                      <w:color w:val="auto"/>
                      <w:szCs w:val="21"/>
                      <w:lang w:val="en-US" w:eastAsia="zh-CN"/>
                    </w:rPr>
                    <w:t>本项目使用国V标准的0#柴油和-35#柴油（气温较低时），属于轻油，经计算，颗粒物不需处理即可达标，因此不采取除尘措施</w:t>
                  </w:r>
                </w:p>
              </w:tc>
              <w:tc>
                <w:tcPr>
                  <w:tcW w:w="820" w:type="dxa"/>
                  <w:vAlign w:val="center"/>
                </w:tcPr>
                <w:p w14:paraId="2EC5F7E0">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b/>
                      <w:color w:val="auto"/>
                      <w:sz w:val="21"/>
                      <w:lang w:val="en-US" w:eastAsia="zh-CN"/>
                    </w:rPr>
                  </w:pPr>
                  <w:r>
                    <w:rPr>
                      <w:rFonts w:hint="eastAsia" w:eastAsia="宋体" w:cs="宋体"/>
                      <w:b w:val="0"/>
                      <w:bCs/>
                      <w:color w:val="auto"/>
                      <w:sz w:val="21"/>
                      <w:lang w:val="en-US" w:eastAsia="zh-CN"/>
                    </w:rPr>
                    <w:t>符合</w:t>
                  </w:r>
                </w:p>
              </w:tc>
            </w:tr>
            <w:tr w14:paraId="51FEE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90" w:type="dxa"/>
                  <w:vAlign w:val="center"/>
                </w:tcPr>
                <w:p w14:paraId="4C2C821A">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rPr>
                  </w:pPr>
                  <w:r>
                    <w:rPr>
                      <w:rFonts w:hint="eastAsia" w:ascii="宋体" w:hAnsi="宋体" w:eastAsia="宋体" w:cs="宋体"/>
                      <w:color w:val="auto"/>
                      <w:sz w:val="21"/>
                      <w:lang w:eastAsia="zh-CN"/>
                    </w:rPr>
                    <w:t>二氧化硫</w:t>
                  </w:r>
                </w:p>
              </w:tc>
              <w:tc>
                <w:tcPr>
                  <w:tcW w:w="3191" w:type="dxa"/>
                  <w:vAlign w:val="center"/>
                </w:tcPr>
                <w:p w14:paraId="3CA4FB61">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lang w:eastAsia="zh-CN"/>
                    </w:rPr>
                  </w:pPr>
                  <w:r>
                    <w:rPr>
                      <w:rFonts w:hint="eastAsia" w:ascii="宋体" w:hAnsi="宋体" w:eastAsia="宋体" w:cs="宋体"/>
                      <w:color w:val="auto"/>
                      <w:sz w:val="21"/>
                      <w:lang w:eastAsia="zh-CN"/>
                    </w:rPr>
                    <w:t>燃用低硫油、湿法脱硫技术</w:t>
                  </w:r>
                </w:p>
              </w:tc>
              <w:tc>
                <w:tcPr>
                  <w:tcW w:w="3372" w:type="dxa"/>
                  <w:vAlign w:val="center"/>
                </w:tcPr>
                <w:p w14:paraId="5E4F1CFC">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rPr>
                  </w:pPr>
                  <w:r>
                    <w:rPr>
                      <w:rFonts w:hint="eastAsia" w:ascii="宋体" w:hAnsi="宋体" w:eastAsia="宋体" w:cs="宋体"/>
                      <w:b w:val="0"/>
                      <w:bCs/>
                      <w:color w:val="auto"/>
                      <w:szCs w:val="21"/>
                      <w:lang w:val="en-US" w:eastAsia="zh-CN"/>
                    </w:rPr>
                    <w:t>本项目使用国V标准的0#柴油和-35#柴油（气温较低时），属于轻油，其硫含量（质量分数）不大于0.001%</w:t>
                  </w:r>
                </w:p>
              </w:tc>
              <w:tc>
                <w:tcPr>
                  <w:tcW w:w="820" w:type="dxa"/>
                  <w:vAlign w:val="center"/>
                </w:tcPr>
                <w:p w14:paraId="17E75F25">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rPr>
                  </w:pPr>
                  <w:r>
                    <w:rPr>
                      <w:rFonts w:hint="eastAsia" w:ascii="宋体" w:hAnsi="宋体" w:eastAsia="宋体" w:cs="宋体"/>
                      <w:color w:val="auto"/>
                      <w:sz w:val="21"/>
                    </w:rPr>
                    <w:t>符合</w:t>
                  </w:r>
                </w:p>
              </w:tc>
            </w:tr>
            <w:tr w14:paraId="2131B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990" w:type="dxa"/>
                  <w:vAlign w:val="center"/>
                </w:tcPr>
                <w:p w14:paraId="68A557D3">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lang w:eastAsia="zh-CN"/>
                    </w:rPr>
                  </w:pPr>
                  <w:r>
                    <w:rPr>
                      <w:rFonts w:hint="eastAsia" w:ascii="宋体" w:hAnsi="宋体" w:eastAsia="宋体" w:cs="宋体"/>
                      <w:color w:val="auto"/>
                      <w:sz w:val="21"/>
                      <w:lang w:eastAsia="zh-CN"/>
                    </w:rPr>
                    <w:t>氮氧化物</w:t>
                  </w:r>
                </w:p>
              </w:tc>
              <w:tc>
                <w:tcPr>
                  <w:tcW w:w="3191" w:type="dxa"/>
                  <w:vAlign w:val="center"/>
                </w:tcPr>
                <w:p w14:paraId="57A1C24C">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rPr>
                  </w:pPr>
                  <w:r>
                    <w:rPr>
                      <w:rFonts w:hint="eastAsia" w:ascii="宋体" w:hAnsi="宋体" w:eastAsia="宋体" w:cs="宋体"/>
                      <w:color w:val="auto"/>
                      <w:sz w:val="21"/>
                      <w:lang w:eastAsia="zh-CN"/>
                    </w:rPr>
                    <w:t>低氮燃烧技术、低氮燃烧</w:t>
                  </w:r>
                  <w:r>
                    <w:rPr>
                      <w:rFonts w:hint="eastAsia" w:ascii="宋体" w:hAnsi="宋体" w:eastAsia="宋体" w:cs="宋体"/>
                      <w:color w:val="auto"/>
                      <w:sz w:val="21"/>
                      <w:lang w:val="en-US" w:eastAsia="zh-CN"/>
                    </w:rPr>
                    <w:t>+SCR脱硝技术</w:t>
                  </w:r>
                </w:p>
              </w:tc>
              <w:tc>
                <w:tcPr>
                  <w:tcW w:w="3372" w:type="dxa"/>
                  <w:vAlign w:val="center"/>
                </w:tcPr>
                <w:p w14:paraId="2C3DDD50">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lang w:eastAsia="zh-CN"/>
                    </w:rPr>
                  </w:pPr>
                  <w:r>
                    <w:rPr>
                      <w:rFonts w:hint="eastAsia" w:ascii="宋体" w:hAnsi="宋体" w:eastAsia="宋体" w:cs="宋体"/>
                      <w:color w:val="auto"/>
                      <w:sz w:val="21"/>
                      <w:lang w:eastAsia="zh-CN"/>
                    </w:rPr>
                    <w:t>本项目锅炉采用低氮燃烧技术</w:t>
                  </w:r>
                </w:p>
              </w:tc>
              <w:tc>
                <w:tcPr>
                  <w:tcW w:w="820" w:type="dxa"/>
                  <w:vAlign w:val="center"/>
                </w:tcPr>
                <w:p w14:paraId="1EADA4CE">
                  <w:pPr>
                    <w:pStyle w:val="4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exact"/>
                    <w:ind w:left="0" w:right="0" w:firstLine="0"/>
                    <w:jc w:val="center"/>
                    <w:textAlignment w:val="auto"/>
                    <w:rPr>
                      <w:rFonts w:hint="eastAsia" w:ascii="宋体" w:hAnsi="宋体" w:eastAsia="宋体" w:cs="宋体"/>
                      <w:color w:val="auto"/>
                      <w:sz w:val="21"/>
                      <w:lang w:eastAsia="zh-CN"/>
                    </w:rPr>
                  </w:pPr>
                  <w:r>
                    <w:rPr>
                      <w:rFonts w:hint="eastAsia" w:ascii="宋体" w:hAnsi="宋体" w:eastAsia="宋体" w:cs="宋体"/>
                      <w:color w:val="auto"/>
                      <w:sz w:val="21"/>
                      <w:lang w:eastAsia="zh-CN"/>
                    </w:rPr>
                    <w:t>符合</w:t>
                  </w:r>
                </w:p>
              </w:tc>
            </w:tr>
          </w:tbl>
          <w:p w14:paraId="4D9D15A0">
            <w:pPr>
              <w:pStyle w:val="4"/>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auto"/>
                <w:vertAlign w:val="baseline"/>
                <w:lang w:val="en-US" w:eastAsia="zh-CN"/>
              </w:rPr>
            </w:pPr>
            <w:r>
              <w:rPr>
                <w:rFonts w:hint="eastAsia" w:ascii="宋体" w:hAnsi="宋体" w:eastAsia="宋体" w:cs="宋体"/>
                <w:color w:val="auto"/>
                <w:vertAlign w:val="baseline"/>
                <w:lang w:val="en-US" w:eastAsia="zh-CN"/>
              </w:rPr>
              <w:t>根据上表分析，本项目燃油锅炉采取的废气处理措施属于《排污许可证申请与核发技术规范  锅炉》（HJ953—2018）表7中所列可行技术。</w:t>
            </w:r>
          </w:p>
          <w:p w14:paraId="19C21947">
            <w:pPr>
              <w:pStyle w:val="79"/>
              <w:keepNext w:val="0"/>
              <w:keepLines w:val="0"/>
              <w:suppressLineNumbers w:val="0"/>
              <w:spacing w:before="0" w:beforeAutospacing="0" w:after="0" w:afterAutospacing="0"/>
              <w:ind w:left="0" w:right="0" w:firstLine="482"/>
              <w:jc w:val="both"/>
              <w:rPr>
                <w:rFonts w:hint="eastAsia" w:ascii="宋体" w:hAnsi="宋体" w:eastAsia="宋体" w:cs="宋体"/>
                <w:b w:val="0"/>
                <w:bCs/>
                <w:color w:val="auto"/>
                <w:kern w:val="0"/>
                <w:sz w:val="24"/>
              </w:rPr>
            </w:pPr>
            <w:r>
              <w:rPr>
                <w:rFonts w:hint="eastAsia" w:ascii="宋体" w:hAnsi="宋体" w:eastAsia="宋体" w:cs="宋体"/>
                <w:b w:val="0"/>
                <w:bCs/>
                <w:color w:val="auto"/>
                <w:kern w:val="0"/>
                <w:sz w:val="24"/>
              </w:rPr>
              <w:t>（</w:t>
            </w:r>
            <w:r>
              <w:rPr>
                <w:rFonts w:hint="eastAsia" w:ascii="宋体" w:hAnsi="宋体" w:eastAsia="宋体" w:cs="宋体"/>
                <w:b w:val="0"/>
                <w:bCs/>
                <w:color w:val="auto"/>
                <w:kern w:val="0"/>
                <w:sz w:val="24"/>
                <w:lang w:val="en-US" w:eastAsia="zh-CN"/>
              </w:rPr>
              <w:t>3</w:t>
            </w:r>
            <w:r>
              <w:rPr>
                <w:rFonts w:hint="eastAsia" w:ascii="宋体" w:hAnsi="宋体" w:eastAsia="宋体" w:cs="宋体"/>
                <w:b w:val="0"/>
                <w:bCs/>
                <w:color w:val="auto"/>
                <w:kern w:val="0"/>
                <w:sz w:val="24"/>
              </w:rPr>
              <w:t>）废气排放口基本信息</w:t>
            </w:r>
          </w:p>
          <w:p w14:paraId="0C131B95">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eastAsia="zh-CN"/>
              </w:rPr>
              <w:t>技改项目</w:t>
            </w:r>
            <w:r>
              <w:rPr>
                <w:rFonts w:hint="eastAsia" w:ascii="宋体" w:hAnsi="宋体" w:eastAsia="宋体" w:cs="宋体"/>
                <w:color w:val="auto"/>
                <w:sz w:val="24"/>
              </w:rPr>
              <w:t>共设1个有组织废气排放口，基本情况见下表：</w:t>
            </w:r>
          </w:p>
          <w:p w14:paraId="312CCAF0">
            <w:pPr>
              <w:pStyle w:val="79"/>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kern w:val="0"/>
                <w:sz w:val="24"/>
              </w:rPr>
            </w:pPr>
            <w:r>
              <w:rPr>
                <w:rFonts w:hint="default" w:ascii="Times New Roman" w:hAnsi="Times New Roman" w:eastAsia="宋体" w:cs="Times New Roman"/>
                <w:b/>
                <w:color w:val="auto"/>
                <w:kern w:val="0"/>
                <w:sz w:val="24"/>
              </w:rPr>
              <w:t>表</w:t>
            </w:r>
            <w:r>
              <w:rPr>
                <w:rFonts w:hint="default" w:ascii="Times New Roman" w:hAnsi="Times New Roman" w:eastAsia="宋体" w:cs="Times New Roman"/>
                <w:b/>
                <w:color w:val="auto"/>
                <w:kern w:val="0"/>
                <w:sz w:val="24"/>
                <w:lang w:val="en-US" w:eastAsia="zh-CN"/>
              </w:rPr>
              <w:t>4-9</w:t>
            </w:r>
            <w:r>
              <w:rPr>
                <w:rFonts w:hint="default" w:ascii="Times New Roman" w:hAnsi="Times New Roman" w:eastAsia="宋体" w:cs="Times New Roman"/>
                <w:b/>
                <w:color w:val="auto"/>
                <w:kern w:val="0"/>
                <w:sz w:val="24"/>
              </w:rPr>
              <w:t xml:space="preserve"> 废气排放口基本情况一览表</w:t>
            </w:r>
          </w:p>
          <w:tbl>
            <w:tblPr>
              <w:tblStyle w:val="26"/>
              <w:tblW w:w="83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74"/>
              <w:gridCol w:w="327"/>
              <w:gridCol w:w="759"/>
              <w:gridCol w:w="907"/>
              <w:gridCol w:w="640"/>
              <w:gridCol w:w="392"/>
              <w:gridCol w:w="436"/>
              <w:gridCol w:w="332"/>
              <w:gridCol w:w="458"/>
              <w:gridCol w:w="1804"/>
              <w:gridCol w:w="536"/>
              <w:gridCol w:w="1059"/>
              <w:gridCol w:w="347"/>
            </w:tblGrid>
            <w:tr w14:paraId="6E848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374" w:type="dxa"/>
                  <w:vMerge w:val="restart"/>
                  <w:tcBorders>
                    <w:tl2br w:val="nil"/>
                    <w:tr2bl w:val="nil"/>
                  </w:tcBorders>
                  <w:vAlign w:val="center"/>
                </w:tcPr>
                <w:p w14:paraId="37BAE4C6">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编号</w:t>
                  </w:r>
                </w:p>
              </w:tc>
              <w:tc>
                <w:tcPr>
                  <w:tcW w:w="327" w:type="dxa"/>
                  <w:vMerge w:val="restart"/>
                  <w:tcBorders>
                    <w:tl2br w:val="nil"/>
                    <w:tr2bl w:val="nil"/>
                  </w:tcBorders>
                  <w:vAlign w:val="center"/>
                </w:tcPr>
                <w:p w14:paraId="5E13A4C2">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名称</w:t>
                  </w:r>
                </w:p>
              </w:tc>
              <w:tc>
                <w:tcPr>
                  <w:tcW w:w="1666" w:type="dxa"/>
                  <w:gridSpan w:val="2"/>
                  <w:tcBorders>
                    <w:tl2br w:val="nil"/>
                    <w:tr2bl w:val="nil"/>
                  </w:tcBorders>
                  <w:vAlign w:val="center"/>
                </w:tcPr>
                <w:p w14:paraId="74BD36BE">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中心坐标</w:t>
                  </w:r>
                </w:p>
                <w:p w14:paraId="3D64DEFD">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p>
              </w:tc>
              <w:tc>
                <w:tcPr>
                  <w:tcW w:w="640" w:type="dxa"/>
                  <w:vMerge w:val="restart"/>
                  <w:tcBorders>
                    <w:tl2br w:val="nil"/>
                    <w:tr2bl w:val="nil"/>
                  </w:tcBorders>
                  <w:vAlign w:val="center"/>
                </w:tcPr>
                <w:p w14:paraId="4CB78DFE">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海拔</w:t>
                  </w:r>
                </w:p>
                <w:p w14:paraId="7AE4577E">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高度</w:t>
                  </w:r>
                </w:p>
                <w:p w14:paraId="1C770D7D">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p>
              </w:tc>
              <w:tc>
                <w:tcPr>
                  <w:tcW w:w="392" w:type="dxa"/>
                  <w:vMerge w:val="restart"/>
                  <w:tcBorders>
                    <w:tl2br w:val="nil"/>
                    <w:tr2bl w:val="nil"/>
                  </w:tcBorders>
                  <w:vAlign w:val="center"/>
                </w:tcPr>
                <w:p w14:paraId="6A0A2F54">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高度</w:t>
                  </w:r>
                </w:p>
                <w:p w14:paraId="777E668B">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p>
              </w:tc>
              <w:tc>
                <w:tcPr>
                  <w:tcW w:w="436" w:type="dxa"/>
                  <w:vMerge w:val="restart"/>
                  <w:tcBorders>
                    <w:tl2br w:val="nil"/>
                    <w:tr2bl w:val="nil"/>
                  </w:tcBorders>
                  <w:vAlign w:val="center"/>
                </w:tcPr>
                <w:p w14:paraId="50053A93">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内径</w:t>
                  </w:r>
                </w:p>
                <w:p w14:paraId="268C8F90">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/m</w:t>
                  </w:r>
                </w:p>
              </w:tc>
              <w:tc>
                <w:tcPr>
                  <w:tcW w:w="332" w:type="dxa"/>
                  <w:vMerge w:val="restart"/>
                  <w:tcBorders>
                    <w:tl2br w:val="nil"/>
                    <w:tr2bl w:val="nil"/>
                  </w:tcBorders>
                  <w:vAlign w:val="center"/>
                </w:tcPr>
                <w:p w14:paraId="3686FAF7">
                  <w:pPr>
                    <w:keepNext w:val="0"/>
                    <w:keepLines w:val="0"/>
                    <w:suppressLineNumbers w:val="0"/>
                    <w:snapToGrid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温度</w:t>
                  </w:r>
                </w:p>
                <w:p w14:paraId="0ABD0903">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w:t>
                  </w:r>
                </w:p>
              </w:tc>
              <w:tc>
                <w:tcPr>
                  <w:tcW w:w="458" w:type="dxa"/>
                  <w:vMerge w:val="restart"/>
                  <w:tcBorders>
                    <w:tl2br w:val="nil"/>
                    <w:tr2bl w:val="nil"/>
                  </w:tcBorders>
                  <w:vAlign w:val="center"/>
                </w:tcPr>
                <w:p w14:paraId="3BED524A">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类型</w:t>
                  </w:r>
                </w:p>
              </w:tc>
              <w:tc>
                <w:tcPr>
                  <w:tcW w:w="1804" w:type="dxa"/>
                  <w:vMerge w:val="restart"/>
                  <w:tcBorders>
                    <w:tl2br w:val="nil"/>
                    <w:tr2bl w:val="nil"/>
                  </w:tcBorders>
                  <w:vAlign w:val="center"/>
                </w:tcPr>
                <w:p w14:paraId="2E161255">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排放标准</w:t>
                  </w:r>
                </w:p>
                <w:p w14:paraId="0CBB47A4">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1942" w:type="dxa"/>
                  <w:gridSpan w:val="3"/>
                  <w:tcBorders>
                    <w:tl2br w:val="nil"/>
                    <w:tr2bl w:val="nil"/>
                  </w:tcBorders>
                  <w:vAlign w:val="center"/>
                </w:tcPr>
                <w:p w14:paraId="196CAEC4">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监测要求</w:t>
                  </w:r>
                </w:p>
              </w:tc>
            </w:tr>
            <w:tr w14:paraId="357AD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374" w:type="dxa"/>
                  <w:vMerge w:val="continue"/>
                  <w:tcBorders>
                    <w:tl2br w:val="nil"/>
                    <w:tr2bl w:val="nil"/>
                  </w:tcBorders>
                  <w:vAlign w:val="center"/>
                </w:tcPr>
                <w:p w14:paraId="3FFC2A0A">
                  <w:pPr>
                    <w:keepNext w:val="0"/>
                    <w:keepLines w:val="0"/>
                    <w:widowControl/>
                    <w:suppressLineNumbers w:val="0"/>
                    <w:spacing w:before="0" w:beforeAutospacing="0" w:after="0" w:afterAutospacing="0" w:line="360" w:lineRule="exact"/>
                    <w:ind w:left="0" w:right="0"/>
                    <w:jc w:val="left"/>
                    <w:rPr>
                      <w:rFonts w:hint="default" w:ascii="Times New Roman" w:hAnsi="Times New Roman" w:eastAsia="宋体" w:cs="Times New Roman"/>
                      <w:szCs w:val="21"/>
                    </w:rPr>
                  </w:pPr>
                </w:p>
              </w:tc>
              <w:tc>
                <w:tcPr>
                  <w:tcW w:w="327" w:type="dxa"/>
                  <w:vMerge w:val="continue"/>
                  <w:tcBorders>
                    <w:tl2br w:val="nil"/>
                    <w:tr2bl w:val="nil"/>
                  </w:tcBorders>
                  <w:vAlign w:val="center"/>
                </w:tcPr>
                <w:p w14:paraId="70189073">
                  <w:pPr>
                    <w:keepNext w:val="0"/>
                    <w:keepLines w:val="0"/>
                    <w:widowControl/>
                    <w:suppressLineNumbers w:val="0"/>
                    <w:spacing w:before="0" w:beforeAutospacing="0" w:after="0" w:afterAutospacing="0" w:line="360" w:lineRule="exact"/>
                    <w:ind w:left="0" w:right="0"/>
                    <w:jc w:val="left"/>
                    <w:rPr>
                      <w:rFonts w:hint="default" w:ascii="Times New Roman" w:hAnsi="Times New Roman" w:eastAsia="宋体" w:cs="Times New Roman"/>
                      <w:szCs w:val="21"/>
                    </w:rPr>
                  </w:pPr>
                </w:p>
              </w:tc>
              <w:tc>
                <w:tcPr>
                  <w:tcW w:w="759" w:type="dxa"/>
                  <w:tcBorders>
                    <w:tl2br w:val="nil"/>
                    <w:tr2bl w:val="nil"/>
                  </w:tcBorders>
                  <w:vAlign w:val="center"/>
                </w:tcPr>
                <w:p w14:paraId="63B13457">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X</w:t>
                  </w:r>
                </w:p>
              </w:tc>
              <w:tc>
                <w:tcPr>
                  <w:tcW w:w="907" w:type="dxa"/>
                  <w:tcBorders>
                    <w:tl2br w:val="nil"/>
                    <w:tr2bl w:val="nil"/>
                  </w:tcBorders>
                  <w:vAlign w:val="center"/>
                </w:tcPr>
                <w:p w14:paraId="144E39B9">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Y</w:t>
                  </w:r>
                </w:p>
              </w:tc>
              <w:tc>
                <w:tcPr>
                  <w:tcW w:w="640" w:type="dxa"/>
                  <w:vMerge w:val="continue"/>
                  <w:tcBorders>
                    <w:tl2br w:val="nil"/>
                    <w:tr2bl w:val="nil"/>
                  </w:tcBorders>
                  <w:vAlign w:val="center"/>
                </w:tcPr>
                <w:p w14:paraId="739B80ED">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392" w:type="dxa"/>
                  <w:vMerge w:val="continue"/>
                  <w:tcBorders>
                    <w:tl2br w:val="nil"/>
                    <w:tr2bl w:val="nil"/>
                  </w:tcBorders>
                  <w:vAlign w:val="center"/>
                </w:tcPr>
                <w:p w14:paraId="7EB50271">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436" w:type="dxa"/>
                  <w:vMerge w:val="continue"/>
                  <w:tcBorders>
                    <w:tl2br w:val="nil"/>
                    <w:tr2bl w:val="nil"/>
                  </w:tcBorders>
                  <w:vAlign w:val="center"/>
                </w:tcPr>
                <w:p w14:paraId="4215D072">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332" w:type="dxa"/>
                  <w:vMerge w:val="continue"/>
                  <w:tcBorders>
                    <w:tl2br w:val="nil"/>
                    <w:tr2bl w:val="nil"/>
                  </w:tcBorders>
                  <w:vAlign w:val="center"/>
                </w:tcPr>
                <w:p w14:paraId="3B24B3EB">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458" w:type="dxa"/>
                  <w:vMerge w:val="continue"/>
                  <w:tcBorders>
                    <w:tl2br w:val="nil"/>
                    <w:tr2bl w:val="nil"/>
                  </w:tcBorders>
                  <w:vAlign w:val="center"/>
                </w:tcPr>
                <w:p w14:paraId="23420CCB">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1804" w:type="dxa"/>
                  <w:vMerge w:val="continue"/>
                  <w:tcBorders>
                    <w:tl2br w:val="nil"/>
                    <w:tr2bl w:val="nil"/>
                  </w:tcBorders>
                  <w:vAlign w:val="center"/>
                </w:tcPr>
                <w:p w14:paraId="71FD027A">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p>
              </w:tc>
              <w:tc>
                <w:tcPr>
                  <w:tcW w:w="536" w:type="dxa"/>
                  <w:tcBorders>
                    <w:tl2br w:val="nil"/>
                    <w:tr2bl w:val="nil"/>
                  </w:tcBorders>
                  <w:vAlign w:val="center"/>
                </w:tcPr>
                <w:p w14:paraId="6F1A751A">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点位</w:t>
                  </w:r>
                </w:p>
              </w:tc>
              <w:tc>
                <w:tcPr>
                  <w:tcW w:w="1059" w:type="dxa"/>
                  <w:tcBorders>
                    <w:tl2br w:val="nil"/>
                    <w:tr2bl w:val="nil"/>
                  </w:tcBorders>
                  <w:vAlign w:val="center"/>
                </w:tcPr>
                <w:p w14:paraId="420AA365">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因子</w:t>
                  </w:r>
                </w:p>
              </w:tc>
              <w:tc>
                <w:tcPr>
                  <w:tcW w:w="347" w:type="dxa"/>
                  <w:tcBorders>
                    <w:tl2br w:val="nil"/>
                    <w:tr2bl w:val="nil"/>
                  </w:tcBorders>
                  <w:vAlign w:val="center"/>
                </w:tcPr>
                <w:p w14:paraId="2B356591">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频次</w:t>
                  </w:r>
                </w:p>
              </w:tc>
            </w:tr>
            <w:tr w14:paraId="41D29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rPr>
              <w:tc>
                <w:tcPr>
                  <w:tcW w:w="374" w:type="dxa"/>
                  <w:tcBorders>
                    <w:tl2br w:val="nil"/>
                    <w:tr2bl w:val="nil"/>
                  </w:tcBorders>
                  <w:vAlign w:val="center"/>
                </w:tcPr>
                <w:p w14:paraId="049AC6E0">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DA</w:t>
                  </w:r>
                </w:p>
                <w:p w14:paraId="1C966500">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001</w:t>
                  </w:r>
                </w:p>
              </w:tc>
              <w:tc>
                <w:tcPr>
                  <w:tcW w:w="327" w:type="dxa"/>
                  <w:tcBorders>
                    <w:tl2br w:val="nil"/>
                    <w:tr2bl w:val="nil"/>
                  </w:tcBorders>
                  <w:vAlign w:val="center"/>
                </w:tcPr>
                <w:p w14:paraId="218401C6">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锅炉</w:t>
                  </w:r>
                </w:p>
                <w:p w14:paraId="16604D10">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烟气</w:t>
                  </w:r>
                </w:p>
              </w:tc>
              <w:tc>
                <w:tcPr>
                  <w:tcW w:w="759" w:type="dxa"/>
                  <w:tcBorders>
                    <w:tl2br w:val="nil"/>
                    <w:tr2bl w:val="nil"/>
                  </w:tcBorders>
                  <w:vAlign w:val="center"/>
                </w:tcPr>
                <w:p w14:paraId="5462D0FB">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41°39′</w:t>
                  </w:r>
                </w:p>
                <w:p w14:paraId="724300EF">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37.708″</w:t>
                  </w:r>
                </w:p>
              </w:tc>
              <w:tc>
                <w:tcPr>
                  <w:tcW w:w="907" w:type="dxa"/>
                  <w:tcBorders>
                    <w:tl2br w:val="nil"/>
                    <w:tr2bl w:val="nil"/>
                  </w:tcBorders>
                  <w:vAlign w:val="center"/>
                </w:tcPr>
                <w:p w14:paraId="2C243397">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109°16′</w:t>
                  </w:r>
                </w:p>
                <w:p w14:paraId="7AD0ABDD">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17.951″</w:t>
                  </w:r>
                </w:p>
              </w:tc>
              <w:tc>
                <w:tcPr>
                  <w:tcW w:w="640" w:type="dxa"/>
                  <w:tcBorders>
                    <w:tl2br w:val="nil"/>
                    <w:tr2bl w:val="nil"/>
                  </w:tcBorders>
                  <w:vAlign w:val="center"/>
                </w:tcPr>
                <w:p w14:paraId="4C30C54A">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1668.5</w:t>
                  </w:r>
                </w:p>
              </w:tc>
              <w:tc>
                <w:tcPr>
                  <w:tcW w:w="392" w:type="dxa"/>
                  <w:tcBorders>
                    <w:tl2br w:val="nil"/>
                    <w:tr2bl w:val="nil"/>
                  </w:tcBorders>
                  <w:vAlign w:val="center"/>
                </w:tcPr>
                <w:p w14:paraId="593DBD8F">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436" w:type="dxa"/>
                  <w:tcBorders>
                    <w:tl2br w:val="nil"/>
                    <w:tr2bl w:val="nil"/>
                  </w:tcBorders>
                  <w:vAlign w:val="center"/>
                </w:tcPr>
                <w:p w14:paraId="012B42D6">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0.6</w:t>
                  </w:r>
                </w:p>
              </w:tc>
              <w:tc>
                <w:tcPr>
                  <w:tcW w:w="332" w:type="dxa"/>
                  <w:tcBorders>
                    <w:tl2br w:val="nil"/>
                    <w:tr2bl w:val="nil"/>
                  </w:tcBorders>
                  <w:vAlign w:val="center"/>
                </w:tcPr>
                <w:p w14:paraId="2657E54C">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60</w:t>
                  </w:r>
                </w:p>
              </w:tc>
              <w:tc>
                <w:tcPr>
                  <w:tcW w:w="458" w:type="dxa"/>
                  <w:tcBorders>
                    <w:tl2br w:val="nil"/>
                    <w:tr2bl w:val="nil"/>
                  </w:tcBorders>
                  <w:vAlign w:val="center"/>
                </w:tcPr>
                <w:p w14:paraId="4913DDC5">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一般排放口</w:t>
                  </w:r>
                </w:p>
              </w:tc>
              <w:tc>
                <w:tcPr>
                  <w:tcW w:w="1804" w:type="dxa"/>
                  <w:tcBorders>
                    <w:tl2br w:val="nil"/>
                    <w:tr2bl w:val="nil"/>
                  </w:tcBorders>
                  <w:vAlign w:val="center"/>
                </w:tcPr>
                <w:p w14:paraId="7D59FF0E">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《锅炉大气污染物排放标准》（GB13271-2014）</w:t>
                  </w:r>
                </w:p>
              </w:tc>
              <w:tc>
                <w:tcPr>
                  <w:tcW w:w="536" w:type="dxa"/>
                  <w:tcBorders>
                    <w:tl2br w:val="nil"/>
                    <w:tr2bl w:val="nil"/>
                  </w:tcBorders>
                  <w:vAlign w:val="center"/>
                </w:tcPr>
                <w:p w14:paraId="598137A2">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排气筒</w:t>
                  </w:r>
                </w:p>
              </w:tc>
              <w:tc>
                <w:tcPr>
                  <w:tcW w:w="1059" w:type="dxa"/>
                  <w:tcBorders>
                    <w:tl2br w:val="nil"/>
                    <w:tr2bl w:val="nil"/>
                  </w:tcBorders>
                  <w:vAlign w:val="center"/>
                </w:tcPr>
                <w:p w14:paraId="0FBCE63C">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颗粒物、SO</w:t>
                  </w:r>
                  <w:r>
                    <w:rPr>
                      <w:rFonts w:hint="default" w:ascii="Times New Roman" w:hAnsi="Times New Roman" w:eastAsia="宋体" w:cs="Times New Roman"/>
                      <w:szCs w:val="21"/>
                      <w:vertAlign w:val="subscript"/>
                    </w:rPr>
                    <w:t>2</w:t>
                  </w:r>
                  <w:r>
                    <w:rPr>
                      <w:rFonts w:hint="default" w:ascii="Times New Roman" w:hAnsi="Times New Roman" w:eastAsia="宋体" w:cs="Times New Roman"/>
                      <w:szCs w:val="21"/>
                    </w:rPr>
                    <w:t>、NO</w:t>
                  </w:r>
                  <w:r>
                    <w:rPr>
                      <w:rFonts w:hint="default" w:ascii="Times New Roman" w:hAnsi="Times New Roman" w:eastAsia="宋体" w:cs="Times New Roman"/>
                      <w:szCs w:val="21"/>
                      <w:vertAlign w:val="subscript"/>
                    </w:rPr>
                    <w:t>x</w:t>
                  </w:r>
                  <w:r>
                    <w:rPr>
                      <w:rFonts w:hint="default" w:ascii="Times New Roman" w:hAnsi="Times New Roman" w:eastAsia="宋体" w:cs="Times New Roman"/>
                      <w:szCs w:val="21"/>
                    </w:rPr>
                    <w:t>、烟气黑度</w:t>
                  </w:r>
                </w:p>
              </w:tc>
              <w:tc>
                <w:tcPr>
                  <w:tcW w:w="347" w:type="dxa"/>
                  <w:tcBorders>
                    <w:tl2br w:val="nil"/>
                    <w:tr2bl w:val="nil"/>
                  </w:tcBorders>
                  <w:vAlign w:val="center"/>
                </w:tcPr>
                <w:p w14:paraId="66C6AA4A">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一月一次</w:t>
                  </w:r>
                </w:p>
              </w:tc>
            </w:tr>
          </w:tbl>
          <w:p w14:paraId="4726AD04">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val="0"/>
                <w:color w:val="auto"/>
                <w:sz w:val="24"/>
                <w:highlight w:val="none"/>
              </w:rPr>
            </w:pP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lang w:val="en-US" w:eastAsia="zh-CN"/>
              </w:rPr>
              <w:t>4</w:t>
            </w:r>
            <w:r>
              <w:rPr>
                <w:rFonts w:hint="eastAsia" w:ascii="宋体" w:hAnsi="宋体" w:eastAsia="宋体" w:cs="宋体"/>
                <w:b w:val="0"/>
                <w:bCs w:val="0"/>
                <w:color w:val="auto"/>
                <w:sz w:val="24"/>
                <w:lang w:eastAsia="zh-CN"/>
              </w:rPr>
              <w:t>）</w:t>
            </w:r>
            <w:r>
              <w:rPr>
                <w:rFonts w:hint="eastAsia" w:ascii="宋体" w:hAnsi="宋体" w:eastAsia="宋体" w:cs="宋体"/>
                <w:b w:val="0"/>
                <w:bCs w:val="0"/>
                <w:color w:val="auto"/>
                <w:sz w:val="24"/>
                <w:highlight w:val="none"/>
              </w:rPr>
              <w:t>废气自行监测要求</w:t>
            </w:r>
          </w:p>
          <w:p w14:paraId="0A48673E">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szCs w:val="20"/>
                <w:lang w:eastAsia="zh-CN"/>
              </w:rPr>
              <w:t>现有项目未制定厂界非甲烷总烃和氨气自行监测计划，</w:t>
            </w:r>
            <w:r>
              <w:rPr>
                <w:rFonts w:hint="eastAsia" w:ascii="宋体" w:hAnsi="宋体" w:eastAsia="宋体" w:cs="宋体"/>
                <w:color w:val="auto"/>
                <w:sz w:val="24"/>
                <w:szCs w:val="20"/>
              </w:rPr>
              <w:t>根据</w:t>
            </w:r>
            <w:r>
              <w:rPr>
                <w:rFonts w:hint="eastAsia" w:ascii="宋体" w:hAnsi="宋体" w:eastAsia="宋体" w:cs="宋体"/>
                <w:sz w:val="24"/>
              </w:rPr>
              <w:t>《排污单位自行监测技术指南总则》（HJ 819-2017）</w:t>
            </w:r>
            <w:r>
              <w:rPr>
                <w:rFonts w:hint="eastAsia" w:ascii="宋体" w:hAnsi="宋体" w:eastAsia="宋体" w:cs="宋体"/>
                <w:sz w:val="24"/>
                <w:lang w:eastAsia="zh-CN"/>
              </w:rPr>
              <w:t>和</w:t>
            </w:r>
            <w:r>
              <w:rPr>
                <w:rFonts w:hint="eastAsia" w:ascii="宋体" w:hAnsi="宋体" w:eastAsia="宋体" w:cs="宋体"/>
                <w:color w:val="auto"/>
                <w:sz w:val="24"/>
                <w:szCs w:val="20"/>
              </w:rPr>
              <w:t xml:space="preserve">《排污单位自行监测技术指南 </w:t>
            </w:r>
            <w:r>
              <w:rPr>
                <w:rFonts w:hint="eastAsia" w:ascii="宋体" w:hAnsi="宋体" w:eastAsia="宋体" w:cs="宋体"/>
                <w:color w:val="auto"/>
                <w:sz w:val="24"/>
                <w:szCs w:val="20"/>
                <w:lang w:eastAsia="zh-CN"/>
              </w:rPr>
              <w:t>火力发电及锅炉</w:t>
            </w:r>
            <w:r>
              <w:rPr>
                <w:rFonts w:hint="eastAsia" w:ascii="宋体" w:hAnsi="宋体" w:eastAsia="宋体" w:cs="宋体"/>
                <w:color w:val="auto"/>
                <w:sz w:val="24"/>
                <w:szCs w:val="20"/>
              </w:rPr>
              <w:t>》（HJ 8</w:t>
            </w:r>
            <w:r>
              <w:rPr>
                <w:rFonts w:hint="eastAsia" w:ascii="宋体" w:hAnsi="宋体" w:eastAsia="宋体" w:cs="宋体"/>
                <w:color w:val="auto"/>
                <w:sz w:val="24"/>
                <w:szCs w:val="20"/>
                <w:lang w:val="en-US" w:eastAsia="zh-CN"/>
              </w:rPr>
              <w:t>20</w:t>
            </w:r>
            <w:r>
              <w:rPr>
                <w:rFonts w:hint="eastAsia" w:ascii="宋体" w:hAnsi="宋体" w:eastAsia="宋体" w:cs="宋体"/>
                <w:color w:val="auto"/>
                <w:sz w:val="24"/>
                <w:szCs w:val="20"/>
              </w:rPr>
              <w:t>-2017）</w:t>
            </w:r>
            <w:r>
              <w:rPr>
                <w:rFonts w:hint="eastAsia" w:ascii="宋体" w:hAnsi="宋体" w:eastAsia="宋体" w:cs="宋体"/>
                <w:color w:val="auto"/>
                <w:sz w:val="24"/>
                <w:szCs w:val="20"/>
                <w:lang w:eastAsia="zh-CN"/>
              </w:rPr>
              <w:t>，结合技改后全厂排污情况，技改后全厂</w:t>
            </w:r>
            <w:r>
              <w:rPr>
                <w:rFonts w:hint="eastAsia" w:ascii="宋体" w:hAnsi="宋体" w:eastAsia="宋体" w:cs="宋体"/>
                <w:color w:val="auto"/>
                <w:sz w:val="24"/>
                <w:szCs w:val="20"/>
              </w:rPr>
              <w:t>废气</w:t>
            </w:r>
            <w:r>
              <w:rPr>
                <w:rFonts w:hint="eastAsia" w:ascii="宋体" w:hAnsi="宋体" w:eastAsia="宋体" w:cs="宋体"/>
                <w:color w:val="auto"/>
                <w:sz w:val="24"/>
                <w:szCs w:val="20"/>
                <w:lang w:eastAsia="zh-CN"/>
              </w:rPr>
              <w:t>监测计划</w:t>
            </w:r>
            <w:r>
              <w:rPr>
                <w:rFonts w:hint="eastAsia" w:ascii="宋体" w:hAnsi="宋体" w:eastAsia="宋体" w:cs="宋体"/>
                <w:color w:val="auto"/>
                <w:sz w:val="24"/>
                <w:szCs w:val="20"/>
              </w:rPr>
              <w:t>见下表。</w:t>
            </w:r>
          </w:p>
          <w:p w14:paraId="04B1552A">
            <w:pPr>
              <w:pStyle w:val="3"/>
              <w:keepNext w:val="0"/>
              <w:keepLines w:val="0"/>
              <w:widowControl w:val="0"/>
              <w:suppressLineNumbers w:val="0"/>
              <w:snapToGrid/>
              <w:spacing w:before="0" w:beforeAutospacing="0" w:after="0" w:afterAutospacing="0" w:line="240" w:lineRule="auto"/>
              <w:ind w:left="0" w:right="0" w:firstLine="0" w:firstLineChars="0"/>
              <w:jc w:val="center"/>
              <w:rPr>
                <w:rFonts w:hint="eastAsia" w:ascii="宋体" w:hAnsi="宋体" w:eastAsia="宋体" w:cs="宋体"/>
                <w:b/>
                <w:bCs/>
                <w:color w:val="auto"/>
                <w:kern w:val="2"/>
                <w:sz w:val="24"/>
                <w:szCs w:val="24"/>
                <w:lang w:val="en-US" w:eastAsia="zh-CN"/>
              </w:rPr>
            </w:pPr>
            <w:r>
              <w:rPr>
                <w:rFonts w:hint="eastAsia" w:ascii="宋体" w:hAnsi="宋体" w:eastAsia="宋体" w:cs="宋体"/>
                <w:b/>
                <w:bCs/>
                <w:color w:val="auto"/>
                <w:kern w:val="2"/>
                <w:sz w:val="24"/>
                <w:szCs w:val="24"/>
                <w:lang w:val="en-US" w:eastAsia="zh-CN"/>
              </w:rPr>
              <w:t>表4-</w:t>
            </w:r>
            <w:r>
              <w:rPr>
                <w:rFonts w:hint="eastAsia" w:eastAsia="宋体" w:cs="宋体"/>
                <w:b/>
                <w:bCs/>
                <w:color w:val="auto"/>
                <w:kern w:val="2"/>
                <w:sz w:val="24"/>
                <w:szCs w:val="24"/>
                <w:lang w:val="en-US" w:eastAsia="zh-CN"/>
              </w:rPr>
              <w:t>10</w:t>
            </w:r>
            <w:r>
              <w:rPr>
                <w:rFonts w:hint="eastAsia" w:ascii="宋体" w:hAnsi="宋体" w:eastAsia="宋体" w:cs="宋体"/>
                <w:b/>
                <w:bCs/>
                <w:color w:val="auto"/>
                <w:kern w:val="2"/>
                <w:sz w:val="24"/>
                <w:szCs w:val="24"/>
                <w:lang w:val="en-US" w:eastAsia="zh-CN"/>
              </w:rPr>
              <w:t xml:space="preserve"> 运营期废气监测工作内容一览表</w:t>
            </w:r>
          </w:p>
          <w:tbl>
            <w:tblPr>
              <w:tblStyle w:val="26"/>
              <w:tblW w:w="84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9"/>
              <w:gridCol w:w="1424"/>
              <w:gridCol w:w="1099"/>
              <w:gridCol w:w="1579"/>
              <w:gridCol w:w="1101"/>
              <w:gridCol w:w="2604"/>
            </w:tblGrid>
            <w:tr w14:paraId="1E686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jc w:val="center"/>
              </w:trPr>
              <w:tc>
                <w:tcPr>
                  <w:tcW w:w="649" w:type="dxa"/>
                  <w:noWrap w:val="0"/>
                  <w:vAlign w:val="center"/>
                </w:tcPr>
                <w:p w14:paraId="28C7D886">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rPr>
                    <w:t>监测要素</w:t>
                  </w:r>
                </w:p>
              </w:tc>
              <w:tc>
                <w:tcPr>
                  <w:tcW w:w="1424" w:type="dxa"/>
                  <w:noWrap w:val="0"/>
                  <w:vAlign w:val="center"/>
                </w:tcPr>
                <w:p w14:paraId="7B55FC1F">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污染工序</w:t>
                  </w:r>
                </w:p>
              </w:tc>
              <w:tc>
                <w:tcPr>
                  <w:tcW w:w="1099" w:type="dxa"/>
                  <w:noWrap w:val="0"/>
                  <w:vAlign w:val="center"/>
                </w:tcPr>
                <w:p w14:paraId="31347042">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监测因子</w:t>
                  </w:r>
                </w:p>
              </w:tc>
              <w:tc>
                <w:tcPr>
                  <w:tcW w:w="1579" w:type="dxa"/>
                  <w:noWrap w:val="0"/>
                  <w:vAlign w:val="center"/>
                </w:tcPr>
                <w:p w14:paraId="3DFF361E">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监测点位</w:t>
                  </w:r>
                </w:p>
              </w:tc>
              <w:tc>
                <w:tcPr>
                  <w:tcW w:w="1101" w:type="dxa"/>
                  <w:noWrap w:val="0"/>
                  <w:vAlign w:val="center"/>
                </w:tcPr>
                <w:p w14:paraId="277DDE3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sz w:val="21"/>
                      <w:szCs w:val="21"/>
                    </w:rPr>
                    <w:t>监测频次</w:t>
                  </w:r>
                </w:p>
              </w:tc>
              <w:tc>
                <w:tcPr>
                  <w:tcW w:w="2604" w:type="dxa"/>
                  <w:noWrap w:val="0"/>
                  <w:vAlign w:val="center"/>
                </w:tcPr>
                <w:p w14:paraId="1B658A97">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执行标准</w:t>
                  </w:r>
                </w:p>
              </w:tc>
            </w:tr>
            <w:tr w14:paraId="7BC2C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15" w:hRule="atLeast"/>
                <w:jc w:val="center"/>
              </w:trPr>
              <w:tc>
                <w:tcPr>
                  <w:tcW w:w="649" w:type="dxa"/>
                  <w:vMerge w:val="restart"/>
                  <w:noWrap w:val="0"/>
                  <w:vAlign w:val="center"/>
                </w:tcPr>
                <w:p w14:paraId="48961028">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废气</w:t>
                  </w:r>
                </w:p>
              </w:tc>
              <w:tc>
                <w:tcPr>
                  <w:tcW w:w="1424" w:type="dxa"/>
                  <w:noWrap w:val="0"/>
                  <w:vAlign w:val="center"/>
                </w:tcPr>
                <w:p w14:paraId="4B6B50B1">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燃油锅炉</w:t>
                  </w:r>
                </w:p>
              </w:tc>
              <w:tc>
                <w:tcPr>
                  <w:tcW w:w="1099" w:type="dxa"/>
                  <w:noWrap w:val="0"/>
                  <w:vAlign w:val="center"/>
                </w:tcPr>
                <w:p w14:paraId="61217E8E">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颗粒物</w:t>
                  </w:r>
                  <w:r>
                    <w:rPr>
                      <w:rFonts w:hint="eastAsia" w:ascii="宋体" w:hAnsi="宋体" w:eastAsia="宋体" w:cs="宋体"/>
                      <w:color w:val="auto"/>
                      <w:sz w:val="21"/>
                      <w:szCs w:val="21"/>
                      <w:lang w:eastAsia="zh-CN"/>
                    </w:rPr>
                    <w:t>、二氧化硫、氮氧化物、烟气黑度</w:t>
                  </w:r>
                </w:p>
              </w:tc>
              <w:tc>
                <w:tcPr>
                  <w:tcW w:w="1579" w:type="dxa"/>
                  <w:noWrap w:val="0"/>
                  <w:vAlign w:val="center"/>
                </w:tcPr>
                <w:p w14:paraId="5F607494">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DA00</w:t>
                  </w: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rPr>
                    <w:t>排气筒</w:t>
                  </w:r>
                </w:p>
              </w:tc>
              <w:tc>
                <w:tcPr>
                  <w:tcW w:w="1101" w:type="dxa"/>
                  <w:noWrap w:val="0"/>
                  <w:vAlign w:val="center"/>
                </w:tcPr>
                <w:p w14:paraId="3A23EDF4">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1次/</w:t>
                  </w:r>
                  <w:r>
                    <w:rPr>
                      <w:rFonts w:hint="eastAsia" w:ascii="宋体" w:hAnsi="宋体" w:eastAsia="宋体" w:cs="宋体"/>
                      <w:color w:val="auto"/>
                      <w:sz w:val="21"/>
                      <w:szCs w:val="21"/>
                      <w:lang w:eastAsia="zh-CN"/>
                    </w:rPr>
                    <w:t>月</w:t>
                  </w:r>
                </w:p>
              </w:tc>
              <w:tc>
                <w:tcPr>
                  <w:tcW w:w="2604" w:type="dxa"/>
                  <w:noWrap w:val="0"/>
                  <w:vAlign w:val="center"/>
                </w:tcPr>
                <w:p w14:paraId="2884748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《锅炉大气污染物排放标准》（GB13271-2014）表2新建锅炉大气污染物排放浓度限值</w:t>
                  </w:r>
                </w:p>
              </w:tc>
            </w:tr>
            <w:tr w14:paraId="68565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15" w:hRule="atLeast"/>
                <w:jc w:val="center"/>
              </w:trPr>
              <w:tc>
                <w:tcPr>
                  <w:tcW w:w="649" w:type="dxa"/>
                  <w:vMerge w:val="continue"/>
                  <w:noWrap w:val="0"/>
                  <w:vAlign w:val="center"/>
                </w:tcPr>
                <w:p w14:paraId="377F4829">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1424" w:type="dxa"/>
                  <w:vMerge w:val="restart"/>
                  <w:noWrap w:val="0"/>
                  <w:vAlign w:val="center"/>
                </w:tcPr>
                <w:p w14:paraId="04C20717">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厂界无组织</w:t>
                  </w:r>
                </w:p>
              </w:tc>
              <w:tc>
                <w:tcPr>
                  <w:tcW w:w="1099" w:type="dxa"/>
                  <w:noWrap w:val="0"/>
                  <w:vAlign w:val="center"/>
                </w:tcPr>
                <w:p w14:paraId="07B3DFAB">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氨气</w:t>
                  </w:r>
                </w:p>
              </w:tc>
              <w:tc>
                <w:tcPr>
                  <w:tcW w:w="1579" w:type="dxa"/>
                  <w:noWrap w:val="0"/>
                  <w:vAlign w:val="center"/>
                </w:tcPr>
                <w:p w14:paraId="41B17ABB">
                  <w:pPr>
                    <w:keepNext w:val="0"/>
                    <w:keepLines w:val="0"/>
                    <w:widowControl/>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厂界上、下风向</w:t>
                  </w:r>
                </w:p>
              </w:tc>
              <w:tc>
                <w:tcPr>
                  <w:tcW w:w="1101" w:type="dxa"/>
                  <w:noWrap w:val="0"/>
                  <w:vAlign w:val="center"/>
                </w:tcPr>
                <w:p w14:paraId="6720EE6A">
                  <w:pPr>
                    <w:keepNext w:val="0"/>
                    <w:keepLines w:val="0"/>
                    <w:widowControl/>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1次/年</w:t>
                  </w:r>
                </w:p>
              </w:tc>
              <w:tc>
                <w:tcPr>
                  <w:tcW w:w="2604" w:type="dxa"/>
                  <w:noWrap w:val="0"/>
                  <w:vAlign w:val="center"/>
                </w:tcPr>
                <w:p w14:paraId="6BC8DD5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《恶臭污染物排放标准》（GB14554-93）表1二级新扩改建标准</w:t>
                  </w:r>
                </w:p>
              </w:tc>
            </w:tr>
            <w:tr w14:paraId="4402C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15" w:hRule="atLeast"/>
                <w:jc w:val="center"/>
              </w:trPr>
              <w:tc>
                <w:tcPr>
                  <w:tcW w:w="649" w:type="dxa"/>
                  <w:vMerge w:val="continue"/>
                  <w:noWrap w:val="0"/>
                  <w:vAlign w:val="center"/>
                </w:tcPr>
                <w:p w14:paraId="69FE2538">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1424" w:type="dxa"/>
                  <w:vMerge w:val="continue"/>
                  <w:noWrap w:val="0"/>
                  <w:vAlign w:val="center"/>
                </w:tcPr>
                <w:p w14:paraId="4159CD0A">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1099" w:type="dxa"/>
                  <w:noWrap w:val="0"/>
                  <w:vAlign w:val="center"/>
                </w:tcPr>
                <w:p w14:paraId="418675CA">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非甲烷总烃</w:t>
                  </w:r>
                </w:p>
              </w:tc>
              <w:tc>
                <w:tcPr>
                  <w:tcW w:w="1579" w:type="dxa"/>
                  <w:noWrap w:val="0"/>
                  <w:vAlign w:val="center"/>
                </w:tcPr>
                <w:p w14:paraId="5737B473">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厂界上、下风向</w:t>
                  </w:r>
                </w:p>
              </w:tc>
              <w:tc>
                <w:tcPr>
                  <w:tcW w:w="1101" w:type="dxa"/>
                  <w:noWrap w:val="0"/>
                  <w:vAlign w:val="center"/>
                </w:tcPr>
                <w:p w14:paraId="01CE83A7">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1次/年</w:t>
                  </w:r>
                </w:p>
              </w:tc>
              <w:tc>
                <w:tcPr>
                  <w:tcW w:w="2604" w:type="dxa"/>
                  <w:noWrap w:val="0"/>
                  <w:vAlign w:val="center"/>
                </w:tcPr>
                <w:p w14:paraId="4DFA8193">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《大气污染物综合排放标准》（GB16297-1996）表2</w:t>
                  </w:r>
                  <w:r>
                    <w:rPr>
                      <w:rFonts w:hint="eastAsia" w:ascii="宋体" w:hAnsi="宋体" w:eastAsia="宋体" w:cs="宋体"/>
                      <w:color w:val="auto"/>
                      <w:sz w:val="21"/>
                      <w:szCs w:val="21"/>
                      <w:lang w:eastAsia="zh-CN"/>
                    </w:rPr>
                    <w:t>中周界外浓度最高点浓度限值</w:t>
                  </w:r>
                </w:p>
              </w:tc>
            </w:tr>
            <w:tr w14:paraId="77931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3" w:hRule="atLeast"/>
                <w:jc w:val="center"/>
              </w:trPr>
              <w:tc>
                <w:tcPr>
                  <w:tcW w:w="649" w:type="dxa"/>
                  <w:vMerge w:val="continue"/>
                  <w:noWrap w:val="0"/>
                  <w:vAlign w:val="center"/>
                </w:tcPr>
                <w:p w14:paraId="543EBD31">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p>
              </w:tc>
              <w:tc>
                <w:tcPr>
                  <w:tcW w:w="1424" w:type="dxa"/>
                  <w:noWrap w:val="0"/>
                  <w:vAlign w:val="center"/>
                </w:tcPr>
                <w:p w14:paraId="659BB86C">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厂区内无组织</w:t>
                  </w:r>
                </w:p>
              </w:tc>
              <w:tc>
                <w:tcPr>
                  <w:tcW w:w="1099" w:type="dxa"/>
                  <w:noWrap w:val="0"/>
                  <w:vAlign w:val="center"/>
                </w:tcPr>
                <w:p w14:paraId="63E8D6D5">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eastAsia="zh-CN"/>
                    </w:rPr>
                    <w:t>非甲烷总烃</w:t>
                  </w:r>
                </w:p>
              </w:tc>
              <w:tc>
                <w:tcPr>
                  <w:tcW w:w="1579" w:type="dxa"/>
                  <w:noWrap w:val="0"/>
                  <w:vAlign w:val="center"/>
                </w:tcPr>
                <w:p w14:paraId="06AEBDBD">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柴油罐间外</w:t>
                  </w:r>
                </w:p>
              </w:tc>
              <w:tc>
                <w:tcPr>
                  <w:tcW w:w="1101" w:type="dxa"/>
                  <w:noWrap w:val="0"/>
                  <w:vAlign w:val="center"/>
                </w:tcPr>
                <w:p w14:paraId="21D8A2DF">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1次/年</w:t>
                  </w:r>
                </w:p>
              </w:tc>
              <w:tc>
                <w:tcPr>
                  <w:tcW w:w="2604" w:type="dxa"/>
                  <w:noWrap w:val="0"/>
                  <w:vAlign w:val="center"/>
                </w:tcPr>
                <w:p w14:paraId="4DACFB44">
                  <w:pPr>
                    <w:keepNext w:val="0"/>
                    <w:keepLines w:val="0"/>
                    <w:widowControl/>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《挥发性有机物无组织排放控制标准》（GB 37822-2019）表A.1中规定的限值</w:t>
                  </w:r>
                </w:p>
              </w:tc>
            </w:tr>
          </w:tbl>
          <w:p w14:paraId="544B2D3B">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2、废水环境影响分析及防治措施</w:t>
            </w:r>
          </w:p>
          <w:p w14:paraId="717CD4CF">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kern w:val="0"/>
                <w:sz w:val="24"/>
              </w:rPr>
            </w:pPr>
            <w:r>
              <w:rPr>
                <w:rFonts w:hint="eastAsia" w:ascii="宋体" w:hAnsi="宋体" w:eastAsia="宋体" w:cs="宋体"/>
                <w:bCs/>
                <w:color w:val="auto"/>
                <w:kern w:val="0"/>
                <w:sz w:val="24"/>
                <w:lang w:eastAsia="zh-CN"/>
              </w:rPr>
              <w:t>技改项目</w:t>
            </w:r>
            <w:r>
              <w:rPr>
                <w:rFonts w:hint="eastAsia" w:ascii="宋体" w:hAnsi="宋体" w:eastAsia="宋体" w:cs="宋体"/>
                <w:bCs/>
                <w:color w:val="auto"/>
                <w:kern w:val="0"/>
                <w:sz w:val="24"/>
              </w:rPr>
              <w:t>不新增劳动人员，</w:t>
            </w:r>
            <w:commentRangeStart w:id="11"/>
            <w:r>
              <w:rPr>
                <w:rFonts w:hint="eastAsia" w:ascii="宋体" w:hAnsi="宋体" w:eastAsia="宋体" w:cs="宋体"/>
                <w:bCs/>
                <w:color w:val="FF0000"/>
                <w:kern w:val="0"/>
                <w:sz w:val="24"/>
              </w:rPr>
              <w:t>无新</w:t>
            </w:r>
            <w:commentRangeEnd w:id="11"/>
            <w:r>
              <w:rPr>
                <w:rFonts w:hint="default"/>
                <w:color w:val="FF0000"/>
              </w:rPr>
              <w:commentReference w:id="11"/>
            </w:r>
            <w:r>
              <w:rPr>
                <w:rFonts w:hint="eastAsia" w:ascii="宋体" w:hAnsi="宋体" w:eastAsia="宋体" w:cs="宋体"/>
                <w:bCs/>
                <w:color w:val="FF0000"/>
                <w:kern w:val="0"/>
                <w:sz w:val="24"/>
              </w:rPr>
              <w:t>增生活</w:t>
            </w:r>
            <w:r>
              <w:rPr>
                <w:rFonts w:hint="eastAsia" w:eastAsia="宋体" w:cs="宋体"/>
                <w:bCs/>
                <w:color w:val="FF0000"/>
                <w:kern w:val="0"/>
                <w:sz w:val="24"/>
                <w:lang w:val="en-US" w:eastAsia="zh-CN"/>
              </w:rPr>
              <w:t>污水</w:t>
            </w:r>
            <w:r>
              <w:rPr>
                <w:rFonts w:hint="eastAsia" w:ascii="宋体" w:hAnsi="宋体" w:eastAsia="宋体" w:cs="宋体"/>
                <w:bCs/>
                <w:color w:val="FF0000"/>
                <w:kern w:val="0"/>
                <w:sz w:val="24"/>
                <w:lang w:eastAsia="zh-CN"/>
              </w:rPr>
              <w:t>产生</w:t>
            </w:r>
            <w:r>
              <w:rPr>
                <w:rFonts w:hint="eastAsia" w:ascii="宋体" w:hAnsi="宋体" w:eastAsia="宋体" w:cs="宋体"/>
                <w:bCs/>
                <w:color w:val="FF0000"/>
                <w:kern w:val="0"/>
                <w:sz w:val="24"/>
              </w:rPr>
              <w:t>；</w:t>
            </w:r>
            <w:r>
              <w:rPr>
                <w:rFonts w:hint="eastAsia" w:ascii="宋体" w:hAnsi="宋体" w:eastAsia="宋体" w:cs="宋体"/>
                <w:bCs/>
                <w:color w:val="auto"/>
                <w:kern w:val="0"/>
                <w:sz w:val="24"/>
                <w:lang w:eastAsia="zh-CN"/>
              </w:rPr>
              <w:t>产生</w:t>
            </w:r>
            <w:r>
              <w:rPr>
                <w:rFonts w:hint="eastAsia" w:ascii="宋体" w:hAnsi="宋体" w:eastAsia="宋体" w:cs="宋体"/>
                <w:bCs/>
                <w:color w:val="auto"/>
                <w:kern w:val="0"/>
                <w:sz w:val="24"/>
              </w:rPr>
              <w:t>废水主要为锅炉及软水装置定期排污水。</w:t>
            </w:r>
          </w:p>
          <w:p w14:paraId="7F058BF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eastAsia="zh-CN"/>
              </w:rPr>
              <w:t>技改项目</w:t>
            </w:r>
            <w:r>
              <w:rPr>
                <w:rFonts w:hint="eastAsia" w:ascii="宋体" w:hAnsi="宋体" w:eastAsia="宋体" w:cs="宋体"/>
                <w:color w:val="auto"/>
                <w:sz w:val="24"/>
              </w:rPr>
              <w:t>锅炉及软水装置排污水量</w:t>
            </w:r>
            <w:r>
              <w:rPr>
                <w:rFonts w:hint="eastAsia" w:ascii="宋体" w:hAnsi="宋体" w:eastAsia="宋体" w:cs="宋体"/>
                <w:color w:val="auto"/>
                <w:sz w:val="24"/>
                <w:lang w:val="en-US" w:eastAsia="zh-CN"/>
              </w:rPr>
              <w:t>为153</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eastAsia="宋体" w:cs="宋体"/>
                <w:color w:val="auto"/>
                <w:sz w:val="24"/>
                <w:lang w:eastAsia="zh-CN"/>
              </w:rPr>
              <w:t>（</w:t>
            </w:r>
            <w:r>
              <w:rPr>
                <w:rFonts w:hint="eastAsia" w:eastAsia="宋体" w:cs="宋体"/>
                <w:color w:val="auto"/>
                <w:sz w:val="24"/>
                <w:lang w:val="en-US" w:eastAsia="zh-CN"/>
              </w:rPr>
              <w:t>1.02</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/d</w:t>
            </w:r>
            <w:r>
              <w:rPr>
                <w:rFonts w:hint="eastAsia" w:eastAsia="宋体" w:cs="宋体"/>
                <w:color w:val="auto"/>
                <w:sz w:val="24"/>
                <w:lang w:eastAsia="zh-CN"/>
              </w:rPr>
              <w:t>）</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主要污染物为盐分和SS，</w:t>
            </w:r>
            <w:r>
              <w:rPr>
                <w:rFonts w:hint="eastAsia" w:ascii="宋体" w:hAnsi="宋体" w:eastAsia="宋体" w:cs="宋体"/>
                <w:color w:val="auto"/>
                <w:sz w:val="24"/>
                <w:lang w:eastAsia="zh-CN"/>
              </w:rPr>
              <w:t>排入废水暂存池，回用于生产系统</w:t>
            </w:r>
            <w:r>
              <w:rPr>
                <w:rFonts w:hint="eastAsia" w:eastAsia="宋体" w:cs="宋体"/>
                <w:color w:val="auto"/>
                <w:sz w:val="24"/>
                <w:lang w:eastAsia="zh-CN"/>
              </w:rPr>
              <w:t>（</w:t>
            </w:r>
            <w:r>
              <w:rPr>
                <w:rFonts w:hint="eastAsia" w:eastAsia="宋体" w:cs="宋体"/>
                <w:color w:val="auto"/>
                <w:sz w:val="24"/>
                <w:lang w:val="en-US" w:eastAsia="zh-CN"/>
              </w:rPr>
              <w:t>水相、柠檬酸钠溶液、敏化剂配制</w:t>
            </w:r>
            <w:r>
              <w:rPr>
                <w:rFonts w:hint="eastAsia" w:eastAsia="宋体" w:cs="宋体"/>
                <w:color w:val="auto"/>
                <w:sz w:val="24"/>
                <w:lang w:eastAsia="zh-CN"/>
              </w:rPr>
              <w:t>），不外排</w:t>
            </w:r>
            <w:r>
              <w:rPr>
                <w:rFonts w:hint="eastAsia" w:ascii="宋体" w:hAnsi="宋体" w:eastAsia="宋体" w:cs="宋体"/>
                <w:color w:val="auto"/>
                <w:sz w:val="24"/>
              </w:rPr>
              <w:t>。</w:t>
            </w:r>
          </w:p>
          <w:p w14:paraId="16C1CB51">
            <w:pPr>
              <w:keepNext w:val="0"/>
              <w:keepLines w:val="0"/>
              <w:suppressLineNumbers w:val="0"/>
              <w:adjustRightInd w:val="0"/>
              <w:snapToGrid w:val="0"/>
              <w:spacing w:before="0" w:beforeAutospacing="0" w:after="0" w:afterAutospacing="0" w:line="360" w:lineRule="auto"/>
              <w:ind w:left="0" w:right="0" w:firstLine="480" w:firstLineChars="200"/>
              <w:rPr>
                <w:rFonts w:hint="default" w:ascii="宋体" w:hAnsi="宋体" w:eastAsia="宋体" w:cs="宋体"/>
                <w:color w:val="auto"/>
                <w:sz w:val="24"/>
                <w:lang w:val="en-US" w:eastAsia="zh-CN"/>
              </w:rPr>
            </w:pPr>
            <w:r>
              <w:rPr>
                <w:rFonts w:hint="eastAsia" w:eastAsia="宋体" w:cs="宋体"/>
                <w:color w:val="auto"/>
                <w:sz w:val="24"/>
                <w:lang w:val="en-US" w:eastAsia="zh-CN"/>
              </w:rPr>
              <w:t>根据建设单位提供资料，现有项目生产用水量为</w:t>
            </w:r>
            <w:r>
              <w:rPr>
                <w:rFonts w:hint="eastAsia" w:ascii="宋体" w:hAnsi="宋体" w:eastAsia="宋体" w:cs="宋体"/>
                <w:color w:val="auto"/>
                <w:sz w:val="24"/>
                <w:lang w:val="en-US" w:eastAsia="zh-CN"/>
              </w:rPr>
              <w:t>1236.9</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/a</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4.95</w:t>
            </w:r>
            <w:r>
              <w:rPr>
                <w:rFonts w:hint="eastAsia" w:ascii="宋体" w:hAnsi="宋体" w:eastAsia="宋体" w:cs="宋体"/>
                <w:color w:val="auto"/>
                <w:sz w:val="24"/>
              </w:rPr>
              <w:t>m</w:t>
            </w:r>
            <w:r>
              <w:rPr>
                <w:rFonts w:hint="eastAsia" w:ascii="宋体" w:hAnsi="宋体" w:eastAsia="宋体" w:cs="宋体"/>
                <w:color w:val="auto"/>
                <w:sz w:val="24"/>
                <w:vertAlign w:val="superscript"/>
              </w:rPr>
              <w:t>3</w:t>
            </w:r>
            <w:r>
              <w:rPr>
                <w:rFonts w:hint="eastAsia" w:ascii="宋体" w:hAnsi="宋体" w:eastAsia="宋体" w:cs="宋体"/>
                <w:color w:val="auto"/>
                <w:sz w:val="24"/>
              </w:rPr>
              <w:t>/d</w:t>
            </w: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从用水量方面分析，生产系统完全可以消纳锅炉</w:t>
            </w:r>
            <w:r>
              <w:rPr>
                <w:rFonts w:hint="eastAsia" w:ascii="宋体" w:hAnsi="宋体" w:eastAsia="宋体" w:cs="宋体"/>
                <w:color w:val="auto"/>
                <w:sz w:val="24"/>
                <w:highlight w:val="none"/>
              </w:rPr>
              <w:t>及软水装置排污水</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同时，现有项目生产系统用水对水质要求不高，</w:t>
            </w:r>
            <w:r>
              <w:rPr>
                <w:rFonts w:hint="eastAsia" w:eastAsia="宋体" w:cs="宋体"/>
                <w:color w:val="auto"/>
                <w:sz w:val="24"/>
                <w:highlight w:val="none"/>
                <w:lang w:val="en-US" w:eastAsia="zh-CN"/>
              </w:rPr>
              <w:t>锅炉及软水装置排污水的主要污染因子为盐类和悬浮物，满足生产用水的要求，</w:t>
            </w:r>
            <w:r>
              <w:rPr>
                <w:rFonts w:hint="eastAsia" w:ascii="宋体" w:hAnsi="宋体" w:eastAsia="宋体" w:cs="宋体"/>
                <w:color w:val="auto"/>
                <w:sz w:val="24"/>
                <w:highlight w:val="none"/>
                <w:lang w:val="en-US" w:eastAsia="zh-CN"/>
              </w:rPr>
              <w:t>因此，从水质方面分析，</w:t>
            </w:r>
            <w:r>
              <w:rPr>
                <w:rFonts w:hint="eastAsia" w:ascii="宋体" w:hAnsi="宋体" w:eastAsia="宋体" w:cs="宋体"/>
                <w:color w:val="auto"/>
                <w:sz w:val="24"/>
                <w:lang w:val="en-US" w:eastAsia="zh-CN"/>
              </w:rPr>
              <w:t>锅炉</w:t>
            </w:r>
            <w:r>
              <w:rPr>
                <w:rFonts w:hint="eastAsia" w:ascii="宋体" w:hAnsi="宋体" w:eastAsia="宋体" w:cs="宋体"/>
                <w:color w:val="auto"/>
                <w:sz w:val="24"/>
                <w:highlight w:val="none"/>
              </w:rPr>
              <w:t>及软水装置排污水</w:t>
            </w:r>
            <w:r>
              <w:rPr>
                <w:rFonts w:hint="eastAsia" w:ascii="宋体" w:hAnsi="宋体" w:eastAsia="宋体" w:cs="宋体"/>
                <w:color w:val="auto"/>
                <w:sz w:val="24"/>
                <w:highlight w:val="none"/>
                <w:lang w:val="en-US" w:eastAsia="zh-CN"/>
              </w:rPr>
              <w:t>回用于生产系统可行，综上所述，技改项目</w:t>
            </w:r>
            <w:r>
              <w:rPr>
                <w:rFonts w:hint="eastAsia" w:ascii="宋体" w:hAnsi="宋体" w:eastAsia="宋体" w:cs="宋体"/>
                <w:color w:val="auto"/>
                <w:sz w:val="24"/>
                <w:lang w:val="en-US" w:eastAsia="zh-CN"/>
              </w:rPr>
              <w:t>锅炉</w:t>
            </w:r>
            <w:r>
              <w:rPr>
                <w:rFonts w:hint="eastAsia" w:ascii="宋体" w:hAnsi="宋体" w:eastAsia="宋体" w:cs="宋体"/>
                <w:color w:val="auto"/>
                <w:sz w:val="24"/>
                <w:highlight w:val="none"/>
              </w:rPr>
              <w:t>及软水装置排污水</w:t>
            </w:r>
            <w:r>
              <w:rPr>
                <w:rFonts w:hint="eastAsia" w:ascii="宋体" w:hAnsi="宋体" w:eastAsia="宋体" w:cs="宋体"/>
                <w:color w:val="auto"/>
                <w:sz w:val="24"/>
                <w:highlight w:val="none"/>
                <w:lang w:val="en-US" w:eastAsia="zh-CN"/>
              </w:rPr>
              <w:t>回用于生产系统（</w:t>
            </w:r>
            <w:r>
              <w:rPr>
                <w:rFonts w:hint="eastAsia" w:eastAsia="宋体" w:cs="宋体"/>
                <w:color w:val="auto"/>
                <w:sz w:val="24"/>
                <w:lang w:val="en-US" w:eastAsia="zh-CN"/>
              </w:rPr>
              <w:t>水相、柠檬酸钠溶液、敏化剂配制</w:t>
            </w:r>
            <w:r>
              <w:rPr>
                <w:rFonts w:hint="eastAsia" w:ascii="宋体" w:hAnsi="宋体" w:eastAsia="宋体" w:cs="宋体"/>
                <w:color w:val="auto"/>
                <w:sz w:val="24"/>
                <w:highlight w:val="none"/>
                <w:lang w:val="en-US" w:eastAsia="zh-CN"/>
              </w:rPr>
              <w:t>）可行。</w:t>
            </w:r>
          </w:p>
          <w:p w14:paraId="4C3EEE14">
            <w:pPr>
              <w:keepNext w:val="0"/>
              <w:keepLines w:val="0"/>
              <w:widowControl/>
              <w:suppressLineNumbers w:val="0"/>
              <w:spacing w:before="0" w:beforeAutospacing="0" w:after="0" w:afterAutospacing="0" w:line="360" w:lineRule="auto"/>
              <w:ind w:left="0" w:right="0" w:firstLine="470" w:firstLineChars="196"/>
              <w:jc w:val="left"/>
              <w:rPr>
                <w:rFonts w:hint="eastAsia" w:ascii="宋体" w:hAnsi="宋体" w:eastAsia="宋体" w:cs="宋体"/>
                <w:color w:val="auto"/>
                <w:sz w:val="24"/>
                <w:lang w:bidi="ar"/>
              </w:rPr>
            </w:pPr>
            <w:r>
              <w:rPr>
                <w:rFonts w:hint="eastAsia" w:ascii="宋体" w:hAnsi="宋体" w:eastAsia="宋体" w:cs="宋体"/>
                <w:color w:val="auto"/>
                <w:sz w:val="24"/>
                <w:lang w:bidi="ar"/>
              </w:rPr>
              <w:t>综上所述，本项目废水合理处置，不排入</w:t>
            </w:r>
            <w:r>
              <w:rPr>
                <w:rFonts w:hint="eastAsia" w:ascii="宋体" w:hAnsi="宋体" w:eastAsia="宋体" w:cs="宋体"/>
                <w:color w:val="auto"/>
                <w:sz w:val="24"/>
                <w:lang w:eastAsia="zh-CN" w:bidi="ar"/>
              </w:rPr>
              <w:t>外</w:t>
            </w:r>
            <w:r>
              <w:rPr>
                <w:rFonts w:hint="eastAsia" w:ascii="宋体" w:hAnsi="宋体" w:eastAsia="宋体" w:cs="宋体"/>
                <w:color w:val="auto"/>
                <w:sz w:val="24"/>
                <w:lang w:bidi="ar"/>
              </w:rPr>
              <w:t>环境，对周围环境影响较小。</w:t>
            </w:r>
          </w:p>
          <w:p w14:paraId="675965D7">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3、噪声环境影响分析及防治措施</w:t>
            </w:r>
          </w:p>
          <w:p w14:paraId="323AC1BB">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kern w:val="0"/>
                <w:sz w:val="24"/>
              </w:rPr>
            </w:pPr>
            <w:r>
              <w:rPr>
                <w:rFonts w:hint="eastAsia" w:ascii="宋体" w:hAnsi="宋体" w:eastAsia="宋体" w:cs="宋体"/>
                <w:bCs/>
                <w:color w:val="auto"/>
                <w:kern w:val="0"/>
                <w:sz w:val="24"/>
              </w:rPr>
              <w:t>（1）噪声源强</w:t>
            </w:r>
          </w:p>
          <w:p w14:paraId="7F251D14">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Cs/>
                <w:color w:val="auto"/>
                <w:kern w:val="0"/>
                <w:sz w:val="24"/>
              </w:rPr>
            </w:pPr>
            <w:r>
              <w:rPr>
                <w:rFonts w:hint="eastAsia" w:ascii="宋体" w:hAnsi="宋体" w:eastAsia="宋体" w:cs="宋体"/>
                <w:bCs/>
                <w:color w:val="auto"/>
                <w:kern w:val="0"/>
                <w:sz w:val="24"/>
                <w:lang w:eastAsia="zh-CN"/>
              </w:rPr>
              <w:t>技改项目新增</w:t>
            </w:r>
            <w:r>
              <w:rPr>
                <w:rFonts w:hint="eastAsia" w:ascii="宋体" w:hAnsi="宋体" w:eastAsia="宋体" w:cs="宋体"/>
                <w:bCs/>
                <w:color w:val="auto"/>
                <w:kern w:val="0"/>
                <w:sz w:val="24"/>
              </w:rPr>
              <w:t>噪声源为锅炉风机</w:t>
            </w:r>
            <w:r>
              <w:rPr>
                <w:rFonts w:hint="eastAsia" w:ascii="宋体" w:hAnsi="宋体" w:eastAsia="宋体" w:cs="宋体"/>
                <w:bCs/>
                <w:color w:val="auto"/>
                <w:kern w:val="0"/>
                <w:sz w:val="24"/>
                <w:lang w:eastAsia="zh-CN"/>
              </w:rPr>
              <w:t>和输油泵</w:t>
            </w:r>
            <w:r>
              <w:rPr>
                <w:rFonts w:hint="eastAsia" w:ascii="宋体" w:hAnsi="宋体" w:eastAsia="宋体" w:cs="宋体"/>
                <w:bCs/>
                <w:color w:val="auto"/>
                <w:kern w:val="0"/>
                <w:sz w:val="24"/>
              </w:rPr>
              <w:t>，噪声源强在85-90dB（A）之间，对主要噪声源</w:t>
            </w:r>
            <w:r>
              <w:rPr>
                <w:rFonts w:hint="eastAsia" w:ascii="宋体" w:hAnsi="宋体" w:eastAsia="宋体" w:cs="宋体"/>
                <w:bCs/>
                <w:color w:val="auto"/>
                <w:kern w:val="0"/>
                <w:sz w:val="24"/>
                <w:lang w:eastAsia="zh-CN"/>
              </w:rPr>
              <w:t>设置</w:t>
            </w:r>
            <w:r>
              <w:rPr>
                <w:rFonts w:hint="eastAsia" w:ascii="宋体" w:hAnsi="宋体" w:eastAsia="宋体" w:cs="宋体"/>
                <w:bCs/>
                <w:color w:val="auto"/>
                <w:kern w:val="0"/>
                <w:sz w:val="24"/>
              </w:rPr>
              <w:t>减振</w:t>
            </w:r>
            <w:r>
              <w:rPr>
                <w:rFonts w:hint="eastAsia" w:ascii="宋体" w:hAnsi="宋体" w:eastAsia="宋体" w:cs="宋体"/>
                <w:bCs/>
                <w:color w:val="auto"/>
                <w:kern w:val="0"/>
                <w:sz w:val="24"/>
                <w:lang w:eastAsia="zh-CN"/>
              </w:rPr>
              <w:t>基础</w:t>
            </w:r>
            <w:r>
              <w:rPr>
                <w:rFonts w:hint="eastAsia" w:ascii="宋体" w:hAnsi="宋体" w:eastAsia="宋体" w:cs="宋体"/>
                <w:bCs/>
                <w:color w:val="auto"/>
                <w:kern w:val="0"/>
                <w:sz w:val="24"/>
              </w:rPr>
              <w:t>，室内安装，泵体基础设弹簧减振动器</w:t>
            </w:r>
            <w:r>
              <w:rPr>
                <w:rFonts w:hint="eastAsia" w:ascii="宋体" w:hAnsi="宋体" w:eastAsia="宋体" w:cs="宋体"/>
                <w:bCs/>
                <w:color w:val="auto"/>
                <w:kern w:val="0"/>
                <w:sz w:val="24"/>
                <w:lang w:eastAsia="zh-CN"/>
              </w:rPr>
              <w:t>等降噪措施</w:t>
            </w:r>
            <w:r>
              <w:rPr>
                <w:rFonts w:hint="eastAsia" w:ascii="宋体" w:hAnsi="宋体" w:eastAsia="宋体" w:cs="宋体"/>
                <w:bCs/>
                <w:color w:val="auto"/>
                <w:kern w:val="0"/>
                <w:sz w:val="24"/>
              </w:rPr>
              <w:t>。</w:t>
            </w:r>
          </w:p>
          <w:p w14:paraId="093B3D5D">
            <w:pPr>
              <w:keepNext w:val="0"/>
              <w:keepLines w:val="0"/>
              <w:suppressLineNumbers w:val="0"/>
              <w:spacing w:before="0" w:beforeAutospacing="0" w:after="0" w:afterAutospacing="0" w:line="260" w:lineRule="exact"/>
              <w:ind w:left="0" w:right="92" w:rightChars="44"/>
              <w:jc w:val="center"/>
              <w:rPr>
                <w:rFonts w:hint="eastAsia" w:ascii="宋体" w:hAnsi="宋体" w:eastAsia="宋体" w:cs="宋体"/>
                <w:b/>
                <w:color w:val="auto"/>
                <w:kern w:val="28"/>
                <w:sz w:val="24"/>
                <w:highlight w:val="none"/>
              </w:rPr>
            </w:pPr>
            <w:r>
              <w:rPr>
                <w:rFonts w:hint="eastAsia" w:ascii="宋体" w:hAnsi="宋体" w:eastAsia="宋体" w:cs="宋体"/>
                <w:b/>
                <w:color w:val="auto"/>
                <w:sz w:val="24"/>
                <w:highlight w:val="none"/>
              </w:rPr>
              <w:t>表</w:t>
            </w:r>
            <w:r>
              <w:rPr>
                <w:rFonts w:hint="eastAsia" w:ascii="宋体" w:hAnsi="宋体" w:eastAsia="宋体" w:cs="宋体"/>
                <w:b/>
                <w:color w:val="auto"/>
                <w:sz w:val="24"/>
                <w:highlight w:val="none"/>
                <w:lang w:val="en-US" w:eastAsia="zh-CN"/>
              </w:rPr>
              <w:t>4-1</w:t>
            </w:r>
            <w:r>
              <w:rPr>
                <w:rFonts w:hint="eastAsia" w:eastAsia="宋体" w:cs="宋体"/>
                <w:b/>
                <w:color w:val="auto"/>
                <w:sz w:val="24"/>
                <w:highlight w:val="none"/>
                <w:lang w:val="en-US" w:eastAsia="zh-CN"/>
              </w:rPr>
              <w:t>1</w:t>
            </w:r>
            <w:r>
              <w:rPr>
                <w:rFonts w:hint="eastAsia" w:ascii="宋体" w:hAnsi="宋体" w:eastAsia="宋体" w:cs="宋体"/>
                <w:b/>
                <w:color w:val="auto"/>
                <w:sz w:val="24"/>
                <w:highlight w:val="none"/>
              </w:rPr>
              <w:t xml:space="preserve"> 主要设备噪声源       单位：dB</w:t>
            </w:r>
            <w:r>
              <w:rPr>
                <w:rFonts w:hint="eastAsia" w:ascii="宋体" w:hAnsi="宋体" w:eastAsia="宋体" w:cs="宋体"/>
                <w:b/>
                <w:color w:val="auto"/>
                <w:kern w:val="28"/>
                <w:sz w:val="24"/>
                <w:highlight w:val="none"/>
              </w:rPr>
              <w:t>（A）</w:t>
            </w:r>
          </w:p>
          <w:tbl>
            <w:tblPr>
              <w:tblStyle w:val="26"/>
              <w:tblW w:w="83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86"/>
              <w:gridCol w:w="510"/>
              <w:gridCol w:w="589"/>
              <w:gridCol w:w="1285"/>
              <w:gridCol w:w="707"/>
              <w:gridCol w:w="1076"/>
              <w:gridCol w:w="338"/>
              <w:gridCol w:w="312"/>
              <w:gridCol w:w="318"/>
              <w:gridCol w:w="692"/>
              <w:gridCol w:w="373"/>
              <w:gridCol w:w="600"/>
              <w:gridCol w:w="574"/>
              <w:gridCol w:w="673"/>
            </w:tblGrid>
            <w:tr w14:paraId="69CD8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286" w:type="dxa"/>
                  <w:vMerge w:val="restart"/>
                  <w:noWrap w:val="0"/>
                  <w:vAlign w:val="center"/>
                </w:tcPr>
                <w:p w14:paraId="70575F75">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序号</w:t>
                  </w:r>
                </w:p>
              </w:tc>
              <w:tc>
                <w:tcPr>
                  <w:tcW w:w="510" w:type="dxa"/>
                  <w:vMerge w:val="restart"/>
                  <w:noWrap w:val="0"/>
                  <w:vAlign w:val="center"/>
                </w:tcPr>
                <w:p w14:paraId="41775547">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建筑物名称</w:t>
                  </w:r>
                </w:p>
              </w:tc>
              <w:tc>
                <w:tcPr>
                  <w:tcW w:w="589" w:type="dxa"/>
                  <w:vMerge w:val="restart"/>
                  <w:noWrap w:val="0"/>
                  <w:vAlign w:val="center"/>
                </w:tcPr>
                <w:p w14:paraId="44D77D75">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声源名称</w:t>
                  </w:r>
                </w:p>
              </w:tc>
              <w:tc>
                <w:tcPr>
                  <w:tcW w:w="1992" w:type="dxa"/>
                  <w:gridSpan w:val="2"/>
                  <w:noWrap w:val="0"/>
                  <w:vAlign w:val="center"/>
                </w:tcPr>
                <w:p w14:paraId="0E7B15C2">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声源源强（任选一种）</w:t>
                  </w:r>
                </w:p>
              </w:tc>
              <w:tc>
                <w:tcPr>
                  <w:tcW w:w="1076" w:type="dxa"/>
                  <w:vMerge w:val="restart"/>
                  <w:noWrap w:val="0"/>
                  <w:vAlign w:val="center"/>
                </w:tcPr>
                <w:p w14:paraId="536D1795">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声源控制</w:t>
                  </w:r>
                </w:p>
                <w:p w14:paraId="4C8A8A9E">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措施</w:t>
                  </w:r>
                </w:p>
              </w:tc>
              <w:tc>
                <w:tcPr>
                  <w:tcW w:w="968" w:type="dxa"/>
                  <w:gridSpan w:val="3"/>
                  <w:noWrap w:val="0"/>
                  <w:vAlign w:val="center"/>
                </w:tcPr>
                <w:p w14:paraId="1DDA2379">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空间相对位置/m</w:t>
                  </w:r>
                </w:p>
              </w:tc>
              <w:tc>
                <w:tcPr>
                  <w:tcW w:w="692" w:type="dxa"/>
                  <w:vMerge w:val="restart"/>
                  <w:noWrap w:val="0"/>
                  <w:vAlign w:val="center"/>
                </w:tcPr>
                <w:p w14:paraId="3DC9B53D">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距室内边界声级/dB(A)</w:t>
                  </w:r>
                </w:p>
              </w:tc>
              <w:tc>
                <w:tcPr>
                  <w:tcW w:w="373" w:type="dxa"/>
                  <w:vMerge w:val="restart"/>
                  <w:noWrap w:val="0"/>
                  <w:vAlign w:val="center"/>
                </w:tcPr>
                <w:p w14:paraId="1F29ACB4">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运行时段</w:t>
                  </w:r>
                </w:p>
              </w:tc>
              <w:tc>
                <w:tcPr>
                  <w:tcW w:w="600" w:type="dxa"/>
                  <w:vMerge w:val="restart"/>
                  <w:noWrap w:val="0"/>
                  <w:vAlign w:val="center"/>
                </w:tcPr>
                <w:p w14:paraId="7140F905">
                  <w:pPr>
                    <w:keepNext w:val="0"/>
                    <w:keepLines w:val="0"/>
                    <w:suppressLineNumbers w:val="0"/>
                    <w:spacing w:before="0" w:beforeAutospacing="0" w:after="0" w:afterAutospacing="0" w:line="320" w:lineRule="exact"/>
                    <w:ind w:left="0" w:right="0"/>
                    <w:jc w:val="center"/>
                    <w:rPr>
                      <w:rFonts w:hint="default"/>
                      <w:sz w:val="18"/>
                      <w:szCs w:val="18"/>
                    </w:rPr>
                  </w:pPr>
                  <w:r>
                    <w:rPr>
                      <w:rFonts w:hint="default"/>
                      <w:b/>
                      <w:bCs/>
                      <w:sz w:val="18"/>
                      <w:szCs w:val="18"/>
                    </w:rPr>
                    <w:t>建筑物插入损失/dB(A)</w:t>
                  </w:r>
                </w:p>
              </w:tc>
              <w:tc>
                <w:tcPr>
                  <w:tcW w:w="1247" w:type="dxa"/>
                  <w:gridSpan w:val="2"/>
                  <w:noWrap w:val="0"/>
                  <w:vAlign w:val="center"/>
                </w:tcPr>
                <w:p w14:paraId="620E79D3">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建筑物外噪声</w:t>
                  </w:r>
                </w:p>
              </w:tc>
            </w:tr>
            <w:tr w14:paraId="4F8D5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86" w:type="dxa"/>
                  <w:vMerge w:val="continue"/>
                  <w:noWrap w:val="0"/>
                  <w:vAlign w:val="center"/>
                </w:tcPr>
                <w:p w14:paraId="4359EBFC">
                  <w:pPr>
                    <w:keepNext w:val="0"/>
                    <w:keepLines w:val="0"/>
                    <w:suppressLineNumbers w:val="0"/>
                    <w:spacing w:before="0" w:beforeAutospacing="0" w:after="0" w:afterAutospacing="0" w:line="320" w:lineRule="exact"/>
                    <w:ind w:left="0" w:right="0"/>
                    <w:jc w:val="center"/>
                    <w:rPr>
                      <w:rFonts w:hint="default"/>
                      <w:sz w:val="18"/>
                      <w:szCs w:val="18"/>
                    </w:rPr>
                  </w:pPr>
                </w:p>
              </w:tc>
              <w:tc>
                <w:tcPr>
                  <w:tcW w:w="510" w:type="dxa"/>
                  <w:vMerge w:val="continue"/>
                  <w:noWrap w:val="0"/>
                  <w:vAlign w:val="center"/>
                </w:tcPr>
                <w:p w14:paraId="6FF8DFA8">
                  <w:pPr>
                    <w:keepNext w:val="0"/>
                    <w:keepLines w:val="0"/>
                    <w:suppressLineNumbers w:val="0"/>
                    <w:spacing w:before="0" w:beforeAutospacing="0" w:after="0" w:afterAutospacing="0" w:line="320" w:lineRule="exact"/>
                    <w:ind w:left="0" w:right="0"/>
                    <w:jc w:val="center"/>
                    <w:rPr>
                      <w:rFonts w:hint="default"/>
                      <w:sz w:val="18"/>
                      <w:szCs w:val="18"/>
                    </w:rPr>
                  </w:pPr>
                </w:p>
              </w:tc>
              <w:tc>
                <w:tcPr>
                  <w:tcW w:w="589" w:type="dxa"/>
                  <w:vMerge w:val="continue"/>
                  <w:noWrap w:val="0"/>
                  <w:vAlign w:val="center"/>
                </w:tcPr>
                <w:p w14:paraId="4055CA57">
                  <w:pPr>
                    <w:keepNext w:val="0"/>
                    <w:keepLines w:val="0"/>
                    <w:suppressLineNumbers w:val="0"/>
                    <w:spacing w:before="0" w:beforeAutospacing="0" w:after="0" w:afterAutospacing="0" w:line="320" w:lineRule="exact"/>
                    <w:ind w:left="0" w:right="0"/>
                    <w:jc w:val="center"/>
                    <w:rPr>
                      <w:rFonts w:hint="default"/>
                      <w:sz w:val="18"/>
                      <w:szCs w:val="18"/>
                    </w:rPr>
                  </w:pPr>
                </w:p>
              </w:tc>
              <w:tc>
                <w:tcPr>
                  <w:tcW w:w="1285" w:type="dxa"/>
                  <w:noWrap w:val="0"/>
                  <w:vAlign w:val="center"/>
                </w:tcPr>
                <w:p w14:paraId="5708C5F0">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声压级/距声源距离（dB(A)/m）</w:t>
                  </w:r>
                </w:p>
              </w:tc>
              <w:tc>
                <w:tcPr>
                  <w:tcW w:w="707" w:type="dxa"/>
                  <w:noWrap w:val="0"/>
                  <w:vAlign w:val="center"/>
                </w:tcPr>
                <w:p w14:paraId="50947A96">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声功率级/dB(A)</w:t>
                  </w:r>
                </w:p>
              </w:tc>
              <w:tc>
                <w:tcPr>
                  <w:tcW w:w="1076" w:type="dxa"/>
                  <w:vMerge w:val="continue"/>
                  <w:noWrap w:val="0"/>
                  <w:vAlign w:val="center"/>
                </w:tcPr>
                <w:p w14:paraId="09C6D8F8">
                  <w:pPr>
                    <w:keepNext w:val="0"/>
                    <w:keepLines w:val="0"/>
                    <w:suppressLineNumbers w:val="0"/>
                    <w:spacing w:before="0" w:beforeAutospacing="0" w:after="0" w:afterAutospacing="0" w:line="320" w:lineRule="exact"/>
                    <w:ind w:left="0" w:right="0"/>
                    <w:jc w:val="center"/>
                    <w:rPr>
                      <w:rFonts w:hint="default"/>
                      <w:sz w:val="18"/>
                      <w:szCs w:val="18"/>
                    </w:rPr>
                  </w:pPr>
                </w:p>
              </w:tc>
              <w:tc>
                <w:tcPr>
                  <w:tcW w:w="338" w:type="dxa"/>
                  <w:noWrap w:val="0"/>
                  <w:vAlign w:val="center"/>
                </w:tcPr>
                <w:p w14:paraId="5F5D0415">
                  <w:pPr>
                    <w:keepNext w:val="0"/>
                    <w:keepLines w:val="0"/>
                    <w:suppressLineNumbers w:val="0"/>
                    <w:spacing w:before="0" w:beforeAutospacing="0" w:after="0" w:afterAutospacing="0" w:line="320" w:lineRule="exact"/>
                    <w:ind w:left="0" w:right="0"/>
                    <w:jc w:val="center"/>
                    <w:rPr>
                      <w:rFonts w:hint="default"/>
                      <w:sz w:val="18"/>
                      <w:szCs w:val="18"/>
                    </w:rPr>
                  </w:pPr>
                  <w:r>
                    <w:rPr>
                      <w:rFonts w:hint="default"/>
                      <w:sz w:val="18"/>
                      <w:szCs w:val="18"/>
                    </w:rPr>
                    <w:t>X</w:t>
                  </w:r>
                </w:p>
              </w:tc>
              <w:tc>
                <w:tcPr>
                  <w:tcW w:w="312" w:type="dxa"/>
                  <w:noWrap w:val="0"/>
                  <w:vAlign w:val="center"/>
                </w:tcPr>
                <w:p w14:paraId="7FED41DE">
                  <w:pPr>
                    <w:keepNext w:val="0"/>
                    <w:keepLines w:val="0"/>
                    <w:suppressLineNumbers w:val="0"/>
                    <w:spacing w:before="0" w:beforeAutospacing="0" w:after="0" w:afterAutospacing="0" w:line="320" w:lineRule="exact"/>
                    <w:ind w:left="0" w:right="0"/>
                    <w:jc w:val="center"/>
                    <w:rPr>
                      <w:rFonts w:hint="default"/>
                      <w:sz w:val="18"/>
                      <w:szCs w:val="18"/>
                    </w:rPr>
                  </w:pPr>
                  <w:r>
                    <w:rPr>
                      <w:rFonts w:hint="default"/>
                      <w:sz w:val="18"/>
                      <w:szCs w:val="18"/>
                    </w:rPr>
                    <w:t>Y</w:t>
                  </w:r>
                </w:p>
              </w:tc>
              <w:tc>
                <w:tcPr>
                  <w:tcW w:w="318" w:type="dxa"/>
                  <w:noWrap w:val="0"/>
                  <w:vAlign w:val="center"/>
                </w:tcPr>
                <w:p w14:paraId="4DDA1F2A">
                  <w:pPr>
                    <w:keepNext w:val="0"/>
                    <w:keepLines w:val="0"/>
                    <w:suppressLineNumbers w:val="0"/>
                    <w:spacing w:before="0" w:beforeAutospacing="0" w:after="0" w:afterAutospacing="0" w:line="320" w:lineRule="exact"/>
                    <w:ind w:left="0" w:right="0"/>
                    <w:jc w:val="center"/>
                    <w:rPr>
                      <w:rFonts w:hint="default"/>
                      <w:sz w:val="18"/>
                      <w:szCs w:val="18"/>
                    </w:rPr>
                  </w:pPr>
                  <w:r>
                    <w:rPr>
                      <w:rFonts w:hint="default"/>
                      <w:sz w:val="18"/>
                      <w:szCs w:val="18"/>
                    </w:rPr>
                    <w:t>Z</w:t>
                  </w:r>
                </w:p>
              </w:tc>
              <w:tc>
                <w:tcPr>
                  <w:tcW w:w="692" w:type="dxa"/>
                  <w:vMerge w:val="continue"/>
                  <w:noWrap w:val="0"/>
                  <w:vAlign w:val="center"/>
                </w:tcPr>
                <w:p w14:paraId="6D4C0545">
                  <w:pPr>
                    <w:keepNext w:val="0"/>
                    <w:keepLines w:val="0"/>
                    <w:suppressLineNumbers w:val="0"/>
                    <w:spacing w:before="0" w:beforeAutospacing="0" w:after="0" w:afterAutospacing="0" w:line="320" w:lineRule="exact"/>
                    <w:ind w:left="0" w:right="0"/>
                    <w:jc w:val="center"/>
                    <w:rPr>
                      <w:rFonts w:hint="default"/>
                      <w:sz w:val="18"/>
                      <w:szCs w:val="18"/>
                    </w:rPr>
                  </w:pPr>
                </w:p>
              </w:tc>
              <w:tc>
                <w:tcPr>
                  <w:tcW w:w="373" w:type="dxa"/>
                  <w:vMerge w:val="continue"/>
                  <w:noWrap w:val="0"/>
                  <w:vAlign w:val="center"/>
                </w:tcPr>
                <w:p w14:paraId="7C5CBE1A">
                  <w:pPr>
                    <w:keepNext w:val="0"/>
                    <w:keepLines w:val="0"/>
                    <w:suppressLineNumbers w:val="0"/>
                    <w:spacing w:before="0" w:beforeAutospacing="0" w:after="0" w:afterAutospacing="0" w:line="320" w:lineRule="exact"/>
                    <w:ind w:left="0" w:right="0"/>
                    <w:jc w:val="center"/>
                    <w:rPr>
                      <w:rFonts w:hint="default"/>
                      <w:sz w:val="18"/>
                      <w:szCs w:val="18"/>
                    </w:rPr>
                  </w:pPr>
                </w:p>
              </w:tc>
              <w:tc>
                <w:tcPr>
                  <w:tcW w:w="600" w:type="dxa"/>
                  <w:vMerge w:val="continue"/>
                  <w:noWrap w:val="0"/>
                  <w:vAlign w:val="center"/>
                </w:tcPr>
                <w:p w14:paraId="54001418">
                  <w:pPr>
                    <w:keepNext w:val="0"/>
                    <w:keepLines w:val="0"/>
                    <w:suppressLineNumbers w:val="0"/>
                    <w:spacing w:before="0" w:beforeAutospacing="0" w:after="0" w:afterAutospacing="0" w:line="320" w:lineRule="exact"/>
                    <w:ind w:left="0" w:right="0"/>
                    <w:jc w:val="center"/>
                    <w:rPr>
                      <w:rFonts w:hint="default"/>
                      <w:sz w:val="18"/>
                      <w:szCs w:val="18"/>
                    </w:rPr>
                  </w:pPr>
                </w:p>
              </w:tc>
              <w:tc>
                <w:tcPr>
                  <w:tcW w:w="574" w:type="dxa"/>
                  <w:noWrap w:val="0"/>
                  <w:vAlign w:val="center"/>
                </w:tcPr>
                <w:p w14:paraId="619C1145">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声压级/dB(A)</w:t>
                  </w:r>
                </w:p>
              </w:tc>
              <w:tc>
                <w:tcPr>
                  <w:tcW w:w="673" w:type="dxa"/>
                  <w:noWrap w:val="0"/>
                  <w:vAlign w:val="center"/>
                </w:tcPr>
                <w:p w14:paraId="6A1BBF88">
                  <w:pPr>
                    <w:keepNext w:val="0"/>
                    <w:keepLines w:val="0"/>
                    <w:suppressLineNumbers w:val="0"/>
                    <w:spacing w:before="0" w:beforeAutospacing="0" w:after="0" w:afterAutospacing="0" w:line="320" w:lineRule="exact"/>
                    <w:ind w:left="0" w:right="0"/>
                    <w:jc w:val="center"/>
                    <w:rPr>
                      <w:rFonts w:hint="default"/>
                      <w:b/>
                      <w:bCs/>
                      <w:sz w:val="18"/>
                      <w:szCs w:val="18"/>
                    </w:rPr>
                  </w:pPr>
                  <w:r>
                    <w:rPr>
                      <w:rFonts w:hint="default"/>
                      <w:b/>
                      <w:bCs/>
                      <w:sz w:val="18"/>
                      <w:szCs w:val="18"/>
                    </w:rPr>
                    <w:t>建筑物外距离/m</w:t>
                  </w:r>
                </w:p>
              </w:tc>
            </w:tr>
            <w:tr w14:paraId="02415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286" w:type="dxa"/>
                  <w:noWrap w:val="0"/>
                  <w:vAlign w:val="center"/>
                </w:tcPr>
                <w:p w14:paraId="4C2965DE">
                  <w:pPr>
                    <w:keepNext w:val="0"/>
                    <w:keepLines w:val="0"/>
                    <w:suppressLineNumbers w:val="0"/>
                    <w:spacing w:before="0" w:beforeAutospacing="0" w:after="0" w:afterAutospacing="0" w:line="320" w:lineRule="exact"/>
                    <w:ind w:left="0" w:right="0"/>
                    <w:jc w:val="center"/>
                    <w:rPr>
                      <w:rFonts w:hint="default"/>
                      <w:sz w:val="18"/>
                      <w:szCs w:val="18"/>
                    </w:rPr>
                  </w:pPr>
                  <w:r>
                    <w:rPr>
                      <w:rFonts w:hint="default"/>
                      <w:sz w:val="18"/>
                      <w:szCs w:val="18"/>
                    </w:rPr>
                    <w:t>1</w:t>
                  </w:r>
                </w:p>
              </w:tc>
              <w:tc>
                <w:tcPr>
                  <w:tcW w:w="510" w:type="dxa"/>
                  <w:vMerge w:val="restart"/>
                  <w:noWrap w:val="0"/>
                  <w:vAlign w:val="center"/>
                </w:tcPr>
                <w:p w14:paraId="2C612009">
                  <w:pPr>
                    <w:keepNext w:val="0"/>
                    <w:keepLines w:val="0"/>
                    <w:suppressLineNumbers w:val="0"/>
                    <w:spacing w:before="0" w:beforeAutospacing="0" w:after="0" w:afterAutospacing="0" w:line="320" w:lineRule="exact"/>
                    <w:ind w:left="0" w:right="0"/>
                    <w:jc w:val="center"/>
                    <w:rPr>
                      <w:rFonts w:hint="eastAsia" w:eastAsiaTheme="minorEastAsia"/>
                      <w:sz w:val="18"/>
                      <w:szCs w:val="18"/>
                      <w:lang w:eastAsia="zh-CN"/>
                    </w:rPr>
                  </w:pPr>
                  <w:r>
                    <w:rPr>
                      <w:rFonts w:hint="eastAsia"/>
                      <w:sz w:val="18"/>
                      <w:szCs w:val="18"/>
                      <w:lang w:val="en-US" w:eastAsia="zh-CN"/>
                    </w:rPr>
                    <w:t>锅炉房</w:t>
                  </w:r>
                </w:p>
              </w:tc>
              <w:tc>
                <w:tcPr>
                  <w:tcW w:w="589" w:type="dxa"/>
                  <w:noWrap w:val="0"/>
                  <w:vAlign w:val="center"/>
                </w:tcPr>
                <w:p w14:paraId="0D584113">
                  <w:pPr>
                    <w:keepNext w:val="0"/>
                    <w:keepLines w:val="0"/>
                    <w:widowControl/>
                    <w:suppressLineNumbers w:val="0"/>
                    <w:spacing w:before="0" w:beforeAutospacing="0" w:after="0" w:afterAutospacing="0" w:line="320" w:lineRule="exact"/>
                    <w:ind w:left="0" w:right="0"/>
                    <w:jc w:val="center"/>
                    <w:rPr>
                      <w:rFonts w:hint="default" w:eastAsiaTheme="minorEastAsia"/>
                      <w:sz w:val="18"/>
                      <w:szCs w:val="18"/>
                      <w:lang w:val="en-US" w:eastAsia="zh-CN"/>
                    </w:rPr>
                  </w:pPr>
                  <w:r>
                    <w:rPr>
                      <w:rFonts w:hint="eastAsia"/>
                      <w:sz w:val="18"/>
                      <w:szCs w:val="18"/>
                      <w:lang w:val="en-US" w:eastAsia="zh-CN"/>
                    </w:rPr>
                    <w:t>锅炉风机</w:t>
                  </w:r>
                </w:p>
              </w:tc>
              <w:tc>
                <w:tcPr>
                  <w:tcW w:w="1285" w:type="dxa"/>
                  <w:noWrap w:val="0"/>
                  <w:vAlign w:val="center"/>
                </w:tcPr>
                <w:p w14:paraId="6ED72D79">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lang w:val="en-US" w:eastAsia="zh-CN"/>
                    </w:rPr>
                    <w:t>90</w:t>
                  </w:r>
                  <w:r>
                    <w:rPr>
                      <w:rFonts w:hint="default"/>
                      <w:sz w:val="18"/>
                      <w:szCs w:val="18"/>
                    </w:rPr>
                    <w:t>/1</w:t>
                  </w:r>
                </w:p>
              </w:tc>
              <w:tc>
                <w:tcPr>
                  <w:tcW w:w="707" w:type="dxa"/>
                  <w:noWrap w:val="0"/>
                  <w:vAlign w:val="center"/>
                </w:tcPr>
                <w:p w14:paraId="4A32F4AC">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w:t>
                  </w:r>
                </w:p>
              </w:tc>
              <w:tc>
                <w:tcPr>
                  <w:tcW w:w="1076" w:type="dxa"/>
                  <w:vMerge w:val="restart"/>
                  <w:noWrap w:val="0"/>
                  <w:vAlign w:val="center"/>
                </w:tcPr>
                <w:p w14:paraId="42BA400A">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选购低噪声设备，全封闭厂房隔音，设置减振基础</w:t>
                  </w:r>
                </w:p>
              </w:tc>
              <w:tc>
                <w:tcPr>
                  <w:tcW w:w="338" w:type="dxa"/>
                  <w:noWrap w:val="0"/>
                  <w:vAlign w:val="center"/>
                </w:tcPr>
                <w:p w14:paraId="1A579BF1">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10</w:t>
                  </w:r>
                </w:p>
              </w:tc>
              <w:tc>
                <w:tcPr>
                  <w:tcW w:w="312" w:type="dxa"/>
                  <w:noWrap w:val="0"/>
                  <w:vAlign w:val="center"/>
                </w:tcPr>
                <w:p w14:paraId="52B9D0C1">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15</w:t>
                  </w:r>
                </w:p>
              </w:tc>
              <w:tc>
                <w:tcPr>
                  <w:tcW w:w="318" w:type="dxa"/>
                  <w:noWrap w:val="0"/>
                  <w:vAlign w:val="center"/>
                </w:tcPr>
                <w:p w14:paraId="2CEDB125">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1</w:t>
                  </w:r>
                </w:p>
              </w:tc>
              <w:tc>
                <w:tcPr>
                  <w:tcW w:w="692" w:type="dxa"/>
                  <w:noWrap w:val="0"/>
                  <w:vAlign w:val="center"/>
                </w:tcPr>
                <w:p w14:paraId="3FF06CDE">
                  <w:pPr>
                    <w:keepNext w:val="0"/>
                    <w:keepLines w:val="0"/>
                    <w:widowControl/>
                    <w:suppressLineNumbers w:val="0"/>
                    <w:spacing w:before="0" w:beforeAutospacing="0" w:after="0" w:afterAutospacing="0" w:line="320" w:lineRule="exact"/>
                    <w:ind w:left="0" w:right="0"/>
                    <w:jc w:val="center"/>
                    <w:rPr>
                      <w:rFonts w:hint="default" w:eastAsiaTheme="minorEastAsia"/>
                      <w:sz w:val="18"/>
                      <w:szCs w:val="18"/>
                      <w:lang w:val="en-US" w:eastAsia="zh-CN"/>
                    </w:rPr>
                  </w:pPr>
                  <w:r>
                    <w:rPr>
                      <w:rFonts w:hint="eastAsia"/>
                      <w:sz w:val="18"/>
                      <w:szCs w:val="18"/>
                      <w:lang w:val="en-US" w:eastAsia="zh-CN"/>
                    </w:rPr>
                    <w:t>80.5</w:t>
                  </w:r>
                </w:p>
              </w:tc>
              <w:tc>
                <w:tcPr>
                  <w:tcW w:w="373" w:type="dxa"/>
                  <w:noWrap w:val="0"/>
                  <w:vAlign w:val="center"/>
                </w:tcPr>
                <w:p w14:paraId="202E0EE6">
                  <w:pPr>
                    <w:keepNext w:val="0"/>
                    <w:keepLines w:val="0"/>
                    <w:widowControl/>
                    <w:suppressLineNumbers w:val="0"/>
                    <w:spacing w:before="0" w:beforeAutospacing="0" w:after="0" w:afterAutospacing="0" w:line="320" w:lineRule="exact"/>
                    <w:ind w:left="0" w:right="0"/>
                    <w:jc w:val="center"/>
                    <w:rPr>
                      <w:rFonts w:hint="default"/>
                      <w:sz w:val="18"/>
                      <w:szCs w:val="18"/>
                    </w:rPr>
                  </w:pPr>
                  <w:r>
                    <w:rPr>
                      <w:rFonts w:hint="eastAsia"/>
                      <w:sz w:val="18"/>
                      <w:szCs w:val="18"/>
                      <w:lang w:val="en-US" w:eastAsia="zh-CN"/>
                    </w:rPr>
                    <w:t>8</w:t>
                  </w:r>
                  <w:r>
                    <w:rPr>
                      <w:rFonts w:hint="default"/>
                      <w:sz w:val="18"/>
                      <w:szCs w:val="18"/>
                    </w:rPr>
                    <w:t>h</w:t>
                  </w:r>
                </w:p>
                <w:p w14:paraId="3A343962">
                  <w:pPr>
                    <w:keepNext w:val="0"/>
                    <w:keepLines w:val="0"/>
                    <w:widowControl/>
                    <w:suppressLineNumbers w:val="0"/>
                    <w:spacing w:before="0" w:beforeAutospacing="0" w:after="0" w:afterAutospacing="0" w:line="320" w:lineRule="exact"/>
                    <w:ind w:left="0" w:right="0"/>
                    <w:jc w:val="center"/>
                    <w:rPr>
                      <w:rFonts w:hint="default"/>
                      <w:sz w:val="18"/>
                      <w:szCs w:val="18"/>
                    </w:rPr>
                  </w:pPr>
                  <w:r>
                    <w:rPr>
                      <w:rFonts w:hint="eastAsia"/>
                      <w:sz w:val="18"/>
                      <w:szCs w:val="18"/>
                    </w:rPr>
                    <w:t>运行</w:t>
                  </w:r>
                </w:p>
              </w:tc>
              <w:tc>
                <w:tcPr>
                  <w:tcW w:w="600" w:type="dxa"/>
                  <w:noWrap w:val="0"/>
                  <w:vAlign w:val="center"/>
                </w:tcPr>
                <w:p w14:paraId="4DD9E306">
                  <w:pPr>
                    <w:keepNext w:val="0"/>
                    <w:keepLines w:val="0"/>
                    <w:widowControl/>
                    <w:suppressLineNumbers w:val="0"/>
                    <w:spacing w:before="0" w:beforeAutospacing="0" w:after="0" w:afterAutospacing="0" w:line="320" w:lineRule="exact"/>
                    <w:ind w:left="0" w:right="0"/>
                    <w:jc w:val="center"/>
                    <w:rPr>
                      <w:rFonts w:hint="default" w:eastAsiaTheme="minorEastAsia"/>
                      <w:sz w:val="18"/>
                      <w:szCs w:val="18"/>
                      <w:lang w:val="en-US" w:eastAsia="zh-CN"/>
                    </w:rPr>
                  </w:pPr>
                  <w:r>
                    <w:rPr>
                      <w:rFonts w:hint="eastAsia"/>
                      <w:sz w:val="18"/>
                      <w:szCs w:val="18"/>
                      <w:lang w:val="en-US" w:eastAsia="zh-CN"/>
                    </w:rPr>
                    <w:t>20</w:t>
                  </w:r>
                </w:p>
              </w:tc>
              <w:tc>
                <w:tcPr>
                  <w:tcW w:w="574" w:type="dxa"/>
                  <w:noWrap w:val="0"/>
                  <w:vAlign w:val="center"/>
                </w:tcPr>
                <w:p w14:paraId="023D99DC">
                  <w:pPr>
                    <w:keepNext w:val="0"/>
                    <w:keepLines w:val="0"/>
                    <w:widowControl/>
                    <w:suppressLineNumbers w:val="0"/>
                    <w:spacing w:before="0" w:beforeAutospacing="0" w:after="0" w:afterAutospacing="0" w:line="320" w:lineRule="exact"/>
                    <w:ind w:left="0" w:right="0"/>
                    <w:jc w:val="center"/>
                    <w:rPr>
                      <w:rFonts w:hint="default" w:eastAsiaTheme="minorEastAsia"/>
                      <w:sz w:val="18"/>
                      <w:szCs w:val="18"/>
                      <w:lang w:val="en-US" w:eastAsia="zh-CN"/>
                    </w:rPr>
                  </w:pPr>
                  <w:r>
                    <w:rPr>
                      <w:rFonts w:hint="eastAsia"/>
                      <w:sz w:val="18"/>
                      <w:szCs w:val="18"/>
                    </w:rPr>
                    <w:t>60</w:t>
                  </w:r>
                  <w:r>
                    <w:rPr>
                      <w:rFonts w:hint="eastAsia"/>
                      <w:sz w:val="18"/>
                      <w:szCs w:val="18"/>
                      <w:lang w:val="en-US" w:eastAsia="zh-CN"/>
                    </w:rPr>
                    <w:t>.5</w:t>
                  </w:r>
                </w:p>
              </w:tc>
              <w:tc>
                <w:tcPr>
                  <w:tcW w:w="673" w:type="dxa"/>
                  <w:noWrap w:val="0"/>
                  <w:vAlign w:val="center"/>
                </w:tcPr>
                <w:p w14:paraId="699A6035">
                  <w:pPr>
                    <w:keepNext w:val="0"/>
                    <w:keepLines w:val="0"/>
                    <w:widowControl/>
                    <w:suppressLineNumbers w:val="0"/>
                    <w:spacing w:before="0" w:beforeAutospacing="0" w:after="0" w:afterAutospacing="0" w:line="320" w:lineRule="exact"/>
                    <w:ind w:left="0" w:right="0"/>
                    <w:jc w:val="center"/>
                    <w:rPr>
                      <w:rFonts w:hint="default"/>
                      <w:sz w:val="18"/>
                      <w:szCs w:val="18"/>
                    </w:rPr>
                  </w:pPr>
                  <w:r>
                    <w:rPr>
                      <w:rFonts w:hint="default"/>
                      <w:sz w:val="18"/>
                      <w:szCs w:val="18"/>
                    </w:rPr>
                    <w:t>1</w:t>
                  </w:r>
                </w:p>
              </w:tc>
            </w:tr>
            <w:tr w14:paraId="12495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0" w:hRule="atLeast"/>
                <w:jc w:val="center"/>
              </w:trPr>
              <w:tc>
                <w:tcPr>
                  <w:tcW w:w="286" w:type="dxa"/>
                  <w:noWrap w:val="0"/>
                  <w:vAlign w:val="center"/>
                </w:tcPr>
                <w:p w14:paraId="6816B95F">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2</w:t>
                  </w:r>
                </w:p>
              </w:tc>
              <w:tc>
                <w:tcPr>
                  <w:tcW w:w="510" w:type="dxa"/>
                  <w:vMerge w:val="continue"/>
                  <w:noWrap w:val="0"/>
                  <w:vAlign w:val="center"/>
                </w:tcPr>
                <w:p w14:paraId="2B213826">
                  <w:pPr>
                    <w:keepNext w:val="0"/>
                    <w:keepLines w:val="0"/>
                    <w:suppressLineNumbers w:val="0"/>
                    <w:spacing w:before="0" w:beforeAutospacing="0" w:after="0" w:afterAutospacing="0" w:line="320" w:lineRule="exact"/>
                    <w:ind w:left="0" w:right="0"/>
                    <w:jc w:val="center"/>
                    <w:rPr>
                      <w:rFonts w:hint="eastAsia"/>
                      <w:sz w:val="18"/>
                      <w:szCs w:val="18"/>
                    </w:rPr>
                  </w:pPr>
                </w:p>
              </w:tc>
              <w:tc>
                <w:tcPr>
                  <w:tcW w:w="589" w:type="dxa"/>
                  <w:noWrap w:val="0"/>
                  <w:vAlign w:val="center"/>
                </w:tcPr>
                <w:p w14:paraId="110DDEA9">
                  <w:pPr>
                    <w:keepNext w:val="0"/>
                    <w:keepLines w:val="0"/>
                    <w:widowControl/>
                    <w:suppressLineNumbers w:val="0"/>
                    <w:spacing w:before="0" w:beforeAutospacing="0" w:after="0" w:afterAutospacing="0" w:line="320" w:lineRule="exact"/>
                    <w:ind w:left="0" w:right="0"/>
                    <w:jc w:val="center"/>
                    <w:rPr>
                      <w:rFonts w:hint="eastAsia" w:eastAsiaTheme="minorEastAsia"/>
                      <w:sz w:val="18"/>
                      <w:szCs w:val="18"/>
                      <w:lang w:eastAsia="zh-CN"/>
                    </w:rPr>
                  </w:pPr>
                  <w:r>
                    <w:rPr>
                      <w:rFonts w:hint="eastAsia"/>
                      <w:sz w:val="18"/>
                      <w:szCs w:val="18"/>
                      <w:lang w:val="en-US" w:eastAsia="zh-CN"/>
                    </w:rPr>
                    <w:t>输油泵</w:t>
                  </w:r>
                </w:p>
              </w:tc>
              <w:tc>
                <w:tcPr>
                  <w:tcW w:w="1285" w:type="dxa"/>
                  <w:noWrap w:val="0"/>
                  <w:vAlign w:val="center"/>
                </w:tcPr>
                <w:p w14:paraId="7E6B9322">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lang w:val="en-US" w:eastAsia="zh-CN"/>
                    </w:rPr>
                    <w:t>85</w:t>
                  </w:r>
                  <w:r>
                    <w:rPr>
                      <w:rFonts w:hint="default"/>
                      <w:sz w:val="18"/>
                      <w:szCs w:val="18"/>
                    </w:rPr>
                    <w:t>/1</w:t>
                  </w:r>
                </w:p>
              </w:tc>
              <w:tc>
                <w:tcPr>
                  <w:tcW w:w="707" w:type="dxa"/>
                  <w:noWrap w:val="0"/>
                  <w:vAlign w:val="center"/>
                </w:tcPr>
                <w:p w14:paraId="45691524">
                  <w:pPr>
                    <w:keepNext w:val="0"/>
                    <w:keepLines w:val="0"/>
                    <w:suppressLineNumbers w:val="0"/>
                    <w:spacing w:before="0" w:beforeAutospacing="0" w:after="0" w:afterAutospacing="0" w:line="320" w:lineRule="exact"/>
                    <w:ind w:left="0" w:right="0"/>
                    <w:jc w:val="center"/>
                    <w:rPr>
                      <w:rFonts w:hint="eastAsia"/>
                      <w:sz w:val="18"/>
                      <w:szCs w:val="18"/>
                    </w:rPr>
                  </w:pPr>
                  <w:r>
                    <w:rPr>
                      <w:rFonts w:hint="eastAsia"/>
                      <w:sz w:val="18"/>
                      <w:szCs w:val="18"/>
                    </w:rPr>
                    <w:t>/</w:t>
                  </w:r>
                </w:p>
              </w:tc>
              <w:tc>
                <w:tcPr>
                  <w:tcW w:w="1076" w:type="dxa"/>
                  <w:vMerge w:val="continue"/>
                  <w:noWrap w:val="0"/>
                  <w:vAlign w:val="center"/>
                </w:tcPr>
                <w:p w14:paraId="1ED879BB">
                  <w:pPr>
                    <w:keepNext w:val="0"/>
                    <w:keepLines w:val="0"/>
                    <w:suppressLineNumbers w:val="0"/>
                    <w:spacing w:before="0" w:beforeAutospacing="0" w:after="0" w:afterAutospacing="0" w:line="320" w:lineRule="exact"/>
                    <w:ind w:left="0" w:right="0"/>
                    <w:jc w:val="center"/>
                    <w:rPr>
                      <w:rFonts w:hint="eastAsia"/>
                      <w:sz w:val="18"/>
                      <w:szCs w:val="18"/>
                    </w:rPr>
                  </w:pPr>
                </w:p>
              </w:tc>
              <w:tc>
                <w:tcPr>
                  <w:tcW w:w="338" w:type="dxa"/>
                  <w:noWrap w:val="0"/>
                  <w:vAlign w:val="center"/>
                </w:tcPr>
                <w:p w14:paraId="1EF4385A">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15</w:t>
                  </w:r>
                </w:p>
              </w:tc>
              <w:tc>
                <w:tcPr>
                  <w:tcW w:w="312" w:type="dxa"/>
                  <w:noWrap w:val="0"/>
                  <w:vAlign w:val="center"/>
                </w:tcPr>
                <w:p w14:paraId="1DED50E6">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20</w:t>
                  </w:r>
                </w:p>
              </w:tc>
              <w:tc>
                <w:tcPr>
                  <w:tcW w:w="318" w:type="dxa"/>
                  <w:noWrap w:val="0"/>
                  <w:vAlign w:val="center"/>
                </w:tcPr>
                <w:p w14:paraId="1C02FE12">
                  <w:pPr>
                    <w:keepNext w:val="0"/>
                    <w:keepLines w:val="0"/>
                    <w:suppressLineNumbers w:val="0"/>
                    <w:spacing w:before="0" w:beforeAutospacing="0" w:after="0" w:afterAutospacing="0" w:line="320" w:lineRule="exact"/>
                    <w:ind w:left="0" w:right="0"/>
                    <w:jc w:val="center"/>
                    <w:rPr>
                      <w:rFonts w:hint="default"/>
                      <w:sz w:val="18"/>
                      <w:szCs w:val="18"/>
                    </w:rPr>
                  </w:pPr>
                  <w:r>
                    <w:rPr>
                      <w:rFonts w:hint="eastAsia"/>
                      <w:sz w:val="18"/>
                      <w:szCs w:val="18"/>
                    </w:rPr>
                    <w:t>1</w:t>
                  </w:r>
                </w:p>
              </w:tc>
              <w:tc>
                <w:tcPr>
                  <w:tcW w:w="692" w:type="dxa"/>
                  <w:noWrap w:val="0"/>
                  <w:vAlign w:val="center"/>
                </w:tcPr>
                <w:p w14:paraId="1FA24BF0">
                  <w:pPr>
                    <w:keepNext w:val="0"/>
                    <w:keepLines w:val="0"/>
                    <w:widowControl/>
                    <w:suppressLineNumbers w:val="0"/>
                    <w:spacing w:before="0" w:beforeAutospacing="0" w:after="0" w:afterAutospacing="0" w:line="320" w:lineRule="exact"/>
                    <w:ind w:left="0" w:right="0"/>
                    <w:jc w:val="center"/>
                    <w:rPr>
                      <w:rFonts w:hint="eastAsia"/>
                      <w:sz w:val="18"/>
                      <w:szCs w:val="18"/>
                    </w:rPr>
                  </w:pPr>
                  <w:r>
                    <w:rPr>
                      <w:rFonts w:hint="eastAsia"/>
                      <w:sz w:val="18"/>
                      <w:szCs w:val="18"/>
                      <w:lang w:val="en-US" w:eastAsia="zh-CN"/>
                    </w:rPr>
                    <w:t>78.6</w:t>
                  </w:r>
                  <w:r>
                    <w:rPr>
                      <w:rFonts w:hint="default"/>
                      <w:sz w:val="18"/>
                      <w:szCs w:val="18"/>
                    </w:rPr>
                    <w:t xml:space="preserve"> </w:t>
                  </w:r>
                </w:p>
              </w:tc>
              <w:tc>
                <w:tcPr>
                  <w:tcW w:w="373" w:type="dxa"/>
                  <w:noWrap w:val="0"/>
                  <w:vAlign w:val="center"/>
                </w:tcPr>
                <w:p w14:paraId="14B495D1">
                  <w:pPr>
                    <w:keepNext w:val="0"/>
                    <w:keepLines w:val="0"/>
                    <w:widowControl/>
                    <w:suppressLineNumbers w:val="0"/>
                    <w:spacing w:before="0" w:beforeAutospacing="0" w:after="0" w:afterAutospacing="0" w:line="320" w:lineRule="exact"/>
                    <w:ind w:left="0" w:right="0"/>
                    <w:jc w:val="center"/>
                    <w:rPr>
                      <w:rFonts w:hint="default"/>
                      <w:sz w:val="18"/>
                      <w:szCs w:val="18"/>
                    </w:rPr>
                  </w:pPr>
                  <w:r>
                    <w:rPr>
                      <w:rFonts w:hint="eastAsia"/>
                      <w:sz w:val="18"/>
                      <w:szCs w:val="18"/>
                      <w:lang w:val="en-US" w:eastAsia="zh-CN"/>
                    </w:rPr>
                    <w:t>间歇</w:t>
                  </w:r>
                  <w:r>
                    <w:rPr>
                      <w:rFonts w:hint="eastAsia"/>
                      <w:sz w:val="18"/>
                      <w:szCs w:val="18"/>
                    </w:rPr>
                    <w:t>运行</w:t>
                  </w:r>
                </w:p>
              </w:tc>
              <w:tc>
                <w:tcPr>
                  <w:tcW w:w="600" w:type="dxa"/>
                  <w:noWrap w:val="0"/>
                  <w:vAlign w:val="center"/>
                </w:tcPr>
                <w:p w14:paraId="22878414">
                  <w:pPr>
                    <w:keepNext w:val="0"/>
                    <w:keepLines w:val="0"/>
                    <w:widowControl/>
                    <w:suppressLineNumbers w:val="0"/>
                    <w:spacing w:before="0" w:beforeAutospacing="0" w:after="0" w:afterAutospacing="0" w:line="320" w:lineRule="exact"/>
                    <w:ind w:left="0" w:right="0"/>
                    <w:jc w:val="center"/>
                    <w:rPr>
                      <w:rFonts w:hint="default" w:eastAsiaTheme="minorEastAsia"/>
                      <w:sz w:val="18"/>
                      <w:szCs w:val="18"/>
                      <w:lang w:val="en-US" w:eastAsia="zh-CN"/>
                    </w:rPr>
                  </w:pPr>
                  <w:r>
                    <w:rPr>
                      <w:rFonts w:hint="eastAsia"/>
                      <w:sz w:val="18"/>
                      <w:szCs w:val="18"/>
                      <w:lang w:val="en-US" w:eastAsia="zh-CN"/>
                    </w:rPr>
                    <w:t>20</w:t>
                  </w:r>
                </w:p>
              </w:tc>
              <w:tc>
                <w:tcPr>
                  <w:tcW w:w="574" w:type="dxa"/>
                  <w:noWrap w:val="0"/>
                  <w:vAlign w:val="center"/>
                </w:tcPr>
                <w:p w14:paraId="268FEE2F">
                  <w:pPr>
                    <w:keepNext w:val="0"/>
                    <w:keepLines w:val="0"/>
                    <w:widowControl/>
                    <w:suppressLineNumbers w:val="0"/>
                    <w:spacing w:before="0" w:beforeAutospacing="0" w:after="0" w:afterAutospacing="0" w:line="320" w:lineRule="exact"/>
                    <w:ind w:left="0" w:right="0"/>
                    <w:jc w:val="center"/>
                    <w:rPr>
                      <w:rFonts w:hint="default" w:eastAsiaTheme="minorEastAsia"/>
                      <w:sz w:val="18"/>
                      <w:szCs w:val="18"/>
                      <w:lang w:val="en-US" w:eastAsia="zh-CN"/>
                    </w:rPr>
                  </w:pPr>
                  <w:r>
                    <w:rPr>
                      <w:rFonts w:hint="eastAsia"/>
                      <w:sz w:val="18"/>
                      <w:szCs w:val="18"/>
                      <w:lang w:val="en-US" w:eastAsia="zh-CN"/>
                    </w:rPr>
                    <w:t>58.6</w:t>
                  </w:r>
                </w:p>
              </w:tc>
              <w:tc>
                <w:tcPr>
                  <w:tcW w:w="673" w:type="dxa"/>
                  <w:noWrap w:val="0"/>
                  <w:vAlign w:val="center"/>
                </w:tcPr>
                <w:p w14:paraId="34E6189E">
                  <w:pPr>
                    <w:keepNext w:val="0"/>
                    <w:keepLines w:val="0"/>
                    <w:widowControl/>
                    <w:suppressLineNumbers w:val="0"/>
                    <w:spacing w:before="0" w:beforeAutospacing="0" w:after="0" w:afterAutospacing="0" w:line="320" w:lineRule="exact"/>
                    <w:ind w:left="0" w:right="0"/>
                    <w:jc w:val="center"/>
                    <w:rPr>
                      <w:rFonts w:hint="default"/>
                      <w:sz w:val="18"/>
                      <w:szCs w:val="18"/>
                    </w:rPr>
                  </w:pPr>
                  <w:r>
                    <w:rPr>
                      <w:rFonts w:hint="default"/>
                      <w:sz w:val="18"/>
                      <w:szCs w:val="18"/>
                    </w:rPr>
                    <w:t>1</w:t>
                  </w:r>
                </w:p>
              </w:tc>
            </w:tr>
          </w:tbl>
          <w:p w14:paraId="28440EF3">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lang w:bidi="ar"/>
              </w:rPr>
            </w:pPr>
            <w:r>
              <w:rPr>
                <w:rFonts w:hint="eastAsia" w:ascii="宋体" w:hAnsi="宋体" w:eastAsia="宋体" w:cs="宋体"/>
                <w:bCs/>
                <w:color w:val="auto"/>
                <w:sz w:val="24"/>
                <w:lang w:bidi="ar"/>
              </w:rPr>
              <w:t>（2）预测模式</w:t>
            </w:r>
          </w:p>
          <w:p w14:paraId="466AE495">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lang w:bidi="ar"/>
              </w:rPr>
              <w:t>为说明本项目运营后对周围环境的影响程度，本次评价以厂区各厂界和保护目标作为评价点，预测计算本项目噪声源对厂界四周的噪声预测值，分析说明噪声源对厂界声环境的影响。</w:t>
            </w:r>
          </w:p>
          <w:p w14:paraId="7E480A67">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采用《环境影响评价技术导则—声环境》（HJ2.4-2021）中工业噪声预测模式。</w:t>
            </w:r>
          </w:p>
          <w:p w14:paraId="53A831E9">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①单个室外点声源在预测点产生的声级计算基本公式</w:t>
            </w:r>
          </w:p>
          <w:p w14:paraId="30F90A2C">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如已知声源的倍频带声功率级，预测点位置的倍频带声压级Lp(r)可按公式（1）计算：</w:t>
            </w:r>
          </w:p>
          <w:p w14:paraId="4C15B1C7">
            <w:pPr>
              <w:keepNext w:val="0"/>
              <w:keepLines w:val="0"/>
              <w:widowControl/>
              <w:suppressLineNumbers w:val="0"/>
              <w:adjustRightInd w:val="0"/>
              <w:snapToGrid w:val="0"/>
              <w:spacing w:before="0" w:beforeAutospacing="0" w:after="0" w:afterAutospacing="0" w:line="360" w:lineRule="auto"/>
              <w:ind w:left="0" w:right="0" w:firstLine="525" w:firstLineChars="250"/>
              <w:jc w:val="center"/>
              <w:rPr>
                <w:rFonts w:hint="eastAsia" w:ascii="宋体" w:hAnsi="宋体" w:eastAsia="宋体" w:cs="宋体"/>
                <w:snapToGrid w:val="0"/>
                <w:color w:val="auto"/>
                <w:szCs w:val="22"/>
              </w:rPr>
            </w:pPr>
            <w:r>
              <w:rPr>
                <w:rFonts w:hint="eastAsia" w:ascii="宋体" w:hAnsi="宋体" w:eastAsia="宋体" w:cs="宋体"/>
                <w:snapToGrid w:val="0"/>
                <w:color w:val="auto"/>
                <w:szCs w:val="22"/>
              </w:rPr>
              <w:t>L</w:t>
            </w:r>
            <w:r>
              <w:rPr>
                <w:rFonts w:hint="eastAsia" w:ascii="宋体" w:hAnsi="宋体" w:eastAsia="宋体" w:cs="宋体"/>
                <w:i/>
                <w:snapToGrid w:val="0"/>
                <w:color w:val="auto"/>
                <w:szCs w:val="22"/>
                <w:vertAlign w:val="subscript"/>
              </w:rPr>
              <w:t>p</w:t>
            </w:r>
            <w:r>
              <w:rPr>
                <w:rFonts w:hint="eastAsia" w:ascii="宋体" w:hAnsi="宋体" w:eastAsia="宋体" w:cs="宋体"/>
                <w:snapToGrid w:val="0"/>
                <w:color w:val="auto"/>
                <w:szCs w:val="22"/>
              </w:rPr>
              <w:t>（</w:t>
            </w:r>
            <w:r>
              <w:rPr>
                <w:rFonts w:hint="eastAsia" w:ascii="宋体" w:hAnsi="宋体" w:eastAsia="宋体" w:cs="宋体"/>
                <w:i/>
                <w:snapToGrid w:val="0"/>
                <w:color w:val="auto"/>
                <w:szCs w:val="22"/>
              </w:rPr>
              <w:t>r</w:t>
            </w:r>
            <w:r>
              <w:rPr>
                <w:rFonts w:hint="eastAsia" w:ascii="宋体" w:hAnsi="宋体" w:eastAsia="宋体" w:cs="宋体"/>
                <w:snapToGrid w:val="0"/>
                <w:color w:val="auto"/>
                <w:szCs w:val="22"/>
              </w:rPr>
              <w:t xml:space="preserve">）= </w:t>
            </w:r>
            <w:r>
              <w:rPr>
                <w:rFonts w:hint="eastAsia" w:ascii="宋体" w:hAnsi="宋体" w:eastAsia="宋体" w:cs="宋体"/>
                <w:i/>
                <w:snapToGrid w:val="0"/>
                <w:color w:val="auto"/>
                <w:szCs w:val="22"/>
              </w:rPr>
              <w:t>L</w:t>
            </w:r>
            <w:r>
              <w:rPr>
                <w:rFonts w:hint="eastAsia" w:ascii="宋体" w:hAnsi="宋体" w:eastAsia="宋体" w:cs="宋体"/>
                <w:i/>
                <w:snapToGrid w:val="0"/>
                <w:color w:val="auto"/>
                <w:szCs w:val="22"/>
                <w:vertAlign w:val="subscript"/>
              </w:rPr>
              <w:t xml:space="preserve">W </w:t>
            </w:r>
            <w:r>
              <w:rPr>
                <w:rFonts w:hint="eastAsia" w:ascii="宋体" w:hAnsi="宋体" w:eastAsia="宋体" w:cs="宋体"/>
                <w:snapToGrid w:val="0"/>
                <w:color w:val="auto"/>
                <w:szCs w:val="22"/>
              </w:rPr>
              <w:t xml:space="preserve">+ </w:t>
            </w:r>
            <w:r>
              <w:rPr>
                <w:rFonts w:hint="eastAsia" w:ascii="宋体" w:hAnsi="宋体" w:eastAsia="宋体" w:cs="宋体"/>
                <w:i/>
                <w:snapToGrid w:val="0"/>
                <w:color w:val="auto"/>
                <w:szCs w:val="22"/>
              </w:rPr>
              <w:t>D</w:t>
            </w:r>
            <w:r>
              <w:rPr>
                <w:rFonts w:hint="eastAsia" w:ascii="宋体" w:hAnsi="宋体" w:eastAsia="宋体" w:cs="宋体"/>
                <w:i/>
                <w:snapToGrid w:val="0"/>
                <w:color w:val="auto"/>
                <w:szCs w:val="22"/>
                <w:vertAlign w:val="subscript"/>
              </w:rPr>
              <w:t>c</w:t>
            </w:r>
            <w:r>
              <w:rPr>
                <w:rFonts w:hint="eastAsia" w:ascii="宋体" w:hAnsi="宋体" w:eastAsia="宋体" w:cs="宋体"/>
                <w:snapToGrid w:val="0"/>
                <w:color w:val="auto"/>
                <w:szCs w:val="22"/>
              </w:rPr>
              <w:t xml:space="preserve"> – </w:t>
            </w:r>
            <w:r>
              <w:rPr>
                <w:rFonts w:hint="eastAsia" w:ascii="宋体" w:hAnsi="宋体" w:eastAsia="宋体" w:cs="宋体"/>
                <w:i/>
                <w:snapToGrid w:val="0"/>
                <w:color w:val="auto"/>
                <w:szCs w:val="22"/>
              </w:rPr>
              <w:t xml:space="preserve">A    </w:t>
            </w:r>
            <w:r>
              <w:rPr>
                <w:rFonts w:hint="eastAsia" w:ascii="宋体" w:hAnsi="宋体" w:eastAsia="宋体" w:cs="宋体"/>
                <w:snapToGrid w:val="0"/>
                <w:color w:val="auto"/>
                <w:szCs w:val="22"/>
              </w:rPr>
              <w:t xml:space="preserve">              （1）</w:t>
            </w:r>
          </w:p>
          <w:p w14:paraId="335DD320">
            <w:pPr>
              <w:keepNext w:val="0"/>
              <w:keepLines w:val="0"/>
              <w:widowControl/>
              <w:suppressLineNumbers w:val="0"/>
              <w:adjustRightInd w:val="0"/>
              <w:snapToGrid w:val="0"/>
              <w:spacing w:before="0" w:beforeAutospacing="0" w:after="0" w:afterAutospacing="0" w:line="360" w:lineRule="auto"/>
              <w:ind w:left="0" w:right="0" w:firstLine="480"/>
              <w:jc w:val="center"/>
              <w:rPr>
                <w:rFonts w:hint="eastAsia" w:ascii="宋体" w:hAnsi="宋体" w:eastAsia="宋体" w:cs="宋体"/>
                <w:snapToGrid w:val="0"/>
                <w:color w:val="auto"/>
                <w:szCs w:val="22"/>
              </w:rPr>
            </w:pPr>
            <w:r>
              <w:rPr>
                <w:rFonts w:hint="eastAsia" w:ascii="宋体" w:hAnsi="宋体" w:eastAsia="宋体" w:cs="宋体"/>
                <w:snapToGrid w:val="0"/>
                <w:color w:val="auto"/>
                <w:position w:val="-14"/>
                <w:szCs w:val="22"/>
              </w:rPr>
              <w:object>
                <v:shape id="_x0000_i1026" o:spt="75" type="#_x0000_t75" style="height:16.2pt;width:165.6pt;" o:ole="t" filled="f" o:preferrelative="t" stroked="f" coordsize="21600,21600">
                  <v:path/>
                  <v:fill on="f" focussize="0,0"/>
                  <v:stroke on="f" joinstyle="miter"/>
                  <v:imagedata r:id="rId16" o:title=""/>
                  <o:lock v:ext="edit" aspectratio="t"/>
                  <w10:wrap type="none"/>
                  <w10:anchorlock/>
                </v:shape>
                <o:OLEObject Type="Embed" ProgID="Equation.3" ShapeID="_x0000_i1026" DrawAspect="Content" ObjectID="_1468075726" r:id="rId15">
                  <o:LockedField>false</o:LockedField>
                </o:OLEObject>
              </w:object>
            </w:r>
          </w:p>
          <w:p w14:paraId="21C8E4A2">
            <w:pPr>
              <w:keepNext w:val="0"/>
              <w:keepLines w:val="0"/>
              <w:widowControl/>
              <w:suppressLineNumbers w:val="0"/>
              <w:adjustRightInd w:val="0"/>
              <w:snapToGrid w:val="0"/>
              <w:spacing w:before="0" w:beforeAutospacing="0" w:after="0" w:afterAutospacing="0" w:line="360" w:lineRule="auto"/>
              <w:ind w:left="0" w:right="0" w:firstLine="48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式中：Lw—倍频带声功率级，dB；</w:t>
            </w:r>
          </w:p>
          <w:p w14:paraId="707DA527">
            <w:pPr>
              <w:keepNext w:val="0"/>
              <w:keepLines w:val="0"/>
              <w:widowControl/>
              <w:suppressLineNumbers w:val="0"/>
              <w:adjustRightInd w:val="0"/>
              <w:snapToGrid w:val="0"/>
              <w:spacing w:before="0" w:beforeAutospacing="0" w:after="0" w:afterAutospacing="0" w:line="360" w:lineRule="auto"/>
              <w:ind w:left="210" w:leftChars="100" w:right="0" w:firstLine="960" w:firstLineChars="4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Dc—指向性校正，dB，对辐射到自由空间的全向点声源，为0；</w:t>
            </w:r>
          </w:p>
          <w:p w14:paraId="7D2BEC94">
            <w:pPr>
              <w:keepNext w:val="0"/>
              <w:keepLines w:val="0"/>
              <w:widowControl/>
              <w:suppressLineNumbers w:val="0"/>
              <w:adjustRightInd w:val="0"/>
              <w:snapToGrid w:val="0"/>
              <w:spacing w:before="0" w:beforeAutospacing="0" w:after="0" w:afterAutospacing="0" w:line="360" w:lineRule="auto"/>
              <w:ind w:left="0" w:right="0" w:firstLine="1200" w:firstLineChars="5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A—倍频带衰减，dB；</w:t>
            </w:r>
          </w:p>
          <w:p w14:paraId="47434AF0">
            <w:pPr>
              <w:keepNext w:val="0"/>
              <w:keepLines w:val="0"/>
              <w:widowControl/>
              <w:suppressLineNumbers w:val="0"/>
              <w:adjustRightInd w:val="0"/>
              <w:snapToGrid w:val="0"/>
              <w:spacing w:before="0" w:beforeAutospacing="0" w:after="0" w:afterAutospacing="0" w:line="360" w:lineRule="auto"/>
              <w:ind w:left="480" w:right="0" w:firstLine="720" w:firstLineChars="3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A</w:t>
            </w:r>
            <w:r>
              <w:rPr>
                <w:rFonts w:hint="eastAsia" w:ascii="宋体" w:hAnsi="宋体" w:eastAsia="宋体" w:cs="宋体"/>
                <w:snapToGrid w:val="0"/>
                <w:color w:val="auto"/>
                <w:sz w:val="24"/>
                <w:vertAlign w:val="subscript"/>
              </w:rPr>
              <w:t>div</w:t>
            </w:r>
            <w:r>
              <w:rPr>
                <w:rFonts w:hint="eastAsia" w:ascii="宋体" w:hAnsi="宋体" w:eastAsia="宋体" w:cs="宋体"/>
                <w:snapToGrid w:val="0"/>
                <w:color w:val="auto"/>
                <w:sz w:val="24"/>
              </w:rPr>
              <w:t>—几何发散引起的倍频带衰减，dB；</w:t>
            </w:r>
          </w:p>
          <w:p w14:paraId="0B7A110C">
            <w:pPr>
              <w:keepNext w:val="0"/>
              <w:keepLines w:val="0"/>
              <w:widowControl/>
              <w:suppressLineNumbers w:val="0"/>
              <w:adjustRightInd w:val="0"/>
              <w:snapToGrid w:val="0"/>
              <w:spacing w:before="0" w:beforeAutospacing="0" w:after="0" w:afterAutospacing="0" w:line="360" w:lineRule="auto"/>
              <w:ind w:left="480" w:right="0" w:firstLine="720" w:firstLineChars="3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A</w:t>
            </w:r>
            <w:r>
              <w:rPr>
                <w:rFonts w:hint="eastAsia" w:ascii="宋体" w:hAnsi="宋体" w:eastAsia="宋体" w:cs="宋体"/>
                <w:snapToGrid w:val="0"/>
                <w:color w:val="auto"/>
                <w:sz w:val="24"/>
                <w:vertAlign w:val="subscript"/>
              </w:rPr>
              <w:t>atm</w:t>
            </w:r>
            <w:r>
              <w:rPr>
                <w:rFonts w:hint="eastAsia" w:ascii="宋体" w:hAnsi="宋体" w:eastAsia="宋体" w:cs="宋体"/>
                <w:snapToGrid w:val="0"/>
                <w:color w:val="auto"/>
                <w:sz w:val="24"/>
              </w:rPr>
              <w:t>—大气吸收引起的倍频带衰减，dB；</w:t>
            </w:r>
          </w:p>
          <w:p w14:paraId="7DBABBDD">
            <w:pPr>
              <w:keepNext w:val="0"/>
              <w:keepLines w:val="0"/>
              <w:widowControl/>
              <w:suppressLineNumbers w:val="0"/>
              <w:adjustRightInd w:val="0"/>
              <w:snapToGrid w:val="0"/>
              <w:spacing w:before="0" w:beforeAutospacing="0" w:after="0" w:afterAutospacing="0" w:line="360" w:lineRule="auto"/>
              <w:ind w:left="480" w:right="0" w:firstLine="720" w:firstLineChars="3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A</w:t>
            </w:r>
            <w:r>
              <w:rPr>
                <w:rFonts w:hint="eastAsia" w:ascii="宋体" w:hAnsi="宋体" w:eastAsia="宋体" w:cs="宋体"/>
                <w:snapToGrid w:val="0"/>
                <w:color w:val="auto"/>
                <w:sz w:val="24"/>
                <w:vertAlign w:val="subscript"/>
              </w:rPr>
              <w:t>gr</w:t>
            </w:r>
            <w:r>
              <w:rPr>
                <w:rFonts w:hint="eastAsia" w:ascii="宋体" w:hAnsi="宋体" w:eastAsia="宋体" w:cs="宋体"/>
                <w:snapToGrid w:val="0"/>
                <w:color w:val="auto"/>
                <w:sz w:val="24"/>
              </w:rPr>
              <w:t>—地面效应吸收引起的倍频带衰减，dB；</w:t>
            </w:r>
          </w:p>
          <w:p w14:paraId="23A91EB6">
            <w:pPr>
              <w:keepNext w:val="0"/>
              <w:keepLines w:val="0"/>
              <w:widowControl/>
              <w:suppressLineNumbers w:val="0"/>
              <w:adjustRightInd w:val="0"/>
              <w:snapToGrid w:val="0"/>
              <w:spacing w:before="0" w:beforeAutospacing="0" w:after="0" w:afterAutospacing="0" w:line="360" w:lineRule="auto"/>
              <w:ind w:left="480" w:right="0" w:firstLine="720" w:firstLineChars="3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A</w:t>
            </w:r>
            <w:r>
              <w:rPr>
                <w:rFonts w:hint="eastAsia" w:ascii="宋体" w:hAnsi="宋体" w:eastAsia="宋体" w:cs="宋体"/>
                <w:snapToGrid w:val="0"/>
                <w:color w:val="auto"/>
                <w:sz w:val="24"/>
                <w:vertAlign w:val="subscript"/>
              </w:rPr>
              <w:t>bar</w:t>
            </w:r>
            <w:r>
              <w:rPr>
                <w:rFonts w:hint="eastAsia" w:ascii="宋体" w:hAnsi="宋体" w:eastAsia="宋体" w:cs="宋体"/>
                <w:snapToGrid w:val="0"/>
                <w:color w:val="auto"/>
                <w:sz w:val="24"/>
              </w:rPr>
              <w:t>—声屏障引起的倍频带衰减，dB；</w:t>
            </w:r>
          </w:p>
          <w:p w14:paraId="438C3A44">
            <w:pPr>
              <w:keepNext w:val="0"/>
              <w:keepLines w:val="0"/>
              <w:widowControl/>
              <w:suppressLineNumbers w:val="0"/>
              <w:adjustRightInd w:val="0"/>
              <w:snapToGrid w:val="0"/>
              <w:spacing w:before="0" w:beforeAutospacing="0" w:after="0" w:afterAutospacing="0" w:line="360" w:lineRule="auto"/>
              <w:ind w:left="480" w:right="0" w:firstLine="720" w:firstLineChars="3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A</w:t>
            </w:r>
            <w:r>
              <w:rPr>
                <w:rFonts w:hint="eastAsia" w:ascii="宋体" w:hAnsi="宋体" w:eastAsia="宋体" w:cs="宋体"/>
                <w:snapToGrid w:val="0"/>
                <w:color w:val="auto"/>
                <w:sz w:val="24"/>
                <w:vertAlign w:val="subscript"/>
              </w:rPr>
              <w:t>misc</w:t>
            </w:r>
            <w:r>
              <w:rPr>
                <w:rFonts w:hint="eastAsia" w:ascii="宋体" w:hAnsi="宋体" w:eastAsia="宋体" w:cs="宋体"/>
                <w:snapToGrid w:val="0"/>
                <w:color w:val="auto"/>
                <w:sz w:val="24"/>
              </w:rPr>
              <w:t>—其他多方面效应引起的倍频带衰减，dB。</w:t>
            </w:r>
          </w:p>
          <w:p w14:paraId="6559C238">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如已知靠近声源处某点的倍频带声压级Lp(r</w:t>
            </w:r>
            <w:r>
              <w:rPr>
                <w:rFonts w:hint="eastAsia" w:ascii="宋体" w:hAnsi="宋体" w:eastAsia="宋体" w:cs="宋体"/>
                <w:snapToGrid w:val="0"/>
                <w:color w:val="auto"/>
                <w:sz w:val="24"/>
                <w:vertAlign w:val="subscript"/>
              </w:rPr>
              <w:t>0</w:t>
            </w:r>
            <w:r>
              <w:rPr>
                <w:rFonts w:hint="eastAsia" w:ascii="宋体" w:hAnsi="宋体" w:eastAsia="宋体" w:cs="宋体"/>
                <w:snapToGrid w:val="0"/>
                <w:color w:val="auto"/>
                <w:sz w:val="24"/>
              </w:rPr>
              <w:t>)时，相同方向预测点位置的倍频带声压级Lp(r)可按公式（2）计算：</w:t>
            </w:r>
          </w:p>
          <w:p w14:paraId="4BD8A19B">
            <w:pPr>
              <w:keepNext w:val="0"/>
              <w:keepLines w:val="0"/>
              <w:widowControl/>
              <w:suppressLineNumbers w:val="0"/>
              <w:adjustRightInd w:val="0"/>
              <w:snapToGrid w:val="0"/>
              <w:spacing w:before="0" w:beforeAutospacing="0" w:after="0" w:afterAutospacing="0" w:line="360" w:lineRule="auto"/>
              <w:ind w:left="0" w:right="0" w:firstLine="480" w:firstLineChars="200"/>
              <w:jc w:val="center"/>
              <w:rPr>
                <w:rFonts w:hint="eastAsia" w:ascii="宋体" w:hAnsi="宋体" w:eastAsia="宋体" w:cs="宋体"/>
                <w:snapToGrid w:val="0"/>
                <w:color w:val="auto"/>
                <w:sz w:val="24"/>
              </w:rPr>
            </w:pPr>
            <w:r>
              <w:rPr>
                <w:rFonts w:hint="eastAsia" w:ascii="宋体" w:hAnsi="宋体" w:eastAsia="宋体" w:cs="宋体"/>
                <w:snapToGrid w:val="0"/>
                <w:color w:val="auto"/>
                <w:position w:val="-14"/>
                <w:sz w:val="24"/>
              </w:rPr>
              <w:object>
                <v:shape id="_x0000_i1027" o:spt="75" type="#_x0000_t75" style="height:16.2pt;width:93.6pt;" o:ole="t" filled="f" o:preferrelative="t" stroked="f" coordsize="21600,21600">
                  <v:path/>
                  <v:fill on="f" focussize="0,0"/>
                  <v:stroke on="f" joinstyle="miter"/>
                  <v:imagedata r:id="rId18" o:title=""/>
                  <o:lock v:ext="edit" aspectratio="t"/>
                  <w10:wrap type="none"/>
                  <w10:anchorlock/>
                </v:shape>
                <o:OLEObject Type="Embed" ProgID="Equation.3" ShapeID="_x0000_i1027" DrawAspect="Content" ObjectID="_1468075727" r:id="rId17">
                  <o:LockedField>false</o:LockedField>
                </o:OLEObject>
              </w:object>
            </w:r>
            <w:r>
              <w:rPr>
                <w:rFonts w:hint="eastAsia" w:ascii="宋体" w:hAnsi="宋体" w:eastAsia="宋体" w:cs="宋体"/>
                <w:snapToGrid w:val="0"/>
                <w:color w:val="auto"/>
                <w:sz w:val="24"/>
              </w:rPr>
              <w:t xml:space="preserve">         （2）</w:t>
            </w:r>
          </w:p>
          <w:p w14:paraId="34687465">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预测点的A声级L</w:t>
            </w:r>
            <w:r>
              <w:rPr>
                <w:rFonts w:hint="eastAsia" w:ascii="宋体" w:hAnsi="宋体" w:eastAsia="宋体" w:cs="宋体"/>
                <w:snapToGrid w:val="0"/>
                <w:color w:val="auto"/>
                <w:sz w:val="24"/>
                <w:vertAlign w:val="subscript"/>
              </w:rPr>
              <w:t>A</w:t>
            </w:r>
            <w:r>
              <w:rPr>
                <w:rFonts w:hint="eastAsia" w:ascii="宋体" w:hAnsi="宋体" w:eastAsia="宋体" w:cs="宋体"/>
                <w:snapToGrid w:val="0"/>
                <w:color w:val="auto"/>
                <w:sz w:val="24"/>
              </w:rPr>
              <w:t>(r)，可利用8个倍频带的声压级公式（3）计算：</w:t>
            </w:r>
          </w:p>
          <w:p w14:paraId="2ED3341E">
            <w:pPr>
              <w:keepNext w:val="0"/>
              <w:keepLines w:val="0"/>
              <w:widowControl/>
              <w:suppressLineNumbers w:val="0"/>
              <w:adjustRightInd w:val="0"/>
              <w:snapToGrid w:val="0"/>
              <w:spacing w:before="156" w:beforeLines="50" w:beforeAutospacing="0" w:after="0" w:afterAutospacing="0" w:line="360" w:lineRule="auto"/>
              <w:ind w:left="0" w:right="0" w:firstLine="480"/>
              <w:jc w:val="center"/>
              <w:rPr>
                <w:rFonts w:hint="eastAsia" w:ascii="宋体" w:hAnsi="宋体" w:eastAsia="宋体" w:cs="宋体"/>
                <w:snapToGrid w:val="0"/>
                <w:color w:val="auto"/>
                <w:szCs w:val="22"/>
              </w:rPr>
            </w:pPr>
            <w:r>
              <w:rPr>
                <w:rFonts w:hint="eastAsia" w:ascii="宋体" w:hAnsi="宋体" w:eastAsia="宋体" w:cs="宋体"/>
                <w:snapToGrid w:val="0"/>
                <w:color w:val="auto"/>
                <w:position w:val="-28"/>
                <w:szCs w:val="22"/>
              </w:rPr>
              <w:object>
                <v:shape id="_x0000_i1028" o:spt="75" type="#_x0000_t75" style="height:29.4pt;width:144pt;" o:ole="t" filled="f" o:preferrelative="t" stroked="f" coordsize="21600,21600">
                  <v:path/>
                  <v:fill on="f" focussize="0,0"/>
                  <v:stroke on="f" joinstyle="miter"/>
                  <v:imagedata r:id="rId20" o:title=""/>
                  <o:lock v:ext="edit" aspectratio="t"/>
                  <w10:wrap type="none"/>
                  <w10:anchorlock/>
                </v:shape>
                <o:OLEObject Type="Embed" ProgID="Equation.3" ShapeID="_x0000_i1028" DrawAspect="Content" ObjectID="_1468075728" r:id="rId19">
                  <o:LockedField>false</o:LockedField>
                </o:OLEObject>
              </w:object>
            </w:r>
          </w:p>
          <w:p w14:paraId="3435E979">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式中：L</w:t>
            </w:r>
            <w:r>
              <w:rPr>
                <w:rFonts w:hint="eastAsia" w:ascii="宋体" w:hAnsi="宋体" w:eastAsia="宋体" w:cs="宋体"/>
                <w:snapToGrid w:val="0"/>
                <w:color w:val="auto"/>
                <w:sz w:val="24"/>
                <w:vertAlign w:val="subscript"/>
              </w:rPr>
              <w:t>Pi</w:t>
            </w:r>
            <w:r>
              <w:rPr>
                <w:rFonts w:hint="eastAsia" w:ascii="宋体" w:hAnsi="宋体" w:eastAsia="宋体" w:cs="宋体"/>
                <w:snapToGrid w:val="0"/>
                <w:color w:val="auto"/>
                <w:sz w:val="24"/>
              </w:rPr>
              <w:t>(r)—预测点（r）处，第i倍频带声压级，dB；</w:t>
            </w:r>
          </w:p>
          <w:p w14:paraId="700B33C6">
            <w:pPr>
              <w:keepNext w:val="0"/>
              <w:keepLines w:val="0"/>
              <w:widowControl/>
              <w:suppressLineNumbers w:val="0"/>
              <w:adjustRightInd w:val="0"/>
              <w:snapToGrid w:val="0"/>
              <w:spacing w:before="0" w:beforeAutospacing="0" w:after="0" w:afterAutospacing="0" w:line="360" w:lineRule="auto"/>
              <w:ind w:left="0" w:right="0" w:firstLine="1200" w:firstLineChars="5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object>
                <v:shape id="_x0000_i1029" o:spt="75" type="#_x0000_t75" style="height:13.8pt;width:13.8pt;" o:ole="t" filled="f" o:preferrelative="t" stroked="f" coordsize="21600,21600">
                  <v:path/>
                  <v:fill on="f" focussize="0,0"/>
                  <v:stroke on="f" joinstyle="miter"/>
                  <v:imagedata r:id="rId22" o:title=""/>
                  <o:lock v:ext="edit" aspectratio="t"/>
                  <w10:wrap type="none"/>
                  <w10:anchorlock/>
                </v:shape>
                <o:OLEObject Type="Embed" ProgID="Equation.3" ShapeID="_x0000_i1029" DrawAspect="Content" ObjectID="_1468075729" r:id="rId21">
                  <o:LockedField>false</o:LockedField>
                </o:OLEObject>
              </w:object>
            </w:r>
            <w:r>
              <w:rPr>
                <w:rFonts w:hint="eastAsia" w:ascii="宋体" w:hAnsi="宋体" w:eastAsia="宋体" w:cs="宋体"/>
                <w:snapToGrid w:val="0"/>
                <w:color w:val="auto"/>
                <w:sz w:val="24"/>
              </w:rPr>
              <w:t>Li—第i倍频带的A计权网络修正值，dB。</w:t>
            </w:r>
          </w:p>
          <w:p w14:paraId="1741C40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snapToGrid w:val="0"/>
                <w:color w:val="auto"/>
                <w:sz w:val="24"/>
              </w:rPr>
            </w:pPr>
            <w:r>
              <w:rPr>
                <w:rFonts w:hint="eastAsia" w:ascii="宋体" w:hAnsi="宋体" w:eastAsia="宋体" w:cs="宋体"/>
                <w:snapToGrid w:val="0"/>
                <w:color w:val="auto"/>
                <w:sz w:val="24"/>
              </w:rPr>
              <w:t>在不能取得声源倍频带声功率级或倍频带声压级，只能获得A声功率级或某点的A声级时，可按公式（4）做近似计算：</w:t>
            </w:r>
          </w:p>
          <w:p w14:paraId="1DB3C2FB">
            <w:pPr>
              <w:keepNext w:val="0"/>
              <w:keepLines w:val="0"/>
              <w:widowControl/>
              <w:suppressLineNumbers w:val="0"/>
              <w:adjustRightInd w:val="0"/>
              <w:snapToGrid w:val="0"/>
              <w:spacing w:before="0" w:beforeAutospacing="0" w:after="0" w:afterAutospacing="0" w:line="360" w:lineRule="auto"/>
              <w:ind w:left="0" w:right="0" w:firstLine="480" w:firstLineChars="200"/>
              <w:jc w:val="center"/>
              <w:rPr>
                <w:rFonts w:hint="eastAsia" w:ascii="宋体" w:hAnsi="宋体" w:eastAsia="宋体" w:cs="宋体"/>
                <w:snapToGrid w:val="0"/>
                <w:color w:val="auto"/>
                <w:sz w:val="24"/>
              </w:rPr>
            </w:pPr>
            <w:r>
              <w:rPr>
                <w:rFonts w:hint="eastAsia" w:ascii="宋体" w:hAnsi="宋体" w:eastAsia="宋体" w:cs="宋体"/>
                <w:snapToGrid w:val="0"/>
                <w:color w:val="auto"/>
                <w:position w:val="-12"/>
                <w:sz w:val="24"/>
              </w:rPr>
              <w:object>
                <v:shape id="_x0000_i1030" o:spt="75" type="#_x0000_t75" style="height:21.6pt;width:107.4pt;" o:ole="t" filled="f" o:preferrelative="t" stroked="f" coordsize="21600,21600">
                  <v:path/>
                  <v:fill on="f" focussize="0,0"/>
                  <v:stroke on="f" joinstyle="miter"/>
                  <v:imagedata r:id="rId24" o:title=""/>
                  <o:lock v:ext="edit" aspectratio="t"/>
                  <w10:wrap type="none"/>
                  <w10:anchorlock/>
                </v:shape>
                <o:OLEObject Type="Embed" ProgID="Equation.3" ShapeID="_x0000_i1030" DrawAspect="Content" ObjectID="_1468075730" r:id="rId23">
                  <o:LockedField>false</o:LockedField>
                </o:OLEObject>
              </w:object>
            </w:r>
            <w:r>
              <w:rPr>
                <w:rFonts w:hint="eastAsia" w:ascii="宋体" w:hAnsi="宋体" w:eastAsia="宋体" w:cs="宋体"/>
                <w:snapToGrid w:val="0"/>
                <w:color w:val="auto"/>
                <w:sz w:val="24"/>
              </w:rPr>
              <w:t xml:space="preserve">        （4）</w:t>
            </w:r>
          </w:p>
          <w:p w14:paraId="7F7ED815">
            <w:pPr>
              <w:keepNext w:val="0"/>
              <w:keepLines w:val="0"/>
              <w:widowControl/>
              <w:suppressLineNumbers w:val="0"/>
              <w:adjustRightInd w:val="0"/>
              <w:snapToGrid w:val="0"/>
              <w:spacing w:before="0" w:beforeAutospacing="0" w:after="0" w:afterAutospacing="0" w:line="360" w:lineRule="auto"/>
              <w:ind w:left="0" w:right="0" w:firstLine="480" w:firstLineChars="200"/>
              <w:jc w:val="center"/>
              <w:rPr>
                <w:rFonts w:hint="eastAsia" w:ascii="宋体" w:hAnsi="宋体" w:eastAsia="宋体" w:cs="宋体"/>
                <w:snapToGrid w:val="0"/>
                <w:color w:val="auto"/>
                <w:sz w:val="24"/>
              </w:rPr>
            </w:pPr>
            <w:r>
              <w:rPr>
                <w:rFonts w:hint="eastAsia" w:ascii="宋体" w:hAnsi="宋体" w:eastAsia="宋体" w:cs="宋体"/>
                <w:snapToGrid w:val="0"/>
                <w:color w:val="auto"/>
                <w:sz w:val="24"/>
              </w:rPr>
              <w:t>或</w:t>
            </w:r>
            <w:r>
              <w:rPr>
                <w:rFonts w:hint="eastAsia" w:ascii="宋体" w:hAnsi="宋体" w:eastAsia="宋体" w:cs="宋体"/>
                <w:snapToGrid w:val="0"/>
                <w:color w:val="auto"/>
                <w:position w:val="-12"/>
                <w:sz w:val="24"/>
              </w:rPr>
              <w:object>
                <v:shape id="_x0000_i1031" o:spt="75" type="#_x0000_t75" style="height:21.6pt;width:93.6pt;" o:ole="t" filled="f" o:preferrelative="t" stroked="f" coordsize="21600,21600">
                  <v:path/>
                  <v:fill on="f" focussize="0,0"/>
                  <v:stroke on="f" joinstyle="miter"/>
                  <v:imagedata r:id="rId26" o:title=""/>
                  <o:lock v:ext="edit" aspectratio="t"/>
                  <w10:wrap type="none"/>
                  <w10:anchorlock/>
                </v:shape>
                <o:OLEObject Type="Embed" ProgID="Equation.3" ShapeID="_x0000_i1031" DrawAspect="Content" ObjectID="_1468075731" r:id="rId25">
                  <o:LockedField>false</o:LockedField>
                </o:OLEObject>
              </w:object>
            </w:r>
            <w:r>
              <w:rPr>
                <w:rFonts w:hint="eastAsia" w:ascii="宋体" w:hAnsi="宋体" w:eastAsia="宋体" w:cs="宋体"/>
                <w:snapToGrid w:val="0"/>
                <w:color w:val="auto"/>
                <w:sz w:val="24"/>
              </w:rPr>
              <w:t xml:space="preserve">        （5）</w:t>
            </w:r>
          </w:p>
          <w:p w14:paraId="1CB75FC3">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snapToGrid w:val="0"/>
                <w:color w:val="auto"/>
                <w:sz w:val="24"/>
              </w:rPr>
            </w:pPr>
            <w:r>
              <w:rPr>
                <w:rFonts w:hint="eastAsia" w:ascii="宋体" w:hAnsi="宋体" w:eastAsia="宋体" w:cs="宋体"/>
                <w:snapToGrid w:val="0"/>
                <w:color w:val="auto"/>
                <w:sz w:val="24"/>
              </w:rPr>
              <w:t>A可选择对A声级影响最大的倍频带计算，一般可选中心频率为500Hz的倍频带估算。</w:t>
            </w:r>
          </w:p>
          <w:p w14:paraId="29B6080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snapToGrid w:val="0"/>
                <w:color w:val="auto"/>
                <w:sz w:val="24"/>
              </w:rPr>
            </w:pPr>
            <w:r>
              <w:rPr>
                <w:rFonts w:hint="eastAsia" w:ascii="宋体" w:hAnsi="宋体" w:eastAsia="宋体" w:cs="宋体"/>
                <w:snapToGrid w:val="0"/>
                <w:color w:val="auto"/>
                <w:sz w:val="24"/>
              </w:rPr>
              <w:t>②室内声源等效室外声源声功率级计算方法</w:t>
            </w:r>
          </w:p>
          <w:p w14:paraId="7DD61DAC">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snapToGrid w:val="0"/>
                <w:color w:val="auto"/>
                <w:sz w:val="24"/>
              </w:rPr>
            </w:pPr>
            <w:r>
              <w:rPr>
                <w:rFonts w:hint="eastAsia" w:ascii="宋体" w:hAnsi="宋体" w:eastAsia="宋体" w:cs="宋体"/>
                <w:snapToGrid w:val="0"/>
                <w:color w:val="auto"/>
                <w:sz w:val="24"/>
              </w:rPr>
              <w:t>设靠近开口处（或窗户）室内，室外某倍频带的声压级分别为L</w:t>
            </w:r>
            <w:r>
              <w:rPr>
                <w:rFonts w:hint="eastAsia" w:ascii="宋体" w:hAnsi="宋体" w:eastAsia="宋体" w:cs="宋体"/>
                <w:snapToGrid w:val="0"/>
                <w:color w:val="auto"/>
                <w:sz w:val="24"/>
                <w:vertAlign w:val="subscript"/>
              </w:rPr>
              <w:t>P1</w:t>
            </w:r>
            <w:r>
              <w:rPr>
                <w:rFonts w:hint="eastAsia" w:ascii="宋体" w:hAnsi="宋体" w:eastAsia="宋体" w:cs="宋体"/>
                <w:snapToGrid w:val="0"/>
                <w:color w:val="auto"/>
                <w:sz w:val="24"/>
              </w:rPr>
              <w:t>和L</w:t>
            </w:r>
            <w:r>
              <w:rPr>
                <w:rFonts w:hint="eastAsia" w:ascii="宋体" w:hAnsi="宋体" w:eastAsia="宋体" w:cs="宋体"/>
                <w:snapToGrid w:val="0"/>
                <w:color w:val="auto"/>
                <w:sz w:val="24"/>
                <w:vertAlign w:val="subscript"/>
              </w:rPr>
              <w:t>P2</w:t>
            </w:r>
            <w:r>
              <w:rPr>
                <w:rFonts w:hint="eastAsia" w:ascii="宋体" w:hAnsi="宋体" w:eastAsia="宋体" w:cs="宋体"/>
                <w:snapToGrid w:val="0"/>
                <w:color w:val="auto"/>
                <w:sz w:val="24"/>
              </w:rPr>
              <w:t>。若声源所在室内声场为近似扩散声场，则室外倍频声压级可按下公式近似求出：</w:t>
            </w:r>
          </w:p>
          <w:p w14:paraId="12216FD2">
            <w:pPr>
              <w:keepNext w:val="0"/>
              <w:keepLines w:val="0"/>
              <w:suppressLineNumbers w:val="0"/>
              <w:snapToGrid w:val="0"/>
              <w:spacing w:before="0" w:beforeAutospacing="0" w:after="0" w:afterAutospacing="0" w:line="360" w:lineRule="auto"/>
              <w:ind w:left="0" w:right="612" w:firstLine="480" w:firstLineChars="200"/>
              <w:jc w:val="center"/>
              <w:rPr>
                <w:rFonts w:hint="eastAsia" w:ascii="宋体" w:hAnsi="宋体" w:eastAsia="宋体" w:cs="宋体"/>
                <w:color w:val="auto"/>
                <w:sz w:val="24"/>
              </w:rPr>
            </w:pPr>
            <w:r>
              <w:rPr>
                <w:rFonts w:hint="eastAsia" w:ascii="宋体" w:hAnsi="宋体" w:eastAsia="宋体" w:cs="宋体"/>
                <w:color w:val="auto"/>
                <w:sz w:val="24"/>
              </w:rPr>
              <w:t>L</w:t>
            </w:r>
            <w:r>
              <w:rPr>
                <w:rFonts w:hint="eastAsia" w:ascii="宋体" w:hAnsi="宋体" w:eastAsia="宋体" w:cs="宋体"/>
                <w:color w:val="auto"/>
                <w:sz w:val="24"/>
                <w:vertAlign w:val="subscript"/>
              </w:rPr>
              <w:t>p2</w:t>
            </w:r>
            <w:r>
              <w:rPr>
                <w:rFonts w:hint="eastAsia" w:ascii="宋体" w:hAnsi="宋体" w:eastAsia="宋体" w:cs="宋体"/>
                <w:color w:val="auto"/>
                <w:sz w:val="24"/>
              </w:rPr>
              <w:t>= L</w:t>
            </w:r>
            <w:r>
              <w:rPr>
                <w:rFonts w:hint="eastAsia" w:ascii="宋体" w:hAnsi="宋体" w:eastAsia="宋体" w:cs="宋体"/>
                <w:color w:val="auto"/>
                <w:sz w:val="24"/>
                <w:vertAlign w:val="subscript"/>
              </w:rPr>
              <w:t xml:space="preserve">p1 </w:t>
            </w:r>
            <w:r>
              <w:rPr>
                <w:rFonts w:hint="eastAsia" w:ascii="宋体" w:hAnsi="宋体" w:eastAsia="宋体" w:cs="宋体"/>
                <w:color w:val="auto"/>
                <w:sz w:val="24"/>
              </w:rPr>
              <w:t>—（TL+6）        （6）</w:t>
            </w:r>
          </w:p>
          <w:p w14:paraId="35BEC020">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式中：TL—隔墙或窗户倍频带的隔声量，dB。</w:t>
            </w:r>
          </w:p>
          <w:p w14:paraId="6FF4BC51">
            <w:pPr>
              <w:keepNext w:val="0"/>
              <w:keepLines w:val="0"/>
              <w:widowControl/>
              <w:suppressLineNumbers w:val="0"/>
              <w:adjustRightInd w:val="0"/>
              <w:snapToGrid w:val="0"/>
              <w:spacing w:before="0" w:beforeAutospacing="0" w:after="0" w:afterAutospacing="0" w:line="360" w:lineRule="auto"/>
              <w:ind w:left="0" w:right="0" w:firstLine="48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③有限长线声源P15</w:t>
            </w:r>
          </w:p>
          <w:p w14:paraId="4CF0B46D">
            <w:pPr>
              <w:keepNext w:val="0"/>
              <w:keepLines w:val="0"/>
              <w:suppressLineNumbers w:val="0"/>
              <w:snapToGrid w:val="0"/>
              <w:spacing w:before="0" w:beforeAutospacing="0" w:after="0" w:afterAutospacing="0" w:line="360" w:lineRule="auto"/>
              <w:ind w:left="560" w:right="612" w:firstLine="540" w:firstLineChars="225"/>
              <w:jc w:val="center"/>
              <w:rPr>
                <w:rFonts w:hint="eastAsia" w:ascii="宋体" w:hAnsi="宋体" w:eastAsia="宋体" w:cs="宋体"/>
                <w:color w:val="auto"/>
                <w:sz w:val="24"/>
              </w:rPr>
            </w:pPr>
            <w:r>
              <w:rPr>
                <w:rFonts w:hint="eastAsia" w:ascii="宋体" w:hAnsi="宋体" w:eastAsia="宋体" w:cs="宋体"/>
                <w:color w:val="auto"/>
                <w:sz w:val="24"/>
              </w:rPr>
              <w:drawing>
                <wp:inline distT="0" distB="0" distL="114300" distR="114300">
                  <wp:extent cx="2143125" cy="390525"/>
                  <wp:effectExtent l="0" t="0" r="9525" b="8890"/>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27"/>
                          <a:stretch>
                            <a:fillRect/>
                          </a:stretch>
                        </pic:blipFill>
                        <pic:spPr>
                          <a:xfrm>
                            <a:off x="0" y="0"/>
                            <a:ext cx="2143125" cy="390525"/>
                          </a:xfrm>
                          <a:prstGeom prst="rect">
                            <a:avLst/>
                          </a:prstGeom>
                          <a:noFill/>
                          <a:ln>
                            <a:noFill/>
                          </a:ln>
                        </pic:spPr>
                      </pic:pic>
                    </a:graphicData>
                  </a:graphic>
                </wp:inline>
              </w:drawing>
            </w:r>
          </w:p>
          <w:p w14:paraId="1FA67586">
            <w:pPr>
              <w:keepNext w:val="0"/>
              <w:keepLines w:val="0"/>
              <w:widowControl/>
              <w:suppressLineNumbers w:val="0"/>
              <w:adjustRightInd w:val="0"/>
              <w:snapToGrid w:val="0"/>
              <w:spacing w:before="0" w:beforeAutospacing="0" w:after="0" w:afterAutospacing="0" w:line="360" w:lineRule="auto"/>
              <w:ind w:left="0" w:right="0" w:firstLine="480"/>
              <w:jc w:val="left"/>
              <w:rPr>
                <w:rFonts w:hint="eastAsia" w:ascii="宋体" w:hAnsi="宋体" w:eastAsia="宋体" w:cs="宋体"/>
                <w:snapToGrid w:val="0"/>
                <w:color w:val="auto"/>
                <w:sz w:val="24"/>
              </w:rPr>
            </w:pPr>
            <w:r>
              <w:rPr>
                <w:rFonts w:hint="eastAsia" w:ascii="宋体" w:hAnsi="宋体" w:eastAsia="宋体" w:cs="宋体"/>
                <w:snapToGrid w:val="0"/>
                <w:color w:val="auto"/>
                <w:sz w:val="24"/>
              </w:rPr>
              <w:t>④面声源的几何发散衰减P16</w:t>
            </w:r>
          </w:p>
          <w:p w14:paraId="00870B72">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要求的简化算法为：</w:t>
            </w:r>
          </w:p>
          <w:p w14:paraId="307829EC">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r&lt;a/π时，A</w:t>
            </w:r>
            <w:r>
              <w:rPr>
                <w:rFonts w:hint="eastAsia" w:ascii="宋体" w:hAnsi="宋体" w:eastAsia="宋体" w:cs="宋体"/>
                <w:color w:val="auto"/>
                <w:sz w:val="24"/>
                <w:vertAlign w:val="subscript"/>
              </w:rPr>
              <w:t>div</w:t>
            </w:r>
            <w:r>
              <w:rPr>
                <w:rFonts w:hint="eastAsia" w:ascii="宋体" w:hAnsi="宋体" w:eastAsia="宋体" w:cs="宋体"/>
                <w:color w:val="auto"/>
                <w:sz w:val="24"/>
              </w:rPr>
              <w:t>≈0；几乎不衰减</w:t>
            </w:r>
          </w:p>
          <w:p w14:paraId="707AB963">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a/π&lt;r&lt;b/π时，距离加倍时A</w:t>
            </w:r>
            <w:r>
              <w:rPr>
                <w:rFonts w:hint="eastAsia" w:ascii="宋体" w:hAnsi="宋体" w:eastAsia="宋体" w:cs="宋体"/>
                <w:color w:val="auto"/>
                <w:sz w:val="24"/>
                <w:vertAlign w:val="subscript"/>
              </w:rPr>
              <w:t>div</w:t>
            </w:r>
            <w:r>
              <w:rPr>
                <w:rFonts w:hint="eastAsia" w:ascii="宋体" w:hAnsi="宋体" w:eastAsia="宋体" w:cs="宋体"/>
                <w:color w:val="auto"/>
                <w:sz w:val="24"/>
              </w:rPr>
              <w:t>≈3；类似线声源（A</w:t>
            </w:r>
            <w:r>
              <w:rPr>
                <w:rFonts w:hint="eastAsia" w:ascii="宋体" w:hAnsi="宋体" w:eastAsia="宋体" w:cs="宋体"/>
                <w:color w:val="auto"/>
                <w:sz w:val="24"/>
                <w:vertAlign w:val="subscript"/>
              </w:rPr>
              <w:t>div</w:t>
            </w:r>
            <w:r>
              <w:rPr>
                <w:rFonts w:hint="eastAsia" w:ascii="宋体" w:hAnsi="宋体" w:eastAsia="宋体" w:cs="宋体"/>
                <w:color w:val="auto"/>
                <w:sz w:val="24"/>
              </w:rPr>
              <w:t>≈10lg(r/r</w:t>
            </w:r>
            <w:r>
              <w:rPr>
                <w:rFonts w:hint="eastAsia" w:ascii="宋体" w:hAnsi="宋体" w:eastAsia="宋体" w:cs="宋体"/>
                <w:color w:val="auto"/>
                <w:sz w:val="24"/>
                <w:vertAlign w:val="subscript"/>
              </w:rPr>
              <w:t>0</w:t>
            </w:r>
            <w:r>
              <w:rPr>
                <w:rFonts w:hint="eastAsia" w:ascii="宋体" w:hAnsi="宋体" w:eastAsia="宋体" w:cs="宋体"/>
                <w:color w:val="auto"/>
                <w:sz w:val="24"/>
              </w:rPr>
              <w:t>)）</w:t>
            </w:r>
          </w:p>
          <w:p w14:paraId="31FBCF63">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r&gt;b/π时，距离加倍时A</w:t>
            </w:r>
            <w:r>
              <w:rPr>
                <w:rFonts w:hint="eastAsia" w:ascii="宋体" w:hAnsi="宋体" w:eastAsia="宋体" w:cs="宋体"/>
                <w:color w:val="auto"/>
                <w:sz w:val="24"/>
                <w:vertAlign w:val="subscript"/>
              </w:rPr>
              <w:t>div</w:t>
            </w:r>
            <w:r>
              <w:rPr>
                <w:rFonts w:hint="eastAsia" w:ascii="宋体" w:hAnsi="宋体" w:eastAsia="宋体" w:cs="宋体"/>
                <w:color w:val="auto"/>
                <w:sz w:val="24"/>
              </w:rPr>
              <w:t>≈6；类似点声源（A</w:t>
            </w:r>
            <w:r>
              <w:rPr>
                <w:rFonts w:hint="eastAsia" w:ascii="宋体" w:hAnsi="宋体" w:eastAsia="宋体" w:cs="宋体"/>
                <w:color w:val="auto"/>
                <w:sz w:val="24"/>
                <w:vertAlign w:val="subscript"/>
              </w:rPr>
              <w:t>div</w:t>
            </w:r>
            <w:r>
              <w:rPr>
                <w:rFonts w:hint="eastAsia" w:ascii="宋体" w:hAnsi="宋体" w:eastAsia="宋体" w:cs="宋体"/>
                <w:color w:val="auto"/>
                <w:sz w:val="24"/>
              </w:rPr>
              <w:t>≈20lg(r/r</w:t>
            </w:r>
            <w:r>
              <w:rPr>
                <w:rFonts w:hint="eastAsia" w:ascii="宋体" w:hAnsi="宋体" w:eastAsia="宋体" w:cs="宋体"/>
                <w:color w:val="auto"/>
                <w:sz w:val="24"/>
                <w:vertAlign w:val="subscript"/>
              </w:rPr>
              <w:t>0</w:t>
            </w:r>
            <w:r>
              <w:rPr>
                <w:rFonts w:hint="eastAsia" w:ascii="宋体" w:hAnsi="宋体" w:eastAsia="宋体" w:cs="宋体"/>
                <w:color w:val="auto"/>
                <w:sz w:val="24"/>
              </w:rPr>
              <w:t>)）</w:t>
            </w:r>
          </w:p>
          <w:p w14:paraId="590FC066">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r&lt;a/π时，A</w:t>
            </w:r>
            <w:r>
              <w:rPr>
                <w:rFonts w:hint="eastAsia" w:ascii="宋体" w:hAnsi="宋体" w:eastAsia="宋体" w:cs="宋体"/>
                <w:color w:val="auto"/>
                <w:sz w:val="24"/>
                <w:vertAlign w:val="subscript"/>
              </w:rPr>
              <w:t>div</w:t>
            </w:r>
            <w:r>
              <w:rPr>
                <w:rFonts w:hint="eastAsia" w:ascii="宋体" w:hAnsi="宋体" w:eastAsia="宋体" w:cs="宋体"/>
                <w:color w:val="auto"/>
                <w:sz w:val="24"/>
              </w:rPr>
              <w:t>≈0。</w:t>
            </w:r>
          </w:p>
          <w:p w14:paraId="2A6FD28A">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⑤噪声贡献值计算</w:t>
            </w:r>
          </w:p>
          <w:p w14:paraId="57DA9DE1">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设第i个室外声源在预测点产生的A声级为LAi，在T时间内该声源工作时间为ti；第j个等效室外声源在预测点产生的A声级为LAj，在T时间内该声源工作时间为tj；则拟建工程声源对预测点产生的贡献值为（Leqg）：</w:t>
            </w:r>
          </w:p>
          <w:p w14:paraId="28615EF3">
            <w:pPr>
              <w:keepNext w:val="0"/>
              <w:keepLines w:val="0"/>
              <w:suppressLineNumbers w:val="0"/>
              <w:snapToGrid w:val="0"/>
              <w:spacing w:before="0" w:beforeAutospacing="0" w:after="0" w:afterAutospacing="0" w:line="360" w:lineRule="auto"/>
              <w:ind w:left="0" w:right="0" w:firstLine="420"/>
              <w:jc w:val="center"/>
              <w:rPr>
                <w:rFonts w:hint="eastAsia" w:ascii="宋体" w:hAnsi="宋体" w:eastAsia="宋体" w:cs="宋体"/>
                <w:color w:val="auto"/>
                <w:szCs w:val="22"/>
              </w:rPr>
            </w:pPr>
            <w:r>
              <w:rPr>
                <w:rFonts w:hint="eastAsia" w:ascii="宋体" w:hAnsi="宋体" w:eastAsia="宋体" w:cs="宋体"/>
                <w:color w:val="auto"/>
                <w:szCs w:val="22"/>
              </w:rPr>
              <w:object>
                <v:shape id="_x0000_i1032" o:spt="75" type="#_x0000_t75" style="height:35.4pt;width:208.8pt;" o:ole="t" filled="f" o:preferrelative="t" stroked="f" coordsize="21600,21600">
                  <v:path/>
                  <v:fill on="f" focussize="0,0"/>
                  <v:stroke on="f" joinstyle="miter"/>
                  <v:imagedata r:id="rId29" o:title=""/>
                  <o:lock v:ext="edit" aspectratio="t"/>
                  <w10:wrap type="none"/>
                  <w10:anchorlock/>
                </v:shape>
                <o:OLEObject Type="Embed" ProgID="Equation.3" ShapeID="_x0000_i1032" DrawAspect="Content" ObjectID="_1468075732" r:id="rId28">
                  <o:LockedField>false</o:LockedField>
                </o:OLEObject>
              </w:object>
            </w:r>
          </w:p>
          <w:p w14:paraId="6F1AE8BE">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式中：tj—在T时间内j声源工作时间，s；</w:t>
            </w:r>
          </w:p>
          <w:p w14:paraId="1775AF54">
            <w:pPr>
              <w:keepNext w:val="0"/>
              <w:keepLines w:val="0"/>
              <w:suppressLineNumbers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ti—在T时间内i声源工作时间，s；</w:t>
            </w:r>
          </w:p>
          <w:p w14:paraId="507C49E7">
            <w:pPr>
              <w:keepNext w:val="0"/>
              <w:keepLines w:val="0"/>
              <w:suppressLineNumbers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T—用于计算等效声级的时间，s；</w:t>
            </w:r>
          </w:p>
          <w:p w14:paraId="553167E7">
            <w:pPr>
              <w:keepNext w:val="0"/>
              <w:keepLines w:val="0"/>
              <w:suppressLineNumbers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N—室外声源个数；</w:t>
            </w:r>
          </w:p>
          <w:p w14:paraId="5727DC5B">
            <w:pPr>
              <w:keepNext w:val="0"/>
              <w:keepLines w:val="0"/>
              <w:suppressLineNumbers w:val="0"/>
              <w:snapToGrid w:val="0"/>
              <w:spacing w:before="0" w:beforeAutospacing="0" w:after="0" w:afterAutospacing="0" w:line="360" w:lineRule="auto"/>
              <w:ind w:left="0" w:right="0" w:firstLine="1200" w:firstLineChars="500"/>
              <w:rPr>
                <w:rFonts w:hint="eastAsia" w:ascii="宋体" w:hAnsi="宋体" w:eastAsia="宋体" w:cs="宋体"/>
                <w:color w:val="auto"/>
                <w:sz w:val="24"/>
              </w:rPr>
            </w:pPr>
            <w:r>
              <w:rPr>
                <w:rFonts w:hint="eastAsia" w:ascii="宋体" w:hAnsi="宋体" w:eastAsia="宋体" w:cs="宋体"/>
                <w:color w:val="auto"/>
                <w:sz w:val="24"/>
              </w:rPr>
              <w:t>M—等效室外声源个数。</w:t>
            </w:r>
          </w:p>
          <w:p w14:paraId="1134BC66">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（3）预测结果</w:t>
            </w:r>
          </w:p>
          <w:p w14:paraId="58EB112F">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根据本项目投产后厂内主要噪声源的位置、声功率级值以及所采取的噪声防治措施，运营期厂界噪声预测结果见表</w:t>
            </w:r>
            <w:r>
              <w:rPr>
                <w:rFonts w:hint="eastAsia" w:ascii="宋体" w:hAnsi="宋体" w:eastAsia="宋体" w:cs="宋体"/>
                <w:color w:val="auto"/>
                <w:sz w:val="24"/>
                <w:lang w:val="en-US" w:eastAsia="zh-CN"/>
              </w:rPr>
              <w:t>4-1</w:t>
            </w:r>
            <w:r>
              <w:rPr>
                <w:rFonts w:hint="eastAsia" w:eastAsia="宋体" w:cs="宋体"/>
                <w:color w:val="auto"/>
                <w:sz w:val="24"/>
                <w:lang w:val="en-US" w:eastAsia="zh-CN"/>
              </w:rPr>
              <w:t>2</w:t>
            </w:r>
            <w:r>
              <w:rPr>
                <w:rFonts w:hint="eastAsia" w:ascii="宋体" w:hAnsi="宋体" w:eastAsia="宋体" w:cs="宋体"/>
                <w:color w:val="auto"/>
                <w:sz w:val="24"/>
              </w:rPr>
              <w:t>。</w:t>
            </w:r>
          </w:p>
          <w:p w14:paraId="7A1A5CC5">
            <w:pPr>
              <w:keepNext w:val="0"/>
              <w:keepLines w:val="0"/>
              <w:suppressLineNumbers w:val="0"/>
              <w:spacing w:before="0" w:beforeAutospacing="0" w:after="0" w:afterAutospacing="0"/>
              <w:ind w:left="0" w:right="0"/>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表</w:t>
            </w:r>
            <w:r>
              <w:rPr>
                <w:rFonts w:hint="eastAsia" w:ascii="宋体" w:hAnsi="宋体" w:eastAsia="宋体" w:cs="宋体"/>
                <w:b/>
                <w:color w:val="auto"/>
                <w:sz w:val="24"/>
                <w:highlight w:val="none"/>
                <w:lang w:val="en-US" w:eastAsia="zh-CN"/>
              </w:rPr>
              <w:t>4-1</w:t>
            </w:r>
            <w:r>
              <w:rPr>
                <w:rFonts w:hint="eastAsia" w:eastAsia="宋体" w:cs="宋体"/>
                <w:b/>
                <w:color w:val="auto"/>
                <w:sz w:val="24"/>
                <w:highlight w:val="none"/>
                <w:lang w:val="en-US" w:eastAsia="zh-CN"/>
              </w:rPr>
              <w:t>2</w:t>
            </w:r>
            <w:r>
              <w:rPr>
                <w:rFonts w:hint="eastAsia" w:ascii="宋体" w:hAnsi="宋体" w:eastAsia="宋体" w:cs="宋体"/>
                <w:b/>
                <w:color w:val="auto"/>
                <w:sz w:val="24"/>
                <w:highlight w:val="none"/>
              </w:rPr>
              <w:t xml:space="preserve"> 厂界噪声预测结果       单位: Leq [dB（A）]</w:t>
            </w:r>
          </w:p>
          <w:tbl>
            <w:tblPr>
              <w:tblStyle w:val="26"/>
              <w:tblW w:w="8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601"/>
              <w:gridCol w:w="1684"/>
              <w:gridCol w:w="3925"/>
            </w:tblGrid>
            <w:tr w14:paraId="308C1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163" w:type="dxa"/>
                  <w:tcBorders>
                    <w:tl2br w:val="nil"/>
                    <w:tr2bl w:val="nil"/>
                  </w:tcBorders>
                  <w:noWrap w:val="0"/>
                  <w:vAlign w:val="center"/>
                </w:tcPr>
                <w:p w14:paraId="18C7DDC9">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序号</w:t>
                  </w:r>
                </w:p>
              </w:tc>
              <w:tc>
                <w:tcPr>
                  <w:tcW w:w="1601" w:type="dxa"/>
                  <w:tcBorders>
                    <w:tl2br w:val="nil"/>
                    <w:tr2bl w:val="nil"/>
                  </w:tcBorders>
                  <w:noWrap w:val="0"/>
                  <w:vAlign w:val="center"/>
                </w:tcPr>
                <w:p w14:paraId="46E61E2C">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厂界</w:t>
                  </w:r>
                </w:p>
              </w:tc>
              <w:tc>
                <w:tcPr>
                  <w:tcW w:w="1684" w:type="dxa"/>
                  <w:tcBorders>
                    <w:tl2br w:val="nil"/>
                    <w:tr2bl w:val="nil"/>
                  </w:tcBorders>
                  <w:noWrap w:val="0"/>
                  <w:vAlign w:val="center"/>
                </w:tcPr>
                <w:p w14:paraId="35B19498">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贡献值</w:t>
                  </w:r>
                </w:p>
              </w:tc>
              <w:tc>
                <w:tcPr>
                  <w:tcW w:w="3925" w:type="dxa"/>
                  <w:tcBorders>
                    <w:tl2br w:val="nil"/>
                    <w:tr2bl w:val="nil"/>
                  </w:tcBorders>
                  <w:noWrap w:val="0"/>
                  <w:vAlign w:val="center"/>
                </w:tcPr>
                <w:p w14:paraId="3013AA05">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标准值</w:t>
                  </w:r>
                </w:p>
              </w:tc>
            </w:tr>
            <w:tr w14:paraId="7F5A5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163" w:type="dxa"/>
                  <w:tcBorders>
                    <w:tl2br w:val="nil"/>
                    <w:tr2bl w:val="nil"/>
                  </w:tcBorders>
                  <w:noWrap w:val="0"/>
                  <w:vAlign w:val="center"/>
                </w:tcPr>
                <w:p w14:paraId="490D45AA">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1#</w:t>
                  </w:r>
                </w:p>
              </w:tc>
              <w:tc>
                <w:tcPr>
                  <w:tcW w:w="1601" w:type="dxa"/>
                  <w:tcBorders>
                    <w:tl2br w:val="nil"/>
                    <w:tr2bl w:val="nil"/>
                  </w:tcBorders>
                  <w:noWrap w:val="0"/>
                  <w:vAlign w:val="center"/>
                </w:tcPr>
                <w:p w14:paraId="5BF32B4A">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东</w:t>
                  </w:r>
                </w:p>
              </w:tc>
              <w:tc>
                <w:tcPr>
                  <w:tcW w:w="1684" w:type="dxa"/>
                  <w:tcBorders>
                    <w:tl2br w:val="nil"/>
                    <w:tr2bl w:val="nil"/>
                  </w:tcBorders>
                  <w:noWrap w:val="0"/>
                  <w:vAlign w:val="center"/>
                </w:tcPr>
                <w:p w14:paraId="2D82794F">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15.8</w:t>
                  </w:r>
                </w:p>
              </w:tc>
              <w:tc>
                <w:tcPr>
                  <w:tcW w:w="3925" w:type="dxa"/>
                  <w:vMerge w:val="restart"/>
                  <w:tcBorders>
                    <w:tl2br w:val="nil"/>
                    <w:tr2bl w:val="nil"/>
                  </w:tcBorders>
                  <w:noWrap w:val="0"/>
                  <w:vAlign w:val="center"/>
                </w:tcPr>
                <w:p w14:paraId="138E5D74">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《工业企业厂界环境噪声排放标准》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GB12348－2008</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类标准限值（昼间</w:t>
                  </w:r>
                  <w:r>
                    <w:rPr>
                      <w:rFonts w:hint="eastAsia" w:ascii="宋体" w:hAnsi="宋体" w:eastAsia="宋体" w:cs="宋体"/>
                      <w:color w:val="auto"/>
                      <w:sz w:val="21"/>
                      <w:szCs w:val="21"/>
                      <w:highlight w:val="none"/>
                      <w:lang w:val="en-US" w:eastAsia="zh-CN"/>
                    </w:rPr>
                    <w:t>60</w:t>
                  </w:r>
                  <w:r>
                    <w:rPr>
                      <w:rFonts w:hint="eastAsia" w:ascii="宋体" w:hAnsi="宋体" w:eastAsia="宋体" w:cs="宋体"/>
                      <w:color w:val="auto"/>
                      <w:sz w:val="21"/>
                      <w:szCs w:val="21"/>
                      <w:highlight w:val="none"/>
                    </w:rPr>
                    <w:t>dB</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A</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夜间50</w:t>
                  </w:r>
                  <w:r>
                    <w:rPr>
                      <w:rFonts w:hint="eastAsia" w:ascii="宋体" w:hAnsi="宋体" w:eastAsia="宋体" w:cs="宋体"/>
                      <w:color w:val="auto"/>
                      <w:sz w:val="21"/>
                      <w:szCs w:val="21"/>
                      <w:highlight w:val="none"/>
                    </w:rPr>
                    <w:t>dB</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A</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w:t>
                  </w:r>
                </w:p>
              </w:tc>
            </w:tr>
            <w:tr w14:paraId="43E1D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163" w:type="dxa"/>
                  <w:tcBorders>
                    <w:tl2br w:val="nil"/>
                    <w:tr2bl w:val="nil"/>
                  </w:tcBorders>
                  <w:noWrap w:val="0"/>
                  <w:vAlign w:val="center"/>
                </w:tcPr>
                <w:p w14:paraId="0454ACC8">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2#</w:t>
                  </w:r>
                </w:p>
              </w:tc>
              <w:tc>
                <w:tcPr>
                  <w:tcW w:w="1601" w:type="dxa"/>
                  <w:tcBorders>
                    <w:tl2br w:val="nil"/>
                    <w:tr2bl w:val="nil"/>
                  </w:tcBorders>
                  <w:noWrap w:val="0"/>
                  <w:vAlign w:val="center"/>
                </w:tcPr>
                <w:p w14:paraId="5D5EEC1F">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南</w:t>
                  </w:r>
                </w:p>
              </w:tc>
              <w:tc>
                <w:tcPr>
                  <w:tcW w:w="1684" w:type="dxa"/>
                  <w:tcBorders>
                    <w:tl2br w:val="nil"/>
                    <w:tr2bl w:val="nil"/>
                  </w:tcBorders>
                  <w:noWrap w:val="0"/>
                  <w:vAlign w:val="center"/>
                </w:tcPr>
                <w:p w14:paraId="481CB900">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22.9</w:t>
                  </w:r>
                </w:p>
              </w:tc>
              <w:tc>
                <w:tcPr>
                  <w:tcW w:w="3925" w:type="dxa"/>
                  <w:vMerge w:val="continue"/>
                  <w:tcBorders>
                    <w:tl2br w:val="nil"/>
                    <w:tr2bl w:val="nil"/>
                  </w:tcBorders>
                  <w:noWrap w:val="0"/>
                  <w:vAlign w:val="center"/>
                </w:tcPr>
                <w:p w14:paraId="33CAF61D">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left"/>
                    <w:textAlignment w:val="auto"/>
                    <w:rPr>
                      <w:rFonts w:hint="eastAsia" w:ascii="宋体" w:hAnsi="宋体" w:eastAsia="宋体" w:cs="宋体"/>
                      <w:color w:val="auto"/>
                      <w:szCs w:val="21"/>
                      <w:highlight w:val="none"/>
                    </w:rPr>
                  </w:pPr>
                </w:p>
              </w:tc>
            </w:tr>
            <w:tr w14:paraId="229D9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163" w:type="dxa"/>
                  <w:tcBorders>
                    <w:tl2br w:val="nil"/>
                    <w:tr2bl w:val="nil"/>
                  </w:tcBorders>
                  <w:noWrap w:val="0"/>
                  <w:vAlign w:val="center"/>
                </w:tcPr>
                <w:p w14:paraId="1CCDE3D3">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3#</w:t>
                  </w:r>
                </w:p>
              </w:tc>
              <w:tc>
                <w:tcPr>
                  <w:tcW w:w="1601" w:type="dxa"/>
                  <w:tcBorders>
                    <w:tl2br w:val="nil"/>
                    <w:tr2bl w:val="nil"/>
                  </w:tcBorders>
                  <w:noWrap w:val="0"/>
                  <w:vAlign w:val="center"/>
                </w:tcPr>
                <w:p w14:paraId="155FC3C7">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西</w:t>
                  </w:r>
                </w:p>
              </w:tc>
              <w:tc>
                <w:tcPr>
                  <w:tcW w:w="1684" w:type="dxa"/>
                  <w:tcBorders>
                    <w:tl2br w:val="nil"/>
                    <w:tr2bl w:val="nil"/>
                  </w:tcBorders>
                  <w:noWrap w:val="0"/>
                  <w:vAlign w:val="center"/>
                </w:tcPr>
                <w:p w14:paraId="37BC7EC1">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25.2</w:t>
                  </w:r>
                </w:p>
              </w:tc>
              <w:tc>
                <w:tcPr>
                  <w:tcW w:w="3925" w:type="dxa"/>
                  <w:vMerge w:val="continue"/>
                  <w:tcBorders>
                    <w:tl2br w:val="nil"/>
                    <w:tr2bl w:val="nil"/>
                  </w:tcBorders>
                  <w:noWrap w:val="0"/>
                  <w:vAlign w:val="center"/>
                </w:tcPr>
                <w:p w14:paraId="4262CA80">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left"/>
                    <w:textAlignment w:val="auto"/>
                    <w:rPr>
                      <w:rFonts w:hint="eastAsia" w:ascii="宋体" w:hAnsi="宋体" w:eastAsia="宋体" w:cs="宋体"/>
                      <w:color w:val="auto"/>
                      <w:szCs w:val="21"/>
                      <w:highlight w:val="none"/>
                    </w:rPr>
                  </w:pPr>
                </w:p>
              </w:tc>
            </w:tr>
            <w:tr w14:paraId="0C486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163" w:type="dxa"/>
                  <w:tcBorders>
                    <w:tl2br w:val="nil"/>
                    <w:tr2bl w:val="nil"/>
                  </w:tcBorders>
                  <w:noWrap w:val="0"/>
                  <w:vAlign w:val="center"/>
                </w:tcPr>
                <w:p w14:paraId="2E679579">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4#</w:t>
                  </w:r>
                </w:p>
              </w:tc>
              <w:tc>
                <w:tcPr>
                  <w:tcW w:w="1601" w:type="dxa"/>
                  <w:tcBorders>
                    <w:tl2br w:val="nil"/>
                    <w:tr2bl w:val="nil"/>
                  </w:tcBorders>
                  <w:noWrap w:val="0"/>
                  <w:vAlign w:val="center"/>
                </w:tcPr>
                <w:p w14:paraId="60F52DC9">
                  <w:pPr>
                    <w:pStyle w:val="85"/>
                    <w:keepNext w:val="0"/>
                    <w:keepLines w:val="0"/>
                    <w:pageBreakBefore w:val="0"/>
                    <w:widowControl/>
                    <w:suppressLineNumbers w:val="0"/>
                    <w:kinsoku/>
                    <w:wordWrap/>
                    <w:topLinePunct w:val="0"/>
                    <w:bidi w:val="0"/>
                    <w:adjustRightInd/>
                    <w:snapToGrid/>
                    <w:spacing w:before="0" w:beforeAutospacing="0" w:after="0" w:afterAutospacing="0" w:line="360" w:lineRule="exact"/>
                    <w:ind w:left="0" w:right="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北</w:t>
                  </w:r>
                </w:p>
              </w:tc>
              <w:tc>
                <w:tcPr>
                  <w:tcW w:w="1684" w:type="dxa"/>
                  <w:tcBorders>
                    <w:tl2br w:val="nil"/>
                    <w:tr2bl w:val="nil"/>
                  </w:tcBorders>
                  <w:noWrap w:val="0"/>
                  <w:vAlign w:val="center"/>
                </w:tcPr>
                <w:p w14:paraId="36F8AA03">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12.7</w:t>
                  </w:r>
                </w:p>
              </w:tc>
              <w:tc>
                <w:tcPr>
                  <w:tcW w:w="3925" w:type="dxa"/>
                  <w:vMerge w:val="continue"/>
                  <w:tcBorders>
                    <w:tl2br w:val="nil"/>
                    <w:tr2bl w:val="nil"/>
                  </w:tcBorders>
                  <w:noWrap w:val="0"/>
                  <w:vAlign w:val="center"/>
                </w:tcPr>
                <w:p w14:paraId="08AE95E0">
                  <w:pPr>
                    <w:keepNext w:val="0"/>
                    <w:keepLines/>
                    <w:pageBreakBefore w:val="0"/>
                    <w:suppressLineNumbers w:val="0"/>
                    <w:kinsoku/>
                    <w:wordWrap/>
                    <w:overflowPunct w:val="0"/>
                    <w:topLinePunct w:val="0"/>
                    <w:autoSpaceDE w:val="0"/>
                    <w:autoSpaceDN w:val="0"/>
                    <w:bidi w:val="0"/>
                    <w:adjustRightInd/>
                    <w:snapToGrid/>
                    <w:spacing w:before="0" w:beforeAutospacing="0" w:after="0" w:afterAutospacing="0" w:line="360" w:lineRule="exact"/>
                    <w:ind w:left="0" w:right="0"/>
                    <w:jc w:val="left"/>
                    <w:textAlignment w:val="auto"/>
                    <w:rPr>
                      <w:rFonts w:hint="eastAsia" w:ascii="宋体" w:hAnsi="宋体" w:eastAsia="宋体" w:cs="宋体"/>
                      <w:color w:val="auto"/>
                      <w:szCs w:val="21"/>
                      <w:highlight w:val="none"/>
                    </w:rPr>
                  </w:pPr>
                </w:p>
              </w:tc>
            </w:tr>
          </w:tbl>
          <w:p w14:paraId="4555AA1A">
            <w:pPr>
              <w:pStyle w:val="60"/>
              <w:keepNext w:val="0"/>
              <w:keepLines w:val="0"/>
              <w:suppressLineNumbers w:val="0"/>
              <w:spacing w:before="0" w:beforeAutospacing="0" w:after="0" w:afterAutospacing="0"/>
              <w:ind w:left="0" w:right="0" w:firstLine="480"/>
              <w:rPr>
                <w:rFonts w:hint="eastAsia" w:ascii="宋体" w:hAnsi="宋体" w:eastAsia="宋体" w:cs="宋体"/>
                <w:b/>
                <w:color w:val="auto"/>
                <w:kern w:val="2"/>
                <w:sz w:val="24"/>
                <w:szCs w:val="24"/>
                <w:lang w:bidi="ar"/>
              </w:rPr>
            </w:pPr>
            <w:r>
              <w:rPr>
                <w:rFonts w:hint="eastAsia" w:ascii="宋体" w:hAnsi="宋体" w:eastAsia="宋体" w:cs="宋体"/>
                <w:color w:val="auto"/>
                <w:sz w:val="24"/>
                <w:szCs w:val="24"/>
              </w:rPr>
              <w:t>由表</w:t>
            </w:r>
            <w:r>
              <w:rPr>
                <w:rFonts w:hint="eastAsia" w:ascii="宋体" w:hAnsi="宋体" w:eastAsia="宋体" w:cs="宋体"/>
                <w:color w:val="auto"/>
                <w:sz w:val="24"/>
                <w:szCs w:val="24"/>
                <w:lang w:val="en-US" w:eastAsia="zh-CN"/>
              </w:rPr>
              <w:t>4-11</w:t>
            </w:r>
            <w:r>
              <w:rPr>
                <w:rFonts w:hint="eastAsia" w:ascii="宋体" w:hAnsi="宋体" w:eastAsia="宋体" w:cs="宋体"/>
                <w:color w:val="auto"/>
                <w:sz w:val="24"/>
                <w:szCs w:val="24"/>
              </w:rPr>
              <w:t>可知，项目投产后，厂界噪声</w:t>
            </w:r>
            <w:r>
              <w:rPr>
                <w:rFonts w:hint="eastAsia" w:ascii="宋体" w:hAnsi="宋体" w:eastAsia="宋体" w:cs="宋体"/>
                <w:color w:val="auto"/>
                <w:sz w:val="24"/>
                <w:szCs w:val="24"/>
                <w:lang w:eastAsia="zh-CN"/>
              </w:rPr>
              <w:t>贡献</w:t>
            </w:r>
            <w:r>
              <w:rPr>
                <w:rFonts w:hint="eastAsia" w:ascii="宋体" w:hAnsi="宋体" w:eastAsia="宋体" w:cs="宋体"/>
                <w:color w:val="auto"/>
                <w:sz w:val="24"/>
                <w:szCs w:val="24"/>
              </w:rPr>
              <w:t>值满足《工业企业厂界环境噪声排放标准》(GB12348 -2008) 2类标准的限值要求，项目50m范围内无声环境敏感点，项目噪声对周围声环境影响不大。</w:t>
            </w:r>
          </w:p>
          <w:p w14:paraId="2FE81E72">
            <w:pPr>
              <w:keepNext w:val="0"/>
              <w:keepLines w:val="0"/>
              <w:numPr>
                <w:ilvl w:val="0"/>
                <w:numId w:val="2"/>
              </w:numPr>
              <w:suppressLineNumbers w:val="0"/>
              <w:spacing w:before="0" w:beforeAutospacing="0" w:after="0" w:afterAutospacing="0" w:line="360" w:lineRule="auto"/>
              <w:ind w:left="0" w:right="0" w:firstLine="480" w:firstLineChars="200"/>
              <w:rPr>
                <w:rFonts w:hint="eastAsia" w:ascii="宋体" w:hAnsi="宋体" w:eastAsia="宋体" w:cs="宋体"/>
                <w:color w:val="auto"/>
                <w:sz w:val="24"/>
                <w:szCs w:val="24"/>
                <w:lang w:bidi="ar"/>
              </w:rPr>
            </w:pPr>
            <w:r>
              <w:rPr>
                <w:rStyle w:val="94"/>
                <w:rFonts w:hint="eastAsia" w:ascii="宋体" w:hAnsi="宋体" w:eastAsia="宋体" w:cs="宋体"/>
                <w:b w:val="0"/>
                <w:bCs/>
                <w:color w:val="auto"/>
                <w:sz w:val="24"/>
                <w:szCs w:val="24"/>
                <w:lang w:bidi="ar"/>
              </w:rPr>
              <w:t>噪声监测计划</w:t>
            </w:r>
            <w:r>
              <w:rPr>
                <w:rStyle w:val="94"/>
                <w:rFonts w:hint="eastAsia" w:ascii="宋体" w:hAnsi="宋体" w:eastAsia="宋体" w:cs="宋体"/>
                <w:b w:val="0"/>
                <w:bCs/>
                <w:color w:val="auto"/>
                <w:sz w:val="24"/>
                <w:szCs w:val="24"/>
                <w:lang w:bidi="ar"/>
              </w:rPr>
              <w:br w:type="textWrapping"/>
            </w:r>
            <w:r>
              <w:rPr>
                <w:rStyle w:val="94"/>
                <w:rFonts w:hint="eastAsia" w:ascii="宋体" w:hAnsi="宋体" w:eastAsia="宋体" w:cs="宋体"/>
                <w:color w:val="auto"/>
                <w:sz w:val="24"/>
                <w:szCs w:val="24"/>
                <w:lang w:bidi="ar"/>
              </w:rPr>
              <w:t xml:space="preserve">    </w:t>
            </w:r>
            <w:r>
              <w:rPr>
                <w:rStyle w:val="94"/>
                <w:rFonts w:hint="eastAsia" w:ascii="宋体" w:hAnsi="宋体" w:eastAsia="宋体" w:cs="宋体"/>
                <w:b w:val="0"/>
                <w:bCs/>
                <w:color w:val="auto"/>
                <w:sz w:val="24"/>
                <w:szCs w:val="24"/>
                <w:lang w:bidi="ar"/>
              </w:rPr>
              <w:t>依据</w:t>
            </w:r>
            <w:r>
              <w:rPr>
                <w:rFonts w:hint="eastAsia" w:ascii="宋体" w:hAnsi="宋体" w:eastAsia="宋体" w:cs="宋体"/>
                <w:color w:val="auto"/>
                <w:sz w:val="24"/>
                <w:szCs w:val="24"/>
              </w:rPr>
              <w:t>《排污单位自行监测技术指南 总则》（HJ 819-2017）</w:t>
            </w:r>
            <w:r>
              <w:rPr>
                <w:rStyle w:val="94"/>
                <w:rFonts w:hint="eastAsia" w:ascii="宋体" w:hAnsi="宋体" w:eastAsia="宋体" w:cs="宋体"/>
                <w:b w:val="0"/>
                <w:bCs/>
                <w:color w:val="auto"/>
                <w:sz w:val="24"/>
                <w:szCs w:val="24"/>
                <w:lang w:bidi="ar"/>
              </w:rPr>
              <w:t>对厂界环境噪声监测要求，</w:t>
            </w:r>
            <w:r>
              <w:rPr>
                <w:rFonts w:hint="eastAsia" w:ascii="宋体" w:hAnsi="宋体" w:eastAsia="宋体" w:cs="宋体"/>
                <w:bCs/>
                <w:color w:val="auto"/>
                <w:sz w:val="24"/>
                <w:szCs w:val="24"/>
                <w:lang w:bidi="ar"/>
              </w:rPr>
              <w:t>运营期厂界噪声</w:t>
            </w:r>
            <w:r>
              <w:rPr>
                <w:rFonts w:hint="eastAsia" w:ascii="宋体" w:hAnsi="宋体" w:eastAsia="宋体" w:cs="宋体"/>
                <w:color w:val="auto"/>
                <w:sz w:val="24"/>
                <w:szCs w:val="24"/>
                <w:lang w:bidi="ar"/>
              </w:rPr>
              <w:t>监测要求见下表</w:t>
            </w:r>
            <w:r>
              <w:rPr>
                <w:rFonts w:hint="eastAsia" w:ascii="宋体" w:hAnsi="宋体" w:eastAsia="宋体" w:cs="宋体"/>
                <w:color w:val="auto"/>
                <w:sz w:val="24"/>
                <w:szCs w:val="24"/>
                <w:lang w:val="en-US" w:eastAsia="zh-CN" w:bidi="ar"/>
              </w:rPr>
              <w:t>4-1</w:t>
            </w:r>
            <w:r>
              <w:rPr>
                <w:rFonts w:hint="eastAsia" w:eastAsia="宋体" w:cs="宋体"/>
                <w:color w:val="auto"/>
                <w:sz w:val="24"/>
                <w:szCs w:val="24"/>
                <w:lang w:val="en-US" w:eastAsia="zh-CN" w:bidi="ar"/>
              </w:rPr>
              <w:t>3</w:t>
            </w:r>
            <w:r>
              <w:rPr>
                <w:rFonts w:hint="eastAsia" w:ascii="宋体" w:hAnsi="宋体" w:eastAsia="宋体" w:cs="宋体"/>
                <w:color w:val="auto"/>
                <w:sz w:val="24"/>
                <w:szCs w:val="24"/>
                <w:lang w:bidi="ar"/>
              </w:rPr>
              <w:t>。</w:t>
            </w:r>
          </w:p>
          <w:p w14:paraId="5E1CBB33">
            <w:pPr>
              <w:keepNext w:val="0"/>
              <w:keepLines w:val="0"/>
              <w:suppressLineNumbers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lang w:bidi="ar"/>
              </w:rPr>
              <w:t>表4-1</w:t>
            </w:r>
            <w:r>
              <w:rPr>
                <w:rFonts w:hint="eastAsia" w:eastAsia="宋体" w:cs="宋体"/>
                <w:b/>
                <w:bCs/>
                <w:color w:val="auto"/>
                <w:sz w:val="24"/>
                <w:lang w:val="en-US" w:eastAsia="zh-CN" w:bidi="ar"/>
              </w:rPr>
              <w:t>3</w:t>
            </w:r>
            <w:r>
              <w:rPr>
                <w:rFonts w:hint="eastAsia" w:ascii="宋体" w:hAnsi="宋体" w:eastAsia="宋体" w:cs="宋体"/>
                <w:b/>
                <w:bCs/>
                <w:color w:val="auto"/>
                <w:sz w:val="24"/>
                <w:lang w:bidi="ar"/>
              </w:rPr>
              <w:t xml:space="preserve"> 本项目运营期噪声监测内容</w:t>
            </w:r>
          </w:p>
          <w:tbl>
            <w:tblPr>
              <w:tblStyle w:val="26"/>
              <w:tblW w:w="8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2359"/>
              <w:gridCol w:w="2249"/>
              <w:gridCol w:w="2652"/>
            </w:tblGrid>
            <w:tr w14:paraId="57308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0" w:type="dxa"/>
                  <w:tcBorders>
                    <w:top w:val="single" w:color="auto" w:sz="4" w:space="0"/>
                    <w:left w:val="single" w:color="auto" w:sz="4" w:space="0"/>
                    <w:bottom w:val="single" w:color="auto" w:sz="4" w:space="0"/>
                    <w:right w:val="single" w:color="auto" w:sz="4" w:space="0"/>
                  </w:tcBorders>
                  <w:noWrap w:val="0"/>
                  <w:vAlign w:val="center"/>
                </w:tcPr>
                <w:p w14:paraId="33F9EE8E">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类型</w:t>
                  </w:r>
                </w:p>
              </w:tc>
              <w:tc>
                <w:tcPr>
                  <w:tcW w:w="2359" w:type="dxa"/>
                  <w:tcBorders>
                    <w:top w:val="single" w:color="auto" w:sz="4" w:space="0"/>
                    <w:left w:val="single" w:color="auto" w:sz="4" w:space="0"/>
                    <w:bottom w:val="single" w:color="auto" w:sz="4" w:space="0"/>
                    <w:right w:val="single" w:color="auto" w:sz="4" w:space="0"/>
                  </w:tcBorders>
                  <w:noWrap w:val="0"/>
                  <w:vAlign w:val="center"/>
                </w:tcPr>
                <w:p w14:paraId="7FF7E2A3">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监测点位置</w:t>
                  </w:r>
                </w:p>
              </w:tc>
              <w:tc>
                <w:tcPr>
                  <w:tcW w:w="2249" w:type="dxa"/>
                  <w:tcBorders>
                    <w:top w:val="single" w:color="auto" w:sz="4" w:space="0"/>
                    <w:left w:val="single" w:color="auto" w:sz="4" w:space="0"/>
                    <w:bottom w:val="single" w:color="auto" w:sz="4" w:space="0"/>
                    <w:right w:val="single" w:color="auto" w:sz="4" w:space="0"/>
                  </w:tcBorders>
                  <w:noWrap w:val="0"/>
                  <w:vAlign w:val="center"/>
                </w:tcPr>
                <w:p w14:paraId="77D074A9">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监测因子</w:t>
                  </w:r>
                </w:p>
              </w:tc>
              <w:tc>
                <w:tcPr>
                  <w:tcW w:w="2652" w:type="dxa"/>
                  <w:tcBorders>
                    <w:top w:val="single" w:color="auto" w:sz="4" w:space="0"/>
                    <w:left w:val="single" w:color="auto" w:sz="4" w:space="0"/>
                    <w:bottom w:val="single" w:color="auto" w:sz="4" w:space="0"/>
                    <w:right w:val="single" w:color="auto" w:sz="4" w:space="0"/>
                  </w:tcBorders>
                  <w:noWrap w:val="0"/>
                  <w:vAlign w:val="center"/>
                </w:tcPr>
                <w:p w14:paraId="0D8796AB">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建议监测频率</w:t>
                  </w:r>
                </w:p>
              </w:tc>
            </w:tr>
            <w:tr w14:paraId="1FA8B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140" w:type="dxa"/>
                  <w:tcBorders>
                    <w:top w:val="single" w:color="auto" w:sz="4" w:space="0"/>
                    <w:left w:val="single" w:color="auto" w:sz="4" w:space="0"/>
                    <w:bottom w:val="single" w:color="auto" w:sz="4" w:space="0"/>
                    <w:right w:val="single" w:color="auto" w:sz="4" w:space="0"/>
                  </w:tcBorders>
                  <w:noWrap w:val="0"/>
                  <w:vAlign w:val="center"/>
                </w:tcPr>
                <w:p w14:paraId="0F7F4BFC">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噪声</w:t>
                  </w:r>
                </w:p>
              </w:tc>
              <w:tc>
                <w:tcPr>
                  <w:tcW w:w="2359" w:type="dxa"/>
                  <w:tcBorders>
                    <w:top w:val="single" w:color="auto" w:sz="4" w:space="0"/>
                    <w:left w:val="single" w:color="auto" w:sz="4" w:space="0"/>
                    <w:bottom w:val="single" w:color="auto" w:sz="4" w:space="0"/>
                    <w:right w:val="single" w:color="auto" w:sz="4" w:space="0"/>
                  </w:tcBorders>
                  <w:noWrap w:val="0"/>
                  <w:vAlign w:val="center"/>
                </w:tcPr>
                <w:p w14:paraId="40E4AF11">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厂界噪声监控点</w:t>
                  </w:r>
                </w:p>
              </w:tc>
              <w:tc>
                <w:tcPr>
                  <w:tcW w:w="2249" w:type="dxa"/>
                  <w:tcBorders>
                    <w:top w:val="single" w:color="auto" w:sz="4" w:space="0"/>
                    <w:left w:val="single" w:color="auto" w:sz="4" w:space="0"/>
                    <w:bottom w:val="single" w:color="auto" w:sz="4" w:space="0"/>
                    <w:right w:val="single" w:color="auto" w:sz="4" w:space="0"/>
                  </w:tcBorders>
                  <w:noWrap w:val="0"/>
                  <w:vAlign w:val="center"/>
                </w:tcPr>
                <w:p w14:paraId="2D222158">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等效连续A声级</w:t>
                  </w:r>
                </w:p>
              </w:tc>
              <w:tc>
                <w:tcPr>
                  <w:tcW w:w="2652" w:type="dxa"/>
                  <w:tcBorders>
                    <w:top w:val="single" w:color="auto" w:sz="4" w:space="0"/>
                    <w:left w:val="single" w:color="auto" w:sz="4" w:space="0"/>
                    <w:bottom w:val="single" w:color="auto" w:sz="4" w:space="0"/>
                    <w:right w:val="single" w:color="auto" w:sz="4" w:space="0"/>
                  </w:tcBorders>
                  <w:noWrap w:val="0"/>
                  <w:vAlign w:val="center"/>
                </w:tcPr>
                <w:p w14:paraId="73B8E8C4">
                  <w:pPr>
                    <w:pStyle w:val="24"/>
                    <w:keepNext w:val="0"/>
                    <w:keepLines w:val="0"/>
                    <w:widowControl w:val="0"/>
                    <w:suppressLineNumbers w:val="0"/>
                    <w:adjustRightInd w:val="0"/>
                    <w:snapToGrid w:val="0"/>
                    <w:spacing w:before="24" w:beforeLines="10" w:beforeAutospacing="0" w:after="24" w:afterLines="10" w:afterAutospacing="0" w:line="256" w:lineRule="auto"/>
                    <w:ind w:left="0" w:right="0"/>
                    <w:jc w:val="center"/>
                    <w:rPr>
                      <w:rFonts w:hint="eastAsia" w:ascii="宋体" w:hAnsi="宋体" w:eastAsia="宋体" w:cs="宋体"/>
                      <w:b w:val="0"/>
                      <w:bCs w:val="0"/>
                      <w:color w:val="auto"/>
                      <w:kern w:val="2"/>
                      <w:sz w:val="21"/>
                      <w:szCs w:val="21"/>
                      <w:lang w:val="en-US" w:eastAsia="zh-CN"/>
                    </w:rPr>
                  </w:pPr>
                  <w:r>
                    <w:rPr>
                      <w:rFonts w:hint="eastAsia" w:ascii="宋体" w:hAnsi="宋体" w:eastAsia="宋体" w:cs="宋体"/>
                      <w:b w:val="0"/>
                      <w:bCs w:val="0"/>
                      <w:color w:val="auto"/>
                      <w:sz w:val="21"/>
                      <w:szCs w:val="21"/>
                      <w:lang w:val="en-US" w:eastAsia="zh-CN" w:bidi="ar"/>
                    </w:rPr>
                    <w:t>每季度</w:t>
                  </w:r>
                  <w:r>
                    <w:rPr>
                      <w:rFonts w:hint="eastAsia" w:eastAsia="宋体" w:cs="宋体"/>
                      <w:b w:val="0"/>
                      <w:bCs w:val="0"/>
                      <w:color w:val="auto"/>
                      <w:sz w:val="21"/>
                      <w:szCs w:val="21"/>
                      <w:lang w:val="en-US" w:eastAsia="zh-CN" w:bidi="ar"/>
                    </w:rPr>
                    <w:t>1</w:t>
                  </w:r>
                  <w:r>
                    <w:rPr>
                      <w:rFonts w:hint="eastAsia" w:ascii="宋体" w:hAnsi="宋体" w:eastAsia="宋体" w:cs="宋体"/>
                      <w:b w:val="0"/>
                      <w:bCs w:val="0"/>
                      <w:color w:val="auto"/>
                      <w:sz w:val="21"/>
                      <w:szCs w:val="21"/>
                      <w:lang w:val="en-US" w:eastAsia="zh-CN" w:bidi="ar"/>
                    </w:rPr>
                    <w:t>次</w:t>
                  </w:r>
                </w:p>
              </w:tc>
            </w:tr>
          </w:tbl>
          <w:p w14:paraId="23CCD34B">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4、固体废物环境影响分析及防治措施</w:t>
            </w:r>
          </w:p>
          <w:p w14:paraId="60259F20">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color w:val="auto"/>
                <w:kern w:val="24"/>
                <w:szCs w:val="24"/>
                <w:lang w:eastAsia="zh-CN" w:bidi="ar"/>
              </w:rPr>
            </w:pPr>
            <w:r>
              <w:rPr>
                <w:rFonts w:hint="eastAsia" w:ascii="宋体" w:hAnsi="宋体" w:eastAsia="宋体" w:cs="宋体"/>
                <w:color w:val="auto"/>
                <w:kern w:val="24"/>
                <w:szCs w:val="24"/>
                <w:lang w:eastAsia="zh-CN" w:bidi="ar"/>
              </w:rPr>
              <w:t>技改项目</w:t>
            </w:r>
            <w:r>
              <w:rPr>
                <w:rFonts w:hint="eastAsia" w:ascii="宋体" w:hAnsi="宋体" w:eastAsia="宋体" w:cs="宋体"/>
                <w:color w:val="auto"/>
                <w:kern w:val="24"/>
                <w:szCs w:val="24"/>
                <w:lang w:bidi="ar"/>
              </w:rPr>
              <w:t>产生的固体废物主要为废离子交换树脂</w:t>
            </w:r>
            <w:r>
              <w:rPr>
                <w:rFonts w:hint="eastAsia" w:ascii="宋体" w:hAnsi="宋体" w:eastAsia="宋体" w:cs="宋体"/>
                <w:color w:val="auto"/>
                <w:kern w:val="24"/>
                <w:szCs w:val="24"/>
                <w:lang w:eastAsia="zh-CN" w:bidi="ar"/>
              </w:rPr>
              <w:t>。</w:t>
            </w:r>
          </w:p>
          <w:p w14:paraId="637288AF">
            <w:pPr>
              <w:pStyle w:val="24"/>
              <w:keepNext w:val="0"/>
              <w:keepLines w:val="0"/>
              <w:widowControl w:val="0"/>
              <w:suppressLineNumbers w:val="0"/>
              <w:autoSpaceDE w:val="0"/>
              <w:autoSpaceDN/>
              <w:spacing w:before="0" w:beforeAutospacing="0" w:after="0" w:afterAutospacing="0" w:line="360" w:lineRule="auto"/>
              <w:ind w:left="0" w:leftChars="0" w:right="0" w:firstLine="480" w:firstLineChars="200"/>
              <w:jc w:val="both"/>
              <w:rPr>
                <w:rFonts w:hint="eastAsia" w:ascii="宋体" w:hAnsi="宋体" w:eastAsia="宋体" w:cs="宋体"/>
                <w:b w:val="0"/>
                <w:kern w:val="2"/>
                <w:sz w:val="24"/>
                <w:szCs w:val="24"/>
              </w:rPr>
            </w:pPr>
            <w:r>
              <w:rPr>
                <w:rFonts w:hint="eastAsia" w:ascii="宋体" w:hAnsi="宋体" w:eastAsia="宋体" w:cs="宋体"/>
                <w:color w:val="auto"/>
                <w:szCs w:val="24"/>
              </w:rPr>
              <w:t>软水制备装置中的离子交换树脂在运行一段时间后需更换以保证软水制备效率，根据项目用水情况，离子交换树脂更换时间为1次/</w:t>
            </w:r>
            <w:r>
              <w:rPr>
                <w:rFonts w:hint="eastAsia" w:ascii="宋体" w:hAnsi="宋体" w:eastAsia="宋体" w:cs="宋体"/>
                <w:color w:val="auto"/>
                <w:szCs w:val="24"/>
                <w:lang w:val="en-US" w:eastAsia="zh-CN"/>
              </w:rPr>
              <w:t>5</w:t>
            </w:r>
            <w:r>
              <w:rPr>
                <w:rFonts w:hint="eastAsia" w:ascii="宋体" w:hAnsi="宋体" w:eastAsia="宋体" w:cs="宋体"/>
                <w:color w:val="auto"/>
                <w:szCs w:val="24"/>
              </w:rPr>
              <w:t>年，每次产生量0.</w:t>
            </w:r>
            <w:r>
              <w:rPr>
                <w:rFonts w:hint="eastAsia" w:ascii="宋体" w:hAnsi="宋体" w:eastAsia="宋体" w:cs="宋体"/>
                <w:color w:val="auto"/>
                <w:szCs w:val="24"/>
                <w:lang w:val="en-US" w:eastAsia="zh-CN"/>
              </w:rPr>
              <w:t>1</w:t>
            </w:r>
            <w:r>
              <w:rPr>
                <w:rFonts w:hint="eastAsia" w:ascii="宋体" w:hAnsi="宋体" w:eastAsia="宋体" w:cs="宋体"/>
                <w:color w:val="auto"/>
                <w:szCs w:val="24"/>
              </w:rPr>
              <w:t>t，属于一般工业固体废物，</w:t>
            </w:r>
            <w:r>
              <w:rPr>
                <w:rFonts w:hint="eastAsia" w:ascii="宋体" w:hAnsi="宋体" w:eastAsia="宋体" w:cs="宋体"/>
                <w:color w:val="auto"/>
                <w:szCs w:val="21"/>
                <w:lang w:val="en-US" w:eastAsia="zh-CN"/>
              </w:rPr>
              <w:t>由厂家上门更换时直接带走，不在项目区暂存</w:t>
            </w:r>
            <w:r>
              <w:rPr>
                <w:rFonts w:hint="eastAsia" w:ascii="宋体" w:hAnsi="宋体" w:eastAsia="宋体" w:cs="宋体"/>
                <w:b w:val="0"/>
                <w:kern w:val="2"/>
                <w:sz w:val="24"/>
                <w:szCs w:val="24"/>
                <w:lang w:val="en-US" w:eastAsia="zh-CN" w:bidi="ar"/>
              </w:rPr>
              <w:t>。</w:t>
            </w:r>
          </w:p>
          <w:p w14:paraId="48F6F792">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5、地下水、土壤环境影响分析</w:t>
            </w:r>
          </w:p>
          <w:p w14:paraId="28164374">
            <w:pPr>
              <w:keepNext w:val="0"/>
              <w:keepLines w:val="0"/>
              <w:suppressLineNumbers w:val="0"/>
              <w:adjustRightInd w:val="0"/>
              <w:snapToGrid w:val="0"/>
              <w:spacing w:before="0" w:beforeAutospacing="0" w:after="0" w:afterAutospacing="0" w:line="360" w:lineRule="auto"/>
              <w:ind w:left="420" w:leftChars="200" w:right="0"/>
              <w:rPr>
                <w:rFonts w:hint="eastAsia" w:ascii="宋体" w:hAnsi="宋体" w:eastAsia="宋体" w:cs="宋体"/>
                <w:color w:val="auto"/>
                <w:sz w:val="24"/>
              </w:rPr>
            </w:pPr>
            <w:r>
              <w:rPr>
                <w:rFonts w:hint="eastAsia" w:ascii="宋体" w:hAnsi="宋体" w:eastAsia="宋体" w:cs="宋体"/>
                <w:color w:val="auto"/>
                <w:sz w:val="24"/>
              </w:rPr>
              <w:t>（1）污染途径和污染源</w:t>
            </w:r>
          </w:p>
          <w:p w14:paraId="3A1832F2">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技改项目新增地下水和土壤污染源为柴油箱，柴油箱</w:t>
            </w:r>
            <w:r>
              <w:rPr>
                <w:rFonts w:hint="eastAsia" w:ascii="宋体" w:hAnsi="宋体" w:eastAsia="宋体" w:cs="宋体"/>
                <w:color w:val="auto"/>
                <w:sz w:val="24"/>
              </w:rPr>
              <w:t>地下水和土壤</w:t>
            </w:r>
            <w:r>
              <w:rPr>
                <w:rFonts w:hint="eastAsia" w:ascii="宋体" w:hAnsi="宋体" w:eastAsia="宋体" w:cs="宋体"/>
                <w:color w:val="auto"/>
                <w:sz w:val="24"/>
                <w:lang w:eastAsia="zh-CN"/>
              </w:rPr>
              <w:t>污染途</w:t>
            </w:r>
            <w:r>
              <w:rPr>
                <w:rFonts w:hint="eastAsia" w:ascii="宋体" w:hAnsi="宋体" w:eastAsia="宋体" w:cs="宋体"/>
                <w:color w:val="auto"/>
                <w:sz w:val="24"/>
              </w:rPr>
              <w:t>径如下表</w:t>
            </w:r>
            <w:r>
              <w:rPr>
                <w:rFonts w:hint="eastAsia" w:ascii="宋体" w:hAnsi="宋体" w:eastAsia="宋体" w:cs="宋体"/>
                <w:color w:val="auto"/>
                <w:sz w:val="24"/>
                <w:lang w:eastAsia="zh-CN"/>
              </w:rPr>
              <w:t>：</w:t>
            </w:r>
          </w:p>
          <w:p w14:paraId="402BE856">
            <w:pPr>
              <w:keepNext w:val="0"/>
              <w:keepLines w:val="0"/>
              <w:suppressLineNumbers w:val="0"/>
              <w:spacing w:before="0" w:beforeAutospacing="0" w:after="0" w:afterAutospacing="0"/>
              <w:ind w:left="0" w:right="0"/>
              <w:jc w:val="center"/>
              <w:rPr>
                <w:rFonts w:hint="eastAsia" w:ascii="宋体" w:hAnsi="宋体" w:eastAsia="宋体" w:cs="宋体"/>
                <w:b/>
                <w:color w:val="auto"/>
                <w:sz w:val="24"/>
              </w:rPr>
            </w:pPr>
            <w:r>
              <w:rPr>
                <w:rFonts w:hint="eastAsia" w:ascii="宋体" w:hAnsi="宋体" w:eastAsia="宋体" w:cs="宋体"/>
                <w:b/>
                <w:color w:val="auto"/>
                <w:sz w:val="24"/>
              </w:rPr>
              <w:t>表4-</w:t>
            </w:r>
            <w:r>
              <w:rPr>
                <w:rFonts w:hint="eastAsia" w:ascii="宋体" w:hAnsi="宋体" w:eastAsia="宋体" w:cs="宋体"/>
                <w:b/>
                <w:color w:val="auto"/>
                <w:sz w:val="24"/>
                <w:lang w:val="en-US" w:eastAsia="zh-CN"/>
              </w:rPr>
              <w:t>1</w:t>
            </w:r>
            <w:r>
              <w:rPr>
                <w:rFonts w:hint="eastAsia" w:eastAsia="宋体" w:cs="宋体"/>
                <w:b/>
                <w:color w:val="auto"/>
                <w:sz w:val="24"/>
                <w:lang w:val="en-US" w:eastAsia="zh-CN"/>
              </w:rPr>
              <w:t>4</w:t>
            </w:r>
            <w:r>
              <w:rPr>
                <w:rFonts w:hint="eastAsia" w:ascii="宋体" w:hAnsi="宋体" w:eastAsia="宋体" w:cs="宋体"/>
                <w:b/>
                <w:color w:val="auto"/>
                <w:sz w:val="24"/>
                <w:lang w:val="en-US" w:eastAsia="zh-CN"/>
              </w:rPr>
              <w:t xml:space="preserve"> </w:t>
            </w:r>
            <w:r>
              <w:rPr>
                <w:rFonts w:hint="eastAsia" w:ascii="宋体" w:hAnsi="宋体" w:eastAsia="宋体" w:cs="宋体"/>
                <w:b/>
                <w:color w:val="auto"/>
                <w:sz w:val="24"/>
              </w:rPr>
              <w:t>地下水、土壤污染源与</w:t>
            </w:r>
            <w:r>
              <w:rPr>
                <w:rFonts w:hint="eastAsia" w:ascii="宋体" w:hAnsi="宋体" w:eastAsia="宋体" w:cs="宋体"/>
                <w:b/>
                <w:color w:val="auto"/>
                <w:sz w:val="24"/>
                <w:lang w:eastAsia="zh-CN"/>
              </w:rPr>
              <w:t>污染</w:t>
            </w:r>
            <w:r>
              <w:rPr>
                <w:rFonts w:hint="eastAsia" w:ascii="宋体" w:hAnsi="宋体" w:eastAsia="宋体" w:cs="宋体"/>
                <w:b/>
                <w:color w:val="auto"/>
                <w:sz w:val="24"/>
              </w:rPr>
              <w:t>途径表</w:t>
            </w:r>
          </w:p>
          <w:tbl>
            <w:tblPr>
              <w:tblStyle w:val="26"/>
              <w:tblW w:w="83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9"/>
              <w:gridCol w:w="1826"/>
              <w:gridCol w:w="1213"/>
              <w:gridCol w:w="2765"/>
              <w:gridCol w:w="840"/>
            </w:tblGrid>
            <w:tr w14:paraId="09FD2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29" w:type="dxa"/>
                  <w:noWrap w:val="0"/>
                  <w:vAlign w:val="center"/>
                </w:tcPr>
                <w:p w14:paraId="48288BE7">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rPr>
                  </w:pPr>
                  <w:r>
                    <w:rPr>
                      <w:rFonts w:hint="eastAsia" w:ascii="宋体" w:hAnsi="宋体" w:eastAsia="宋体" w:cs="宋体"/>
                      <w:b/>
                      <w:bCs/>
                      <w:color w:val="auto"/>
                    </w:rPr>
                    <w:t>污染源</w:t>
                  </w:r>
                </w:p>
              </w:tc>
              <w:tc>
                <w:tcPr>
                  <w:tcW w:w="1826" w:type="dxa"/>
                  <w:noWrap w:val="0"/>
                  <w:vAlign w:val="center"/>
                </w:tcPr>
                <w:p w14:paraId="75BD7F57">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rPr>
                  </w:pPr>
                  <w:r>
                    <w:rPr>
                      <w:rFonts w:hint="eastAsia" w:ascii="宋体" w:hAnsi="宋体" w:eastAsia="宋体" w:cs="宋体"/>
                      <w:b/>
                      <w:bCs/>
                      <w:color w:val="auto"/>
                    </w:rPr>
                    <w:t>工艺流程/节点</w:t>
                  </w:r>
                </w:p>
              </w:tc>
              <w:tc>
                <w:tcPr>
                  <w:tcW w:w="1213" w:type="dxa"/>
                  <w:noWrap w:val="0"/>
                  <w:vAlign w:val="center"/>
                </w:tcPr>
                <w:p w14:paraId="1498CED0">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rPr>
                  </w:pPr>
                  <w:r>
                    <w:rPr>
                      <w:rFonts w:hint="eastAsia" w:ascii="宋体" w:hAnsi="宋体" w:eastAsia="宋体" w:cs="宋体"/>
                      <w:b/>
                      <w:bCs/>
                      <w:color w:val="auto"/>
                    </w:rPr>
                    <w:t>污染途径</w:t>
                  </w:r>
                </w:p>
              </w:tc>
              <w:tc>
                <w:tcPr>
                  <w:tcW w:w="2765" w:type="dxa"/>
                  <w:noWrap w:val="0"/>
                  <w:vAlign w:val="center"/>
                </w:tcPr>
                <w:p w14:paraId="12139522">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rPr>
                  </w:pPr>
                  <w:r>
                    <w:rPr>
                      <w:rFonts w:hint="eastAsia" w:ascii="宋体" w:hAnsi="宋体" w:eastAsia="宋体" w:cs="宋体"/>
                      <w:b/>
                      <w:bCs/>
                      <w:color w:val="auto"/>
                    </w:rPr>
                    <w:t>全部污染物指标</w:t>
                  </w:r>
                </w:p>
              </w:tc>
              <w:tc>
                <w:tcPr>
                  <w:tcW w:w="840" w:type="dxa"/>
                  <w:noWrap w:val="0"/>
                  <w:vAlign w:val="center"/>
                </w:tcPr>
                <w:p w14:paraId="1EDE079E">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bCs/>
                      <w:color w:val="auto"/>
                    </w:rPr>
                  </w:pPr>
                  <w:r>
                    <w:rPr>
                      <w:rFonts w:hint="eastAsia" w:ascii="宋体" w:hAnsi="宋体" w:eastAsia="宋体" w:cs="宋体"/>
                      <w:b/>
                      <w:bCs/>
                      <w:color w:val="auto"/>
                    </w:rPr>
                    <w:t>备注</w:t>
                  </w:r>
                </w:p>
              </w:tc>
            </w:tr>
            <w:tr w14:paraId="3FF49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729" w:type="dxa"/>
                  <w:noWrap w:val="0"/>
                  <w:vAlign w:val="center"/>
                </w:tcPr>
                <w:p w14:paraId="7E7FF84A">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lang w:val="en-US" w:eastAsia="zh-CN"/>
                    </w:rPr>
                  </w:pPr>
                  <w:r>
                    <w:rPr>
                      <w:rFonts w:hint="eastAsia" w:ascii="宋体" w:hAnsi="宋体" w:eastAsia="宋体" w:cs="宋体"/>
                      <w:color w:val="auto"/>
                      <w:lang w:val="en-US" w:eastAsia="zh-CN"/>
                    </w:rPr>
                    <w:t>柴油箱</w:t>
                  </w:r>
                </w:p>
              </w:tc>
              <w:tc>
                <w:tcPr>
                  <w:tcW w:w="1826" w:type="dxa"/>
                  <w:noWrap w:val="0"/>
                  <w:vAlign w:val="center"/>
                </w:tcPr>
                <w:p w14:paraId="236BA9F5">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lang w:eastAsia="zh-CN"/>
                    </w:rPr>
                  </w:pPr>
                  <w:r>
                    <w:rPr>
                      <w:rFonts w:hint="eastAsia" w:ascii="宋体" w:hAnsi="宋体" w:eastAsia="宋体" w:cs="宋体"/>
                      <w:color w:val="auto"/>
                      <w:lang w:eastAsia="zh-CN"/>
                    </w:rPr>
                    <w:t>柴油暂存</w:t>
                  </w:r>
                </w:p>
              </w:tc>
              <w:tc>
                <w:tcPr>
                  <w:tcW w:w="1213" w:type="dxa"/>
                  <w:noWrap w:val="0"/>
                  <w:vAlign w:val="center"/>
                </w:tcPr>
                <w:p w14:paraId="7E8F86B7">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rPr>
                  </w:pPr>
                  <w:r>
                    <w:rPr>
                      <w:rFonts w:hint="eastAsia" w:ascii="宋体" w:hAnsi="宋体" w:eastAsia="宋体" w:cs="宋体"/>
                      <w:color w:val="auto"/>
                    </w:rPr>
                    <w:t>垂直入渗</w:t>
                  </w:r>
                </w:p>
              </w:tc>
              <w:tc>
                <w:tcPr>
                  <w:tcW w:w="2765" w:type="dxa"/>
                  <w:noWrap w:val="0"/>
                  <w:vAlign w:val="center"/>
                </w:tcPr>
                <w:p w14:paraId="5EFA73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宋体" w:hAnsi="宋体" w:eastAsia="宋体" w:cs="宋体"/>
                      <w:color w:val="auto"/>
                      <w:sz w:val="20"/>
                      <w:szCs w:val="20"/>
                    </w:rPr>
                  </w:pPr>
                  <w:r>
                    <w:rPr>
                      <w:rFonts w:hint="eastAsia" w:ascii="宋体" w:hAnsi="宋体" w:eastAsia="宋体" w:cs="宋体"/>
                      <w:b w:val="0"/>
                      <w:bCs w:val="0"/>
                      <w:color w:val="auto"/>
                      <w:sz w:val="21"/>
                      <w:szCs w:val="21"/>
                      <w:vertAlign w:val="baseline"/>
                      <w:lang w:val="en-US" w:eastAsia="zh-CN"/>
                    </w:rPr>
                    <w:t>石油类</w:t>
                  </w:r>
                </w:p>
              </w:tc>
              <w:tc>
                <w:tcPr>
                  <w:tcW w:w="840" w:type="dxa"/>
                  <w:noWrap w:val="0"/>
                  <w:vAlign w:val="center"/>
                </w:tcPr>
                <w:p w14:paraId="28A2507A">
                  <w:pPr>
                    <w:pStyle w:val="1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lang w:eastAsia="zh-CN"/>
                    </w:rPr>
                  </w:pPr>
                  <w:r>
                    <w:rPr>
                      <w:rFonts w:hint="eastAsia" w:ascii="宋体" w:hAnsi="宋体" w:eastAsia="宋体" w:cs="宋体"/>
                      <w:color w:val="auto"/>
                      <w:lang w:eastAsia="zh-CN"/>
                    </w:rPr>
                    <w:t>泄漏</w:t>
                  </w:r>
                </w:p>
              </w:tc>
            </w:tr>
          </w:tbl>
          <w:p w14:paraId="76378127">
            <w:pPr>
              <w:keepNext w:val="0"/>
              <w:keepLines w:val="0"/>
              <w:suppressLineNumbers w:val="0"/>
              <w:adjustRightInd w:val="0"/>
              <w:snapToGrid w:val="0"/>
              <w:spacing w:before="0" w:beforeAutospacing="0" w:after="0" w:afterAutospacing="0" w:line="360" w:lineRule="auto"/>
              <w:ind w:left="0" w:right="0" w:firstLine="420"/>
              <w:rPr>
                <w:rFonts w:hint="eastAsia" w:ascii="宋体" w:hAnsi="宋体" w:eastAsia="宋体" w:cs="宋体"/>
                <w:color w:val="auto"/>
                <w:sz w:val="24"/>
                <w:szCs w:val="24"/>
              </w:rPr>
            </w:pPr>
            <w:r>
              <w:rPr>
                <w:rFonts w:hint="eastAsia" w:ascii="宋体" w:hAnsi="宋体" w:eastAsia="宋体" w:cs="宋体"/>
                <w:color w:val="auto"/>
                <w:sz w:val="24"/>
                <w:szCs w:val="24"/>
                <w:lang w:eastAsia="zh-CN" w:bidi="ar"/>
              </w:rPr>
              <w:t>技改</w:t>
            </w:r>
            <w:r>
              <w:rPr>
                <w:rFonts w:hint="eastAsia" w:ascii="宋体" w:hAnsi="宋体" w:eastAsia="宋体" w:cs="宋体"/>
                <w:color w:val="auto"/>
                <w:sz w:val="24"/>
                <w:szCs w:val="24"/>
                <w:lang w:bidi="ar"/>
              </w:rPr>
              <w:t>项目</w:t>
            </w:r>
            <w:r>
              <w:rPr>
                <w:rFonts w:hint="eastAsia" w:ascii="宋体" w:hAnsi="宋体" w:eastAsia="宋体" w:cs="宋体"/>
                <w:color w:val="auto"/>
                <w:sz w:val="24"/>
                <w:szCs w:val="24"/>
                <w:lang w:eastAsia="zh-CN" w:bidi="ar"/>
              </w:rPr>
              <w:t>新增的</w:t>
            </w:r>
            <w:r>
              <w:rPr>
                <w:rFonts w:hint="eastAsia" w:ascii="宋体" w:hAnsi="宋体" w:eastAsia="宋体" w:cs="宋体"/>
                <w:color w:val="auto"/>
                <w:sz w:val="24"/>
                <w:lang w:eastAsia="zh-CN"/>
              </w:rPr>
              <w:t>柴油箱</w:t>
            </w:r>
            <w:r>
              <w:rPr>
                <w:rFonts w:hint="eastAsia" w:eastAsia="宋体" w:cs="宋体"/>
                <w:color w:val="auto"/>
                <w:sz w:val="24"/>
                <w:lang w:val="en-US" w:eastAsia="zh-CN"/>
              </w:rPr>
              <w:t>对</w:t>
            </w:r>
            <w:r>
              <w:rPr>
                <w:rFonts w:hint="eastAsia" w:ascii="宋体" w:hAnsi="宋体" w:eastAsia="宋体" w:cs="宋体"/>
                <w:color w:val="auto"/>
                <w:sz w:val="24"/>
                <w:szCs w:val="24"/>
                <w:lang w:eastAsia="zh-CN" w:bidi="ar"/>
              </w:rPr>
              <w:t>地下水和</w:t>
            </w:r>
            <w:r>
              <w:rPr>
                <w:rFonts w:hint="eastAsia" w:ascii="宋体" w:hAnsi="宋体" w:eastAsia="宋体" w:cs="宋体"/>
                <w:color w:val="auto"/>
                <w:sz w:val="24"/>
                <w:szCs w:val="24"/>
                <w:lang w:bidi="ar"/>
              </w:rPr>
              <w:t>土壤污染的途径主要是垂直入渗，</w:t>
            </w:r>
            <w:r>
              <w:rPr>
                <w:rFonts w:hint="eastAsia" w:ascii="宋体" w:hAnsi="宋体" w:eastAsia="宋体" w:cs="宋体"/>
                <w:color w:val="auto"/>
                <w:sz w:val="24"/>
                <w:szCs w:val="24"/>
              </w:rPr>
              <w:t>主要危害因素为</w:t>
            </w:r>
            <w:r>
              <w:rPr>
                <w:rFonts w:hint="eastAsia" w:ascii="宋体" w:hAnsi="宋体" w:eastAsia="宋体" w:cs="宋体"/>
                <w:color w:val="auto"/>
                <w:sz w:val="24"/>
                <w:szCs w:val="24"/>
                <w:lang w:eastAsia="zh-CN"/>
              </w:rPr>
              <w:t>石油类</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项目采用双层柴油箱，燃料供给间</w:t>
            </w:r>
            <w:r>
              <w:rPr>
                <w:rFonts w:hint="default"/>
                <w:color w:val="auto"/>
                <w:sz w:val="24"/>
                <w:szCs w:val="24"/>
              </w:rPr>
              <w:t>地面采用</w:t>
            </w:r>
            <w:r>
              <w:rPr>
                <w:rFonts w:hint="eastAsia"/>
                <w:color w:val="auto"/>
                <w:sz w:val="24"/>
                <w:szCs w:val="24"/>
                <w:lang w:eastAsia="zh-CN"/>
              </w:rPr>
              <w:t>C30混凝土硬化+涂刷防渗漆</w:t>
            </w:r>
            <w:r>
              <w:rPr>
                <w:rFonts w:hint="default"/>
                <w:color w:val="auto"/>
                <w:sz w:val="24"/>
                <w:szCs w:val="24"/>
              </w:rPr>
              <w:t>，油箱下设托盘</w:t>
            </w:r>
            <w:r>
              <w:rPr>
                <w:rFonts w:hint="eastAsia" w:ascii="宋体" w:hAnsi="宋体" w:eastAsia="宋体" w:cs="宋体"/>
                <w:color w:val="auto"/>
                <w:sz w:val="24"/>
                <w:szCs w:val="24"/>
              </w:rPr>
              <w:t>，正常情况下，</w:t>
            </w:r>
            <w:r>
              <w:rPr>
                <w:rFonts w:hint="eastAsia" w:ascii="宋体" w:hAnsi="宋体" w:eastAsia="宋体" w:cs="宋体"/>
                <w:color w:val="auto"/>
                <w:sz w:val="24"/>
                <w:szCs w:val="24"/>
                <w:lang w:val="en-US" w:eastAsia="zh-CN"/>
              </w:rPr>
              <w:t>柴油箱</w:t>
            </w:r>
            <w:r>
              <w:rPr>
                <w:rFonts w:hint="eastAsia" w:ascii="宋体" w:hAnsi="宋体" w:eastAsia="宋体" w:cs="宋体"/>
                <w:color w:val="auto"/>
                <w:sz w:val="24"/>
                <w:szCs w:val="24"/>
              </w:rPr>
              <w:t>对土壤和地下水的环境污染影响较小。但是在非正常工况下，</w:t>
            </w:r>
            <w:r>
              <w:rPr>
                <w:rFonts w:hint="eastAsia" w:ascii="宋体" w:hAnsi="宋体" w:eastAsia="宋体" w:cs="宋体"/>
                <w:color w:val="auto"/>
                <w:sz w:val="24"/>
                <w:lang w:eastAsia="zh-CN"/>
              </w:rPr>
              <w:t>柴油箱</w:t>
            </w:r>
            <w:r>
              <w:rPr>
                <w:rFonts w:hint="eastAsia" w:ascii="宋体" w:hAnsi="宋体" w:eastAsia="宋体" w:cs="宋体"/>
                <w:color w:val="auto"/>
                <w:sz w:val="24"/>
                <w:szCs w:val="24"/>
                <w:lang w:eastAsia="zh-CN"/>
              </w:rPr>
              <w:t>发生破损，燃料供给间</w:t>
            </w:r>
            <w:r>
              <w:rPr>
                <w:rFonts w:hint="eastAsia" w:ascii="宋体" w:hAnsi="宋体" w:eastAsia="宋体" w:cs="宋体"/>
                <w:color w:val="auto"/>
                <w:sz w:val="24"/>
                <w:szCs w:val="24"/>
              </w:rPr>
              <w:t>防渗系统出现破损而导致渗漏时，则会对区域的地下水和土壤形成污染威胁。由于地下水和土壤污染治理、修复的技术难度较大，投入的治理、修复资金较大，治理、恢复时间较长，且治理效果难以达到原有环境水平，因此，应切实做好有效的防污、防渗等结构与工艺等措施，杜绝污染物渗漏等污染事故。要求做好各个细节的防渗堵漏措施和地下水污染事故应急设施，每日派专人多次巡查，做好设备运行记录和防渗检查记录。</w:t>
            </w:r>
          </w:p>
          <w:p w14:paraId="2DC71B02">
            <w:pPr>
              <w:keepNext w:val="0"/>
              <w:keepLines w:val="0"/>
              <w:suppressLineNumbers w:val="0"/>
              <w:adjustRightInd w:val="0"/>
              <w:snapToGrid w:val="0"/>
              <w:spacing w:before="0" w:beforeAutospacing="0" w:after="0" w:afterAutospacing="0" w:line="360" w:lineRule="auto"/>
              <w:ind w:left="0" w:right="0" w:firstLine="422"/>
              <w:rPr>
                <w:rFonts w:hint="eastAsia" w:ascii="宋体" w:hAnsi="宋体" w:eastAsia="宋体" w:cs="宋体"/>
                <w:b w:val="0"/>
                <w:bCs/>
                <w:color w:val="auto"/>
                <w:sz w:val="24"/>
                <w:szCs w:val="24"/>
              </w:rPr>
            </w:pPr>
            <w:r>
              <w:rPr>
                <w:rFonts w:hint="eastAsia" w:ascii="宋体" w:hAnsi="宋体" w:eastAsia="宋体" w:cs="宋体"/>
                <w:b w:val="0"/>
                <w:bCs/>
                <w:color w:val="auto"/>
                <w:sz w:val="24"/>
                <w:szCs w:val="24"/>
              </w:rPr>
              <w:t>（2）分区防治措施</w:t>
            </w:r>
          </w:p>
          <w:p w14:paraId="6CCFD538">
            <w:pPr>
              <w:keepNext w:val="0"/>
              <w:keepLines w:val="0"/>
              <w:suppressLineNumbers w:val="0"/>
              <w:adjustRightInd w:val="0"/>
              <w:snapToGrid w:val="0"/>
              <w:spacing w:before="0" w:beforeAutospacing="0" w:after="0" w:afterAutospacing="0" w:line="360" w:lineRule="auto"/>
              <w:ind w:left="0" w:right="0" w:firstLine="420"/>
              <w:rPr>
                <w:rFonts w:hint="eastAsia" w:ascii="宋体" w:hAnsi="宋体" w:eastAsia="宋体" w:cs="宋体"/>
                <w:color w:val="auto"/>
                <w:sz w:val="24"/>
                <w:szCs w:val="24"/>
              </w:rPr>
            </w:pPr>
            <w:r>
              <w:rPr>
                <w:rFonts w:hint="eastAsia" w:ascii="宋体" w:hAnsi="宋体" w:eastAsia="宋体" w:cs="宋体"/>
                <w:color w:val="auto"/>
                <w:sz w:val="24"/>
                <w:szCs w:val="24"/>
              </w:rPr>
              <w:t>为防止</w:t>
            </w:r>
            <w:r>
              <w:rPr>
                <w:rFonts w:hint="eastAsia" w:ascii="宋体" w:hAnsi="宋体" w:eastAsia="宋体" w:cs="宋体"/>
                <w:color w:val="auto"/>
                <w:sz w:val="24"/>
                <w:szCs w:val="24"/>
                <w:lang w:eastAsia="zh-CN"/>
              </w:rPr>
              <w:t>柴油</w:t>
            </w:r>
            <w:r>
              <w:rPr>
                <w:rFonts w:hint="eastAsia" w:ascii="宋体" w:hAnsi="宋体" w:eastAsia="宋体" w:cs="宋体"/>
                <w:color w:val="auto"/>
                <w:sz w:val="24"/>
                <w:szCs w:val="24"/>
              </w:rPr>
              <w:t>跑、冒、滴、漏污染土壤和地下水，</w:t>
            </w:r>
            <w:r>
              <w:rPr>
                <w:rFonts w:hint="eastAsia" w:ascii="宋体" w:hAnsi="宋体" w:eastAsia="宋体" w:cs="宋体"/>
                <w:color w:val="auto"/>
                <w:sz w:val="24"/>
                <w:szCs w:val="24"/>
                <w:lang w:eastAsia="zh-CN"/>
              </w:rPr>
              <w:t>柴油箱采用双层特级钢制油箱，燃料供给间地面按照重点防渗区采取防渗措施</w:t>
            </w:r>
            <w:r>
              <w:rPr>
                <w:rFonts w:hint="eastAsia" w:ascii="宋体" w:hAnsi="宋体" w:eastAsia="宋体" w:cs="宋体"/>
                <w:color w:val="auto"/>
                <w:sz w:val="24"/>
                <w:szCs w:val="24"/>
              </w:rPr>
              <w:t>，</w:t>
            </w:r>
            <w:r>
              <w:rPr>
                <w:rFonts w:hint="eastAsia" w:ascii="宋体" w:hAnsi="宋体" w:eastAsia="宋体" w:cs="宋体"/>
                <w:color w:val="auto"/>
                <w:sz w:val="24"/>
                <w:szCs w:val="24"/>
                <w:lang w:eastAsia="zh-CN"/>
              </w:rPr>
              <w:t>要求</w:t>
            </w:r>
            <w:r>
              <w:rPr>
                <w:rFonts w:hint="eastAsia" w:ascii="宋体" w:hAnsi="宋体" w:eastAsia="宋体" w:cs="宋体"/>
                <w:color w:val="auto"/>
                <w:sz w:val="24"/>
                <w:szCs w:val="24"/>
              </w:rPr>
              <w:t>渗透系数</w:t>
            </w:r>
            <w:r>
              <w:rPr>
                <w:rFonts w:hint="eastAsia" w:ascii="宋体" w:hAnsi="宋体" w:eastAsia="宋体" w:cs="宋体"/>
                <w:color w:val="auto"/>
                <w:sz w:val="24"/>
                <w:szCs w:val="24"/>
                <w:lang w:val="en-US" w:eastAsia="zh-CN"/>
              </w:rPr>
              <w:t>K</w:t>
            </w:r>
            <w:r>
              <w:rPr>
                <w:rFonts w:hint="eastAsia" w:ascii="宋体" w:hAnsi="宋体" w:eastAsia="宋体" w:cs="宋体"/>
                <w:color w:val="auto"/>
                <w:sz w:val="24"/>
                <w:szCs w:val="24"/>
              </w:rPr>
              <w:t>≤10</w:t>
            </w:r>
            <w:r>
              <w:rPr>
                <w:rFonts w:hint="eastAsia" w:ascii="宋体" w:hAnsi="宋体" w:eastAsia="宋体" w:cs="宋体"/>
                <w:color w:val="auto"/>
                <w:sz w:val="24"/>
                <w:szCs w:val="24"/>
                <w:vertAlign w:val="superscript"/>
              </w:rPr>
              <w:t>-</w:t>
            </w:r>
            <w:r>
              <w:rPr>
                <w:rFonts w:hint="eastAsia" w:ascii="宋体" w:hAnsi="宋体" w:eastAsia="宋体" w:cs="宋体"/>
                <w:color w:val="auto"/>
                <w:sz w:val="24"/>
                <w:szCs w:val="24"/>
                <w:vertAlign w:val="superscript"/>
                <w:lang w:val="en-US" w:eastAsia="zh-CN"/>
              </w:rPr>
              <w:t>10</w:t>
            </w:r>
            <w:r>
              <w:rPr>
                <w:rFonts w:hint="eastAsia" w:ascii="宋体" w:hAnsi="宋体" w:eastAsia="宋体" w:cs="宋体"/>
                <w:color w:val="auto"/>
                <w:sz w:val="24"/>
                <w:szCs w:val="24"/>
                <w:lang w:val="en-US" w:eastAsia="zh-CN"/>
              </w:rPr>
              <w:t>cm</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s</w:t>
            </w:r>
            <w:r>
              <w:rPr>
                <w:rFonts w:hint="eastAsia" w:ascii="宋体" w:hAnsi="宋体" w:eastAsia="宋体" w:cs="宋体"/>
                <w:color w:val="auto"/>
                <w:sz w:val="24"/>
                <w:szCs w:val="24"/>
              </w:rPr>
              <w:t>。</w:t>
            </w:r>
          </w:p>
          <w:p w14:paraId="62E9B465">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（3）</w:t>
            </w:r>
            <w:r>
              <w:rPr>
                <w:rFonts w:hint="eastAsia" w:ascii="宋体" w:hAnsi="宋体" w:eastAsia="宋体" w:cs="宋体"/>
                <w:b w:val="0"/>
                <w:bCs/>
                <w:color w:val="auto"/>
                <w:kern w:val="0"/>
                <w:sz w:val="24"/>
                <w:lang w:val="en-US" w:eastAsia="zh-CN"/>
              </w:rPr>
              <w:t>地下水、土壤环境影响分析结论</w:t>
            </w:r>
          </w:p>
          <w:p w14:paraId="789A3850">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技改项目</w:t>
            </w:r>
            <w:r>
              <w:rPr>
                <w:rFonts w:hint="eastAsia" w:ascii="宋体" w:hAnsi="宋体" w:eastAsia="宋体" w:cs="宋体"/>
                <w:color w:val="auto"/>
                <w:sz w:val="24"/>
                <w:szCs w:val="24"/>
                <w:lang w:eastAsia="zh-CN" w:bidi="ar"/>
              </w:rPr>
              <w:t>新增的</w:t>
            </w:r>
            <w:r>
              <w:rPr>
                <w:rFonts w:hint="eastAsia" w:ascii="宋体" w:hAnsi="宋体" w:eastAsia="宋体" w:cs="宋体"/>
                <w:color w:val="auto"/>
                <w:sz w:val="24"/>
                <w:lang w:eastAsia="zh-CN"/>
              </w:rPr>
              <w:t>柴油箱和燃料供给间通过采取上述措施</w:t>
            </w:r>
            <w:r>
              <w:rPr>
                <w:rFonts w:hint="eastAsia" w:ascii="宋体" w:hAnsi="宋体" w:eastAsia="宋体" w:cs="宋体"/>
                <w:b w:val="0"/>
                <w:bCs/>
                <w:color w:val="auto"/>
                <w:sz w:val="24"/>
                <w:lang w:val="en-US" w:eastAsia="zh-CN"/>
              </w:rPr>
              <w:t>，对可能产生土壤、地下水影响的途径进行了有效地预防，在确保防渗措施得以落实，并加强维护，在加强环境管理的前提下，可以有效控制污染物的下渗现象，避免污染地下水、土壤。项目对区域地下水和土壤环境的影响较小。</w:t>
            </w:r>
          </w:p>
          <w:p w14:paraId="122EE74F">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6、环境风险分析</w:t>
            </w:r>
          </w:p>
          <w:p w14:paraId="4C5B96B4">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w:t>
            </w:r>
            <w:r>
              <w:rPr>
                <w:rFonts w:hint="eastAsia" w:ascii="宋体" w:hAnsi="宋体" w:eastAsia="宋体" w:cs="宋体"/>
                <w:color w:val="auto"/>
                <w:sz w:val="24"/>
                <w:lang w:val="en-US" w:eastAsia="zh-CN"/>
              </w:rPr>
              <w:t>一</w:t>
            </w:r>
            <w:r>
              <w:rPr>
                <w:rFonts w:hint="eastAsia" w:ascii="宋体" w:hAnsi="宋体" w:eastAsia="宋体" w:cs="宋体"/>
                <w:color w:val="auto"/>
                <w:sz w:val="24"/>
                <w:lang w:eastAsia="zh-CN"/>
              </w:rPr>
              <w:t>）风险物质及风险单元识别</w:t>
            </w:r>
          </w:p>
          <w:p w14:paraId="0CEC3AE1">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FF0000"/>
                <w:sz w:val="24"/>
                <w:lang w:eastAsia="zh-CN"/>
              </w:rPr>
            </w:pPr>
            <w:r>
              <w:rPr>
                <w:rFonts w:hint="eastAsia" w:ascii="宋体" w:hAnsi="宋体" w:eastAsia="宋体" w:cs="宋体"/>
                <w:color w:val="FF0000"/>
                <w:sz w:val="24"/>
                <w:lang w:eastAsia="zh-CN"/>
              </w:rPr>
              <w:t>现有项目的危险物质为柴油和硝酸铵水溶液</w:t>
            </w:r>
            <w:r>
              <w:rPr>
                <w:rFonts w:hint="eastAsia" w:eastAsia="宋体" w:cs="宋体"/>
                <w:color w:val="FF0000"/>
                <w:sz w:val="24"/>
                <w:lang w:eastAsia="zh-CN"/>
              </w:rPr>
              <w:t>（浓度</w:t>
            </w:r>
            <w:r>
              <w:rPr>
                <w:rFonts w:hint="eastAsia" w:eastAsia="宋体" w:cs="宋体"/>
                <w:color w:val="FF0000"/>
                <w:sz w:val="24"/>
                <w:lang w:val="en-US" w:eastAsia="zh-CN"/>
              </w:rPr>
              <w:t>92%</w:t>
            </w:r>
            <w:r>
              <w:rPr>
                <w:rFonts w:hint="eastAsia" w:eastAsia="宋体" w:cs="宋体"/>
                <w:color w:val="FF0000"/>
                <w:sz w:val="24"/>
                <w:lang w:eastAsia="zh-CN"/>
              </w:rPr>
              <w:t>）</w:t>
            </w:r>
            <w:r>
              <w:rPr>
                <w:rFonts w:hint="eastAsia" w:ascii="宋体" w:hAnsi="宋体" w:eastAsia="宋体" w:cs="宋体"/>
                <w:color w:val="FF0000"/>
                <w:sz w:val="24"/>
                <w:lang w:eastAsia="zh-CN"/>
              </w:rPr>
              <w:t>，</w:t>
            </w:r>
            <w:r>
              <w:rPr>
                <w:rFonts w:hint="eastAsia" w:eastAsia="宋体" w:cs="宋体"/>
                <w:color w:val="FF0000"/>
                <w:sz w:val="24"/>
                <w:lang w:val="en-US" w:eastAsia="zh-CN"/>
              </w:rPr>
              <w:t>其中柴油最大储存量42t（</w:t>
            </w:r>
            <w:r>
              <w:rPr>
                <w:rFonts w:hint="eastAsia" w:ascii="宋体" w:hAnsi="宋体" w:eastAsia="宋体" w:cs="宋体"/>
                <w:color w:val="FF0000"/>
                <w:sz w:val="24"/>
                <w:lang w:val="en-US" w:eastAsia="zh-CN"/>
              </w:rPr>
              <w:t>临界量2500t</w:t>
            </w:r>
            <w:r>
              <w:rPr>
                <w:rFonts w:hint="eastAsia" w:eastAsia="宋体" w:cs="宋体"/>
                <w:color w:val="FF0000"/>
                <w:sz w:val="24"/>
                <w:lang w:val="en-US" w:eastAsia="zh-CN"/>
              </w:rPr>
              <w:t>）,硝酸铵最大储存量110t（</w:t>
            </w:r>
            <w:r>
              <w:rPr>
                <w:rFonts w:hint="eastAsia" w:ascii="宋体" w:hAnsi="宋体" w:eastAsia="宋体" w:cs="宋体"/>
                <w:color w:val="FF0000"/>
                <w:sz w:val="24"/>
                <w:lang w:val="en-US" w:eastAsia="zh-CN"/>
              </w:rPr>
              <w:t>临界量</w:t>
            </w:r>
            <w:r>
              <w:rPr>
                <w:rFonts w:hint="eastAsia" w:eastAsia="宋体" w:cs="宋体"/>
                <w:color w:val="FF0000"/>
                <w:sz w:val="24"/>
                <w:lang w:val="en-US" w:eastAsia="zh-CN"/>
              </w:rPr>
              <w:t>50</w:t>
            </w:r>
            <w:r>
              <w:rPr>
                <w:rFonts w:hint="eastAsia" w:ascii="宋体" w:hAnsi="宋体" w:eastAsia="宋体" w:cs="宋体"/>
                <w:color w:val="FF0000"/>
                <w:sz w:val="24"/>
                <w:lang w:val="en-US" w:eastAsia="zh-CN"/>
              </w:rPr>
              <w:t>t</w:t>
            </w:r>
            <w:r>
              <w:rPr>
                <w:rFonts w:hint="eastAsia" w:eastAsia="宋体" w:cs="宋体"/>
                <w:color w:val="FF0000"/>
                <w:sz w:val="24"/>
                <w:lang w:val="en-US" w:eastAsia="zh-CN"/>
              </w:rPr>
              <w:t>），现有项目</w:t>
            </w:r>
            <w:r>
              <w:rPr>
                <w:rFonts w:hint="default" w:ascii="Times New Roman" w:hAnsi="Times New Roman" w:eastAsia="宋体" w:cs="Times New Roman"/>
                <w:color w:val="FF0000"/>
                <w:kern w:val="2"/>
                <w:sz w:val="24"/>
                <w:szCs w:val="24"/>
                <w:lang w:val="en-US" w:eastAsia="zh-CN" w:bidi="ar-SA"/>
              </w:rPr>
              <w:t>危险物质数量与临界量的比值（Q）</w:t>
            </w:r>
            <w:r>
              <w:rPr>
                <w:rFonts w:hint="eastAsia" w:ascii="Times New Roman" w:hAnsi="Times New Roman" w:eastAsia="宋体" w:cs="Times New Roman"/>
                <w:color w:val="FF0000"/>
                <w:kern w:val="2"/>
                <w:sz w:val="24"/>
                <w:szCs w:val="24"/>
                <w:lang w:val="en-US" w:eastAsia="zh-CN" w:bidi="ar-SA"/>
              </w:rPr>
              <w:t>为2.2168。</w:t>
            </w:r>
            <w:r>
              <w:rPr>
                <w:rFonts w:hint="eastAsia" w:ascii="宋体" w:hAnsi="宋体" w:eastAsia="宋体" w:cs="宋体"/>
                <w:color w:val="FF0000"/>
                <w:sz w:val="24"/>
                <w:lang w:eastAsia="zh-CN"/>
              </w:rPr>
              <w:t>本次技改项目锅炉</w:t>
            </w:r>
            <w:r>
              <w:rPr>
                <w:rFonts w:hint="eastAsia" w:eastAsia="宋体" w:cs="宋体"/>
                <w:color w:val="FF0000"/>
                <w:sz w:val="24"/>
                <w:lang w:val="en-US" w:eastAsia="zh-CN"/>
              </w:rPr>
              <w:t>燃料</w:t>
            </w:r>
            <w:r>
              <w:rPr>
                <w:rFonts w:hint="eastAsia" w:ascii="宋体" w:hAnsi="宋体" w:eastAsia="宋体" w:cs="宋体"/>
                <w:color w:val="FF0000"/>
                <w:sz w:val="24"/>
                <w:lang w:eastAsia="zh-CN"/>
              </w:rPr>
              <w:t>柴油依托现有柴油罐储存（锅炉房燃料供给间内的柴油箱内</w:t>
            </w:r>
            <w:r>
              <w:rPr>
                <w:rFonts w:hint="eastAsia" w:eastAsia="宋体" w:cs="宋体"/>
                <w:color w:val="FF0000"/>
                <w:sz w:val="24"/>
                <w:lang w:eastAsia="zh-CN"/>
              </w:rPr>
              <w:t>的</w:t>
            </w:r>
            <w:r>
              <w:rPr>
                <w:rFonts w:hint="eastAsia" w:ascii="宋体" w:hAnsi="宋体" w:eastAsia="宋体" w:cs="宋体"/>
                <w:color w:val="FF0000"/>
                <w:sz w:val="24"/>
                <w:lang w:eastAsia="zh-CN"/>
              </w:rPr>
              <w:t>柴油由柴油罐打入），因此技改项目不新增风险物质，</w:t>
            </w:r>
            <w:r>
              <w:rPr>
                <w:rFonts w:hint="eastAsia" w:ascii="宋体" w:hAnsi="宋体" w:eastAsia="宋体" w:cs="宋体"/>
                <w:color w:val="FF0000"/>
                <w:sz w:val="24"/>
                <w:lang w:val="en-US" w:eastAsia="zh-CN"/>
              </w:rPr>
              <w:t>不增加柴油</w:t>
            </w:r>
            <w:r>
              <w:rPr>
                <w:rFonts w:hint="eastAsia" w:eastAsia="宋体" w:cs="宋体"/>
                <w:color w:val="FF0000"/>
                <w:sz w:val="24"/>
                <w:lang w:val="en-US" w:eastAsia="zh-CN"/>
              </w:rPr>
              <w:t>最大</w:t>
            </w:r>
            <w:r>
              <w:rPr>
                <w:rFonts w:hint="eastAsia" w:ascii="宋体" w:hAnsi="宋体" w:eastAsia="宋体" w:cs="宋体"/>
                <w:color w:val="FF0000"/>
                <w:sz w:val="24"/>
                <w:lang w:val="en-US" w:eastAsia="zh-CN"/>
              </w:rPr>
              <w:t>储存量</w:t>
            </w:r>
            <w:r>
              <w:rPr>
                <w:rFonts w:hint="default"/>
                <w:color w:val="FF0000"/>
              </w:rPr>
              <w:commentReference w:id="12"/>
            </w:r>
            <w:r>
              <w:rPr>
                <w:rFonts w:hint="eastAsia" w:ascii="宋体" w:hAnsi="宋体" w:eastAsia="宋体" w:cs="宋体"/>
                <w:color w:val="FF0000"/>
                <w:sz w:val="24"/>
                <w:lang w:val="en-US" w:eastAsia="zh-CN"/>
              </w:rPr>
              <w:t>，</w:t>
            </w:r>
            <w:r>
              <w:rPr>
                <w:rFonts w:hint="eastAsia" w:ascii="宋体" w:hAnsi="宋体" w:eastAsia="宋体" w:cs="宋体"/>
                <w:color w:val="FF0000"/>
                <w:sz w:val="24"/>
                <w:lang w:eastAsia="zh-CN"/>
              </w:rPr>
              <w:t>不改变全厂的环境风险等级，不改变全厂的风险事故类型，增加危险</w:t>
            </w:r>
            <w:r>
              <w:rPr>
                <w:rFonts w:hint="eastAsia" w:ascii="宋体" w:hAnsi="宋体" w:eastAsia="宋体" w:cs="宋体"/>
                <w:color w:val="FF0000"/>
                <w:sz w:val="24"/>
              </w:rPr>
              <w:t>单元燃料供给间。</w:t>
            </w:r>
            <w:r>
              <w:rPr>
                <w:rFonts w:hint="eastAsia" w:ascii="宋体" w:hAnsi="宋体" w:eastAsia="宋体" w:cs="宋体"/>
                <w:color w:val="FF0000"/>
                <w:sz w:val="24"/>
                <w:lang w:eastAsia="zh-CN"/>
              </w:rPr>
              <w:t>技改项目涉及的风险物质为柴油，风险单元为燃料供给间。</w:t>
            </w:r>
          </w:p>
          <w:p w14:paraId="67572BEA">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bookmarkStart w:id="9" w:name="_Toc19063"/>
            <w:bookmarkStart w:id="10" w:name="_Toc31122"/>
            <w:bookmarkStart w:id="11" w:name="_Toc18739"/>
            <w:r>
              <w:rPr>
                <w:rFonts w:hint="eastAsia" w:ascii="宋体" w:hAnsi="宋体" w:eastAsia="宋体" w:cs="宋体"/>
                <w:color w:val="auto"/>
                <w:sz w:val="24"/>
              </w:rPr>
              <w:t>（</w:t>
            </w:r>
            <w:r>
              <w:rPr>
                <w:rFonts w:hint="eastAsia" w:ascii="宋体" w:hAnsi="宋体" w:eastAsia="宋体" w:cs="宋体"/>
                <w:color w:val="auto"/>
                <w:sz w:val="24"/>
                <w:lang w:val="en-US" w:eastAsia="zh-CN"/>
              </w:rPr>
              <w:t>二</w:t>
            </w:r>
            <w:r>
              <w:rPr>
                <w:rFonts w:hint="eastAsia" w:ascii="宋体" w:hAnsi="宋体" w:eastAsia="宋体" w:cs="宋体"/>
                <w:color w:val="auto"/>
                <w:sz w:val="24"/>
              </w:rPr>
              <w:t>）环境风险类型及危害分析</w:t>
            </w:r>
            <w:bookmarkEnd w:id="9"/>
            <w:bookmarkEnd w:id="10"/>
            <w:bookmarkEnd w:id="11"/>
          </w:p>
          <w:p w14:paraId="416C0D82">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lang w:eastAsia="zh-CN"/>
              </w:rPr>
              <w:t>技改项目可能存在的环境风险类型如下：</w:t>
            </w:r>
          </w:p>
          <w:p w14:paraId="0EA57A48">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①</w:t>
            </w:r>
            <w:r>
              <w:rPr>
                <w:rFonts w:hint="eastAsia" w:ascii="宋体" w:hAnsi="宋体" w:eastAsia="宋体" w:cs="宋体"/>
                <w:color w:val="auto"/>
                <w:sz w:val="24"/>
                <w:lang w:eastAsia="zh-CN"/>
              </w:rPr>
              <w:t>柴油</w:t>
            </w:r>
            <w:r>
              <w:rPr>
                <w:rFonts w:hint="eastAsia" w:ascii="宋体" w:hAnsi="宋体" w:eastAsia="宋体" w:cs="宋体"/>
                <w:b w:val="0"/>
                <w:bCs w:val="0"/>
                <w:color w:val="000000"/>
                <w:kern w:val="2"/>
                <w:sz w:val="24"/>
                <w:szCs w:val="24"/>
                <w:lang w:val="en-US" w:eastAsia="zh-CN" w:bidi="ar-SA"/>
              </w:rPr>
              <w:t>泄漏、火灾伴生/次生环境风险分析</w:t>
            </w:r>
          </w:p>
          <w:p w14:paraId="70A42A65">
            <w:pPr>
              <w:keepNext w:val="0"/>
              <w:keepLines w:val="0"/>
              <w:widowControl/>
              <w:suppressLineNumbers w:val="0"/>
              <w:snapToGrid w:val="0"/>
              <w:spacing w:before="0" w:beforeAutospacing="0" w:after="0" w:afterAutospacing="0" w:line="360" w:lineRule="auto"/>
              <w:ind w:left="0" w:right="0" w:firstLine="460" w:firstLineChars="200"/>
              <w:jc w:val="left"/>
              <w:rPr>
                <w:rFonts w:hint="eastAsia" w:ascii="宋体" w:hAnsi="宋体" w:eastAsia="宋体" w:cs="宋体"/>
                <w:color w:val="000000"/>
                <w:spacing w:val="-5"/>
                <w:kern w:val="0"/>
                <w:sz w:val="24"/>
                <w:szCs w:val="24"/>
                <w:lang w:val="en-US" w:eastAsia="zh-CN" w:bidi="ar-SA"/>
              </w:rPr>
            </w:pPr>
            <w:r>
              <w:rPr>
                <w:rFonts w:hint="eastAsia" w:ascii="宋体" w:hAnsi="宋体" w:eastAsia="宋体" w:cs="宋体"/>
                <w:color w:val="000000"/>
                <w:spacing w:val="-5"/>
                <w:kern w:val="0"/>
                <w:sz w:val="24"/>
                <w:szCs w:val="24"/>
                <w:lang w:val="en-US" w:eastAsia="zh-CN" w:bidi="ar-SA"/>
              </w:rPr>
              <w:t>油品泄漏后一旦发生火灾爆炸事故，对油罐区域、现场工作人员和过往车辆将产生危害。油品为易燃物质，且其陷于火灾中，它会释放出有毒有害气体。如果容器过热，可能发生爆炸。由于其与水反应会产生二氧化碳气体。燃烧产物：一氧化碳、二氧化碳、氮氧化物，对周边的居民和大气环境产生影响。</w:t>
            </w:r>
          </w:p>
          <w:p w14:paraId="7170D498">
            <w:pPr>
              <w:keepNext w:val="0"/>
              <w:keepLines w:val="0"/>
              <w:widowControl/>
              <w:suppressLineNumbers w:val="0"/>
              <w:snapToGrid w:val="0"/>
              <w:spacing w:before="0" w:beforeAutospacing="0" w:after="0" w:afterAutospacing="0" w:line="360" w:lineRule="auto"/>
              <w:ind w:left="0" w:right="0" w:firstLine="460" w:firstLineChars="200"/>
              <w:jc w:val="left"/>
              <w:rPr>
                <w:rFonts w:hint="eastAsia" w:ascii="宋体" w:hAnsi="宋体" w:eastAsia="宋体" w:cs="宋体"/>
                <w:color w:val="000000"/>
                <w:spacing w:val="-5"/>
                <w:kern w:val="0"/>
                <w:sz w:val="24"/>
                <w:szCs w:val="24"/>
                <w:lang w:val="en-US" w:eastAsia="zh-CN" w:bidi="ar-SA"/>
              </w:rPr>
            </w:pPr>
            <w:r>
              <w:rPr>
                <w:rFonts w:hint="eastAsia" w:ascii="宋体" w:hAnsi="宋体" w:eastAsia="宋体" w:cs="宋体"/>
                <w:color w:val="000000"/>
                <w:spacing w:val="-5"/>
                <w:kern w:val="0"/>
                <w:sz w:val="24"/>
                <w:szCs w:val="24"/>
                <w:lang w:val="en-US" w:eastAsia="zh-CN" w:bidi="ar-SA"/>
              </w:rPr>
              <w:t>一旦发生油品火灾事故，将会造成周边大气环境中CO浓度迅速上升。为确保事故状态下火灾伴生CO不会对周边的居民和大气环境产生影响，根据建设单位提供资料，本项目的油罐区设置可燃气体检测报警装置，仪器显示油气挥发气体的体积比浓度值。当挥发气体浓度超过25%LEL（爆炸下限）时启动一级报警，发生声光报警信号提示；当浓度超过50%LEL时启动二级报警。在警报器第一次响起时，值班人员做好防护工作进入罐区，找到泄漏的储罐，找到泄漏的原因，并及时采取安全措施。</w:t>
            </w:r>
          </w:p>
          <w:p w14:paraId="3165DFBA">
            <w:pPr>
              <w:keepNext w:val="0"/>
              <w:keepLines w:val="0"/>
              <w:widowControl/>
              <w:suppressLineNumbers w:val="0"/>
              <w:snapToGrid w:val="0"/>
              <w:spacing w:before="0" w:beforeAutospacing="0" w:after="0" w:afterAutospacing="0" w:line="360" w:lineRule="auto"/>
              <w:ind w:left="0" w:right="0" w:firstLine="460" w:firstLineChars="200"/>
              <w:jc w:val="left"/>
              <w:rPr>
                <w:rFonts w:hint="eastAsia" w:ascii="宋体" w:hAnsi="宋体" w:eastAsia="宋体" w:cs="宋体"/>
                <w:color w:val="000000"/>
                <w:spacing w:val="-5"/>
                <w:kern w:val="0"/>
                <w:sz w:val="24"/>
                <w:szCs w:val="24"/>
                <w:lang w:val="en-US" w:eastAsia="zh-CN" w:bidi="ar-SA"/>
              </w:rPr>
            </w:pPr>
            <w:r>
              <w:rPr>
                <w:rFonts w:hint="eastAsia" w:ascii="宋体" w:hAnsi="宋体" w:eastAsia="宋体" w:cs="宋体"/>
                <w:color w:val="000000"/>
                <w:spacing w:val="-5"/>
                <w:kern w:val="0"/>
                <w:sz w:val="24"/>
                <w:szCs w:val="24"/>
                <w:lang w:val="en-US" w:eastAsia="zh-CN" w:bidi="ar-SA"/>
              </w:rPr>
              <w:t>建设单位应严格按照相关标准要求做好消防措施之外，还应定期对生产进行安全检查和工艺纪律、劳动纪律等专项检查，及时发现和消除各类事故隐患，做到定期巡查、规范记录，确保生产设施安全运行。根据装置存在易燃可燃、毒害的特点，应建立与此相适应的管理及装置维修组织。实行防护、治理措施及其装置各级人员负责制，并有专人负责运行操作，其操作、维修、监测、监督专业人员和分管领导，接受安全技术、安全防护知识教育和业务学习，取得资格后方可承担相应的工作。厂区现有1座500m</w:t>
            </w:r>
            <w:r>
              <w:rPr>
                <w:rFonts w:hint="eastAsia" w:ascii="宋体" w:hAnsi="宋体" w:eastAsia="宋体" w:cs="宋体"/>
                <w:color w:val="000000"/>
                <w:spacing w:val="-5"/>
                <w:kern w:val="0"/>
                <w:sz w:val="24"/>
                <w:szCs w:val="24"/>
                <w:vertAlign w:val="superscript"/>
                <w:lang w:val="en-US" w:eastAsia="zh-CN" w:bidi="ar-SA"/>
              </w:rPr>
              <w:t>3</w:t>
            </w:r>
            <w:r>
              <w:rPr>
                <w:rFonts w:hint="eastAsia" w:ascii="宋体" w:hAnsi="宋体" w:eastAsia="宋体" w:cs="宋体"/>
                <w:color w:val="000000"/>
                <w:spacing w:val="-5"/>
                <w:kern w:val="0"/>
                <w:sz w:val="24"/>
                <w:szCs w:val="24"/>
                <w:lang w:val="en-US" w:eastAsia="zh-CN" w:bidi="ar-SA"/>
              </w:rPr>
              <w:t>消防水池，用于储水供水，以达到灭火的需求作业。</w:t>
            </w:r>
          </w:p>
          <w:p w14:paraId="08A7E308">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rPr>
              <w:t>②泄</w:t>
            </w:r>
            <w:r>
              <w:rPr>
                <w:rFonts w:hint="eastAsia" w:ascii="宋体" w:hAnsi="宋体" w:eastAsia="宋体" w:cs="宋体"/>
                <w:color w:val="auto"/>
                <w:sz w:val="24"/>
                <w:lang w:eastAsia="zh-CN"/>
              </w:rPr>
              <w:t>漏</w:t>
            </w:r>
          </w:p>
          <w:p w14:paraId="10AD0B34">
            <w:pPr>
              <w:keepNext w:val="0"/>
              <w:keepLines w:val="0"/>
              <w:suppressLineNumbers w:val="0"/>
              <w:snapToGrid w:val="0"/>
              <w:spacing w:before="0" w:beforeAutospacing="0" w:after="0" w:afterAutospacing="0" w:line="360" w:lineRule="auto"/>
              <w:ind w:left="0" w:right="0" w:firstLine="480" w:firstLineChars="200"/>
              <w:rPr>
                <w:rFonts w:hint="eastAsia" w:ascii="宋体" w:hAnsi="宋体" w:eastAsia="宋体" w:cs="宋体"/>
                <w:color w:val="auto"/>
                <w:sz w:val="24"/>
              </w:rPr>
            </w:pPr>
            <w:r>
              <w:rPr>
                <w:rFonts w:hint="eastAsia" w:ascii="宋体" w:hAnsi="宋体" w:eastAsia="宋体" w:cs="宋体"/>
                <w:color w:val="auto"/>
                <w:sz w:val="24"/>
              </w:rPr>
              <w:t>柴油泄漏可通过垂直入渗等途径影响地下水及土壤环境；泄漏产生的</w:t>
            </w:r>
            <w:r>
              <w:rPr>
                <w:rFonts w:hint="eastAsia" w:ascii="宋体" w:hAnsi="宋体" w:eastAsia="宋体" w:cs="宋体"/>
                <w:color w:val="auto"/>
                <w:sz w:val="24"/>
                <w:lang w:eastAsia="zh-CN"/>
              </w:rPr>
              <w:t>非甲烷总烃</w:t>
            </w:r>
            <w:r>
              <w:rPr>
                <w:rFonts w:hint="eastAsia" w:ascii="宋体" w:hAnsi="宋体" w:eastAsia="宋体" w:cs="宋体"/>
                <w:color w:val="auto"/>
                <w:sz w:val="24"/>
              </w:rPr>
              <w:t>影响环境空气。</w:t>
            </w:r>
            <w:r>
              <w:rPr>
                <w:rFonts w:hint="eastAsia" w:ascii="宋体" w:hAnsi="宋体" w:eastAsia="宋体" w:cs="宋体"/>
                <w:color w:val="000000"/>
                <w:spacing w:val="-5"/>
                <w:kern w:val="0"/>
                <w:sz w:val="24"/>
                <w:szCs w:val="24"/>
                <w:lang w:val="en-US" w:eastAsia="zh-CN" w:bidi="ar-SA"/>
              </w:rPr>
              <w:t>项目柴油箱采用双层特级钢制油箱，很难发生泄露。若是油箱双隔层均破裂泄露，流</w:t>
            </w:r>
            <w:r>
              <w:rPr>
                <w:rFonts w:hint="eastAsia" w:ascii="宋体" w:hAnsi="宋体" w:eastAsia="宋体" w:cs="宋体"/>
                <w:color w:val="auto"/>
                <w:spacing w:val="-5"/>
                <w:kern w:val="0"/>
                <w:sz w:val="24"/>
                <w:szCs w:val="24"/>
                <w:lang w:val="en-US" w:eastAsia="zh-CN" w:bidi="ar-SA"/>
              </w:rPr>
              <w:t>出的矿物油也能收集于燃料供给间内，泄露导致矿物油外流污染土壤与地下水的风险极低。燃料供给间地面采用</w:t>
            </w:r>
            <w:r>
              <w:rPr>
                <w:rFonts w:hint="eastAsia" w:eastAsia="宋体" w:cs="宋体"/>
                <w:color w:val="auto"/>
                <w:spacing w:val="-5"/>
                <w:kern w:val="0"/>
                <w:sz w:val="24"/>
                <w:szCs w:val="24"/>
                <w:lang w:val="en-US" w:eastAsia="zh-CN" w:bidi="ar-SA"/>
              </w:rPr>
              <w:t>C30混凝土硬化+涂刷防渗漆</w:t>
            </w:r>
            <w:r>
              <w:rPr>
                <w:rFonts w:hint="eastAsia" w:ascii="宋体" w:hAnsi="宋体" w:eastAsia="宋体" w:cs="宋体"/>
                <w:color w:val="auto"/>
                <w:spacing w:val="-5"/>
                <w:kern w:val="0"/>
                <w:sz w:val="24"/>
                <w:szCs w:val="24"/>
                <w:lang w:val="en-US" w:eastAsia="zh-CN" w:bidi="ar-SA"/>
              </w:rPr>
              <w:t>，油箱下设托盘</w:t>
            </w:r>
            <w:r>
              <w:rPr>
                <w:rFonts w:hint="eastAsia" w:eastAsia="宋体" w:cs="宋体"/>
                <w:color w:val="auto"/>
                <w:spacing w:val="-5"/>
                <w:kern w:val="0"/>
                <w:sz w:val="24"/>
                <w:szCs w:val="24"/>
                <w:lang w:val="en-US" w:eastAsia="zh-CN" w:bidi="ar-SA"/>
              </w:rPr>
              <w:t>等</w:t>
            </w:r>
            <w:r>
              <w:rPr>
                <w:rFonts w:hint="eastAsia" w:ascii="宋体" w:hAnsi="宋体" w:eastAsia="宋体" w:cs="宋体"/>
                <w:color w:val="auto"/>
                <w:spacing w:val="-5"/>
                <w:kern w:val="0"/>
                <w:sz w:val="24"/>
                <w:szCs w:val="24"/>
                <w:lang w:val="en-US" w:eastAsia="zh-CN" w:bidi="ar-SA"/>
              </w:rPr>
              <w:t>防泄漏、防溢流等措施，因此不会发生因油品泄漏进入地下而污染地下水质的情况。</w:t>
            </w:r>
          </w:p>
          <w:p w14:paraId="79180D72">
            <w:pPr>
              <w:keepNext w:val="0"/>
              <w:keepLines w:val="0"/>
              <w:suppressLineNumbers w:val="0"/>
              <w:snapToGrid w:val="0"/>
              <w:spacing w:before="0" w:beforeAutospacing="0" w:after="0" w:afterAutospacing="0" w:line="360" w:lineRule="auto"/>
              <w:ind w:left="0" w:right="0" w:firstLine="480" w:firstLineChars="200"/>
              <w:rPr>
                <w:rFonts w:hint="default" w:eastAsia="宋体" w:cs="宋体"/>
                <w:color w:val="auto"/>
                <w:sz w:val="24"/>
              </w:rPr>
            </w:pPr>
            <w:r>
              <w:rPr>
                <w:rFonts w:hint="eastAsia" w:eastAsia="宋体" w:cs="宋体"/>
                <w:color w:val="auto"/>
                <w:sz w:val="24"/>
              </w:rPr>
              <w:t>（三）风险防范措施</w:t>
            </w:r>
          </w:p>
          <w:p w14:paraId="621144A8">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80" w:firstLineChars="200"/>
              <w:textAlignment w:val="auto"/>
              <w:rPr>
                <w:rFonts w:hint="default" w:ascii="宋体" w:hAnsi="宋体" w:eastAsia="宋体" w:cs="宋体"/>
                <w:color w:val="auto"/>
                <w:sz w:val="24"/>
                <w:szCs w:val="24"/>
                <w:lang w:val="en-US" w:eastAsia="zh-CN"/>
              </w:rPr>
            </w:pPr>
            <w:r>
              <w:rPr>
                <w:rFonts w:hint="eastAsia" w:eastAsia="宋体" w:cs="宋体"/>
                <w:color w:val="auto"/>
                <w:sz w:val="24"/>
                <w:szCs w:val="24"/>
                <w:lang w:val="en-US" w:eastAsia="zh-CN"/>
              </w:rPr>
              <w:t>（1）现有项目风险防范措施</w:t>
            </w:r>
          </w:p>
          <w:p w14:paraId="5C87A92F">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lang w:val="en-US" w:eastAsia="zh-CN"/>
              </w:rPr>
              <w:t>1）</w:t>
            </w:r>
            <w:r>
              <w:rPr>
                <w:rFonts w:hint="eastAsia" w:ascii="宋体" w:hAnsi="宋体" w:eastAsia="宋体" w:cs="宋体"/>
                <w:b w:val="0"/>
                <w:bCs/>
                <w:color w:val="auto"/>
                <w:sz w:val="24"/>
              </w:rPr>
              <w:t>总图布置和建筑安全防范措施</w:t>
            </w:r>
          </w:p>
          <w:p w14:paraId="7A7FE351">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rPr>
            </w:pPr>
            <w:r>
              <w:rPr>
                <w:rFonts w:hint="eastAsia" w:ascii="宋体" w:hAnsi="宋体" w:eastAsia="宋体" w:cs="宋体"/>
                <w:bCs/>
                <w:color w:val="auto"/>
                <w:szCs w:val="24"/>
                <w:lang w:bidi="ar"/>
              </w:rPr>
              <w:t xml:space="preserve">在总图布置上，建设单位执行《建筑设计防火规范》（GB50016-2014） </w:t>
            </w:r>
            <w:r>
              <w:rPr>
                <w:rFonts w:hint="eastAsia" w:ascii="宋体" w:hAnsi="宋体" w:eastAsia="宋体" w:cs="宋体"/>
                <w:bCs/>
                <w:color w:val="auto"/>
                <w:spacing w:val="-6"/>
                <w:szCs w:val="24"/>
                <w:lang w:bidi="ar"/>
              </w:rPr>
              <w:t>和其它安全卫生规范的要求，将危险性较高的装置布置在远离办公区，远离人群</w:t>
            </w:r>
            <w:r>
              <w:rPr>
                <w:rFonts w:hint="eastAsia" w:ascii="宋体" w:hAnsi="宋体" w:eastAsia="宋体" w:cs="宋体"/>
                <w:bCs/>
                <w:color w:val="auto"/>
                <w:spacing w:val="-10"/>
                <w:szCs w:val="24"/>
                <w:lang w:bidi="ar"/>
              </w:rPr>
              <w:t>密集区的区域，并在生产区的布置上充分考虑风向因素，安全防护距离，消防和疏散通道以及人货分流等问题，有利于安全生产。</w:t>
            </w:r>
          </w:p>
          <w:p w14:paraId="241B7E98">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rPr>
            </w:pPr>
            <w:r>
              <w:rPr>
                <w:rFonts w:hint="eastAsia" w:ascii="宋体" w:hAnsi="宋体" w:eastAsia="宋体" w:cs="宋体"/>
                <w:bCs/>
                <w:color w:val="auto"/>
                <w:szCs w:val="24"/>
                <w:lang w:bidi="ar"/>
              </w:rPr>
              <w:t>项目装置区的总图布置执</w:t>
            </w:r>
            <w:r>
              <w:rPr>
                <w:rFonts w:hint="eastAsia" w:ascii="宋体" w:hAnsi="宋体" w:eastAsia="宋体" w:cs="宋体"/>
                <w:bCs/>
                <w:color w:val="auto"/>
                <w:szCs w:val="24"/>
                <w:lang w:val="en-US" w:eastAsia="zh-CN" w:bidi="ar"/>
              </w:rPr>
              <w:t>行</w:t>
            </w:r>
            <w:r>
              <w:rPr>
                <w:rFonts w:hint="eastAsia" w:ascii="宋体" w:hAnsi="宋体" w:eastAsia="宋体" w:cs="宋体"/>
                <w:bCs/>
                <w:color w:val="auto"/>
                <w:szCs w:val="24"/>
                <w:lang w:bidi="ar"/>
              </w:rPr>
              <w:t>《建筑设计防火规范》（GB50016-2014）等</w:t>
            </w:r>
            <w:r>
              <w:rPr>
                <w:rFonts w:hint="eastAsia" w:ascii="宋体" w:hAnsi="宋体" w:eastAsia="宋体" w:cs="宋体"/>
                <w:bCs/>
                <w:color w:val="auto"/>
                <w:spacing w:val="-9"/>
                <w:szCs w:val="24"/>
                <w:lang w:bidi="ar"/>
              </w:rPr>
              <w:t>相关的要求，</w:t>
            </w:r>
            <w:r>
              <w:rPr>
                <w:rFonts w:hint="eastAsia" w:ascii="宋体" w:hAnsi="宋体" w:eastAsia="宋体" w:cs="宋体"/>
                <w:bCs/>
                <w:color w:val="auto"/>
                <w:spacing w:val="-9"/>
                <w:szCs w:val="24"/>
                <w:lang w:val="en-US" w:eastAsia="zh-CN" w:bidi="ar"/>
              </w:rPr>
              <w:t>厂区</w:t>
            </w:r>
            <w:r>
              <w:rPr>
                <w:rFonts w:hint="eastAsia" w:ascii="宋体" w:hAnsi="宋体" w:eastAsia="宋体" w:cs="宋体"/>
                <w:bCs/>
                <w:color w:val="auto"/>
                <w:spacing w:val="-9"/>
                <w:szCs w:val="24"/>
                <w:lang w:bidi="ar"/>
              </w:rPr>
              <w:t>生产装置和公用辅助设施的防火间距满足规范的要求，各</w:t>
            </w:r>
            <w:r>
              <w:rPr>
                <w:rFonts w:hint="eastAsia" w:ascii="宋体" w:hAnsi="宋体" w:eastAsia="宋体" w:cs="宋体"/>
                <w:bCs/>
                <w:color w:val="auto"/>
                <w:spacing w:val="-11"/>
                <w:szCs w:val="24"/>
                <w:lang w:bidi="ar"/>
              </w:rPr>
              <w:t>功能区、装置之间设有环形通道，并与厂区道路相连；在充分考虑安全防护距离的前提下，实现消防和疏散通道以及人货分流等问题。在消防设计方面，以“预防为主、防消结合”的原则，严格执行国家颁布的消防法规。</w:t>
            </w:r>
          </w:p>
          <w:p w14:paraId="464AF0E2">
            <w:pPr>
              <w:keepNext w:val="0"/>
              <w:keepLines w:val="0"/>
              <w:widowControl/>
              <w:suppressLineNumbers w:val="0"/>
              <w:spacing w:before="2"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lang w:val="en-US" w:eastAsia="zh-CN"/>
              </w:rPr>
              <w:t>2</w:t>
            </w:r>
            <w:r>
              <w:rPr>
                <w:rFonts w:hint="eastAsia" w:ascii="宋体" w:hAnsi="宋体" w:eastAsia="宋体" w:cs="宋体"/>
                <w:b w:val="0"/>
                <w:bCs/>
                <w:color w:val="auto"/>
                <w:sz w:val="24"/>
              </w:rPr>
              <w:t>）</w:t>
            </w:r>
            <w:r>
              <w:rPr>
                <w:rFonts w:hint="eastAsia" w:eastAsia="宋体" w:cs="宋体"/>
                <w:b w:val="0"/>
                <w:bCs/>
                <w:color w:val="auto"/>
                <w:sz w:val="24"/>
                <w:lang w:val="en-US" w:eastAsia="zh-CN"/>
              </w:rPr>
              <w:t>柴油</w:t>
            </w:r>
            <w:r>
              <w:rPr>
                <w:rFonts w:hint="eastAsia" w:ascii="宋体" w:hAnsi="宋体" w:eastAsia="宋体" w:cs="宋体"/>
                <w:b w:val="0"/>
                <w:bCs/>
                <w:color w:val="auto"/>
                <w:sz w:val="24"/>
              </w:rPr>
              <w:t>储罐泄漏风险防范措施</w:t>
            </w:r>
          </w:p>
          <w:p w14:paraId="4EAB75A2">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为防止</w:t>
            </w:r>
            <w:r>
              <w:rPr>
                <w:rFonts w:hint="eastAsia" w:eastAsia="宋体" w:cs="宋体"/>
                <w:bCs/>
                <w:color w:val="auto"/>
                <w:szCs w:val="24"/>
                <w:lang w:val="en-US" w:eastAsia="zh-CN" w:bidi="ar"/>
              </w:rPr>
              <w:t>硝酸铵水溶液储罐、</w:t>
            </w:r>
            <w:r>
              <w:rPr>
                <w:rFonts w:hint="eastAsia" w:ascii="宋体" w:hAnsi="宋体" w:eastAsia="宋体" w:cs="宋体"/>
                <w:bCs/>
                <w:color w:val="auto"/>
                <w:szCs w:val="24"/>
                <w:lang w:val="en-US" w:eastAsia="zh-CN" w:bidi="ar"/>
              </w:rPr>
              <w:t>柴油</w:t>
            </w:r>
            <w:r>
              <w:rPr>
                <w:rFonts w:hint="eastAsia" w:ascii="宋体" w:hAnsi="宋体" w:eastAsia="宋体" w:cs="宋体"/>
                <w:bCs/>
                <w:color w:val="auto"/>
                <w:szCs w:val="24"/>
                <w:lang w:bidi="ar"/>
              </w:rPr>
              <w:t>储罐泄漏事故的发生，建设单位采取</w:t>
            </w:r>
            <w:r>
              <w:rPr>
                <w:rFonts w:hint="eastAsia" w:ascii="宋体" w:hAnsi="宋体" w:eastAsia="宋体" w:cs="宋体"/>
                <w:bCs/>
                <w:color w:val="auto"/>
                <w:szCs w:val="24"/>
                <w:lang w:eastAsia="zh-CN" w:bidi="ar"/>
              </w:rPr>
              <w:t>了</w:t>
            </w:r>
            <w:r>
              <w:rPr>
                <w:rFonts w:hint="eastAsia" w:ascii="宋体" w:hAnsi="宋体" w:eastAsia="宋体" w:cs="宋体"/>
                <w:bCs/>
                <w:color w:val="auto"/>
                <w:szCs w:val="24"/>
                <w:lang w:bidi="ar"/>
              </w:rPr>
              <w:t>以下防范措施：</w:t>
            </w:r>
          </w:p>
          <w:p w14:paraId="656F2A7A">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①按照《建筑设计防火规范》（GB50016-2014）、《石油化工企业设计防火 规范》（GB50160-2008）等文件要求，</w:t>
            </w:r>
            <w:r>
              <w:rPr>
                <w:rFonts w:hint="eastAsia" w:ascii="宋体" w:hAnsi="宋体" w:eastAsia="宋体" w:cs="宋体"/>
                <w:bCs/>
                <w:color w:val="auto"/>
                <w:szCs w:val="24"/>
                <w:lang w:val="en-US" w:eastAsia="zh-CN" w:bidi="ar"/>
              </w:rPr>
              <w:t>柴油</w:t>
            </w:r>
            <w:r>
              <w:rPr>
                <w:rFonts w:hint="eastAsia" w:ascii="宋体" w:hAnsi="宋体" w:eastAsia="宋体" w:cs="宋体"/>
                <w:bCs/>
                <w:color w:val="auto"/>
                <w:szCs w:val="24"/>
                <w:lang w:bidi="ar"/>
              </w:rPr>
              <w:t>储罐</w:t>
            </w:r>
            <w:r>
              <w:rPr>
                <w:rFonts w:hint="eastAsia" w:ascii="宋体" w:hAnsi="宋体" w:eastAsia="宋体" w:cs="宋体"/>
                <w:bCs/>
                <w:color w:val="auto"/>
                <w:szCs w:val="24"/>
                <w:lang w:val="en-US" w:eastAsia="zh-CN" w:bidi="ar"/>
              </w:rPr>
              <w:t>采用</w:t>
            </w:r>
            <w:r>
              <w:rPr>
                <w:rFonts w:hint="eastAsia" w:eastAsia="宋体" w:cs="宋体"/>
                <w:bCs/>
                <w:color w:val="auto"/>
                <w:szCs w:val="24"/>
                <w:lang w:val="en-US" w:eastAsia="zh-CN" w:bidi="ar"/>
              </w:rPr>
              <w:t>钢制防腐</w:t>
            </w:r>
            <w:r>
              <w:rPr>
                <w:rFonts w:hint="eastAsia" w:ascii="宋体" w:hAnsi="宋体" w:eastAsia="宋体" w:cs="宋体"/>
                <w:bCs/>
                <w:color w:val="auto"/>
                <w:szCs w:val="24"/>
                <w:lang w:val="en-US" w:eastAsia="zh-CN" w:bidi="ar"/>
              </w:rPr>
              <w:t>油罐，为地埋式，</w:t>
            </w:r>
            <w:r>
              <w:rPr>
                <w:rFonts w:hint="eastAsia" w:ascii="宋体" w:hAnsi="宋体" w:eastAsia="宋体" w:cs="宋体"/>
                <w:bCs/>
                <w:color w:val="auto"/>
                <w:szCs w:val="24"/>
                <w:lang w:bidi="ar"/>
              </w:rPr>
              <w:t>设置</w:t>
            </w:r>
            <w:r>
              <w:rPr>
                <w:rFonts w:hint="eastAsia" w:ascii="宋体" w:hAnsi="宋体" w:eastAsia="宋体" w:cs="宋体"/>
                <w:bCs/>
                <w:color w:val="auto"/>
                <w:szCs w:val="24"/>
                <w:lang w:val="en-US" w:eastAsia="zh-CN" w:bidi="ar"/>
              </w:rPr>
              <w:t>在</w:t>
            </w:r>
            <w:r>
              <w:rPr>
                <w:rFonts w:hint="eastAsia" w:ascii="宋体" w:hAnsi="宋体" w:eastAsia="宋体" w:cs="宋体"/>
                <w:bCs/>
                <w:color w:val="auto"/>
                <w:szCs w:val="24"/>
                <w:lang w:bidi="ar"/>
              </w:rPr>
              <w:t>围堰</w:t>
            </w:r>
            <w:r>
              <w:rPr>
                <w:rFonts w:hint="eastAsia" w:ascii="宋体" w:hAnsi="宋体" w:eastAsia="宋体" w:cs="宋体"/>
                <w:bCs/>
                <w:color w:val="auto"/>
                <w:szCs w:val="24"/>
                <w:lang w:val="en-US" w:eastAsia="zh-CN" w:bidi="ar"/>
              </w:rPr>
              <w:t>内</w:t>
            </w:r>
            <w:r>
              <w:rPr>
                <w:rFonts w:hint="eastAsia" w:ascii="宋体" w:hAnsi="宋体" w:eastAsia="宋体" w:cs="宋体"/>
                <w:bCs/>
                <w:color w:val="auto"/>
                <w:szCs w:val="24"/>
                <w:lang w:bidi="ar"/>
              </w:rPr>
              <w:t>池，事故情况下尽快收集泄漏物料。</w:t>
            </w:r>
          </w:p>
          <w:p w14:paraId="702B415B">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②储罐设置高低液位报警系统，自动监测罐内液位高低，并与进料关闭装置联锁，避免操作失误造成的冒罐事故。贮罐区设防雷设施，做好防雷接地。电器设备、照明设备采用防爆型，防止产生电火花。</w:t>
            </w:r>
          </w:p>
          <w:p w14:paraId="1E0FCA8B">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③罐区四周按要求设置固定式消防系统，同时配备移动式的消防器材，在生产过程中，对储罐输送管道、罐体、阀门等进行经常性检查，防止有毒害物质的泄漏。</w:t>
            </w:r>
          </w:p>
          <w:p w14:paraId="319E8B43">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④严格遵守动火制度，贮罐区附近严禁火源，设置明显的禁火标志牌。</w:t>
            </w:r>
          </w:p>
          <w:p w14:paraId="4A3984AA">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⑤储罐设备、储存方式严格执行国家标准。</w:t>
            </w:r>
          </w:p>
          <w:p w14:paraId="280AA9D5">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color w:val="auto"/>
              </w:rPr>
            </w:pPr>
            <w:r>
              <w:rPr>
                <w:rFonts w:hint="eastAsia" w:ascii="宋体" w:hAnsi="宋体" w:eastAsia="宋体" w:cs="宋体"/>
                <w:bCs/>
                <w:color w:val="auto"/>
                <w:szCs w:val="24"/>
                <w:lang w:bidi="ar"/>
              </w:rPr>
              <w:t>⑥防止事故气态污染物向环境转移措施：对于泄漏挥发的</w:t>
            </w:r>
            <w:r>
              <w:rPr>
                <w:rFonts w:hint="eastAsia" w:ascii="宋体" w:hAnsi="宋体" w:eastAsia="宋体" w:cs="宋体"/>
                <w:bCs/>
                <w:color w:val="auto"/>
                <w:szCs w:val="24"/>
                <w:lang w:val="en-US" w:eastAsia="zh-CN" w:bidi="ar"/>
              </w:rPr>
              <w:t>可燃</w:t>
            </w:r>
            <w:r>
              <w:rPr>
                <w:rFonts w:hint="eastAsia" w:ascii="宋体" w:hAnsi="宋体" w:eastAsia="宋体" w:cs="宋体"/>
                <w:bCs/>
                <w:color w:val="auto"/>
                <w:szCs w:val="24"/>
                <w:lang w:bidi="ar"/>
              </w:rPr>
              <w:t>物料，尽快切断泄漏源，防止进入排洪沟等限制性空间；对于小量的泄漏可用砂土或其它不燃材料吸附，也可用大量水冲洗，冲洗后的污染须</w:t>
            </w:r>
            <w:r>
              <w:rPr>
                <w:rFonts w:hint="eastAsia" w:eastAsia="宋体" w:cs="宋体"/>
                <w:bCs/>
                <w:color w:val="auto"/>
                <w:szCs w:val="24"/>
                <w:lang w:val="en-US" w:eastAsia="zh-CN" w:bidi="ar"/>
              </w:rPr>
              <w:t>统一收集委托有资质单位处置</w:t>
            </w:r>
            <w:r>
              <w:rPr>
                <w:rFonts w:hint="eastAsia" w:ascii="宋体" w:hAnsi="宋体" w:eastAsia="宋体" w:cs="宋体"/>
                <w:bCs/>
                <w:color w:val="auto"/>
                <w:szCs w:val="24"/>
                <w:lang w:bidi="ar"/>
              </w:rPr>
              <w:t>；对于泄漏量大的，应构筑围堤或挖坑收容，也可用泡沫覆盖，用防爆泵转移至槽车或专用收集器内，</w:t>
            </w:r>
            <w:r>
              <w:rPr>
                <w:rFonts w:hint="eastAsia" w:eastAsia="宋体" w:cs="宋体"/>
                <w:bCs/>
                <w:color w:val="auto"/>
                <w:szCs w:val="24"/>
                <w:lang w:val="en-US" w:eastAsia="zh-CN" w:bidi="ar"/>
              </w:rPr>
              <w:t>委托有资质单位处置</w:t>
            </w:r>
            <w:r>
              <w:rPr>
                <w:rFonts w:hint="eastAsia" w:ascii="宋体" w:hAnsi="宋体" w:eastAsia="宋体" w:cs="宋体"/>
                <w:bCs/>
                <w:color w:val="auto"/>
                <w:szCs w:val="24"/>
                <w:lang w:bidi="ar"/>
              </w:rPr>
              <w:t>。</w:t>
            </w:r>
          </w:p>
          <w:p w14:paraId="04E27E29">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⑦按要求定期开展安全检查和评价，对存在安全问题的提出整改方案，如发现贮存装置存在泄漏危险的，应当立即停止使用，予以更换或者修复，并采取相应安全措施。</w:t>
            </w:r>
          </w:p>
          <w:p w14:paraId="15D7E88A">
            <w:pPr>
              <w:keepNext w:val="0"/>
              <w:keepLines w:val="0"/>
              <w:widowControl/>
              <w:suppressLineNumbers w:val="0"/>
              <w:spacing w:before="2"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ascii="宋体" w:hAnsi="宋体" w:eastAsia="宋体" w:cs="宋体"/>
                <w:b w:val="0"/>
                <w:bCs/>
                <w:color w:val="auto"/>
                <w:sz w:val="24"/>
                <w:lang w:val="en-US" w:eastAsia="zh-CN"/>
              </w:rPr>
              <w:t>3</w:t>
            </w:r>
            <w:r>
              <w:rPr>
                <w:rFonts w:hint="eastAsia" w:ascii="宋体" w:hAnsi="宋体" w:eastAsia="宋体" w:cs="宋体"/>
                <w:b w:val="0"/>
                <w:bCs/>
                <w:color w:val="auto"/>
                <w:sz w:val="24"/>
              </w:rPr>
              <w:t>）火灾事故风险防范措施</w:t>
            </w:r>
          </w:p>
          <w:p w14:paraId="51D127C2">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 w:val="0"/>
                <w:bCs/>
                <w:color w:val="auto"/>
                <w:szCs w:val="24"/>
                <w:lang w:bidi="ar"/>
              </w:rPr>
            </w:pPr>
            <w:r>
              <w:rPr>
                <w:rFonts w:hint="eastAsia" w:ascii="宋体" w:hAnsi="宋体" w:eastAsia="宋体" w:cs="宋体"/>
                <w:b w:val="0"/>
                <w:bCs/>
                <w:color w:val="auto"/>
                <w:szCs w:val="24"/>
                <w:lang w:bidi="ar"/>
              </w:rPr>
              <w:t xml:space="preserve"> ①装置内各种建筑物的防火防爆设计应严格</w:t>
            </w:r>
            <w:r>
              <w:rPr>
                <w:rFonts w:hint="eastAsia" w:ascii="宋体" w:hAnsi="宋体" w:eastAsia="宋体" w:cs="宋体"/>
                <w:b w:val="0"/>
                <w:bCs/>
                <w:color w:val="auto"/>
                <w:szCs w:val="24"/>
                <w:lang w:val="en-US" w:eastAsia="zh-CN" w:bidi="ar"/>
              </w:rPr>
              <w:t>按照</w:t>
            </w:r>
            <w:r>
              <w:rPr>
                <w:rFonts w:hint="eastAsia" w:ascii="宋体" w:hAnsi="宋体" w:eastAsia="宋体" w:cs="宋体"/>
                <w:b w:val="0"/>
                <w:bCs/>
                <w:color w:val="auto"/>
                <w:szCs w:val="24"/>
                <w:lang w:bidi="ar"/>
              </w:rPr>
              <w:t>最新版本的《建筑设计防火规范》（GB50016-2014)（2018 年版）、《石油化工企业设计防火规范》（GB50160-2008）（2018 年版）等</w:t>
            </w:r>
            <w:r>
              <w:rPr>
                <w:rFonts w:hint="eastAsia" w:ascii="宋体" w:hAnsi="宋体" w:eastAsia="宋体" w:cs="宋体"/>
                <w:b w:val="0"/>
                <w:bCs/>
                <w:color w:val="auto"/>
                <w:szCs w:val="24"/>
                <w:lang w:val="en-US" w:eastAsia="zh-CN" w:bidi="ar"/>
              </w:rPr>
              <w:t>建设</w:t>
            </w:r>
            <w:r>
              <w:rPr>
                <w:rFonts w:hint="eastAsia" w:ascii="宋体" w:hAnsi="宋体" w:eastAsia="宋体" w:cs="宋体"/>
                <w:b w:val="0"/>
                <w:bCs/>
                <w:color w:val="auto"/>
                <w:szCs w:val="24"/>
                <w:lang w:bidi="ar"/>
              </w:rPr>
              <w:t>。</w:t>
            </w:r>
          </w:p>
          <w:p w14:paraId="1DFBB1C5">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 w:val="0"/>
                <w:bCs/>
                <w:color w:val="auto"/>
                <w:szCs w:val="24"/>
                <w:lang w:bidi="ar"/>
              </w:rPr>
            </w:pPr>
            <w:r>
              <w:rPr>
                <w:rFonts w:hint="eastAsia" w:ascii="宋体" w:hAnsi="宋体" w:eastAsia="宋体" w:cs="宋体"/>
                <w:b w:val="0"/>
                <w:bCs/>
                <w:color w:val="auto"/>
                <w:szCs w:val="24"/>
                <w:lang w:bidi="ar"/>
              </w:rPr>
              <w:t>②根据相关规范要求，各装置区内</w:t>
            </w:r>
            <w:r>
              <w:rPr>
                <w:rFonts w:hint="eastAsia" w:ascii="宋体" w:hAnsi="宋体" w:eastAsia="宋体" w:cs="宋体"/>
                <w:b w:val="0"/>
                <w:bCs/>
                <w:color w:val="auto"/>
                <w:szCs w:val="24"/>
                <w:lang w:val="en-US" w:eastAsia="zh-CN" w:bidi="ar"/>
              </w:rPr>
              <w:t>设置了</w:t>
            </w:r>
            <w:r>
              <w:rPr>
                <w:rFonts w:hint="eastAsia" w:ascii="宋体" w:hAnsi="宋体" w:eastAsia="宋体" w:cs="宋体"/>
                <w:b w:val="0"/>
                <w:bCs/>
                <w:color w:val="auto"/>
                <w:szCs w:val="24"/>
                <w:lang w:bidi="ar"/>
              </w:rPr>
              <w:t>常规水消防系统自动喷水灭火系统、火灾自动报警系统和小型灭火器，在易发生火灾的施工现场配备</w:t>
            </w:r>
            <w:r>
              <w:rPr>
                <w:rFonts w:hint="eastAsia" w:ascii="宋体" w:hAnsi="宋体" w:eastAsia="宋体" w:cs="宋体"/>
                <w:b w:val="0"/>
                <w:bCs/>
                <w:color w:val="auto"/>
                <w:szCs w:val="24"/>
                <w:lang w:eastAsia="zh-CN" w:bidi="ar"/>
              </w:rPr>
              <w:t>了</w:t>
            </w:r>
            <w:r>
              <w:rPr>
                <w:rFonts w:hint="eastAsia" w:ascii="宋体" w:hAnsi="宋体" w:eastAsia="宋体" w:cs="宋体"/>
                <w:b w:val="0"/>
                <w:bCs/>
                <w:color w:val="auto"/>
                <w:szCs w:val="24"/>
                <w:lang w:bidi="ar"/>
              </w:rPr>
              <w:t>足够的消防器材，并有明确的消防设备配置图表，还应保证消防通道和疏散通道畅通。</w:t>
            </w:r>
          </w:p>
          <w:p w14:paraId="65C1D31E">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 w:val="0"/>
                <w:bCs/>
                <w:color w:val="auto"/>
                <w:szCs w:val="24"/>
                <w:lang w:bidi="ar"/>
              </w:rPr>
            </w:pPr>
            <w:r>
              <w:rPr>
                <w:rFonts w:hint="eastAsia" w:ascii="宋体" w:hAnsi="宋体" w:eastAsia="宋体" w:cs="宋体"/>
                <w:b w:val="0"/>
                <w:bCs/>
                <w:color w:val="auto"/>
                <w:szCs w:val="24"/>
                <w:lang w:bidi="ar"/>
              </w:rPr>
              <w:t>③易发生火灾的施工现场悬挂严禁烟火的标示牌。</w:t>
            </w:r>
          </w:p>
          <w:p w14:paraId="2E24FD2C">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szCs w:val="24"/>
              </w:rPr>
            </w:pPr>
            <w:bookmarkStart w:id="12" w:name="7.1.3地下水环境风险防范措施"/>
            <w:bookmarkEnd w:id="12"/>
            <w:r>
              <w:rPr>
                <w:rFonts w:hint="eastAsia" w:ascii="宋体" w:hAnsi="宋体" w:eastAsia="宋体" w:cs="宋体"/>
                <w:b w:val="0"/>
                <w:bCs/>
                <w:color w:val="auto"/>
                <w:sz w:val="24"/>
                <w:szCs w:val="24"/>
                <w:lang w:val="en-US" w:eastAsia="zh-CN"/>
              </w:rPr>
              <w:t>4）</w:t>
            </w:r>
            <w:r>
              <w:rPr>
                <w:rFonts w:hint="eastAsia" w:ascii="宋体" w:hAnsi="宋体" w:eastAsia="宋体" w:cs="宋体"/>
                <w:b w:val="0"/>
                <w:bCs/>
                <w:color w:val="auto"/>
                <w:sz w:val="24"/>
                <w:szCs w:val="24"/>
              </w:rPr>
              <w:t>地下水环境风险防范措施</w:t>
            </w:r>
          </w:p>
          <w:p w14:paraId="133570AE">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val="en-US" w:eastAsia="zh-CN" w:bidi="ar"/>
              </w:rPr>
            </w:pPr>
            <w:r>
              <w:rPr>
                <w:rFonts w:hint="eastAsia" w:ascii="宋体" w:hAnsi="宋体" w:eastAsia="宋体" w:cs="宋体"/>
                <w:color w:val="auto"/>
                <w:szCs w:val="24"/>
                <w:lang w:val="en-US" w:eastAsia="zh-CN" w:bidi="ar"/>
              </w:rPr>
              <w:t>根据现场调查，现有项目储罐区地面完好无损，没有破损，同时现有项目采取了以下</w:t>
            </w:r>
            <w:r>
              <w:rPr>
                <w:rFonts w:hint="eastAsia" w:ascii="宋体" w:hAnsi="宋体" w:eastAsia="宋体" w:cs="宋体"/>
                <w:b w:val="0"/>
                <w:bCs/>
                <w:color w:val="auto"/>
                <w:sz w:val="24"/>
                <w:szCs w:val="24"/>
              </w:rPr>
              <w:t>地下水环境风险防范措施</w:t>
            </w:r>
            <w:r>
              <w:rPr>
                <w:rFonts w:hint="eastAsia" w:ascii="宋体" w:hAnsi="宋体" w:eastAsia="宋体" w:cs="宋体"/>
                <w:b w:val="0"/>
                <w:bCs/>
                <w:color w:val="auto"/>
                <w:sz w:val="24"/>
                <w:szCs w:val="24"/>
                <w:lang w:eastAsia="zh-CN"/>
              </w:rPr>
              <w:t>：</w:t>
            </w:r>
          </w:p>
          <w:p w14:paraId="35AD1FE3">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A：</w:t>
            </w:r>
            <w:r>
              <w:rPr>
                <w:rFonts w:hint="eastAsia" w:ascii="宋体" w:hAnsi="宋体" w:eastAsia="宋体" w:cs="宋体"/>
                <w:color w:val="auto"/>
                <w:szCs w:val="24"/>
                <w:lang w:bidi="ar"/>
              </w:rPr>
              <w:t>源头控制措施：主要包括在工艺、管道、设备、污水储存及处理构筑物采取相应措施，防止和降低污染物跑、冒、滴、漏，将污染物泄漏的环境风险事故降到最低程度；管线敷设尽可能采用明管，即地上敷设，做到污染物“早发现、早处理”，减少由于埋地管道泄漏而造成的地下水污染。</w:t>
            </w:r>
          </w:p>
          <w:p w14:paraId="34330AC6">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B：</w:t>
            </w:r>
            <w:r>
              <w:rPr>
                <w:rFonts w:hint="eastAsia" w:ascii="宋体" w:hAnsi="宋体" w:eastAsia="宋体" w:cs="宋体"/>
                <w:color w:val="auto"/>
                <w:szCs w:val="24"/>
                <w:lang w:bidi="ar"/>
              </w:rPr>
              <w:t>末端控制措施：主要包括污染区地面的防渗措施和泄漏、渗漏污染物收集措施，即在污染区地面进行防渗处理，防止洒落地面的污染物渗入地下，并把滞留在地面的污染物收集起来，集中处理；根据本项目可能发生渗漏的区域的污染物性质和生产单元的构筑方式，结合厂区地质和水文地质条件，对厂区采取分区防渗措施，对</w:t>
            </w:r>
            <w:r>
              <w:rPr>
                <w:rFonts w:hint="eastAsia" w:ascii="宋体" w:hAnsi="宋体" w:eastAsia="宋体" w:cs="宋体"/>
                <w:color w:val="auto"/>
                <w:szCs w:val="24"/>
                <w:lang w:val="en-US" w:eastAsia="zh-CN" w:bidi="ar"/>
              </w:rPr>
              <w:t>油罐区、燃料供给间</w:t>
            </w:r>
            <w:r>
              <w:rPr>
                <w:rFonts w:hint="eastAsia" w:ascii="宋体" w:hAnsi="宋体" w:eastAsia="宋体" w:cs="宋体"/>
                <w:color w:val="auto"/>
                <w:szCs w:val="24"/>
                <w:lang w:bidi="ar"/>
              </w:rPr>
              <w:t>采取重点防渗措施。</w:t>
            </w:r>
          </w:p>
          <w:p w14:paraId="34EA942B">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C：厂区如发生泄漏事故，应及时</w:t>
            </w:r>
            <w:r>
              <w:rPr>
                <w:rFonts w:hint="eastAsia" w:ascii="宋体" w:hAnsi="宋体" w:eastAsia="宋体" w:cs="宋体"/>
                <w:color w:val="auto"/>
                <w:szCs w:val="24"/>
                <w:lang w:bidi="ar"/>
              </w:rPr>
              <w:t>对地下水进行水质监测，若发现水质有较大变化时，需适当增加监测频率，密切关注地下水受污染程度，并查找水质变化原因；同时及时上报当地生态环境主管部门及其他相关部门，采取应急措施，查出原因以便进行补救。</w:t>
            </w:r>
          </w:p>
          <w:p w14:paraId="421EF1A2">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D：</w:t>
            </w:r>
            <w:r>
              <w:rPr>
                <w:rFonts w:hint="eastAsia" w:ascii="宋体" w:hAnsi="宋体" w:eastAsia="宋体" w:cs="宋体"/>
                <w:color w:val="auto"/>
                <w:szCs w:val="24"/>
                <w:lang w:bidi="ar"/>
              </w:rPr>
              <w:t>制定地下水污染应急预案，定期检查防渗层及管道的破损或破裂情况， 若发现有破损或破裂部位须及时进行修补。结合污染物进入区域地下水后的扩散速度，但是发生事故导致污染物下渗进入地下水后，应立即向相关生态环境主管部门报告，及时对泄漏至地面的污染物及时进行清理，并采取有效措施及时阻断确认的污染源，防止污染物继续向下游地下水扩散；项目运行期间，需加强管理和监督检查，杜绝非正常情况的发生，避免污染物进入土壤及地下水含水层造成污染。</w:t>
            </w:r>
          </w:p>
          <w:p w14:paraId="7A279CAE">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b w:val="0"/>
                <w:bCs/>
                <w:color w:val="FF0000"/>
                <w:sz w:val="24"/>
                <w:highlight w:val="none"/>
              </w:rPr>
            </w:pPr>
            <w:bookmarkStart w:id="13" w:name="7.1.4风险监控及应急监测措施"/>
            <w:bookmarkEnd w:id="13"/>
            <w:r>
              <w:rPr>
                <w:rFonts w:hint="eastAsia" w:eastAsia="宋体" w:cs="宋体"/>
                <w:b w:val="0"/>
                <w:bCs/>
                <w:color w:val="FF0000"/>
                <w:sz w:val="24"/>
                <w:szCs w:val="24"/>
                <w:highlight w:val="none"/>
                <w:lang w:val="en-US" w:eastAsia="zh-CN"/>
              </w:rPr>
              <w:t>5）硝酸铵</w:t>
            </w:r>
            <w:r>
              <w:rPr>
                <w:rFonts w:hint="eastAsia" w:ascii="宋体" w:hAnsi="宋体" w:eastAsia="宋体" w:cs="宋体"/>
                <w:b w:val="0"/>
                <w:bCs/>
                <w:color w:val="FF0000"/>
                <w:sz w:val="24"/>
                <w:highlight w:val="none"/>
              </w:rPr>
              <w:t>泄漏风险防范措施</w:t>
            </w:r>
          </w:p>
          <w:p w14:paraId="5FD3A0E3">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为防止</w:t>
            </w:r>
            <w:r>
              <w:rPr>
                <w:rFonts w:hint="eastAsia" w:eastAsia="宋体" w:cs="宋体"/>
                <w:bCs/>
                <w:color w:val="FF0000"/>
                <w:szCs w:val="24"/>
                <w:highlight w:val="none"/>
                <w:lang w:val="en-US" w:eastAsia="zh-CN" w:bidi="ar"/>
              </w:rPr>
              <w:t>硝酸铵水溶液储罐、</w:t>
            </w:r>
            <w:r>
              <w:rPr>
                <w:rFonts w:hint="eastAsia" w:ascii="宋体" w:hAnsi="宋体" w:eastAsia="宋体" w:cs="宋体"/>
                <w:bCs/>
                <w:color w:val="FF0000"/>
                <w:szCs w:val="24"/>
                <w:highlight w:val="none"/>
                <w:lang w:val="en-US" w:eastAsia="zh-CN" w:bidi="ar"/>
              </w:rPr>
              <w:t>工艺管线泄漏事故的</w:t>
            </w:r>
            <w:r>
              <w:rPr>
                <w:rFonts w:hint="eastAsia" w:ascii="宋体" w:hAnsi="宋体" w:eastAsia="宋体" w:cs="宋体"/>
                <w:bCs/>
                <w:color w:val="FF0000"/>
                <w:szCs w:val="24"/>
                <w:highlight w:val="none"/>
                <w:lang w:bidi="ar"/>
              </w:rPr>
              <w:t>发生，建设单位采取</w:t>
            </w:r>
            <w:r>
              <w:rPr>
                <w:rFonts w:hint="eastAsia" w:ascii="宋体" w:hAnsi="宋体" w:eastAsia="宋体" w:cs="宋体"/>
                <w:bCs/>
                <w:color w:val="FF0000"/>
                <w:szCs w:val="24"/>
                <w:highlight w:val="none"/>
                <w:lang w:eastAsia="zh-CN" w:bidi="ar"/>
              </w:rPr>
              <w:t>了</w:t>
            </w:r>
            <w:r>
              <w:rPr>
                <w:rFonts w:hint="eastAsia" w:ascii="宋体" w:hAnsi="宋体" w:eastAsia="宋体" w:cs="宋体"/>
                <w:bCs/>
                <w:color w:val="FF0000"/>
                <w:szCs w:val="24"/>
                <w:highlight w:val="none"/>
                <w:lang w:bidi="ar"/>
              </w:rPr>
              <w:t>以下防范措施：</w:t>
            </w:r>
          </w:p>
          <w:p w14:paraId="669154B9">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①按照《建筑设计防火规范》（GB50016-2014）、《石油化工企业设计防火 规范》（GB50160-2008）等文件要求，</w:t>
            </w:r>
            <w:r>
              <w:rPr>
                <w:rFonts w:hint="eastAsia" w:ascii="宋体" w:hAnsi="宋体" w:eastAsia="宋体" w:cs="宋体"/>
                <w:bCs/>
                <w:color w:val="FF0000"/>
                <w:szCs w:val="24"/>
                <w:highlight w:val="none"/>
                <w:lang w:val="en-US" w:eastAsia="zh-CN" w:bidi="ar"/>
              </w:rPr>
              <w:t>硝酸铵</w:t>
            </w:r>
            <w:r>
              <w:rPr>
                <w:rFonts w:hint="eastAsia" w:ascii="宋体" w:hAnsi="宋体" w:eastAsia="宋体" w:cs="宋体"/>
                <w:bCs/>
                <w:color w:val="FF0000"/>
                <w:szCs w:val="24"/>
                <w:highlight w:val="none"/>
                <w:lang w:bidi="ar"/>
              </w:rPr>
              <w:t>储罐</w:t>
            </w:r>
            <w:r>
              <w:rPr>
                <w:rFonts w:hint="eastAsia" w:ascii="宋体" w:hAnsi="宋体" w:eastAsia="宋体" w:cs="宋体"/>
                <w:bCs/>
                <w:color w:val="FF0000"/>
                <w:szCs w:val="24"/>
                <w:highlight w:val="none"/>
                <w:lang w:val="en-US" w:eastAsia="zh-CN" w:bidi="ar"/>
              </w:rPr>
              <w:t>采用</w:t>
            </w:r>
            <w:r>
              <w:rPr>
                <w:rFonts w:hint="eastAsia" w:eastAsia="宋体" w:cs="宋体"/>
                <w:bCs/>
                <w:color w:val="FF0000"/>
                <w:szCs w:val="24"/>
                <w:highlight w:val="none"/>
                <w:lang w:val="en-US" w:eastAsia="zh-CN" w:bidi="ar"/>
              </w:rPr>
              <w:t>钢制防腐</w:t>
            </w:r>
            <w:r>
              <w:rPr>
                <w:rFonts w:hint="eastAsia" w:ascii="宋体" w:hAnsi="宋体" w:eastAsia="宋体" w:cs="宋体"/>
                <w:bCs/>
                <w:color w:val="FF0000"/>
                <w:szCs w:val="24"/>
                <w:highlight w:val="none"/>
                <w:lang w:val="en-US" w:eastAsia="zh-CN" w:bidi="ar"/>
              </w:rPr>
              <w:t>储罐，布置在硝酸铵库房内</w:t>
            </w:r>
            <w:r>
              <w:rPr>
                <w:rFonts w:hint="eastAsia" w:ascii="宋体" w:hAnsi="宋体" w:eastAsia="宋体" w:cs="宋体"/>
                <w:bCs/>
                <w:color w:val="FF0000"/>
                <w:szCs w:val="24"/>
                <w:highlight w:val="none"/>
                <w:lang w:bidi="ar"/>
              </w:rPr>
              <w:t>，</w:t>
            </w:r>
            <w:r>
              <w:rPr>
                <w:rFonts w:hint="eastAsia" w:ascii="宋体" w:hAnsi="宋体" w:eastAsia="宋体" w:cs="宋体"/>
                <w:bCs/>
                <w:color w:val="FF0000"/>
                <w:szCs w:val="24"/>
                <w:highlight w:val="none"/>
                <w:lang w:val="en-US" w:eastAsia="zh-CN" w:bidi="ar"/>
              </w:rPr>
              <w:t>储罐四周设置围堰，</w:t>
            </w:r>
            <w:r>
              <w:rPr>
                <w:rFonts w:hint="eastAsia" w:ascii="宋体" w:hAnsi="宋体" w:eastAsia="宋体" w:cs="宋体"/>
                <w:bCs/>
                <w:color w:val="FF0000"/>
                <w:szCs w:val="24"/>
                <w:highlight w:val="none"/>
                <w:lang w:bidi="ar"/>
              </w:rPr>
              <w:t>事故情况下尽快收集泄漏物料。</w:t>
            </w:r>
          </w:p>
          <w:p w14:paraId="0C3422CD">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②储罐设置高低液位报警系统，自动监测罐内液位高低，并与进料关闭装置联锁，避免操作失误造成的冒罐事故。贮罐区设防雷设施，做好防雷接地。电器设备、照明设备采用防爆型，防止产生电火花。</w:t>
            </w:r>
          </w:p>
          <w:p w14:paraId="70D90D68">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③罐区四周按要求设置</w:t>
            </w:r>
            <w:r>
              <w:rPr>
                <w:rFonts w:hint="eastAsia" w:eastAsia="宋体" w:cs="宋体"/>
                <w:bCs/>
                <w:color w:val="FF0000"/>
                <w:szCs w:val="24"/>
                <w:highlight w:val="none"/>
                <w:lang w:val="en-US" w:eastAsia="zh-CN" w:bidi="ar"/>
              </w:rPr>
              <w:t>了</w:t>
            </w:r>
            <w:r>
              <w:rPr>
                <w:rFonts w:hint="eastAsia" w:ascii="宋体" w:hAnsi="宋体" w:eastAsia="宋体" w:cs="宋体"/>
                <w:bCs/>
                <w:color w:val="FF0000"/>
                <w:szCs w:val="24"/>
                <w:highlight w:val="none"/>
                <w:lang w:bidi="ar"/>
              </w:rPr>
              <w:t>固定式消防系统，同时配备移动式的消防器材，在生产过程中，对储罐输送管道、罐体、阀门等进行经常性检查，防止有毒害物质的泄漏。</w:t>
            </w:r>
          </w:p>
          <w:p w14:paraId="68B7E04C">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④严格遵守动火制度，贮罐区附近严禁火源，设置明显的禁火标志牌。</w:t>
            </w:r>
          </w:p>
          <w:p w14:paraId="19F504B3">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⑤储罐设备、储存方式严格执行国家标准。</w:t>
            </w:r>
          </w:p>
          <w:p w14:paraId="07EC90BB">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ascii="Times New Roman" w:hAnsi="Times New Roman" w:cs="Times New Roman"/>
                <w:bCs/>
                <w:color w:val="FF0000"/>
                <w:szCs w:val="24"/>
                <w:lang w:bidi="ar"/>
              </w:rPr>
            </w:pPr>
            <w:r>
              <w:rPr>
                <w:rFonts w:hint="eastAsia" w:ascii="宋体" w:hAnsi="宋体" w:eastAsia="宋体" w:cs="宋体"/>
                <w:bCs/>
                <w:color w:val="FF0000"/>
                <w:szCs w:val="24"/>
                <w:highlight w:val="none"/>
                <w:lang w:bidi="ar"/>
              </w:rPr>
              <w:t>⑥</w:t>
            </w:r>
            <w:r>
              <w:rPr>
                <w:rFonts w:hint="default" w:ascii="Times New Roman" w:hAnsi="Times New Roman" w:cs="Times New Roman"/>
                <w:bCs/>
                <w:color w:val="FF0000"/>
                <w:szCs w:val="24"/>
                <w:lang w:bidi="ar"/>
              </w:rPr>
              <w:t>生产装置和物料储运过程控制采用DCS系统，并设有越限报警和联锁保护系统，确保在误操作或非正常工况下，对危险物料的安全控制。</w:t>
            </w:r>
          </w:p>
          <w:p w14:paraId="1BD290E1">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ascii="Times New Roman" w:hAnsi="Times New Roman" w:cs="Times New Roman"/>
                <w:bCs/>
                <w:color w:val="FF0000"/>
                <w:szCs w:val="24"/>
                <w:lang w:bidi="ar"/>
              </w:rPr>
            </w:pPr>
            <w:r>
              <w:rPr>
                <w:rFonts w:hint="default" w:ascii="Times New Roman" w:hAnsi="Times New Roman" w:cs="Times New Roman"/>
                <w:bCs/>
                <w:color w:val="FF0000"/>
                <w:szCs w:val="24"/>
                <w:lang w:bidi="ar"/>
              </w:rPr>
              <w:t>⑦所有设备和管道的强度、严密性及耐腐蚀性符合有关技术规范要求。在可能泄漏可有毒气体的位置装设有毒气体检测报警仪等设施，以便万一发生有毒气体泄漏时及时提供信息，及时处理。</w:t>
            </w:r>
          </w:p>
          <w:p w14:paraId="48F085CC">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ascii="Times New Roman" w:hAnsi="Times New Roman" w:cs="Times New Roman"/>
                <w:bCs/>
                <w:color w:val="FF0000"/>
                <w:szCs w:val="24"/>
                <w:lang w:bidi="ar"/>
              </w:rPr>
            </w:pPr>
            <w:r>
              <w:rPr>
                <w:rFonts w:hint="default" w:ascii="Times New Roman" w:hAnsi="Times New Roman" w:cs="Times New Roman"/>
                <w:bCs/>
                <w:color w:val="FF0000"/>
                <w:szCs w:val="24"/>
                <w:lang w:bidi="ar"/>
              </w:rPr>
              <w:t>⑧压力容器的设计及制造符合《压力容器设计规范》及其他有关的工业标准规范。定型设备应选用安全可靠、技术成熟、有资质企业的产品。为防止高压设备由于超压发生事故，在适当的位置安装泄压阀。在事故条件下可能处于真空状况下的设备将采用可承受全真空的设备。</w:t>
            </w:r>
          </w:p>
          <w:p w14:paraId="6C48CC5E">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ascii="Times New Roman" w:hAnsi="Times New Roman" w:cs="Times New Roman"/>
                <w:bCs/>
                <w:color w:val="FF0000"/>
                <w:szCs w:val="24"/>
                <w:lang w:bidi="ar"/>
              </w:rPr>
            </w:pPr>
            <w:r>
              <w:rPr>
                <w:rFonts w:hint="default" w:ascii="Times New Roman" w:hAnsi="Times New Roman" w:cs="Times New Roman"/>
                <w:bCs/>
                <w:color w:val="FF0000"/>
                <w:szCs w:val="24"/>
                <w:lang w:bidi="ar"/>
              </w:rPr>
              <w:t>⑨压力容器和压力管道，选材、设计、制造、安装和使用必须符合《特种设备安全监察条例》要求进行，选择有相关资质的单位进行设计、制造、安装和检测，严禁违章操作，加强日常维护和管理；应定期对特种设备、安全附件及强制检测设备设施等进行检测，特种设备在使用前到所在地安全监察机构注册登记。</w:t>
            </w:r>
          </w:p>
          <w:p w14:paraId="6A3F2311">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ascii="Times New Roman" w:hAnsi="Times New Roman" w:cs="Times New Roman"/>
                <w:bCs/>
                <w:color w:val="FF0000"/>
                <w:szCs w:val="24"/>
                <w:lang w:bidi="ar"/>
              </w:rPr>
            </w:pPr>
            <w:r>
              <w:rPr>
                <w:rFonts w:hint="default" w:ascii="Times New Roman" w:hAnsi="Times New Roman" w:cs="Times New Roman"/>
                <w:bCs/>
                <w:color w:val="FF0000"/>
                <w:szCs w:val="24"/>
                <w:lang w:bidi="ar"/>
              </w:rPr>
              <w:t>⑩管道焊接应由具有焊接资质的专业人员按照相关技术规范进行作业，所有焊缝均应进行外观检查，合格后按《工业金属管道工程施工及验收规范》进行无损检测，无损检测合格后应对所有工艺管道进行液压强度试验，在强度试验合格后，管线还应进行气密性试验。高温高压的设备、管线要选用充分可靠的零部件和合适材料，并要经过探伤检查，焊接材料和焊缝还要经过机械、金相试验以及耐腐蚀试验。</w:t>
            </w:r>
          </w:p>
          <w:p w14:paraId="71BFFB1A">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ascii="Times New Roman" w:hAnsi="Times New Roman" w:cs="Times New Roman"/>
                <w:bCs/>
                <w:color w:val="FF0000"/>
                <w:szCs w:val="24"/>
                <w:lang w:bidi="ar"/>
              </w:rPr>
            </w:pPr>
            <w:r>
              <w:rPr>
                <w:rFonts w:hint="default" w:ascii="Times New Roman" w:hAnsi="Times New Roman" w:cs="Times New Roman"/>
                <w:bCs/>
                <w:color w:val="FF0000"/>
                <w:szCs w:val="24"/>
                <w:lang w:bidi="ar"/>
              </w:rPr>
              <w:t>⑪项目泵、阀门数量、种类繁多，而危险有害物质的泄漏点主要就是集中在泵和阀门。所以在设备</w:t>
            </w:r>
            <w:r>
              <w:rPr>
                <w:rFonts w:hint="eastAsia" w:ascii="Times New Roman" w:hAnsi="Times New Roman" w:cs="Times New Roman"/>
                <w:bCs/>
                <w:color w:val="FF0000"/>
                <w:szCs w:val="24"/>
                <w:lang w:val="en-US" w:eastAsia="zh-CN" w:bidi="ar"/>
              </w:rPr>
              <w:t>均选择</w:t>
            </w:r>
            <w:r>
              <w:rPr>
                <w:rFonts w:hint="default" w:ascii="Times New Roman" w:hAnsi="Times New Roman" w:cs="Times New Roman"/>
                <w:bCs/>
                <w:color w:val="FF0000"/>
                <w:szCs w:val="24"/>
                <w:lang w:bidi="ar"/>
              </w:rPr>
              <w:t>质量好、可靠性强的设备，同时加强此类设备的重点巡视。</w:t>
            </w:r>
          </w:p>
          <w:p w14:paraId="1ABC32FC">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default" w:ascii="Times New Roman" w:hAnsi="Times New Roman" w:cs="Times New Roman"/>
                <w:bCs/>
                <w:color w:val="FF0000"/>
                <w:szCs w:val="24"/>
                <w:lang w:bidi="ar"/>
              </w:rPr>
              <w:t>⑫</w:t>
            </w:r>
            <w:r>
              <w:rPr>
                <w:rFonts w:hint="eastAsia" w:ascii="Times New Roman" w:hAnsi="Times New Roman" w:cs="Times New Roman"/>
                <w:bCs/>
                <w:color w:val="FF0000"/>
                <w:szCs w:val="24"/>
                <w:lang w:val="en-US" w:eastAsia="zh-CN" w:bidi="ar"/>
              </w:rPr>
              <w:t>建立了</w:t>
            </w:r>
            <w:r>
              <w:rPr>
                <w:rFonts w:hint="default" w:ascii="Times New Roman" w:hAnsi="Times New Roman" w:cs="Times New Roman"/>
                <w:bCs/>
                <w:color w:val="FF0000"/>
                <w:szCs w:val="24"/>
                <w:lang w:bidi="ar"/>
              </w:rPr>
              <w:t>设备使用、清洁、维护和维修的操作规程，并保存相应的操作记录。应当建立并保存设备采购、安装、确认的文件和记录。</w:t>
            </w:r>
          </w:p>
          <w:p w14:paraId="154B1ADB">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default"/>
                <w:color w:val="FF0000"/>
                <w:highlight w:val="none"/>
              </w:rPr>
            </w:pPr>
            <w:r>
              <w:rPr>
                <w:rFonts w:hint="eastAsia" w:ascii="宋体" w:hAnsi="宋体" w:eastAsia="宋体" w:cs="宋体"/>
                <w:bCs/>
                <w:color w:val="FF0000"/>
                <w:szCs w:val="24"/>
                <w:highlight w:val="none"/>
                <w:lang w:bidi="ar"/>
              </w:rPr>
              <w:t>⑬防止事故气态污染物向环境转移措施：对于泄漏挥发的</w:t>
            </w:r>
            <w:r>
              <w:rPr>
                <w:rFonts w:hint="eastAsia" w:ascii="宋体" w:hAnsi="宋体" w:eastAsia="宋体" w:cs="宋体"/>
                <w:bCs/>
                <w:color w:val="FF0000"/>
                <w:szCs w:val="24"/>
                <w:highlight w:val="none"/>
                <w:lang w:val="en-US" w:eastAsia="zh-CN" w:bidi="ar"/>
              </w:rPr>
              <w:t>可燃</w:t>
            </w:r>
            <w:r>
              <w:rPr>
                <w:rFonts w:hint="eastAsia" w:ascii="宋体" w:hAnsi="宋体" w:eastAsia="宋体" w:cs="宋体"/>
                <w:bCs/>
                <w:color w:val="FF0000"/>
                <w:szCs w:val="24"/>
                <w:highlight w:val="none"/>
                <w:lang w:bidi="ar"/>
              </w:rPr>
              <w:t>物料，尽快切断泄漏源，防止进入排洪沟等限制性空间；对于小量的泄漏可用砂土或其它不燃材料吸附，也可用大量水冲洗，冲洗后的污染须</w:t>
            </w:r>
            <w:r>
              <w:rPr>
                <w:rFonts w:hint="eastAsia" w:ascii="宋体" w:hAnsi="宋体" w:eastAsia="宋体" w:cs="宋体"/>
                <w:bCs/>
                <w:color w:val="FF0000"/>
                <w:szCs w:val="24"/>
                <w:highlight w:val="none"/>
                <w:lang w:val="en-US" w:eastAsia="zh-CN" w:bidi="ar"/>
              </w:rPr>
              <w:t>统一收集起来</w:t>
            </w:r>
            <w:r>
              <w:rPr>
                <w:rFonts w:hint="eastAsia" w:eastAsia="宋体" w:cs="宋体"/>
                <w:bCs/>
                <w:color w:val="FF0000"/>
                <w:szCs w:val="24"/>
                <w:highlight w:val="none"/>
                <w:lang w:val="en-US" w:eastAsia="zh-CN" w:bidi="ar"/>
              </w:rPr>
              <w:t>委托有资质单位处置</w:t>
            </w:r>
            <w:r>
              <w:rPr>
                <w:rFonts w:hint="eastAsia" w:ascii="宋体" w:hAnsi="宋体" w:eastAsia="宋体" w:cs="宋体"/>
                <w:bCs/>
                <w:color w:val="FF0000"/>
                <w:szCs w:val="24"/>
                <w:highlight w:val="none"/>
                <w:lang w:bidi="ar"/>
              </w:rPr>
              <w:t>；对于泄漏量大的，应构筑围堤或挖坑收容，也可用泡沫覆盖，用防爆泵转移至槽车或专用收集器内，</w:t>
            </w:r>
            <w:r>
              <w:rPr>
                <w:rFonts w:hint="eastAsia" w:eastAsia="宋体" w:cs="宋体"/>
                <w:bCs/>
                <w:color w:val="FF0000"/>
                <w:szCs w:val="24"/>
                <w:highlight w:val="none"/>
                <w:lang w:val="en-US" w:eastAsia="zh-CN" w:bidi="ar"/>
              </w:rPr>
              <w:t>委托有资质单位处置</w:t>
            </w:r>
            <w:r>
              <w:rPr>
                <w:rFonts w:hint="eastAsia" w:ascii="宋体" w:hAnsi="宋体" w:eastAsia="宋体" w:cs="宋体"/>
                <w:bCs/>
                <w:color w:val="FF0000"/>
                <w:szCs w:val="24"/>
                <w:highlight w:val="none"/>
                <w:lang w:bidi="ar"/>
              </w:rPr>
              <w:t>。</w:t>
            </w:r>
          </w:p>
          <w:p w14:paraId="5D87AC2F">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FF0000"/>
                <w:szCs w:val="24"/>
                <w:highlight w:val="none"/>
                <w:lang w:bidi="ar"/>
              </w:rPr>
            </w:pPr>
            <w:r>
              <w:rPr>
                <w:rFonts w:hint="eastAsia" w:ascii="宋体" w:hAnsi="宋体" w:eastAsia="宋体" w:cs="宋体"/>
                <w:bCs/>
                <w:color w:val="FF0000"/>
                <w:szCs w:val="24"/>
                <w:highlight w:val="none"/>
                <w:lang w:bidi="ar"/>
              </w:rPr>
              <w:t>⑭要求定期开展安全检查和评价，对存在安全问题的提出整改方案，如发现贮存装置存在泄漏危险的，应当立即停止使用，予以更换或者修复，并采取相应安全措施。</w:t>
            </w:r>
          </w:p>
          <w:p w14:paraId="40FEF786">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szCs w:val="24"/>
                <w:lang w:val="en-US" w:eastAsia="zh-CN"/>
              </w:rPr>
            </w:pPr>
            <w:r>
              <w:rPr>
                <w:rFonts w:hint="eastAsia" w:eastAsia="宋体" w:cs="宋体"/>
                <w:b w:val="0"/>
                <w:bCs/>
                <w:color w:val="auto"/>
                <w:sz w:val="24"/>
                <w:szCs w:val="24"/>
                <w:lang w:val="en-US" w:eastAsia="zh-CN"/>
              </w:rPr>
              <w:t>6</w:t>
            </w:r>
            <w:r>
              <w:rPr>
                <w:rFonts w:hint="eastAsia" w:ascii="宋体" w:hAnsi="宋体" w:eastAsia="宋体" w:cs="宋体"/>
                <w:b w:val="0"/>
                <w:bCs/>
                <w:color w:val="auto"/>
                <w:sz w:val="24"/>
                <w:szCs w:val="24"/>
                <w:lang w:val="en-US" w:eastAsia="zh-CN"/>
              </w:rPr>
              <w:t>）风险监控及应急监测措施</w:t>
            </w:r>
          </w:p>
          <w:p w14:paraId="123D2833">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①</w:t>
            </w:r>
            <w:r>
              <w:rPr>
                <w:rFonts w:hint="eastAsia" w:ascii="宋体" w:hAnsi="宋体" w:eastAsia="宋体" w:cs="宋体"/>
                <w:color w:val="auto"/>
                <w:szCs w:val="24"/>
                <w:lang w:bidi="ar"/>
              </w:rPr>
              <w:t>在</w:t>
            </w:r>
            <w:r>
              <w:rPr>
                <w:rFonts w:hint="eastAsia" w:eastAsia="宋体" w:cs="宋体"/>
                <w:color w:val="auto"/>
                <w:szCs w:val="24"/>
                <w:lang w:val="en-US" w:eastAsia="zh-CN" w:bidi="ar"/>
              </w:rPr>
              <w:t>易燃</w:t>
            </w:r>
            <w:r>
              <w:rPr>
                <w:rFonts w:hint="eastAsia" w:ascii="宋体" w:hAnsi="宋体" w:eastAsia="宋体" w:cs="宋体"/>
                <w:color w:val="auto"/>
                <w:szCs w:val="24"/>
                <w:lang w:bidi="ar"/>
              </w:rPr>
              <w:t>气体可能泄漏的场所设置</w:t>
            </w:r>
            <w:r>
              <w:rPr>
                <w:rFonts w:hint="eastAsia" w:eastAsia="宋体" w:cs="宋体"/>
                <w:color w:val="auto"/>
                <w:szCs w:val="24"/>
                <w:lang w:val="en-US" w:eastAsia="zh-CN" w:bidi="ar"/>
              </w:rPr>
              <w:t>易</w:t>
            </w:r>
            <w:r>
              <w:rPr>
                <w:rFonts w:hint="eastAsia" w:ascii="宋体" w:hAnsi="宋体" w:eastAsia="宋体" w:cs="宋体"/>
                <w:color w:val="auto"/>
                <w:szCs w:val="24"/>
                <w:lang w:bidi="ar"/>
              </w:rPr>
              <w:t>燃气体探测仪，以利及时发现和处理气体泄漏事故，确保装置安全。</w:t>
            </w:r>
          </w:p>
          <w:p w14:paraId="0B45A2F5">
            <w:pPr>
              <w:keepNext w:val="0"/>
              <w:keepLines w:val="0"/>
              <w:widowControl/>
              <w:suppressLineNumbers w:val="0"/>
              <w:spacing w:before="0" w:beforeAutospacing="0" w:after="0" w:afterAutospacing="0" w:line="360" w:lineRule="auto"/>
              <w:ind w:left="0" w:right="0" w:firstLine="480" w:firstLineChars="200"/>
              <w:jc w:val="left"/>
              <w:rPr>
                <w:rFonts w:hint="eastAsia" w:ascii="宋体" w:hAnsi="宋体" w:eastAsia="宋体" w:cs="宋体"/>
                <w:color w:val="auto"/>
                <w:kern w:val="0"/>
                <w:sz w:val="24"/>
                <w:lang w:bidi="ar"/>
              </w:rPr>
            </w:pPr>
            <w:r>
              <w:rPr>
                <w:rFonts w:hint="eastAsia" w:ascii="宋体" w:hAnsi="宋体" w:eastAsia="宋体" w:cs="宋体"/>
                <w:color w:val="auto"/>
                <w:kern w:val="0"/>
                <w:sz w:val="24"/>
                <w:lang w:val="en-US" w:eastAsia="zh-CN" w:bidi="ar"/>
              </w:rPr>
              <w:t>②</w:t>
            </w:r>
            <w:r>
              <w:rPr>
                <w:rFonts w:hint="eastAsia" w:ascii="宋体" w:hAnsi="宋体" w:eastAsia="宋体" w:cs="宋体"/>
                <w:color w:val="auto"/>
                <w:kern w:val="0"/>
                <w:sz w:val="24"/>
                <w:lang w:bidi="ar"/>
              </w:rPr>
              <w:t>建立监控机制，每半年对容易引发突发环境事件的危险源和危险区域至少进行一次检查和风险评估，发现问题及时处理，消除事故隐患。</w:t>
            </w:r>
          </w:p>
          <w:p w14:paraId="5E2E9B8D">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③</w:t>
            </w:r>
            <w:r>
              <w:rPr>
                <w:rFonts w:hint="eastAsia" w:ascii="宋体" w:hAnsi="宋体" w:eastAsia="宋体" w:cs="宋体"/>
                <w:color w:val="auto"/>
                <w:szCs w:val="24"/>
                <w:lang w:bidi="ar"/>
              </w:rPr>
              <w:t>加强对重点危险源的监控管理，把</w:t>
            </w:r>
            <w:r>
              <w:rPr>
                <w:rFonts w:hint="eastAsia" w:ascii="宋体" w:hAnsi="宋体" w:eastAsia="宋体" w:cs="宋体"/>
                <w:color w:val="auto"/>
                <w:szCs w:val="24"/>
                <w:lang w:val="en-US" w:eastAsia="zh-CN" w:bidi="ar"/>
              </w:rPr>
              <w:t>硝酸铵库</w:t>
            </w:r>
            <w:r>
              <w:rPr>
                <w:rFonts w:hint="eastAsia" w:ascii="宋体" w:hAnsi="宋体" w:eastAsia="宋体" w:cs="宋体"/>
                <w:color w:val="auto"/>
                <w:sz w:val="24"/>
                <w:szCs w:val="24"/>
                <w:lang w:val="en-US" w:eastAsia="zh-CN"/>
              </w:rPr>
              <w:t>、</w:t>
            </w:r>
            <w:r>
              <w:rPr>
                <w:rFonts w:hint="eastAsia" w:ascii="宋体" w:hAnsi="宋体" w:eastAsia="宋体" w:cs="宋体"/>
                <w:color w:val="auto"/>
                <w:szCs w:val="24"/>
                <w:lang w:val="en-US" w:eastAsia="zh-CN" w:bidi="ar"/>
              </w:rPr>
              <w:t>油罐区</w:t>
            </w:r>
            <w:r>
              <w:rPr>
                <w:rFonts w:hint="eastAsia" w:ascii="宋体" w:hAnsi="宋体" w:eastAsia="宋体" w:cs="宋体"/>
                <w:color w:val="auto"/>
                <w:szCs w:val="24"/>
                <w:lang w:bidi="ar"/>
              </w:rPr>
              <w:t>等事故高发区域，实施重点监控和管理。</w:t>
            </w:r>
          </w:p>
          <w:p w14:paraId="3345F36D">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④</w:t>
            </w:r>
            <w:r>
              <w:rPr>
                <w:rFonts w:hint="eastAsia" w:ascii="宋体" w:hAnsi="宋体" w:eastAsia="宋体" w:cs="宋体"/>
                <w:color w:val="auto"/>
                <w:szCs w:val="24"/>
                <w:lang w:bidi="ar"/>
              </w:rPr>
              <w:t>严格落实24h值班制度，配备应急监测设备及人员，随时接受来自公司调度室、各部门室、社会人员的污染事故信息，及时采取应急监测方案，出动监测人员及分析人员，配合公司环保部门进行环境事故污染源的调查与处置。</w:t>
            </w:r>
          </w:p>
          <w:p w14:paraId="7C9B1D9E">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⑤</w:t>
            </w:r>
            <w:r>
              <w:rPr>
                <w:rFonts w:hint="eastAsia" w:ascii="宋体" w:hAnsi="宋体" w:eastAsia="宋体" w:cs="宋体"/>
                <w:color w:val="auto"/>
                <w:szCs w:val="24"/>
                <w:lang w:bidi="ar"/>
              </w:rPr>
              <w:t>发生紧急污染事故时，监测人员应在有必要的防护措施和保证安全的情况下携带大气和水质等监测必要的监测设施及时进入处理现场采样，随时监控污染状况，为应急指挥提供依据。</w:t>
            </w:r>
          </w:p>
          <w:p w14:paraId="3DBADB99">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color w:val="auto"/>
                <w:szCs w:val="24"/>
                <w:lang w:bidi="ar"/>
              </w:rPr>
            </w:pPr>
            <w:r>
              <w:rPr>
                <w:rFonts w:hint="eastAsia" w:ascii="宋体" w:hAnsi="宋体" w:eastAsia="宋体" w:cs="宋体"/>
                <w:color w:val="auto"/>
                <w:szCs w:val="24"/>
                <w:lang w:val="en-US" w:eastAsia="zh-CN" w:bidi="ar"/>
              </w:rPr>
              <w:t>⑥</w:t>
            </w:r>
            <w:r>
              <w:rPr>
                <w:rFonts w:hint="eastAsia" w:ascii="宋体" w:hAnsi="宋体" w:eastAsia="宋体" w:cs="宋体"/>
                <w:color w:val="auto"/>
                <w:szCs w:val="24"/>
                <w:lang w:bidi="ar"/>
              </w:rPr>
              <w:t>企业已建立了应急救援队伍，包括技术、灭火、疏散、抢修、现场救护、医疗、通讯等人员，配备有急救药箱、个人防护用品、消防布置图、现场平面布置图、危险化学品安全技术说明书等。报警器、消防设施、个人防护用品及应急器材等定期进行检测。</w:t>
            </w:r>
          </w:p>
          <w:p w14:paraId="1B3F02E2">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szCs w:val="24"/>
                <w:lang w:val="en-US" w:eastAsia="zh-CN"/>
              </w:rPr>
            </w:pPr>
            <w:bookmarkStart w:id="14" w:name="8.评价结论与建议"/>
            <w:bookmarkEnd w:id="14"/>
            <w:bookmarkStart w:id="15" w:name="_bookmark29"/>
            <w:bookmarkEnd w:id="15"/>
            <w:r>
              <w:rPr>
                <w:rFonts w:hint="eastAsia" w:eastAsia="宋体" w:cs="宋体"/>
                <w:b w:val="0"/>
                <w:bCs/>
                <w:color w:val="auto"/>
                <w:sz w:val="24"/>
                <w:szCs w:val="24"/>
                <w:lang w:val="en-US" w:eastAsia="zh-CN"/>
              </w:rPr>
              <w:t>7</w:t>
            </w:r>
            <w:r>
              <w:rPr>
                <w:rFonts w:hint="eastAsia" w:ascii="宋体" w:hAnsi="宋体" w:eastAsia="宋体" w:cs="宋体"/>
                <w:b w:val="0"/>
                <w:bCs/>
                <w:color w:val="auto"/>
                <w:sz w:val="24"/>
                <w:szCs w:val="24"/>
                <w:lang w:val="en-US" w:eastAsia="zh-CN"/>
              </w:rPr>
              <w:t>）环境风险应急预案</w:t>
            </w:r>
          </w:p>
          <w:p w14:paraId="7A17F7A8">
            <w:pPr>
              <w:pStyle w:val="24"/>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color w:val="auto"/>
                <w:sz w:val="24"/>
              </w:rPr>
            </w:pPr>
            <w:r>
              <w:rPr>
                <w:rFonts w:hint="eastAsia" w:ascii="宋体" w:hAnsi="宋体" w:eastAsia="宋体" w:cs="宋体"/>
                <w:color w:val="auto"/>
                <w:sz w:val="24"/>
              </w:rPr>
              <w:t>企业已制定了突发环境事件应急预案，本项目建成后，企业应依据《企业事业单位突发环境事件应急预案备案管理办法（试行）》要求，定期修订突发环境事件应急预案，并报生态环境主管部门备案。</w:t>
            </w:r>
          </w:p>
          <w:p w14:paraId="43D7D402">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82" w:firstLineChars="200"/>
              <w:textAlignment w:val="auto"/>
              <w:rPr>
                <w:rFonts w:hint="default" w:ascii="宋体" w:hAnsi="宋体" w:eastAsia="宋体" w:cs="宋体"/>
                <w:b/>
                <w:bCs/>
                <w:color w:val="auto"/>
                <w:sz w:val="24"/>
                <w:szCs w:val="24"/>
                <w:lang w:val="en-US" w:eastAsia="zh-CN"/>
              </w:rPr>
            </w:pPr>
            <w:r>
              <w:rPr>
                <w:rFonts w:hint="eastAsia" w:eastAsia="宋体" w:cs="宋体"/>
                <w:b/>
                <w:bCs/>
                <w:color w:val="auto"/>
                <w:sz w:val="24"/>
                <w:szCs w:val="24"/>
                <w:lang w:val="en-US" w:eastAsia="zh-CN"/>
              </w:rPr>
              <w:t>（2）技改项目环境风险防范措施</w:t>
            </w:r>
          </w:p>
          <w:p w14:paraId="68342717">
            <w:pPr>
              <w:keepNext w:val="0"/>
              <w:keepLines w:val="0"/>
              <w:pageBreakBefore w:val="0"/>
              <w:suppressLineNumbers w:val="0"/>
              <w:kinsoku/>
              <w:wordWrap/>
              <w:overflowPunct/>
              <w:topLinePunct w:val="0"/>
              <w:autoSpaceDE/>
              <w:autoSpaceDN/>
              <w:bidi w:val="0"/>
              <w:snapToGrid w:val="0"/>
              <w:spacing w:before="0" w:beforeAutospacing="0" w:after="0" w:afterAutospacing="0" w:line="360" w:lineRule="auto"/>
              <w:ind w:left="0" w:right="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技改项目在依托厂区现有风险防范措施的前提下，对新增加的风险单元采取相应的风险防范措施，具体如下：</w:t>
            </w:r>
            <w:r>
              <w:rPr>
                <w:rFonts w:hint="default"/>
              </w:rPr>
              <w:commentReference w:id="13"/>
            </w:r>
          </w:p>
          <w:p w14:paraId="3DA27D58">
            <w:pPr>
              <w:keepNext w:val="0"/>
              <w:keepLines w:val="0"/>
              <w:widowControl/>
              <w:suppressLineNumbers w:val="0"/>
              <w:spacing w:before="0"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eastAsia="宋体" w:cs="宋体"/>
                <w:b w:val="0"/>
                <w:bCs/>
                <w:color w:val="auto"/>
                <w:sz w:val="24"/>
                <w:lang w:val="en-US" w:eastAsia="zh-CN"/>
              </w:rPr>
              <w:t>1</w:t>
            </w:r>
            <w:r>
              <w:rPr>
                <w:rFonts w:hint="eastAsia" w:eastAsia="宋体" w:cs="宋体"/>
                <w:b w:val="0"/>
                <w:bCs/>
                <w:color w:val="auto"/>
                <w:sz w:val="24"/>
                <w:lang w:eastAsia="zh-CN"/>
              </w:rPr>
              <w:t>）</w:t>
            </w:r>
            <w:r>
              <w:rPr>
                <w:rFonts w:hint="eastAsia" w:ascii="宋体" w:hAnsi="宋体" w:eastAsia="宋体" w:cs="宋体"/>
                <w:b w:val="0"/>
                <w:bCs/>
                <w:color w:val="auto"/>
                <w:sz w:val="24"/>
              </w:rPr>
              <w:t>工艺技术和设备风险防范措施</w:t>
            </w:r>
          </w:p>
          <w:p w14:paraId="4F6DE108">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eastAsia="zh-CN" w:bidi="ar"/>
              </w:rPr>
            </w:pPr>
            <w:r>
              <w:rPr>
                <w:rFonts w:hint="eastAsia" w:ascii="宋体" w:hAnsi="宋体" w:eastAsia="宋体" w:cs="宋体"/>
                <w:bCs/>
                <w:color w:val="auto"/>
                <w:szCs w:val="24"/>
                <w:lang w:bidi="ar"/>
              </w:rPr>
              <w:t>①</w:t>
            </w:r>
            <w:r>
              <w:rPr>
                <w:rFonts w:hint="eastAsia" w:ascii="宋体" w:hAnsi="宋体" w:eastAsia="宋体" w:cs="宋体"/>
                <w:bCs/>
                <w:color w:val="auto"/>
                <w:szCs w:val="24"/>
                <w:lang w:val="en-US" w:eastAsia="zh-CN" w:bidi="ar"/>
              </w:rPr>
              <w:t>锅炉</w:t>
            </w:r>
            <w:r>
              <w:rPr>
                <w:rFonts w:hint="eastAsia" w:ascii="宋体" w:hAnsi="宋体" w:eastAsia="宋体" w:cs="宋体"/>
                <w:bCs/>
                <w:color w:val="auto"/>
                <w:szCs w:val="24"/>
                <w:lang w:bidi="ar"/>
              </w:rPr>
              <w:t>设备和管道的强度、严密性及耐腐蚀性符合有关技术规范要求。在可能泄漏</w:t>
            </w:r>
            <w:r>
              <w:rPr>
                <w:rFonts w:hint="eastAsia" w:eastAsia="宋体" w:cs="宋体"/>
                <w:bCs/>
                <w:color w:val="auto"/>
                <w:szCs w:val="24"/>
                <w:lang w:val="en-US" w:eastAsia="zh-CN" w:bidi="ar"/>
              </w:rPr>
              <w:t>易燃</w:t>
            </w:r>
            <w:r>
              <w:rPr>
                <w:rFonts w:hint="eastAsia" w:ascii="宋体" w:hAnsi="宋体" w:eastAsia="宋体" w:cs="宋体"/>
                <w:bCs/>
                <w:color w:val="auto"/>
                <w:szCs w:val="24"/>
                <w:lang w:bidi="ar"/>
              </w:rPr>
              <w:t>的位置装设</w:t>
            </w:r>
            <w:r>
              <w:rPr>
                <w:rFonts w:hint="eastAsia" w:eastAsia="宋体" w:cs="宋体"/>
                <w:bCs/>
                <w:color w:val="auto"/>
                <w:szCs w:val="24"/>
                <w:lang w:val="en-US" w:eastAsia="zh-CN" w:bidi="ar"/>
              </w:rPr>
              <w:t>易燃</w:t>
            </w:r>
            <w:r>
              <w:rPr>
                <w:rFonts w:hint="eastAsia" w:ascii="宋体" w:hAnsi="宋体" w:eastAsia="宋体" w:cs="宋体"/>
                <w:bCs/>
                <w:color w:val="auto"/>
                <w:szCs w:val="24"/>
                <w:lang w:bidi="ar"/>
              </w:rPr>
              <w:t>气体检测报警仪等设施，以便万一发生气体泄漏时及时提供信息，及时处理。</w:t>
            </w:r>
            <w:r>
              <w:rPr>
                <w:rFonts w:hint="eastAsia" w:ascii="宋体" w:hAnsi="宋体" w:eastAsia="宋体" w:cs="宋体"/>
                <w:bCs/>
                <w:color w:val="auto"/>
                <w:szCs w:val="24"/>
                <w:lang w:val="en-US" w:eastAsia="zh-CN" w:bidi="ar"/>
              </w:rPr>
              <w:t>同时</w:t>
            </w:r>
            <w:r>
              <w:rPr>
                <w:rFonts w:hint="eastAsia" w:ascii="宋体" w:hAnsi="宋体" w:eastAsia="宋体" w:cs="宋体"/>
                <w:bCs/>
                <w:color w:val="auto"/>
                <w:szCs w:val="24"/>
                <w:lang w:bidi="ar"/>
              </w:rPr>
              <w:t>在设备选型时应注意选择类比质量好、可靠性强的设备，同时加强此类设备的重点巡视。</w:t>
            </w:r>
          </w:p>
          <w:p w14:paraId="468A4B61">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②管道焊接应由具有焊接资质的专业人员按照相关技术规范进行作业，所有焊缝均应进行外观检查，合格后按《工业金属管道工程施工及验收规范》进行无损检测，无损检测合格后应对所有工艺管道进行液压强度试验，在强度试验合格后，管线还应进行气密性试验。高温高压的设备、管线要选用充分可靠的零部件和合适材料，并要经过探伤检查，焊接材料和焊缝还要经过机械、金相试验以及耐腐蚀试验。</w:t>
            </w:r>
          </w:p>
          <w:p w14:paraId="1755513D">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③</w:t>
            </w:r>
            <w:r>
              <w:rPr>
                <w:rFonts w:hint="eastAsia" w:ascii="宋体" w:hAnsi="宋体" w:eastAsia="宋体" w:cs="宋体"/>
                <w:bCs/>
                <w:color w:val="auto"/>
                <w:szCs w:val="24"/>
                <w:lang w:eastAsia="zh-CN" w:bidi="ar"/>
              </w:rPr>
              <w:t>建立了</w:t>
            </w:r>
            <w:r>
              <w:rPr>
                <w:rFonts w:hint="eastAsia" w:ascii="宋体" w:hAnsi="宋体" w:eastAsia="宋体" w:cs="宋体"/>
                <w:bCs/>
                <w:color w:val="auto"/>
                <w:szCs w:val="24"/>
                <w:lang w:bidi="ar"/>
              </w:rPr>
              <w:t>设备使用、清洁、维护和维修的操作规程，并保存相应的操作记录。应当建立并保存设备采购、安装、确认的文件和记录。</w:t>
            </w:r>
          </w:p>
          <w:p w14:paraId="33458191">
            <w:pPr>
              <w:keepNext w:val="0"/>
              <w:keepLines w:val="0"/>
              <w:widowControl/>
              <w:suppressLineNumbers w:val="0"/>
              <w:spacing w:before="1" w:beforeAutospacing="0" w:after="0" w:afterAutospacing="0" w:line="360" w:lineRule="auto"/>
              <w:ind w:left="0" w:right="0" w:firstLine="480" w:firstLineChars="200"/>
              <w:rPr>
                <w:rFonts w:hint="eastAsia" w:ascii="宋体" w:hAnsi="宋体" w:eastAsia="宋体" w:cs="宋体"/>
                <w:b w:val="0"/>
                <w:bCs/>
                <w:color w:val="auto"/>
                <w:sz w:val="24"/>
              </w:rPr>
            </w:pPr>
            <w:r>
              <w:rPr>
                <w:rFonts w:hint="eastAsia" w:eastAsia="宋体" w:cs="宋体"/>
                <w:b w:val="0"/>
                <w:bCs/>
                <w:color w:val="auto"/>
                <w:sz w:val="24"/>
                <w:lang w:val="en-US" w:eastAsia="zh-CN"/>
              </w:rPr>
              <w:t>2</w:t>
            </w:r>
            <w:r>
              <w:rPr>
                <w:rFonts w:hint="eastAsia" w:eastAsia="宋体" w:cs="宋体"/>
                <w:b w:val="0"/>
                <w:bCs/>
                <w:color w:val="auto"/>
                <w:sz w:val="24"/>
                <w:lang w:eastAsia="zh-CN"/>
              </w:rPr>
              <w:t>）</w:t>
            </w:r>
            <w:r>
              <w:rPr>
                <w:rFonts w:hint="eastAsia" w:ascii="宋体" w:hAnsi="宋体" w:eastAsia="宋体" w:cs="宋体"/>
                <w:b w:val="0"/>
                <w:bCs/>
                <w:color w:val="auto"/>
                <w:sz w:val="24"/>
              </w:rPr>
              <w:t>污染物排放监控防范措施</w:t>
            </w:r>
          </w:p>
          <w:p w14:paraId="6C36F778">
            <w:pPr>
              <w:pStyle w:val="24"/>
              <w:keepNext w:val="0"/>
              <w:keepLines w:val="0"/>
              <w:widowControl w:val="0"/>
              <w:suppressLineNumbers w:val="0"/>
              <w:autoSpaceDE w:val="0"/>
              <w:autoSpaceDN w:val="0"/>
              <w:spacing w:before="0" w:beforeAutospacing="0" w:after="0" w:afterAutospacing="0" w:line="360" w:lineRule="auto"/>
              <w:ind w:left="0" w:right="0" w:firstLine="480" w:firstLineChars="200"/>
              <w:jc w:val="both"/>
              <w:rPr>
                <w:rFonts w:hint="eastAsia" w:ascii="宋体" w:hAnsi="宋体" w:eastAsia="宋体" w:cs="宋体"/>
                <w:bCs/>
                <w:color w:val="auto"/>
                <w:szCs w:val="24"/>
                <w:lang w:bidi="ar"/>
              </w:rPr>
            </w:pPr>
            <w:r>
              <w:rPr>
                <w:rFonts w:hint="eastAsia" w:ascii="宋体" w:hAnsi="宋体" w:eastAsia="宋体" w:cs="宋体"/>
                <w:bCs/>
                <w:color w:val="auto"/>
                <w:szCs w:val="24"/>
                <w:lang w:bidi="ar"/>
              </w:rPr>
              <w:t>委托第三方检测公司定期对</w:t>
            </w:r>
            <w:r>
              <w:rPr>
                <w:rFonts w:hint="default"/>
                <w:color w:val="FF0000"/>
              </w:rPr>
              <w:commentReference w:id="14"/>
            </w:r>
            <w:r>
              <w:rPr>
                <w:rFonts w:hint="eastAsia" w:eastAsia="宋体" w:cs="宋体"/>
                <w:bCs/>
                <w:color w:val="FF0000"/>
                <w:szCs w:val="24"/>
                <w:lang w:val="en-US" w:eastAsia="zh-CN" w:bidi="ar"/>
              </w:rPr>
              <w:t>锅炉废气排放口</w:t>
            </w:r>
            <w:r>
              <w:rPr>
                <w:rFonts w:hint="eastAsia" w:ascii="宋体" w:hAnsi="宋体" w:eastAsia="宋体" w:cs="宋体"/>
                <w:bCs/>
                <w:color w:val="auto"/>
                <w:szCs w:val="24"/>
                <w:lang w:bidi="ar"/>
              </w:rPr>
              <w:t>进行监测，及时掌握大气环境污染物排放情况，一旦发现出现烟气超标排放异常，立即由相关人员检查生产系统和废气净化系统运行情况，找出事故原因，立即进行修正，使系统恢复正常，降低大气污染物事故排放造成的环境污染风险。</w:t>
            </w:r>
          </w:p>
          <w:p w14:paraId="6DBBA38E">
            <w:pPr>
              <w:keepNext w:val="0"/>
              <w:keepLines w:val="0"/>
              <w:suppressLineNumbers w:val="0"/>
              <w:bidi w:val="0"/>
              <w:spacing w:before="0" w:beforeAutospacing="0" w:after="0" w:afterAutospacing="0" w:line="360" w:lineRule="auto"/>
              <w:ind w:left="0" w:right="0" w:firstLine="480" w:firstLineChars="200"/>
              <w:rPr>
                <w:rFonts w:hint="eastAsia"/>
                <w:b w:val="0"/>
                <w:bCs w:val="0"/>
                <w:color w:val="auto"/>
                <w:sz w:val="24"/>
                <w:szCs w:val="24"/>
                <w:lang w:val="en-US" w:eastAsia="zh-CN"/>
              </w:rPr>
            </w:pPr>
            <w:r>
              <w:rPr>
                <w:rFonts w:hint="eastAsia"/>
                <w:b w:val="0"/>
                <w:bCs w:val="0"/>
                <w:color w:val="auto"/>
                <w:sz w:val="24"/>
                <w:szCs w:val="24"/>
                <w:lang w:val="en-US" w:eastAsia="zh-CN"/>
              </w:rPr>
              <w:t>3）燃料供给间风险防范措施</w:t>
            </w:r>
          </w:p>
          <w:p w14:paraId="30A25844">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lang w:val="en-US" w:eastAsia="zh-CN"/>
              </w:rPr>
              <w:t>①柴油箱采用双层特级钢制油箱，</w:t>
            </w:r>
            <w:r>
              <w:rPr>
                <w:rFonts w:hint="eastAsia"/>
                <w:color w:val="auto"/>
                <w:sz w:val="24"/>
                <w:szCs w:val="24"/>
              </w:rPr>
              <w:t>及时掌握油</w:t>
            </w:r>
            <w:r>
              <w:rPr>
                <w:rFonts w:hint="eastAsia"/>
                <w:color w:val="auto"/>
                <w:sz w:val="24"/>
                <w:szCs w:val="24"/>
                <w:lang w:eastAsia="zh-CN"/>
              </w:rPr>
              <w:t>箱</w:t>
            </w:r>
            <w:r>
              <w:rPr>
                <w:rFonts w:hint="eastAsia"/>
                <w:color w:val="auto"/>
                <w:sz w:val="24"/>
                <w:szCs w:val="24"/>
              </w:rPr>
              <w:t>情况，如果发生泄漏能够及时发现，及时采取措施。</w:t>
            </w:r>
          </w:p>
          <w:p w14:paraId="16E138C5">
            <w:pPr>
              <w:keepNext w:val="0"/>
              <w:keepLines w:val="0"/>
              <w:suppressLineNumbers w:val="0"/>
              <w:bidi w:val="0"/>
              <w:spacing w:before="0" w:beforeAutospacing="0" w:after="0" w:afterAutospacing="0" w:line="360" w:lineRule="auto"/>
              <w:ind w:left="0" w:right="0" w:firstLine="480" w:firstLineChars="200"/>
              <w:rPr>
                <w:rFonts w:hint="default"/>
                <w:color w:val="auto"/>
                <w:sz w:val="24"/>
                <w:szCs w:val="24"/>
                <w:lang w:val="en-US" w:eastAsia="zh-CN"/>
              </w:rPr>
            </w:pPr>
            <w:r>
              <w:rPr>
                <w:rFonts w:hint="eastAsia"/>
                <w:color w:val="auto"/>
                <w:sz w:val="24"/>
                <w:szCs w:val="24"/>
                <w:lang w:val="en-US" w:eastAsia="zh-CN"/>
              </w:rPr>
              <w:t>②油箱放置在防渗漏的托盘上，如果发生渗漏，渗漏液可全部收集至托盘内；</w:t>
            </w:r>
          </w:p>
          <w:p w14:paraId="27915607">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lang w:val="en-US" w:eastAsia="zh-CN"/>
              </w:rPr>
              <w:t>③燃料供给间按照重点防渗区采取防渗措施，要求K≤1.0×10-10cm/s；</w:t>
            </w:r>
          </w:p>
          <w:p w14:paraId="5B43AB31">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rPr>
              <w:t>④</w:t>
            </w:r>
            <w:r>
              <w:rPr>
                <w:rFonts w:hint="eastAsia"/>
                <w:color w:val="auto"/>
                <w:sz w:val="24"/>
                <w:szCs w:val="24"/>
                <w:lang w:val="en-US" w:eastAsia="zh-CN"/>
              </w:rPr>
              <w:t>燃料供给间</w:t>
            </w:r>
            <w:r>
              <w:rPr>
                <w:rFonts w:hint="eastAsia"/>
                <w:color w:val="auto"/>
                <w:sz w:val="24"/>
                <w:szCs w:val="24"/>
              </w:rPr>
              <w:t>配备消防桶、消防沙、消防栓及灭火器等应急设备，安排专人负责管理，配备必要的防护用品，如：防毒面罩、防护手套等；</w:t>
            </w:r>
          </w:p>
          <w:p w14:paraId="3DCB9056">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rPr>
              <w:t>⑤定期对柴油</w:t>
            </w:r>
            <w:r>
              <w:rPr>
                <w:rFonts w:hint="eastAsia"/>
                <w:color w:val="auto"/>
                <w:sz w:val="24"/>
                <w:szCs w:val="24"/>
                <w:lang w:eastAsia="zh-CN"/>
              </w:rPr>
              <w:t>箱</w:t>
            </w:r>
            <w:r>
              <w:rPr>
                <w:rFonts w:hint="eastAsia"/>
                <w:color w:val="auto"/>
                <w:sz w:val="24"/>
                <w:szCs w:val="24"/>
              </w:rPr>
              <w:t>安全进行检查，定期试压、定期检漏，并做好检查记录；</w:t>
            </w:r>
          </w:p>
          <w:p w14:paraId="56CB1E47">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lang w:eastAsia="zh-CN"/>
              </w:rPr>
              <w:t>⑥</w:t>
            </w:r>
            <w:r>
              <w:rPr>
                <w:rFonts w:hint="eastAsia"/>
                <w:color w:val="auto"/>
                <w:sz w:val="24"/>
                <w:szCs w:val="24"/>
              </w:rPr>
              <w:t>设置24h视频监控器，设置危险源标识，严禁烟火</w:t>
            </w:r>
            <w:r>
              <w:rPr>
                <w:rFonts w:hint="eastAsia"/>
                <w:color w:val="auto"/>
                <w:sz w:val="24"/>
                <w:szCs w:val="24"/>
                <w:lang w:eastAsia="zh-CN"/>
              </w:rPr>
              <w:t>；</w:t>
            </w:r>
          </w:p>
          <w:p w14:paraId="7F307EC2">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lang w:eastAsia="zh-CN"/>
              </w:rPr>
              <w:t>⑦所有进出柴油箱的管道均设两道以上的安全控制阀，明确标出进阀及出阀，以便事故应急迅速准确关闭相应阀门。</w:t>
            </w:r>
          </w:p>
          <w:p w14:paraId="0D886292">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rPr>
            </w:pPr>
            <w:r>
              <w:rPr>
                <w:rFonts w:hint="eastAsia"/>
                <w:color w:val="auto"/>
                <w:sz w:val="24"/>
                <w:szCs w:val="24"/>
              </w:rPr>
              <w:t>⑧埋地工艺管道外表面的防腐设计应符合国家现行标准《钢质管道及储罐腐蚀控制工程设计规范》SY 0007的有关规定，并应采用不低于加强级的防腐绝缘保护层。</w:t>
            </w:r>
          </w:p>
          <w:p w14:paraId="7C959A7C">
            <w:pPr>
              <w:keepNext w:val="0"/>
              <w:keepLines w:val="0"/>
              <w:suppressLineNumbers w:val="0"/>
              <w:bidi w:val="0"/>
              <w:spacing w:before="0" w:beforeAutospacing="0" w:after="0" w:afterAutospacing="0" w:line="360" w:lineRule="auto"/>
              <w:ind w:left="0" w:right="0" w:firstLine="480" w:firstLineChars="200"/>
              <w:rPr>
                <w:rFonts w:hint="eastAsia"/>
                <w:b w:val="0"/>
                <w:bCs w:val="0"/>
                <w:color w:val="auto"/>
                <w:sz w:val="24"/>
                <w:szCs w:val="24"/>
                <w:lang w:val="en-US" w:eastAsia="zh-CN"/>
              </w:rPr>
            </w:pPr>
            <w:r>
              <w:rPr>
                <w:rFonts w:hint="eastAsia"/>
                <w:b w:val="0"/>
                <w:bCs w:val="0"/>
                <w:color w:val="auto"/>
                <w:sz w:val="24"/>
                <w:szCs w:val="24"/>
                <w:lang w:val="en-US" w:eastAsia="zh-CN"/>
              </w:rPr>
              <w:t>4）燃油锅炉风险防范措施</w:t>
            </w:r>
          </w:p>
          <w:p w14:paraId="15CD9E52">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lang w:val="en-US" w:eastAsia="zh-CN"/>
              </w:rPr>
            </w:pPr>
            <w:r>
              <w:rPr>
                <w:rFonts w:hint="eastAsia"/>
                <w:color w:val="auto"/>
                <w:sz w:val="24"/>
                <w:szCs w:val="24"/>
                <w:lang w:val="en-US" w:eastAsia="zh-CN"/>
              </w:rPr>
              <w:t xml:space="preserve">①安排专人定期对燃油锅炉进行巡查，日常管理中要密切关注锅炉事故易发部位，做好运行监督检查与维修保养，防患于未然。 </w:t>
            </w:r>
          </w:p>
          <w:p w14:paraId="44117CB6">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lang w:val="en-US" w:eastAsia="zh-CN"/>
              </w:rPr>
            </w:pPr>
            <w:r>
              <w:rPr>
                <w:rFonts w:hint="eastAsia"/>
                <w:color w:val="auto"/>
                <w:sz w:val="24"/>
                <w:szCs w:val="24"/>
                <w:lang w:val="en-US" w:eastAsia="zh-CN"/>
              </w:rPr>
              <w:t>②锅炉房严禁吸烟、携带火种，配备灭火器、消防沙等消防设施，一旦发生火灾，立即利用灭火器、消防沙进行灭火。</w:t>
            </w:r>
          </w:p>
          <w:p w14:paraId="2B6014E7">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lang w:val="en-US" w:eastAsia="zh-CN"/>
              </w:rPr>
            </w:pPr>
            <w:r>
              <w:rPr>
                <w:rFonts w:hint="eastAsia"/>
                <w:color w:val="auto"/>
                <w:sz w:val="24"/>
                <w:szCs w:val="24"/>
                <w:lang w:val="en-US" w:eastAsia="zh-CN"/>
              </w:rPr>
              <w:t>③操作和维修等采用不发火工具，当必须进行动火作业时，必须按动火手续办理动火证，并制定方案，报主管领导批准并有监管人员在场方可进行。</w:t>
            </w:r>
          </w:p>
          <w:p w14:paraId="494615E8">
            <w:pPr>
              <w:keepNext w:val="0"/>
              <w:keepLines w:val="0"/>
              <w:suppressLineNumbers w:val="0"/>
              <w:bidi w:val="0"/>
              <w:spacing w:before="0" w:beforeAutospacing="0" w:after="0" w:afterAutospacing="0" w:line="360" w:lineRule="auto"/>
              <w:ind w:left="0" w:right="0" w:firstLine="480" w:firstLineChars="200"/>
              <w:rPr>
                <w:rFonts w:hint="eastAsia"/>
                <w:color w:val="auto"/>
                <w:sz w:val="24"/>
                <w:szCs w:val="24"/>
                <w:lang w:eastAsia="zh-CN"/>
              </w:rPr>
            </w:pPr>
            <w:r>
              <w:rPr>
                <w:rFonts w:hint="eastAsia"/>
                <w:color w:val="auto"/>
                <w:sz w:val="24"/>
                <w:szCs w:val="24"/>
                <w:lang w:val="en-US" w:eastAsia="zh-CN"/>
              </w:rPr>
              <w:t>④加强对锅炉房地面硬化情况的巡查，发现有破损及时通知厂内进行维修，以免造成物料通过破损处进入地下水和土壤环境。</w:t>
            </w:r>
          </w:p>
          <w:p w14:paraId="6E0E153C">
            <w:pPr>
              <w:pStyle w:val="24"/>
              <w:keepNext w:val="0"/>
              <w:keepLines w:val="0"/>
              <w:widowControl w:val="0"/>
              <w:suppressLineNumbers w:val="0"/>
              <w:spacing w:before="0" w:beforeAutospacing="0" w:after="0" w:afterAutospacing="0" w:line="360" w:lineRule="auto"/>
              <w:ind w:left="420" w:leftChars="200" w:right="0"/>
              <w:jc w:val="both"/>
              <w:rPr>
                <w:rFonts w:hint="eastAsia" w:ascii="宋体" w:hAnsi="宋体" w:eastAsia="宋体" w:cs="宋体"/>
                <w:bCs/>
                <w:color w:val="auto"/>
                <w:spacing w:val="-10"/>
                <w:szCs w:val="24"/>
              </w:rPr>
            </w:pPr>
            <w:r>
              <w:rPr>
                <w:rFonts w:hint="eastAsia" w:ascii="宋体" w:hAnsi="宋体" w:eastAsia="宋体" w:cs="宋体"/>
                <w:bCs/>
                <w:color w:val="auto"/>
                <w:spacing w:val="-10"/>
                <w:szCs w:val="24"/>
                <w:lang w:val="en-US" w:eastAsia="zh-CN"/>
              </w:rPr>
              <w:t>（</w:t>
            </w:r>
            <w:r>
              <w:rPr>
                <w:rFonts w:hint="eastAsia" w:eastAsia="宋体" w:cs="宋体"/>
                <w:bCs/>
                <w:color w:val="auto"/>
                <w:spacing w:val="-10"/>
                <w:szCs w:val="24"/>
                <w:lang w:val="en-US" w:eastAsia="zh-CN"/>
              </w:rPr>
              <w:t>四</w:t>
            </w:r>
            <w:r>
              <w:rPr>
                <w:rFonts w:hint="eastAsia" w:ascii="宋体" w:hAnsi="宋体" w:eastAsia="宋体" w:cs="宋体"/>
                <w:bCs/>
                <w:color w:val="auto"/>
                <w:spacing w:val="-10"/>
                <w:szCs w:val="24"/>
                <w:lang w:val="en-US" w:eastAsia="zh-CN"/>
              </w:rPr>
              <w:t>）</w:t>
            </w:r>
            <w:r>
              <w:rPr>
                <w:rFonts w:hint="eastAsia" w:ascii="宋体" w:hAnsi="宋体" w:eastAsia="宋体" w:cs="宋体"/>
                <w:bCs/>
                <w:color w:val="auto"/>
                <w:spacing w:val="-10"/>
                <w:szCs w:val="24"/>
              </w:rPr>
              <w:t>风险评价结论</w:t>
            </w:r>
          </w:p>
          <w:p w14:paraId="25197393">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根据《建设项目环境风险评价技术导则》（HJ169-2018）附录B识别，</w:t>
            </w:r>
            <w:r>
              <w:rPr>
                <w:rFonts w:hint="eastAsia" w:ascii="宋体" w:hAnsi="宋体" w:eastAsia="宋体" w:cs="宋体"/>
                <w:color w:val="auto"/>
                <w:sz w:val="24"/>
                <w:lang w:eastAsia="zh-CN"/>
              </w:rPr>
              <w:t>技改</w:t>
            </w:r>
            <w:r>
              <w:rPr>
                <w:rFonts w:hint="eastAsia" w:ascii="宋体" w:hAnsi="宋体" w:eastAsia="宋体" w:cs="宋体"/>
                <w:color w:val="auto"/>
                <w:sz w:val="24"/>
              </w:rPr>
              <w:t>项目涉及的主要风险物质</w:t>
            </w:r>
            <w:r>
              <w:rPr>
                <w:rFonts w:hint="eastAsia" w:ascii="宋体" w:hAnsi="宋体" w:eastAsia="宋体" w:cs="宋体"/>
                <w:color w:val="auto"/>
                <w:sz w:val="24"/>
                <w:lang w:eastAsia="zh-CN"/>
              </w:rPr>
              <w:t>为</w:t>
            </w:r>
            <w:r>
              <w:rPr>
                <w:rFonts w:hint="eastAsia" w:ascii="宋体" w:hAnsi="宋体" w:eastAsia="宋体" w:cs="宋体"/>
                <w:color w:val="auto"/>
                <w:sz w:val="24"/>
                <w:lang w:val="en-US" w:eastAsia="zh-CN"/>
              </w:rPr>
              <w:t>柴油，</w:t>
            </w:r>
            <w:r>
              <w:rPr>
                <w:rFonts w:hint="eastAsia" w:ascii="宋体" w:hAnsi="宋体" w:eastAsia="宋体" w:cs="宋体"/>
                <w:color w:val="auto"/>
                <w:sz w:val="24"/>
              </w:rPr>
              <w:t>危险单元</w:t>
            </w:r>
            <w:r>
              <w:rPr>
                <w:rFonts w:hint="eastAsia" w:ascii="宋体" w:hAnsi="宋体" w:eastAsia="宋体" w:cs="宋体"/>
                <w:color w:val="auto"/>
                <w:sz w:val="24"/>
                <w:lang w:eastAsia="zh-CN"/>
              </w:rPr>
              <w:t>为燃料供给间</w:t>
            </w:r>
            <w:r>
              <w:rPr>
                <w:rFonts w:hint="eastAsia" w:ascii="宋体" w:hAnsi="宋体" w:eastAsia="宋体" w:cs="宋体"/>
                <w:color w:val="auto"/>
                <w:sz w:val="24"/>
              </w:rPr>
              <w:t>，环境风险类型主要为有毒有害危险物质泄漏对环境造成的直接污染，以及火灾、爆炸等事故引发的次生环境污染。</w:t>
            </w:r>
          </w:p>
          <w:p w14:paraId="5F6B31DD">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风险分析结果表明，项目发生环境风险事故后可能会对周围环境造成一定程度的影响，在落实各项环保措施和本评价所列出的各项环境风险防范措施、有效的应急预案，加强风险管理的条件下，本项目的环境风险可防可控。</w:t>
            </w:r>
          </w:p>
          <w:p w14:paraId="5291C822">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7、环保投资</w:t>
            </w:r>
          </w:p>
          <w:p w14:paraId="73B47F58">
            <w:pPr>
              <w:keepNext w:val="0"/>
              <w:keepLines w:val="0"/>
              <w:suppressLineNumbers w:val="0"/>
              <w:spacing w:before="0" w:beforeAutospacing="0" w:after="0" w:afterAutospacing="0" w:line="360" w:lineRule="auto"/>
              <w:ind w:left="0" w:right="0"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rPr>
              <w:t>本项</w:t>
            </w:r>
            <w:r>
              <w:rPr>
                <w:rFonts w:hint="eastAsia" w:ascii="宋体" w:hAnsi="宋体" w:eastAsia="宋体" w:cs="宋体"/>
                <w:color w:val="auto"/>
                <w:kern w:val="0"/>
                <w:sz w:val="24"/>
                <w:highlight w:val="none"/>
              </w:rPr>
              <w:t>目总投资</w:t>
            </w:r>
            <w:r>
              <w:rPr>
                <w:rFonts w:hint="eastAsia" w:ascii="宋体" w:hAnsi="宋体" w:eastAsia="宋体" w:cs="宋体"/>
                <w:color w:val="auto"/>
                <w:kern w:val="0"/>
                <w:sz w:val="24"/>
                <w:highlight w:val="none"/>
                <w:lang w:val="en-US" w:eastAsia="zh-CN"/>
              </w:rPr>
              <w:t>30</w:t>
            </w:r>
            <w:r>
              <w:rPr>
                <w:rFonts w:hint="eastAsia" w:ascii="宋体" w:hAnsi="宋体" w:eastAsia="宋体" w:cs="宋体"/>
                <w:color w:val="auto"/>
                <w:kern w:val="0"/>
                <w:sz w:val="24"/>
                <w:highlight w:val="none"/>
              </w:rPr>
              <w:t>万元，其中环保投资为</w:t>
            </w:r>
            <w:r>
              <w:rPr>
                <w:rFonts w:hint="eastAsia" w:ascii="宋体" w:hAnsi="宋体" w:eastAsia="宋体" w:cs="宋体"/>
                <w:color w:val="auto"/>
                <w:kern w:val="0"/>
                <w:sz w:val="24"/>
                <w:highlight w:val="none"/>
                <w:lang w:val="en-US" w:eastAsia="zh-CN"/>
              </w:rPr>
              <w:t>12</w:t>
            </w:r>
            <w:r>
              <w:rPr>
                <w:rFonts w:hint="eastAsia" w:ascii="宋体" w:hAnsi="宋体" w:eastAsia="宋体" w:cs="宋体"/>
                <w:color w:val="auto"/>
                <w:kern w:val="0"/>
                <w:sz w:val="24"/>
                <w:highlight w:val="none"/>
              </w:rPr>
              <w:t>万元，占总投资</w:t>
            </w:r>
            <w:r>
              <w:rPr>
                <w:rFonts w:hint="eastAsia" w:ascii="宋体" w:hAnsi="宋体" w:eastAsia="宋体" w:cs="宋体"/>
                <w:color w:val="auto"/>
                <w:kern w:val="0"/>
                <w:sz w:val="24"/>
                <w:highlight w:val="none"/>
                <w:lang w:val="en-US" w:eastAsia="zh-CN"/>
              </w:rPr>
              <w:t>40</w:t>
            </w:r>
            <w:r>
              <w:rPr>
                <w:rFonts w:hint="eastAsia" w:ascii="宋体" w:hAnsi="宋体" w:eastAsia="宋体" w:cs="宋体"/>
                <w:color w:val="auto"/>
                <w:kern w:val="0"/>
                <w:sz w:val="24"/>
                <w:highlight w:val="none"/>
              </w:rPr>
              <w:t>%。</w:t>
            </w:r>
          </w:p>
          <w:p w14:paraId="1F244F8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表</w:t>
            </w:r>
            <w:r>
              <w:rPr>
                <w:rFonts w:hint="eastAsia" w:ascii="宋体" w:hAnsi="宋体" w:eastAsia="宋体" w:cs="宋体"/>
                <w:b/>
                <w:bCs/>
                <w:color w:val="auto"/>
                <w:sz w:val="24"/>
                <w:highlight w:val="none"/>
                <w:lang w:val="en-US" w:eastAsia="zh-CN"/>
              </w:rPr>
              <w:t>4-1</w:t>
            </w:r>
            <w:r>
              <w:rPr>
                <w:rFonts w:hint="eastAsia" w:eastAsia="宋体" w:cs="宋体"/>
                <w:b/>
                <w:bCs/>
                <w:color w:val="auto"/>
                <w:sz w:val="24"/>
                <w:highlight w:val="none"/>
                <w:lang w:val="en-US" w:eastAsia="zh-CN"/>
              </w:rPr>
              <w:t>5</w:t>
            </w:r>
            <w:r>
              <w:rPr>
                <w:rFonts w:hint="eastAsia" w:ascii="宋体" w:hAnsi="宋体" w:eastAsia="宋体" w:cs="宋体"/>
                <w:b/>
                <w:bCs/>
                <w:color w:val="auto"/>
                <w:sz w:val="24"/>
                <w:highlight w:val="none"/>
              </w:rPr>
              <w:t xml:space="preserve"> 环保投资概算表</w:t>
            </w:r>
          </w:p>
          <w:tbl>
            <w:tblPr>
              <w:tblStyle w:val="26"/>
              <w:tblW w:w="83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844"/>
              <w:gridCol w:w="1069"/>
              <w:gridCol w:w="4864"/>
              <w:gridCol w:w="1122"/>
            </w:tblGrid>
            <w:tr w14:paraId="63A59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trPr>
              <w:tc>
                <w:tcPr>
                  <w:tcW w:w="474" w:type="dxa"/>
                  <w:vAlign w:val="center"/>
                </w:tcPr>
                <w:p w14:paraId="006B4CA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序号</w:t>
                  </w:r>
                </w:p>
              </w:tc>
              <w:tc>
                <w:tcPr>
                  <w:tcW w:w="844" w:type="dxa"/>
                  <w:vAlign w:val="center"/>
                </w:tcPr>
                <w:p w14:paraId="0D05416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项目</w:t>
                  </w:r>
                </w:p>
              </w:tc>
              <w:tc>
                <w:tcPr>
                  <w:tcW w:w="1069" w:type="dxa"/>
                  <w:vAlign w:val="center"/>
                </w:tcPr>
                <w:p w14:paraId="2354943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污染源</w:t>
                  </w:r>
                </w:p>
              </w:tc>
              <w:tc>
                <w:tcPr>
                  <w:tcW w:w="4864" w:type="dxa"/>
                  <w:vAlign w:val="center"/>
                </w:tcPr>
                <w:p w14:paraId="58DD8AB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防治措施</w:t>
                  </w:r>
                </w:p>
              </w:tc>
              <w:tc>
                <w:tcPr>
                  <w:tcW w:w="1122" w:type="dxa"/>
                  <w:vAlign w:val="center"/>
                </w:tcPr>
                <w:p w14:paraId="321D8A8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环保投资（万元）</w:t>
                  </w:r>
                </w:p>
              </w:tc>
            </w:tr>
            <w:tr w14:paraId="0FB9B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474" w:type="dxa"/>
                  <w:vAlign w:val="center"/>
                </w:tcPr>
                <w:p w14:paraId="315B750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1</w:t>
                  </w:r>
                </w:p>
              </w:tc>
              <w:tc>
                <w:tcPr>
                  <w:tcW w:w="844" w:type="dxa"/>
                  <w:vAlign w:val="center"/>
                </w:tcPr>
                <w:p w14:paraId="1FDEFD9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大气污染防治</w:t>
                  </w:r>
                </w:p>
              </w:tc>
              <w:tc>
                <w:tcPr>
                  <w:tcW w:w="1069" w:type="dxa"/>
                  <w:vAlign w:val="center"/>
                </w:tcPr>
                <w:p w14:paraId="77876BE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eastAsia="zh-CN"/>
                    </w:rPr>
                    <w:t>燃油</w:t>
                  </w:r>
                  <w:r>
                    <w:rPr>
                      <w:rFonts w:hint="eastAsia" w:ascii="宋体" w:hAnsi="宋体" w:eastAsia="宋体" w:cs="宋体"/>
                      <w:color w:val="auto"/>
                      <w:szCs w:val="21"/>
                    </w:rPr>
                    <w:t>锅炉烟气</w:t>
                  </w:r>
                </w:p>
              </w:tc>
              <w:tc>
                <w:tcPr>
                  <w:tcW w:w="4864" w:type="dxa"/>
                  <w:vAlign w:val="center"/>
                </w:tcPr>
                <w:p w14:paraId="4D143CF5">
                  <w:pPr>
                    <w:keepNext w:val="0"/>
                    <w:keepLines w:val="0"/>
                    <w:suppressLineNumbers w:val="0"/>
                    <w:spacing w:before="0" w:beforeAutospacing="0" w:after="0" w:afterAutospacing="0" w:line="360" w:lineRule="exact"/>
                    <w:ind w:left="0" w:right="0"/>
                    <w:jc w:val="center"/>
                    <w:rPr>
                      <w:rFonts w:hint="default" w:ascii="宋体" w:hAnsi="宋体" w:eastAsia="宋体" w:cs="宋体"/>
                      <w:color w:val="auto"/>
                      <w:szCs w:val="21"/>
                      <w:lang w:val="en-US" w:bidi="ar"/>
                    </w:rPr>
                  </w:pPr>
                  <w:r>
                    <w:rPr>
                      <w:rFonts w:hint="eastAsia" w:ascii="宋体" w:hAnsi="宋体" w:eastAsia="宋体" w:cs="宋体"/>
                      <w:color w:val="auto"/>
                      <w:szCs w:val="21"/>
                      <w:lang w:val="en-US" w:eastAsia="zh-CN"/>
                    </w:rPr>
                    <w:t>燃油蒸汽锅炉和备用燃油蒸汽发生器均采用低氮燃烧技术</w:t>
                  </w:r>
                  <w:r>
                    <w:rPr>
                      <w:rFonts w:hint="eastAsia" w:eastAsia="宋体" w:cs="宋体"/>
                      <w:color w:val="auto"/>
                      <w:szCs w:val="21"/>
                      <w:lang w:val="en-US" w:eastAsia="zh-CN"/>
                    </w:rPr>
                    <w:t>处理后共用</w:t>
                  </w:r>
                  <w:r>
                    <w:rPr>
                      <w:rFonts w:hint="eastAsia" w:ascii="宋体" w:hAnsi="宋体" w:eastAsia="宋体" w:cs="宋体"/>
                      <w:color w:val="auto"/>
                      <w:szCs w:val="21"/>
                      <w:lang w:val="en-US" w:eastAsia="zh-CN"/>
                    </w:rPr>
                    <w:t>1根15m高排气筒（DA001）</w:t>
                  </w:r>
                  <w:r>
                    <w:rPr>
                      <w:rFonts w:hint="eastAsia" w:eastAsia="宋体" w:cs="宋体"/>
                      <w:color w:val="auto"/>
                      <w:szCs w:val="21"/>
                      <w:lang w:val="en-US" w:eastAsia="zh-CN"/>
                    </w:rPr>
                    <w:t>排放</w:t>
                  </w:r>
                </w:p>
              </w:tc>
              <w:tc>
                <w:tcPr>
                  <w:tcW w:w="1122" w:type="dxa"/>
                  <w:vAlign w:val="center"/>
                </w:tcPr>
                <w:p w14:paraId="0974D432">
                  <w:pPr>
                    <w:pStyle w:val="4"/>
                    <w:keepNext w:val="0"/>
                    <w:keepLines w:val="0"/>
                    <w:suppressLineNumbers w:val="0"/>
                    <w:spacing w:before="0" w:beforeAutospacing="0" w:after="0" w:afterAutospacing="0"/>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p>
              </w:tc>
            </w:tr>
            <w:tr w14:paraId="502CF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trPr>
              <w:tc>
                <w:tcPr>
                  <w:tcW w:w="474" w:type="dxa"/>
                  <w:vAlign w:val="center"/>
                </w:tcPr>
                <w:p w14:paraId="08B1098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val="en-US" w:eastAsia="zh-CN"/>
                    </w:rPr>
                    <w:t>2</w:t>
                  </w:r>
                </w:p>
              </w:tc>
              <w:tc>
                <w:tcPr>
                  <w:tcW w:w="844" w:type="dxa"/>
                  <w:vAlign w:val="center"/>
                </w:tcPr>
                <w:p w14:paraId="5FB3F0A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噪声污染防治</w:t>
                  </w:r>
                </w:p>
              </w:tc>
              <w:tc>
                <w:tcPr>
                  <w:tcW w:w="1069" w:type="dxa"/>
                  <w:vAlign w:val="center"/>
                </w:tcPr>
                <w:p w14:paraId="2338AEF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生产设备</w:t>
                  </w:r>
                </w:p>
              </w:tc>
              <w:tc>
                <w:tcPr>
                  <w:tcW w:w="4864" w:type="dxa"/>
                  <w:vAlign w:val="center"/>
                </w:tcPr>
                <w:p w14:paraId="65D52A8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选购低噪声设备，设备均布置在全封闭厂房内，高噪声设备设置减振基础</w:t>
                  </w:r>
                  <w:r>
                    <w:rPr>
                      <w:rFonts w:hint="eastAsia" w:ascii="宋体" w:hAnsi="宋体" w:eastAsia="宋体" w:cs="宋体"/>
                      <w:color w:val="auto"/>
                      <w:szCs w:val="21"/>
                      <w:lang w:eastAsia="zh-CN"/>
                    </w:rPr>
                    <w:t>，</w:t>
                  </w:r>
                  <w:r>
                    <w:rPr>
                      <w:rFonts w:hint="eastAsia" w:ascii="宋体" w:hAnsi="宋体" w:eastAsia="宋体" w:cs="宋体"/>
                      <w:color w:val="auto"/>
                      <w:szCs w:val="21"/>
                      <w:lang w:val="en-US" w:eastAsia="zh-CN"/>
                    </w:rPr>
                    <w:t>安装</w:t>
                  </w:r>
                  <w:r>
                    <w:rPr>
                      <w:rFonts w:hint="eastAsia" w:ascii="宋体" w:hAnsi="宋体" w:eastAsia="宋体" w:cs="宋体"/>
                      <w:color w:val="auto"/>
                      <w:szCs w:val="21"/>
                    </w:rPr>
                    <w:t>柔性接头，定期维修养护</w:t>
                  </w:r>
                </w:p>
              </w:tc>
              <w:tc>
                <w:tcPr>
                  <w:tcW w:w="1122" w:type="dxa"/>
                  <w:vAlign w:val="center"/>
                </w:tcPr>
                <w:p w14:paraId="7BA9BD2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val="en-US" w:eastAsia="zh-CN"/>
                    </w:rPr>
                    <w:t>2</w:t>
                  </w:r>
                </w:p>
              </w:tc>
            </w:tr>
            <w:tr w14:paraId="0DE67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474" w:type="dxa"/>
                  <w:vAlign w:val="center"/>
                </w:tcPr>
                <w:p w14:paraId="13A06B9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4</w:t>
                  </w:r>
                </w:p>
              </w:tc>
              <w:tc>
                <w:tcPr>
                  <w:tcW w:w="844" w:type="dxa"/>
                  <w:vAlign w:val="center"/>
                </w:tcPr>
                <w:p w14:paraId="27ED514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防渗</w:t>
                  </w:r>
                </w:p>
              </w:tc>
              <w:tc>
                <w:tcPr>
                  <w:tcW w:w="1069" w:type="dxa"/>
                  <w:vAlign w:val="center"/>
                </w:tcPr>
                <w:p w14:paraId="5B36BEA1">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燃料供给间</w:t>
                  </w:r>
                </w:p>
              </w:tc>
              <w:tc>
                <w:tcPr>
                  <w:tcW w:w="4864" w:type="dxa"/>
                  <w:vAlign w:val="center"/>
                </w:tcPr>
                <w:p w14:paraId="4833184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rPr>
                  </w:pPr>
                  <w:r>
                    <w:rPr>
                      <w:rFonts w:hint="eastAsia" w:ascii="宋体" w:hAnsi="宋体" w:eastAsia="宋体" w:cs="宋体"/>
                      <w:bCs/>
                      <w:color w:val="auto"/>
                      <w:lang w:eastAsia="zh-CN"/>
                    </w:rPr>
                    <w:t>燃料供给间</w:t>
                  </w:r>
                  <w:r>
                    <w:rPr>
                      <w:rFonts w:hint="eastAsia" w:ascii="宋体" w:hAnsi="宋体" w:eastAsia="宋体" w:cs="宋体"/>
                      <w:bCs/>
                      <w:color w:val="auto"/>
                      <w:lang w:val="en-US" w:eastAsia="zh-CN"/>
                    </w:rPr>
                    <w:t>采用C30混凝土硬化+涂刷防渗漆，且油箱下设托盘；严格按照《</w:t>
                  </w:r>
                  <w:r>
                    <w:rPr>
                      <w:rFonts w:hint="eastAsia"/>
                      <w:color w:val="auto"/>
                      <w:lang w:val="en-US" w:eastAsia="zh-CN"/>
                    </w:rPr>
                    <w:t>锅炉房设计标准</w:t>
                  </w:r>
                  <w:r>
                    <w:rPr>
                      <w:rFonts w:hint="eastAsia" w:ascii="宋体" w:hAnsi="宋体" w:eastAsia="宋体" w:cs="宋体"/>
                      <w:bCs/>
                      <w:color w:val="auto"/>
                      <w:lang w:val="en-US" w:eastAsia="zh-CN"/>
                    </w:rPr>
                    <w:t>》（</w:t>
                  </w:r>
                  <w:r>
                    <w:rPr>
                      <w:rFonts w:hint="eastAsia"/>
                      <w:color w:val="auto"/>
                      <w:lang w:val="en-US" w:eastAsia="zh-CN"/>
                    </w:rPr>
                    <w:t>GB50041-2020</w:t>
                  </w:r>
                  <w:r>
                    <w:rPr>
                      <w:rFonts w:hint="eastAsia" w:ascii="宋体" w:hAnsi="宋体" w:eastAsia="宋体" w:cs="宋体"/>
                      <w:bCs/>
                      <w:color w:val="auto"/>
                      <w:lang w:val="en-US" w:eastAsia="zh-CN"/>
                    </w:rPr>
                    <w:t>）进行建设</w:t>
                  </w:r>
                  <w:r>
                    <w:rPr>
                      <w:rFonts w:hint="eastAsia" w:eastAsia="宋体" w:cs="宋体"/>
                      <w:color w:val="auto"/>
                      <w:szCs w:val="21"/>
                      <w:lang w:val="en-US" w:eastAsia="zh-CN"/>
                    </w:rPr>
                    <w:t>；</w:t>
                  </w:r>
                </w:p>
              </w:tc>
              <w:tc>
                <w:tcPr>
                  <w:tcW w:w="1122" w:type="dxa"/>
                  <w:vAlign w:val="center"/>
                </w:tcPr>
                <w:p w14:paraId="247993B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eastAsia="宋体" w:cs="宋体"/>
                      <w:color w:val="auto"/>
                      <w:szCs w:val="21"/>
                      <w:lang w:val="en-US" w:eastAsia="zh-CN"/>
                    </w:rPr>
                    <w:t>2</w:t>
                  </w:r>
                </w:p>
              </w:tc>
            </w:tr>
            <w:tr w14:paraId="11642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7251" w:type="dxa"/>
                  <w:gridSpan w:val="4"/>
                  <w:vAlign w:val="center"/>
                </w:tcPr>
                <w:p w14:paraId="0D94B39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合计</w:t>
                  </w:r>
                </w:p>
              </w:tc>
              <w:tc>
                <w:tcPr>
                  <w:tcW w:w="1122" w:type="dxa"/>
                  <w:vAlign w:val="center"/>
                </w:tcPr>
                <w:p w14:paraId="0F21DB5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12</w:t>
                  </w:r>
                </w:p>
              </w:tc>
            </w:tr>
          </w:tbl>
          <w:p w14:paraId="290819F3">
            <w:pPr>
              <w:keepNext w:val="0"/>
              <w:keepLines w:val="0"/>
              <w:suppressLineNumbers w:val="0"/>
              <w:autoSpaceDE w:val="0"/>
              <w:autoSpaceDN w:val="0"/>
              <w:adjustRightInd w:val="0"/>
              <w:spacing w:before="0" w:beforeAutospacing="0" w:after="0" w:afterAutospacing="0" w:line="360" w:lineRule="auto"/>
              <w:ind w:left="0" w:right="0"/>
              <w:jc w:val="left"/>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8、“三本账”分析</w:t>
            </w:r>
          </w:p>
          <w:p w14:paraId="79D9447E">
            <w:pPr>
              <w:keepNext w:val="0"/>
              <w:keepLines w:val="0"/>
              <w:suppressLineNumbers w:val="0"/>
              <w:spacing w:before="0" w:beforeAutospacing="0" w:after="0" w:afterAutospacing="0" w:line="240" w:lineRule="auto"/>
              <w:ind w:left="0" w:right="0"/>
              <w:jc w:val="center"/>
              <w:rPr>
                <w:rFonts w:hint="eastAsia" w:ascii="宋体" w:hAnsi="宋体" w:eastAsia="宋体" w:cs="宋体"/>
                <w:b/>
                <w:bCs/>
                <w:color w:val="auto"/>
                <w:sz w:val="24"/>
                <w:lang w:val="en-US" w:eastAsia="zh-CN"/>
              </w:rPr>
            </w:pPr>
            <w:commentRangeStart w:id="15"/>
            <w:r>
              <w:rPr>
                <w:rFonts w:hint="eastAsia" w:ascii="宋体" w:hAnsi="宋体" w:eastAsia="宋体" w:cs="宋体"/>
                <w:b/>
                <w:bCs/>
                <w:color w:val="auto"/>
                <w:sz w:val="24"/>
                <w:highlight w:val="none"/>
              </w:rPr>
              <w:t>表</w:t>
            </w:r>
            <w:r>
              <w:rPr>
                <w:rFonts w:hint="eastAsia" w:ascii="宋体" w:hAnsi="宋体" w:eastAsia="宋体" w:cs="宋体"/>
                <w:b/>
                <w:bCs/>
                <w:color w:val="auto"/>
                <w:sz w:val="24"/>
                <w:highlight w:val="none"/>
                <w:lang w:val="en-US" w:eastAsia="zh-CN"/>
              </w:rPr>
              <w:t xml:space="preserve">4-15 </w:t>
            </w:r>
            <w:r>
              <w:rPr>
                <w:rFonts w:hint="eastAsia" w:ascii="宋体" w:hAnsi="宋体" w:eastAsia="宋体" w:cs="宋体"/>
                <w:b/>
                <w:bCs/>
                <w:color w:val="auto"/>
                <w:sz w:val="24"/>
                <w:lang w:val="en-US" w:eastAsia="zh-CN"/>
              </w:rPr>
              <w:t>技改项目“三本账”分析</w:t>
            </w:r>
            <w:commentRangeEnd w:id="15"/>
            <w:r>
              <w:rPr>
                <w:rFonts w:hint="default"/>
              </w:rPr>
              <w:commentReference w:id="15"/>
            </w:r>
          </w:p>
          <w:tbl>
            <w:tblPr>
              <w:tblStyle w:val="27"/>
              <w:tblW w:w="83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1"/>
              <w:gridCol w:w="924"/>
              <w:gridCol w:w="1355"/>
              <w:gridCol w:w="1427"/>
              <w:gridCol w:w="1594"/>
              <w:gridCol w:w="1505"/>
              <w:gridCol w:w="1047"/>
            </w:tblGrid>
            <w:tr w14:paraId="172D9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1" w:type="dxa"/>
                  <w:tcBorders>
                    <w:tl2br w:val="single" w:color="auto" w:sz="4" w:space="0"/>
                  </w:tcBorders>
                  <w:vAlign w:val="center"/>
                </w:tcPr>
                <w:p w14:paraId="6E0225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right"/>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项目</w:t>
                  </w:r>
                </w:p>
                <w:p w14:paraId="6B84C9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分类</w:t>
                  </w:r>
                </w:p>
              </w:tc>
              <w:tc>
                <w:tcPr>
                  <w:tcW w:w="924" w:type="dxa"/>
                  <w:vAlign w:val="center"/>
                </w:tcPr>
                <w:p w14:paraId="356D57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污染物名称</w:t>
                  </w:r>
                </w:p>
              </w:tc>
              <w:tc>
                <w:tcPr>
                  <w:tcW w:w="1355" w:type="dxa"/>
                  <w:vAlign w:val="center"/>
                </w:tcPr>
                <w:p w14:paraId="3ADAF0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现有工程排放量（固体废物产生量）</w:t>
                  </w:r>
                </w:p>
              </w:tc>
              <w:tc>
                <w:tcPr>
                  <w:tcW w:w="1427" w:type="dxa"/>
                  <w:vAlign w:val="center"/>
                </w:tcPr>
                <w:p w14:paraId="617806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本项目排放量（固体废物产生量）</w:t>
                  </w:r>
                </w:p>
              </w:tc>
              <w:tc>
                <w:tcPr>
                  <w:tcW w:w="1594" w:type="dxa"/>
                  <w:vAlign w:val="center"/>
                </w:tcPr>
                <w:p w14:paraId="3C9149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以新带老削减量（新建项目不填）</w:t>
                  </w:r>
                </w:p>
              </w:tc>
              <w:tc>
                <w:tcPr>
                  <w:tcW w:w="1505" w:type="dxa"/>
                  <w:vAlign w:val="center"/>
                </w:tcPr>
                <w:p w14:paraId="14ABFA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本项目建成后全厂排放量（固体废物产生量）</w:t>
                  </w:r>
                </w:p>
              </w:tc>
              <w:tc>
                <w:tcPr>
                  <w:tcW w:w="1047" w:type="dxa"/>
                  <w:vAlign w:val="center"/>
                </w:tcPr>
                <w:p w14:paraId="10EA1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变化量</w:t>
                  </w:r>
                </w:p>
              </w:tc>
            </w:tr>
            <w:tr w14:paraId="2C212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restart"/>
                  <w:vAlign w:val="center"/>
                </w:tcPr>
                <w:p w14:paraId="347B270F">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r>
                    <w:rPr>
                      <w:rFonts w:hint="eastAsia" w:ascii="宋体" w:hAnsi="宋体" w:eastAsia="宋体" w:cs="宋体"/>
                      <w:color w:val="auto"/>
                      <w:szCs w:val="21"/>
                    </w:rPr>
                    <w:t>废气</w:t>
                  </w:r>
                </w:p>
              </w:tc>
              <w:tc>
                <w:tcPr>
                  <w:tcW w:w="924" w:type="dxa"/>
                  <w:vAlign w:val="center"/>
                </w:tcPr>
                <w:p w14:paraId="5A8B2FD2">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烟气量</w:t>
                  </w:r>
                </w:p>
              </w:tc>
              <w:tc>
                <w:tcPr>
                  <w:tcW w:w="1355" w:type="dxa"/>
                  <w:vAlign w:val="center"/>
                </w:tcPr>
                <w:p w14:paraId="23E22455">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szCs w:val="21"/>
                      <w:vertAlign w:val="superscript"/>
                      <w:lang w:val="en-US" w:eastAsia="zh-CN"/>
                    </w:rPr>
                  </w:pPr>
                  <w:r>
                    <w:rPr>
                      <w:rFonts w:hint="eastAsia" w:ascii="宋体" w:hAnsi="宋体" w:eastAsia="宋体" w:cs="宋体"/>
                      <w:color w:val="auto"/>
                      <w:szCs w:val="21"/>
                      <w:lang w:val="en-US" w:eastAsia="zh-CN"/>
                    </w:rPr>
                    <w:t>2845.02×10</w:t>
                  </w:r>
                  <w:r>
                    <w:rPr>
                      <w:rFonts w:hint="eastAsia" w:ascii="宋体" w:hAnsi="宋体" w:eastAsia="宋体" w:cs="宋体"/>
                      <w:color w:val="auto"/>
                      <w:szCs w:val="21"/>
                      <w:vertAlign w:val="superscript"/>
                      <w:lang w:val="en-US" w:eastAsia="zh-CN"/>
                    </w:rPr>
                    <w:t>4</w:t>
                  </w:r>
                </w:p>
                <w:p w14:paraId="70303AF5">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szCs w:val="21"/>
                      <w:vertAlign w:val="baseline"/>
                      <w:lang w:val="en-US" w:eastAsia="zh-CN"/>
                    </w:rPr>
                    <w:t>Nm³/a</w:t>
                  </w:r>
                </w:p>
              </w:tc>
              <w:tc>
                <w:tcPr>
                  <w:tcW w:w="1427" w:type="dxa"/>
                  <w:vAlign w:val="center"/>
                </w:tcPr>
                <w:p w14:paraId="4B5C40A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lang w:bidi="ar"/>
                    </w:rPr>
                  </w:pPr>
                  <w:r>
                    <w:rPr>
                      <w:rFonts w:hint="eastAsia" w:ascii="宋体" w:hAnsi="宋体" w:eastAsia="宋体" w:cs="宋体"/>
                      <w:color w:val="auto"/>
                      <w:szCs w:val="21"/>
                      <w:lang w:val="en-US" w:eastAsia="zh-CN" w:bidi="ar"/>
                    </w:rPr>
                    <w:t>534.12</w:t>
                  </w:r>
                  <w:r>
                    <w:rPr>
                      <w:rFonts w:hint="eastAsia" w:ascii="宋体" w:hAnsi="宋体" w:eastAsia="宋体" w:cs="宋体"/>
                      <w:color w:val="auto"/>
                      <w:szCs w:val="21"/>
                      <w:lang w:bidi="ar"/>
                    </w:rPr>
                    <w:t>×10</w:t>
                  </w:r>
                  <w:r>
                    <w:rPr>
                      <w:rFonts w:hint="eastAsia" w:ascii="宋体" w:hAnsi="宋体" w:eastAsia="宋体" w:cs="宋体"/>
                      <w:color w:val="auto"/>
                      <w:szCs w:val="21"/>
                      <w:vertAlign w:val="superscript"/>
                      <w:lang w:bidi="ar"/>
                    </w:rPr>
                    <w:t>4</w:t>
                  </w:r>
                </w:p>
                <w:p w14:paraId="6124E17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vertAlign w:val="baseline"/>
                      <w:lang w:val="en-US" w:eastAsia="zh-CN"/>
                    </w:rPr>
                    <w:t>N</w:t>
                  </w:r>
                  <w:r>
                    <w:rPr>
                      <w:rFonts w:hint="eastAsia" w:ascii="宋体" w:hAnsi="宋体" w:eastAsia="宋体" w:cs="宋体"/>
                      <w:color w:val="auto"/>
                      <w:szCs w:val="21"/>
                      <w:lang w:bidi="ar"/>
                    </w:rPr>
                    <w:t>m</w:t>
                  </w:r>
                  <w:r>
                    <w:rPr>
                      <w:rFonts w:hint="eastAsia" w:ascii="宋体" w:hAnsi="宋体" w:eastAsia="宋体" w:cs="宋体"/>
                      <w:color w:val="auto"/>
                      <w:szCs w:val="21"/>
                      <w:vertAlign w:val="superscript"/>
                      <w:lang w:bidi="ar"/>
                    </w:rPr>
                    <w:t>3</w:t>
                  </w:r>
                  <w:r>
                    <w:rPr>
                      <w:rFonts w:hint="eastAsia" w:ascii="宋体" w:hAnsi="宋体" w:eastAsia="宋体" w:cs="宋体"/>
                      <w:color w:val="auto"/>
                      <w:szCs w:val="21"/>
                      <w:lang w:bidi="ar"/>
                    </w:rPr>
                    <w:t>/a</w:t>
                  </w:r>
                </w:p>
              </w:tc>
              <w:tc>
                <w:tcPr>
                  <w:tcW w:w="1594" w:type="dxa"/>
                  <w:vAlign w:val="center"/>
                </w:tcPr>
                <w:p w14:paraId="1BD2F0E7">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szCs w:val="21"/>
                      <w:vertAlign w:val="superscript"/>
                      <w:lang w:val="en-US" w:eastAsia="zh-CN"/>
                    </w:rPr>
                  </w:pPr>
                  <w:r>
                    <w:rPr>
                      <w:rFonts w:hint="eastAsia" w:ascii="宋体" w:hAnsi="宋体" w:eastAsia="宋体" w:cs="宋体"/>
                      <w:color w:val="auto"/>
                      <w:szCs w:val="21"/>
                      <w:lang w:val="en-US" w:eastAsia="zh-CN"/>
                    </w:rPr>
                    <w:t>2845.02×10</w:t>
                  </w:r>
                  <w:r>
                    <w:rPr>
                      <w:rFonts w:hint="eastAsia" w:ascii="宋体" w:hAnsi="宋体" w:eastAsia="宋体" w:cs="宋体"/>
                      <w:color w:val="auto"/>
                      <w:szCs w:val="21"/>
                      <w:vertAlign w:val="superscript"/>
                      <w:lang w:val="en-US" w:eastAsia="zh-CN"/>
                    </w:rPr>
                    <w:t>4</w:t>
                  </w:r>
                </w:p>
                <w:p w14:paraId="2CF9B103">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szCs w:val="21"/>
                      <w:vertAlign w:val="baseline"/>
                      <w:lang w:val="en-US" w:eastAsia="zh-CN"/>
                    </w:rPr>
                    <w:t>Nm³/a</w:t>
                  </w:r>
                </w:p>
              </w:tc>
              <w:tc>
                <w:tcPr>
                  <w:tcW w:w="1505" w:type="dxa"/>
                  <w:vAlign w:val="center"/>
                </w:tcPr>
                <w:p w14:paraId="0A99BB7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lang w:bidi="ar"/>
                    </w:rPr>
                  </w:pPr>
                  <w:r>
                    <w:rPr>
                      <w:rFonts w:hint="eastAsia" w:ascii="宋体" w:hAnsi="宋体" w:eastAsia="宋体" w:cs="宋体"/>
                      <w:color w:val="auto"/>
                      <w:szCs w:val="21"/>
                      <w:lang w:val="en-US" w:eastAsia="zh-CN" w:bidi="ar"/>
                    </w:rPr>
                    <w:t>534.12</w:t>
                  </w:r>
                  <w:r>
                    <w:rPr>
                      <w:rFonts w:hint="eastAsia" w:ascii="宋体" w:hAnsi="宋体" w:eastAsia="宋体" w:cs="宋体"/>
                      <w:color w:val="auto"/>
                      <w:szCs w:val="21"/>
                      <w:lang w:bidi="ar"/>
                    </w:rPr>
                    <w:t>×10</w:t>
                  </w:r>
                  <w:r>
                    <w:rPr>
                      <w:rFonts w:hint="eastAsia" w:ascii="宋体" w:hAnsi="宋体" w:eastAsia="宋体" w:cs="宋体"/>
                      <w:color w:val="auto"/>
                      <w:szCs w:val="21"/>
                      <w:vertAlign w:val="superscript"/>
                      <w:lang w:bidi="ar"/>
                    </w:rPr>
                    <w:t>4</w:t>
                  </w:r>
                </w:p>
                <w:p w14:paraId="403D42D8">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0"/>
                      <w:szCs w:val="21"/>
                      <w:lang w:bidi="ar"/>
                    </w:rPr>
                  </w:pPr>
                  <w:r>
                    <w:rPr>
                      <w:rFonts w:hint="eastAsia" w:ascii="宋体" w:hAnsi="宋体" w:eastAsia="宋体" w:cs="宋体"/>
                      <w:color w:val="auto"/>
                      <w:szCs w:val="21"/>
                      <w:vertAlign w:val="baseline"/>
                      <w:lang w:val="en-US" w:eastAsia="zh-CN"/>
                    </w:rPr>
                    <w:t>N</w:t>
                  </w:r>
                  <w:r>
                    <w:rPr>
                      <w:rFonts w:hint="eastAsia" w:ascii="宋体" w:hAnsi="宋体" w:eastAsia="宋体" w:cs="宋体"/>
                      <w:color w:val="auto"/>
                      <w:szCs w:val="21"/>
                      <w:lang w:bidi="ar"/>
                    </w:rPr>
                    <w:t>m</w:t>
                  </w:r>
                  <w:r>
                    <w:rPr>
                      <w:rFonts w:hint="eastAsia" w:ascii="宋体" w:hAnsi="宋体" w:eastAsia="宋体" w:cs="宋体"/>
                      <w:color w:val="auto"/>
                      <w:szCs w:val="21"/>
                      <w:vertAlign w:val="superscript"/>
                      <w:lang w:bidi="ar"/>
                    </w:rPr>
                    <w:t>3</w:t>
                  </w:r>
                  <w:r>
                    <w:rPr>
                      <w:rFonts w:hint="eastAsia" w:ascii="宋体" w:hAnsi="宋体" w:eastAsia="宋体" w:cs="宋体"/>
                      <w:color w:val="auto"/>
                      <w:szCs w:val="21"/>
                      <w:lang w:bidi="ar"/>
                    </w:rPr>
                    <w:t>/a</w:t>
                  </w:r>
                </w:p>
              </w:tc>
              <w:tc>
                <w:tcPr>
                  <w:tcW w:w="1047" w:type="dxa"/>
                  <w:vAlign w:val="center"/>
                </w:tcPr>
                <w:p w14:paraId="419A4AC2">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lang w:bidi="ar"/>
                    </w:rPr>
                  </w:pPr>
                  <w:r>
                    <w:rPr>
                      <w:rFonts w:hint="eastAsia" w:ascii="宋体" w:hAnsi="宋体" w:eastAsia="宋体" w:cs="宋体"/>
                      <w:color w:val="auto"/>
                      <w:kern w:val="0"/>
                      <w:szCs w:val="21"/>
                      <w:lang w:val="en-US" w:eastAsia="zh-CN" w:bidi="ar"/>
                    </w:rPr>
                    <w:t>2310.9</w:t>
                  </w:r>
                  <w:r>
                    <w:rPr>
                      <w:rFonts w:hint="eastAsia" w:ascii="宋体" w:hAnsi="宋体" w:eastAsia="宋体" w:cs="宋体"/>
                      <w:color w:val="auto"/>
                      <w:szCs w:val="21"/>
                      <w:lang w:bidi="ar"/>
                    </w:rPr>
                    <w:t>×10</w:t>
                  </w:r>
                  <w:r>
                    <w:rPr>
                      <w:rFonts w:hint="eastAsia" w:ascii="宋体" w:hAnsi="宋体" w:eastAsia="宋体" w:cs="宋体"/>
                      <w:color w:val="auto"/>
                      <w:szCs w:val="21"/>
                      <w:vertAlign w:val="superscript"/>
                      <w:lang w:bidi="ar"/>
                    </w:rPr>
                    <w:t>4</w:t>
                  </w:r>
                </w:p>
                <w:p w14:paraId="487EA00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kern w:val="0"/>
                      <w:szCs w:val="21"/>
                      <w:lang w:val="en-US" w:eastAsia="zh-CN" w:bidi="ar"/>
                    </w:rPr>
                  </w:pPr>
                  <w:r>
                    <w:rPr>
                      <w:rFonts w:hint="eastAsia" w:ascii="宋体" w:hAnsi="宋体" w:eastAsia="宋体" w:cs="宋体"/>
                      <w:color w:val="auto"/>
                      <w:szCs w:val="21"/>
                      <w:vertAlign w:val="baseline"/>
                      <w:lang w:val="en-US" w:eastAsia="zh-CN"/>
                    </w:rPr>
                    <w:t>N</w:t>
                  </w:r>
                  <w:r>
                    <w:rPr>
                      <w:rFonts w:hint="eastAsia" w:ascii="宋体" w:hAnsi="宋体" w:eastAsia="宋体" w:cs="宋体"/>
                      <w:color w:val="auto"/>
                      <w:szCs w:val="21"/>
                      <w:lang w:bidi="ar"/>
                    </w:rPr>
                    <w:t>m</w:t>
                  </w:r>
                  <w:r>
                    <w:rPr>
                      <w:rFonts w:hint="eastAsia" w:ascii="宋体" w:hAnsi="宋体" w:eastAsia="宋体" w:cs="宋体"/>
                      <w:color w:val="auto"/>
                      <w:szCs w:val="21"/>
                      <w:vertAlign w:val="superscript"/>
                      <w:lang w:bidi="ar"/>
                    </w:rPr>
                    <w:t>3</w:t>
                  </w:r>
                  <w:r>
                    <w:rPr>
                      <w:rFonts w:hint="eastAsia" w:ascii="宋体" w:hAnsi="宋体" w:eastAsia="宋体" w:cs="宋体"/>
                      <w:color w:val="auto"/>
                      <w:szCs w:val="21"/>
                      <w:lang w:bidi="ar"/>
                    </w:rPr>
                    <w:t>/a</w:t>
                  </w:r>
                </w:p>
              </w:tc>
            </w:tr>
            <w:tr w14:paraId="2D6B8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continue"/>
                  <w:vAlign w:val="center"/>
                </w:tcPr>
                <w:p w14:paraId="207F2489">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325C3A4E">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颗粒物</w:t>
                  </w:r>
                </w:p>
              </w:tc>
              <w:tc>
                <w:tcPr>
                  <w:tcW w:w="1355" w:type="dxa"/>
                  <w:vAlign w:val="center"/>
                </w:tcPr>
                <w:p w14:paraId="4E70C0DA">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Cs w:val="21"/>
                      <w:lang w:val="en-US" w:eastAsia="zh-CN" w:bidi="ar"/>
                    </w:rPr>
                    <w:t>0.646</w:t>
                  </w:r>
                </w:p>
              </w:tc>
              <w:tc>
                <w:tcPr>
                  <w:tcW w:w="1427" w:type="dxa"/>
                  <w:vAlign w:val="center"/>
                </w:tcPr>
                <w:p w14:paraId="6732F907">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0.0</w:t>
                  </w:r>
                  <w:r>
                    <w:rPr>
                      <w:rFonts w:hint="eastAsia" w:eastAsia="宋体" w:cs="宋体"/>
                      <w:color w:val="auto"/>
                      <w:kern w:val="2"/>
                      <w:sz w:val="21"/>
                      <w:szCs w:val="21"/>
                      <w:lang w:val="en-US" w:eastAsia="zh-CN" w:bidi="ar-SA"/>
                    </w:rPr>
                    <w:t>78</w:t>
                  </w:r>
                </w:p>
              </w:tc>
              <w:tc>
                <w:tcPr>
                  <w:tcW w:w="1594" w:type="dxa"/>
                  <w:vAlign w:val="center"/>
                </w:tcPr>
                <w:p w14:paraId="69BAEB9A">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Cs w:val="21"/>
                      <w:lang w:val="en-US" w:eastAsia="zh-CN" w:bidi="ar"/>
                    </w:rPr>
                    <w:t>0.646</w:t>
                  </w:r>
                </w:p>
              </w:tc>
              <w:tc>
                <w:tcPr>
                  <w:tcW w:w="1505" w:type="dxa"/>
                  <w:vAlign w:val="center"/>
                </w:tcPr>
                <w:p w14:paraId="3812B894">
                  <w:pPr>
                    <w:keepNext w:val="0"/>
                    <w:keepLines w:val="0"/>
                    <w:widowControl/>
                    <w:suppressLineNumbers w:val="0"/>
                    <w:spacing w:before="0" w:beforeAutospacing="0" w:after="0" w:afterAutospacing="0" w:line="360" w:lineRule="exact"/>
                    <w:ind w:left="0" w:leftChars="0" w:right="0" w:rightChars="0"/>
                    <w:jc w:val="center"/>
                    <w:textAlignment w:val="center"/>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2"/>
                      <w:sz w:val="21"/>
                      <w:szCs w:val="21"/>
                      <w:lang w:val="en-US" w:eastAsia="zh-CN" w:bidi="ar-SA"/>
                    </w:rPr>
                    <w:t>0.0</w:t>
                  </w:r>
                  <w:r>
                    <w:rPr>
                      <w:rFonts w:hint="eastAsia" w:eastAsia="宋体" w:cs="宋体"/>
                      <w:color w:val="auto"/>
                      <w:kern w:val="2"/>
                      <w:sz w:val="21"/>
                      <w:szCs w:val="21"/>
                      <w:lang w:val="en-US" w:eastAsia="zh-CN" w:bidi="ar-SA"/>
                    </w:rPr>
                    <w:t>78</w:t>
                  </w:r>
                </w:p>
              </w:tc>
              <w:tc>
                <w:tcPr>
                  <w:tcW w:w="1047" w:type="dxa"/>
                  <w:vAlign w:val="center"/>
                </w:tcPr>
                <w:p w14:paraId="403EAA91">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-0.</w:t>
                  </w:r>
                  <w:r>
                    <w:rPr>
                      <w:rFonts w:hint="eastAsia" w:eastAsia="宋体" w:cs="宋体"/>
                      <w:color w:val="auto"/>
                      <w:kern w:val="0"/>
                      <w:sz w:val="21"/>
                      <w:szCs w:val="21"/>
                      <w:lang w:val="en-US" w:eastAsia="zh-CN" w:bidi="ar"/>
                    </w:rPr>
                    <w:t>56</w:t>
                  </w:r>
                  <w:r>
                    <w:rPr>
                      <w:rFonts w:hint="eastAsia" w:ascii="宋体" w:hAnsi="宋体" w:eastAsia="宋体" w:cs="宋体"/>
                      <w:color w:val="auto"/>
                      <w:kern w:val="0"/>
                      <w:sz w:val="21"/>
                      <w:szCs w:val="21"/>
                      <w:lang w:val="en-US" w:eastAsia="zh-CN" w:bidi="ar"/>
                    </w:rPr>
                    <w:t>8</w:t>
                  </w:r>
                </w:p>
              </w:tc>
            </w:tr>
            <w:tr w14:paraId="1FF65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continue"/>
                  <w:vAlign w:val="center"/>
                </w:tcPr>
                <w:p w14:paraId="712EEB50">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6EB75E05">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rPr>
                  </w:pPr>
                  <w:r>
                    <w:rPr>
                      <w:rFonts w:hint="eastAsia" w:ascii="宋体" w:hAnsi="宋体" w:eastAsia="宋体" w:cs="宋体"/>
                      <w:color w:val="auto"/>
                      <w:szCs w:val="21"/>
                    </w:rPr>
                    <w:t>二氧化硫</w:t>
                  </w:r>
                </w:p>
              </w:tc>
              <w:tc>
                <w:tcPr>
                  <w:tcW w:w="1355" w:type="dxa"/>
                  <w:vAlign w:val="center"/>
                </w:tcPr>
                <w:p w14:paraId="1CEB7060">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2.325</w:t>
                  </w:r>
                </w:p>
              </w:tc>
              <w:tc>
                <w:tcPr>
                  <w:tcW w:w="1427" w:type="dxa"/>
                  <w:vAlign w:val="center"/>
                </w:tcPr>
                <w:p w14:paraId="105FFDD3">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0.006</w:t>
                  </w:r>
                </w:p>
              </w:tc>
              <w:tc>
                <w:tcPr>
                  <w:tcW w:w="1594" w:type="dxa"/>
                  <w:vAlign w:val="center"/>
                </w:tcPr>
                <w:p w14:paraId="2C8A90A3">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2.325</w:t>
                  </w:r>
                </w:p>
              </w:tc>
              <w:tc>
                <w:tcPr>
                  <w:tcW w:w="1505" w:type="dxa"/>
                  <w:vAlign w:val="center"/>
                </w:tcPr>
                <w:p w14:paraId="3E34099E">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szCs w:val="21"/>
                      <w:lang w:val="en-US" w:eastAsia="zh-CN"/>
                    </w:rPr>
                    <w:t>0.006</w:t>
                  </w:r>
                </w:p>
              </w:tc>
              <w:tc>
                <w:tcPr>
                  <w:tcW w:w="1047" w:type="dxa"/>
                  <w:vAlign w:val="center"/>
                </w:tcPr>
                <w:p w14:paraId="2AB44DFD">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-2.319</w:t>
                  </w:r>
                </w:p>
              </w:tc>
            </w:tr>
            <w:tr w14:paraId="7DE7C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continue"/>
                  <w:vAlign w:val="center"/>
                </w:tcPr>
                <w:p w14:paraId="6E7C3FFF">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162B3850">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rPr>
                  </w:pPr>
                  <w:r>
                    <w:rPr>
                      <w:rFonts w:hint="eastAsia" w:ascii="宋体" w:hAnsi="宋体" w:eastAsia="宋体" w:cs="宋体"/>
                      <w:color w:val="auto"/>
                      <w:szCs w:val="21"/>
                    </w:rPr>
                    <w:t>氮氧化物</w:t>
                  </w:r>
                </w:p>
              </w:tc>
              <w:tc>
                <w:tcPr>
                  <w:tcW w:w="1355" w:type="dxa"/>
                  <w:vAlign w:val="center"/>
                </w:tcPr>
                <w:p w14:paraId="265CE6EC">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1.421</w:t>
                  </w:r>
                </w:p>
              </w:tc>
              <w:tc>
                <w:tcPr>
                  <w:tcW w:w="1427" w:type="dxa"/>
                  <w:vAlign w:val="center"/>
                </w:tcPr>
                <w:p w14:paraId="5AB2D318">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szCs w:val="21"/>
                      <w:lang w:val="en-US" w:eastAsia="zh-CN"/>
                    </w:rPr>
                  </w:pPr>
                  <w:r>
                    <w:rPr>
                      <w:rFonts w:hint="eastAsia" w:eastAsia="宋体" w:cs="宋体"/>
                      <w:color w:val="auto"/>
                      <w:szCs w:val="21"/>
                      <w:lang w:val="en-US" w:eastAsia="zh-CN"/>
                    </w:rPr>
                    <w:t>0.636</w:t>
                  </w:r>
                </w:p>
              </w:tc>
              <w:tc>
                <w:tcPr>
                  <w:tcW w:w="1594" w:type="dxa"/>
                  <w:vAlign w:val="center"/>
                </w:tcPr>
                <w:p w14:paraId="24853A1F">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1.421</w:t>
                  </w:r>
                </w:p>
              </w:tc>
              <w:tc>
                <w:tcPr>
                  <w:tcW w:w="1505" w:type="dxa"/>
                  <w:vAlign w:val="center"/>
                </w:tcPr>
                <w:p w14:paraId="2784EFA8">
                  <w:pPr>
                    <w:keepNext w:val="0"/>
                    <w:keepLines w:val="0"/>
                    <w:widowControl/>
                    <w:suppressLineNumbers w:val="0"/>
                    <w:spacing w:before="0" w:beforeAutospacing="0" w:after="0" w:afterAutospacing="0" w:line="360" w:lineRule="exact"/>
                    <w:ind w:left="0" w:leftChars="0" w:right="0" w:rightChars="0"/>
                    <w:jc w:val="center"/>
                    <w:textAlignment w:val="center"/>
                    <w:rPr>
                      <w:rFonts w:hint="default" w:ascii="宋体" w:hAnsi="宋体" w:eastAsia="宋体" w:cs="宋体"/>
                      <w:color w:val="auto"/>
                      <w:kern w:val="0"/>
                      <w:szCs w:val="21"/>
                      <w:lang w:val="en-US" w:bidi="ar"/>
                    </w:rPr>
                  </w:pPr>
                  <w:r>
                    <w:rPr>
                      <w:rFonts w:hint="eastAsia" w:eastAsia="宋体" w:cs="宋体"/>
                      <w:color w:val="auto"/>
                      <w:szCs w:val="21"/>
                      <w:lang w:val="en-US" w:eastAsia="zh-CN"/>
                    </w:rPr>
                    <w:t>0.636</w:t>
                  </w:r>
                </w:p>
              </w:tc>
              <w:tc>
                <w:tcPr>
                  <w:tcW w:w="1047" w:type="dxa"/>
                  <w:vAlign w:val="center"/>
                </w:tcPr>
                <w:p w14:paraId="6CC69B06">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w:t>
                  </w:r>
                  <w:r>
                    <w:rPr>
                      <w:rFonts w:hint="eastAsia" w:eastAsia="宋体" w:cs="宋体"/>
                      <w:color w:val="auto"/>
                      <w:kern w:val="0"/>
                      <w:szCs w:val="21"/>
                      <w:lang w:val="en-US" w:eastAsia="zh-CN" w:bidi="ar"/>
                    </w:rPr>
                    <w:t>0.785</w:t>
                  </w:r>
                </w:p>
              </w:tc>
            </w:tr>
            <w:tr w14:paraId="3FAED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501" w:type="dxa"/>
                  <w:vMerge w:val="continue"/>
                  <w:vAlign w:val="center"/>
                </w:tcPr>
                <w:p w14:paraId="5DC9D28B">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6C861E60">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汞及其化合物</w:t>
                  </w:r>
                </w:p>
              </w:tc>
              <w:tc>
                <w:tcPr>
                  <w:tcW w:w="1355" w:type="dxa"/>
                  <w:vAlign w:val="center"/>
                </w:tcPr>
                <w:p w14:paraId="13A4C5DB">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b w:val="0"/>
                      <w:color w:val="auto"/>
                      <w:kern w:val="2"/>
                      <w:sz w:val="21"/>
                      <w:szCs w:val="21"/>
                      <w:lang w:val="en-US" w:eastAsia="zh-CN" w:bidi="ar"/>
                    </w:rPr>
                    <w:t>9.75×10</w:t>
                  </w:r>
                  <w:r>
                    <w:rPr>
                      <w:rFonts w:hint="eastAsia" w:ascii="宋体" w:hAnsi="宋体" w:eastAsia="宋体" w:cs="宋体"/>
                      <w:b w:val="0"/>
                      <w:color w:val="auto"/>
                      <w:kern w:val="2"/>
                      <w:sz w:val="21"/>
                      <w:szCs w:val="21"/>
                      <w:vertAlign w:val="superscript"/>
                      <w:lang w:val="en-US" w:eastAsia="zh-CN" w:bidi="ar"/>
                    </w:rPr>
                    <w:t>-6</w:t>
                  </w:r>
                </w:p>
              </w:tc>
              <w:tc>
                <w:tcPr>
                  <w:tcW w:w="1427" w:type="dxa"/>
                  <w:vAlign w:val="center"/>
                </w:tcPr>
                <w:p w14:paraId="42D435D2">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w:t>
                  </w:r>
                </w:p>
              </w:tc>
              <w:tc>
                <w:tcPr>
                  <w:tcW w:w="1594" w:type="dxa"/>
                  <w:vAlign w:val="center"/>
                </w:tcPr>
                <w:p w14:paraId="44852A44">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b w:val="0"/>
                      <w:color w:val="auto"/>
                      <w:kern w:val="2"/>
                      <w:sz w:val="21"/>
                      <w:szCs w:val="21"/>
                      <w:lang w:val="en-US" w:eastAsia="zh-CN" w:bidi="ar"/>
                    </w:rPr>
                    <w:t>9.75×10</w:t>
                  </w:r>
                  <w:r>
                    <w:rPr>
                      <w:rFonts w:hint="eastAsia" w:ascii="宋体" w:hAnsi="宋体" w:eastAsia="宋体" w:cs="宋体"/>
                      <w:b w:val="0"/>
                      <w:color w:val="auto"/>
                      <w:kern w:val="2"/>
                      <w:sz w:val="21"/>
                      <w:szCs w:val="21"/>
                      <w:vertAlign w:val="superscript"/>
                      <w:lang w:val="en-US" w:eastAsia="zh-CN" w:bidi="ar"/>
                    </w:rPr>
                    <w:t>-6</w:t>
                  </w:r>
                </w:p>
              </w:tc>
              <w:tc>
                <w:tcPr>
                  <w:tcW w:w="1505" w:type="dxa"/>
                  <w:vAlign w:val="center"/>
                </w:tcPr>
                <w:p w14:paraId="08348D47">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0</w:t>
                  </w:r>
                </w:p>
              </w:tc>
              <w:tc>
                <w:tcPr>
                  <w:tcW w:w="1047" w:type="dxa"/>
                  <w:vAlign w:val="center"/>
                </w:tcPr>
                <w:p w14:paraId="67CA0594">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w:t>
                  </w:r>
                  <w:r>
                    <w:rPr>
                      <w:rFonts w:hint="eastAsia" w:ascii="宋体" w:hAnsi="宋体" w:eastAsia="宋体" w:cs="宋体"/>
                      <w:b w:val="0"/>
                      <w:color w:val="auto"/>
                      <w:kern w:val="2"/>
                      <w:sz w:val="21"/>
                      <w:szCs w:val="21"/>
                      <w:lang w:val="en-US" w:eastAsia="zh-CN" w:bidi="ar"/>
                    </w:rPr>
                    <w:t>9.75×10</w:t>
                  </w:r>
                  <w:r>
                    <w:rPr>
                      <w:rFonts w:hint="eastAsia" w:ascii="宋体" w:hAnsi="宋体" w:eastAsia="宋体" w:cs="宋体"/>
                      <w:b w:val="0"/>
                      <w:color w:val="auto"/>
                      <w:kern w:val="2"/>
                      <w:sz w:val="21"/>
                      <w:szCs w:val="21"/>
                      <w:vertAlign w:val="superscript"/>
                      <w:lang w:val="en-US" w:eastAsia="zh-CN" w:bidi="ar"/>
                    </w:rPr>
                    <w:t>-6</w:t>
                  </w:r>
                </w:p>
              </w:tc>
            </w:tr>
            <w:tr w14:paraId="7BB92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continue"/>
                  <w:vAlign w:val="center"/>
                </w:tcPr>
                <w:p w14:paraId="1F18856A">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25C41C86">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非甲烷总烃</w:t>
                  </w:r>
                </w:p>
              </w:tc>
              <w:tc>
                <w:tcPr>
                  <w:tcW w:w="1355" w:type="dxa"/>
                  <w:vAlign w:val="center"/>
                </w:tcPr>
                <w:p w14:paraId="03A4DD6F">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b w:val="0"/>
                      <w:color w:val="auto"/>
                      <w:kern w:val="2"/>
                      <w:sz w:val="21"/>
                      <w:szCs w:val="21"/>
                      <w:lang w:val="en-US" w:eastAsia="zh-CN" w:bidi="ar"/>
                    </w:rPr>
                  </w:pPr>
                  <w:r>
                    <w:rPr>
                      <w:rFonts w:hint="eastAsia" w:ascii="宋体" w:hAnsi="宋体" w:eastAsia="宋体" w:cs="宋体"/>
                      <w:b w:val="0"/>
                      <w:color w:val="auto"/>
                      <w:kern w:val="2"/>
                      <w:sz w:val="21"/>
                      <w:szCs w:val="21"/>
                      <w:lang w:val="en-US" w:eastAsia="zh-CN" w:bidi="ar"/>
                    </w:rPr>
                    <w:t>0.285</w:t>
                  </w:r>
                </w:p>
              </w:tc>
              <w:tc>
                <w:tcPr>
                  <w:tcW w:w="1427" w:type="dxa"/>
                  <w:vAlign w:val="center"/>
                </w:tcPr>
                <w:p w14:paraId="1189F653">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0.426</w:t>
                  </w:r>
                </w:p>
              </w:tc>
              <w:tc>
                <w:tcPr>
                  <w:tcW w:w="1594" w:type="dxa"/>
                  <w:vAlign w:val="center"/>
                </w:tcPr>
                <w:p w14:paraId="331960C8">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color w:val="auto"/>
                      <w:kern w:val="2"/>
                      <w:sz w:val="21"/>
                      <w:szCs w:val="21"/>
                      <w:lang w:val="en-US" w:eastAsia="zh-CN" w:bidi="ar"/>
                    </w:rPr>
                  </w:pPr>
                  <w:r>
                    <w:rPr>
                      <w:rFonts w:hint="eastAsia" w:ascii="宋体" w:hAnsi="宋体" w:eastAsia="宋体" w:cs="宋体"/>
                      <w:b w:val="0"/>
                      <w:color w:val="auto"/>
                      <w:kern w:val="2"/>
                      <w:sz w:val="21"/>
                      <w:szCs w:val="21"/>
                      <w:lang w:val="en-US" w:eastAsia="zh-CN" w:bidi="ar"/>
                    </w:rPr>
                    <w:t>0</w:t>
                  </w:r>
                </w:p>
              </w:tc>
              <w:tc>
                <w:tcPr>
                  <w:tcW w:w="1505" w:type="dxa"/>
                  <w:vAlign w:val="center"/>
                </w:tcPr>
                <w:p w14:paraId="728ECCE3">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0.711</w:t>
                  </w:r>
                </w:p>
              </w:tc>
              <w:tc>
                <w:tcPr>
                  <w:tcW w:w="1047" w:type="dxa"/>
                  <w:vAlign w:val="center"/>
                </w:tcPr>
                <w:p w14:paraId="02A84234">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0.426</w:t>
                  </w:r>
                </w:p>
              </w:tc>
            </w:tr>
            <w:tr w14:paraId="3D522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restart"/>
                  <w:vAlign w:val="center"/>
                </w:tcPr>
                <w:p w14:paraId="2DA94E61">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r>
                    <w:rPr>
                      <w:rFonts w:hint="eastAsia" w:ascii="宋体" w:hAnsi="宋体" w:eastAsia="宋体" w:cs="宋体"/>
                      <w:color w:val="auto"/>
                      <w:szCs w:val="21"/>
                    </w:rPr>
                    <w:t>一般工业固体废物</w:t>
                  </w:r>
                </w:p>
              </w:tc>
              <w:tc>
                <w:tcPr>
                  <w:tcW w:w="924" w:type="dxa"/>
                  <w:vAlign w:val="center"/>
                </w:tcPr>
                <w:p w14:paraId="33E2B08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灰渣</w:t>
                  </w:r>
                </w:p>
              </w:tc>
              <w:tc>
                <w:tcPr>
                  <w:tcW w:w="1355" w:type="dxa"/>
                  <w:vAlign w:val="center"/>
                </w:tcPr>
                <w:p w14:paraId="66BA10EA">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4.2</w:t>
                  </w:r>
                </w:p>
              </w:tc>
              <w:tc>
                <w:tcPr>
                  <w:tcW w:w="1427" w:type="dxa"/>
                  <w:vAlign w:val="center"/>
                </w:tcPr>
                <w:p w14:paraId="7A6F52CE">
                  <w:pPr>
                    <w:keepNext w:val="0"/>
                    <w:keepLines w:val="0"/>
                    <w:widowControl/>
                    <w:suppressLineNumbers w:val="0"/>
                    <w:adjustRightInd w:val="0"/>
                    <w:snapToGrid w:val="0"/>
                    <w:spacing w:before="0" w:beforeAutospacing="0" w:after="0" w:afterAutospacing="0" w:line="36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bCs/>
                      <w:color w:val="auto"/>
                      <w:kern w:val="0"/>
                      <w:szCs w:val="21"/>
                      <w:lang w:val="en-US" w:eastAsia="zh-CN"/>
                    </w:rPr>
                    <w:t>0</w:t>
                  </w:r>
                </w:p>
              </w:tc>
              <w:tc>
                <w:tcPr>
                  <w:tcW w:w="1594" w:type="dxa"/>
                  <w:vAlign w:val="center"/>
                </w:tcPr>
                <w:p w14:paraId="7CDD419D">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val="en-US" w:eastAsia="zh-CN" w:bidi="ar"/>
                    </w:rPr>
                    <w:t>4.2</w:t>
                  </w:r>
                </w:p>
              </w:tc>
              <w:tc>
                <w:tcPr>
                  <w:tcW w:w="1505" w:type="dxa"/>
                  <w:vAlign w:val="center"/>
                </w:tcPr>
                <w:p w14:paraId="379D12C2">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val="en-US" w:eastAsia="zh-CN" w:bidi="ar"/>
                    </w:rPr>
                    <w:t>0</w:t>
                  </w:r>
                </w:p>
              </w:tc>
              <w:tc>
                <w:tcPr>
                  <w:tcW w:w="1047" w:type="dxa"/>
                  <w:vAlign w:val="center"/>
                </w:tcPr>
                <w:p w14:paraId="0F74A8B5">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w:t>
                  </w:r>
                  <w:r>
                    <w:rPr>
                      <w:rFonts w:hint="eastAsia" w:ascii="宋体" w:hAnsi="宋体" w:eastAsia="宋体" w:cs="宋体"/>
                      <w:color w:val="auto"/>
                      <w:szCs w:val="21"/>
                      <w:lang w:val="en-US" w:eastAsia="zh-CN"/>
                    </w:rPr>
                    <w:t>4.2</w:t>
                  </w:r>
                </w:p>
              </w:tc>
            </w:tr>
            <w:tr w14:paraId="0E568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continue"/>
                  <w:vAlign w:val="center"/>
                </w:tcPr>
                <w:p w14:paraId="075867A5">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1770976E">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脱硫渣</w:t>
                  </w:r>
                </w:p>
              </w:tc>
              <w:tc>
                <w:tcPr>
                  <w:tcW w:w="1355" w:type="dxa"/>
                  <w:vAlign w:val="center"/>
                </w:tcPr>
                <w:p w14:paraId="1D43FEA8">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1.6</w:t>
                  </w:r>
                </w:p>
              </w:tc>
              <w:tc>
                <w:tcPr>
                  <w:tcW w:w="1427" w:type="dxa"/>
                  <w:vAlign w:val="center"/>
                </w:tcPr>
                <w:p w14:paraId="5125DF75">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Cs/>
                      <w:color w:val="auto"/>
                      <w:kern w:val="0"/>
                      <w:szCs w:val="21"/>
                      <w:lang w:eastAsia="zh-CN"/>
                    </w:rPr>
                  </w:pPr>
                  <w:r>
                    <w:rPr>
                      <w:rFonts w:hint="eastAsia" w:ascii="宋体" w:hAnsi="宋体" w:eastAsia="宋体" w:cs="宋体"/>
                      <w:color w:val="auto"/>
                      <w:szCs w:val="21"/>
                      <w:lang w:val="en-US" w:eastAsia="zh-CN"/>
                    </w:rPr>
                    <w:t>0</w:t>
                  </w:r>
                </w:p>
              </w:tc>
              <w:tc>
                <w:tcPr>
                  <w:tcW w:w="1594" w:type="dxa"/>
                  <w:vAlign w:val="center"/>
                </w:tcPr>
                <w:p w14:paraId="2E32A95F">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1.6</w:t>
                  </w:r>
                </w:p>
              </w:tc>
              <w:tc>
                <w:tcPr>
                  <w:tcW w:w="1505" w:type="dxa"/>
                  <w:vAlign w:val="center"/>
                </w:tcPr>
                <w:p w14:paraId="78D468BD">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Cs/>
                      <w:color w:val="auto"/>
                      <w:kern w:val="0"/>
                      <w:szCs w:val="21"/>
                    </w:rPr>
                  </w:pPr>
                  <w:r>
                    <w:rPr>
                      <w:rFonts w:hint="eastAsia" w:ascii="宋体" w:hAnsi="宋体" w:eastAsia="宋体" w:cs="宋体"/>
                      <w:color w:val="auto"/>
                      <w:kern w:val="0"/>
                      <w:szCs w:val="21"/>
                      <w:lang w:val="en-US" w:eastAsia="zh-CN" w:bidi="ar"/>
                    </w:rPr>
                    <w:t>0</w:t>
                  </w:r>
                </w:p>
              </w:tc>
              <w:tc>
                <w:tcPr>
                  <w:tcW w:w="1047" w:type="dxa"/>
                  <w:vAlign w:val="center"/>
                </w:tcPr>
                <w:p w14:paraId="66548A06">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w:t>
                  </w:r>
                  <w:r>
                    <w:rPr>
                      <w:rFonts w:hint="eastAsia" w:ascii="宋体" w:hAnsi="宋体" w:eastAsia="宋体" w:cs="宋体"/>
                      <w:color w:val="auto"/>
                      <w:szCs w:val="21"/>
                      <w:lang w:val="en-US" w:eastAsia="zh-CN"/>
                    </w:rPr>
                    <w:t>1.6</w:t>
                  </w:r>
                </w:p>
              </w:tc>
            </w:tr>
            <w:tr w14:paraId="05DC5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1" w:type="dxa"/>
                  <w:vMerge w:val="continue"/>
                  <w:vAlign w:val="center"/>
                </w:tcPr>
                <w:p w14:paraId="70D6F849">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5A93CDF2">
                  <w:pPr>
                    <w:keepNext w:val="0"/>
                    <w:keepLines w:val="0"/>
                    <w:suppressLineNumbers w:val="0"/>
                    <w:spacing w:before="0" w:beforeAutospacing="0" w:after="0" w:afterAutospacing="0"/>
                    <w:ind w:left="0" w:right="0"/>
                    <w:jc w:val="center"/>
                    <w:rPr>
                      <w:rFonts w:hint="eastAsia" w:ascii="宋体" w:hAnsi="宋体" w:eastAsia="宋体" w:cs="宋体"/>
                      <w:color w:val="auto"/>
                      <w:lang w:eastAsia="zh-CN"/>
                    </w:rPr>
                  </w:pPr>
                  <w:r>
                    <w:rPr>
                      <w:rFonts w:hint="eastAsia" w:ascii="宋体" w:hAnsi="宋体" w:eastAsia="宋体" w:cs="宋体"/>
                      <w:color w:val="auto"/>
                    </w:rPr>
                    <w:t>废</w:t>
                  </w:r>
                  <w:r>
                    <w:rPr>
                      <w:rFonts w:hint="eastAsia" w:ascii="宋体" w:hAnsi="宋体" w:eastAsia="宋体" w:cs="宋体"/>
                      <w:color w:val="auto"/>
                      <w:lang w:eastAsia="zh-CN"/>
                    </w:rPr>
                    <w:t>包装袋</w:t>
                  </w:r>
                </w:p>
              </w:tc>
              <w:tc>
                <w:tcPr>
                  <w:tcW w:w="1355" w:type="dxa"/>
                  <w:vAlign w:val="center"/>
                </w:tcPr>
                <w:p w14:paraId="294BFCDB">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1</w:t>
                  </w:r>
                </w:p>
              </w:tc>
              <w:tc>
                <w:tcPr>
                  <w:tcW w:w="1427" w:type="dxa"/>
                  <w:vAlign w:val="center"/>
                </w:tcPr>
                <w:p w14:paraId="1F9712D0">
                  <w:pPr>
                    <w:keepNext w:val="0"/>
                    <w:keepLines w:val="0"/>
                    <w:suppressLineNumbers w:val="0"/>
                    <w:spacing w:before="0" w:beforeAutospacing="0" w:after="0" w:afterAutospacing="0"/>
                    <w:ind w:left="0" w:right="0"/>
                    <w:jc w:val="center"/>
                    <w:rPr>
                      <w:rFonts w:hint="eastAsia" w:ascii="宋体" w:hAnsi="宋体" w:eastAsia="宋体" w:cs="宋体"/>
                      <w:color w:val="auto"/>
                      <w:lang w:eastAsia="zh-CN" w:bidi="ar"/>
                    </w:rPr>
                  </w:pPr>
                  <w:r>
                    <w:rPr>
                      <w:rFonts w:hint="eastAsia" w:eastAsia="宋体" w:cs="宋体"/>
                      <w:color w:val="auto"/>
                      <w:lang w:val="en-US" w:eastAsia="zh-CN" w:bidi="ar"/>
                    </w:rPr>
                    <w:t>0</w:t>
                  </w:r>
                </w:p>
              </w:tc>
              <w:tc>
                <w:tcPr>
                  <w:tcW w:w="1594" w:type="dxa"/>
                  <w:vAlign w:val="center"/>
                </w:tcPr>
                <w:p w14:paraId="6A294C30">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0</w:t>
                  </w:r>
                </w:p>
              </w:tc>
              <w:tc>
                <w:tcPr>
                  <w:tcW w:w="1505" w:type="dxa"/>
                  <w:vAlign w:val="center"/>
                </w:tcPr>
                <w:p w14:paraId="0B0F3FAB">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ascii="宋体" w:hAnsi="宋体" w:eastAsia="宋体" w:cs="宋体"/>
                      <w:color w:val="auto"/>
                      <w:lang w:val="en-US" w:eastAsia="zh-CN" w:bidi="ar"/>
                    </w:rPr>
                    <w:t>1</w:t>
                  </w:r>
                </w:p>
              </w:tc>
              <w:tc>
                <w:tcPr>
                  <w:tcW w:w="1047" w:type="dxa"/>
                  <w:vAlign w:val="center"/>
                </w:tcPr>
                <w:p w14:paraId="151AD18E">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0</w:t>
                  </w:r>
                </w:p>
              </w:tc>
            </w:tr>
            <w:tr w14:paraId="610E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1" w:hRule="atLeast"/>
              </w:trPr>
              <w:tc>
                <w:tcPr>
                  <w:tcW w:w="501" w:type="dxa"/>
                  <w:vMerge w:val="continue"/>
                  <w:vAlign w:val="center"/>
                </w:tcPr>
                <w:p w14:paraId="2C8C4D53">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924" w:type="dxa"/>
                  <w:vAlign w:val="center"/>
                </w:tcPr>
                <w:p w14:paraId="1FF26CE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废离子交换树脂</w:t>
                  </w:r>
                </w:p>
              </w:tc>
              <w:tc>
                <w:tcPr>
                  <w:tcW w:w="1355" w:type="dxa"/>
                  <w:vAlign w:val="center"/>
                </w:tcPr>
                <w:p w14:paraId="63406320">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b w:val="0"/>
                      <w:color w:val="auto"/>
                      <w:kern w:val="2"/>
                      <w:sz w:val="21"/>
                      <w:szCs w:val="21"/>
                      <w:lang w:val="en-US" w:eastAsia="zh-CN"/>
                    </w:rPr>
                    <w:t>0.15t/5a</w:t>
                  </w:r>
                </w:p>
              </w:tc>
              <w:tc>
                <w:tcPr>
                  <w:tcW w:w="1427" w:type="dxa"/>
                  <w:vAlign w:val="center"/>
                </w:tcPr>
                <w:p w14:paraId="63E5128A">
                  <w:pPr>
                    <w:keepNext w:val="0"/>
                    <w:keepLines w:val="0"/>
                    <w:widowControl/>
                    <w:suppressLineNumbers w:val="0"/>
                    <w:adjustRightInd w:val="0"/>
                    <w:snapToGrid w:val="0"/>
                    <w:spacing w:before="0" w:beforeAutospacing="0" w:after="0" w:afterAutospacing="0" w:line="360" w:lineRule="exact"/>
                    <w:ind w:left="0" w:right="0"/>
                    <w:jc w:val="center"/>
                    <w:textAlignment w:val="center"/>
                    <w:rPr>
                      <w:rFonts w:hint="eastAsia" w:ascii="宋体" w:hAnsi="宋体" w:eastAsia="宋体" w:cs="宋体"/>
                      <w:bCs/>
                      <w:color w:val="auto"/>
                      <w:kern w:val="0"/>
                      <w:szCs w:val="21"/>
                    </w:rPr>
                  </w:pPr>
                  <w:r>
                    <w:rPr>
                      <w:rFonts w:hint="eastAsia" w:ascii="宋体" w:hAnsi="宋体" w:eastAsia="宋体" w:cs="宋体"/>
                      <w:color w:val="auto"/>
                      <w:kern w:val="0"/>
                      <w:szCs w:val="21"/>
                      <w:lang w:bidi="ar"/>
                    </w:rPr>
                    <w:t>0.</w:t>
                  </w:r>
                  <w:r>
                    <w:rPr>
                      <w:rFonts w:hint="eastAsia" w:ascii="宋体" w:hAnsi="宋体" w:eastAsia="宋体" w:cs="宋体"/>
                      <w:color w:val="auto"/>
                      <w:kern w:val="0"/>
                      <w:szCs w:val="21"/>
                      <w:lang w:val="en-US" w:eastAsia="zh-CN" w:bidi="ar"/>
                    </w:rPr>
                    <w:t>1</w:t>
                  </w:r>
                  <w:r>
                    <w:rPr>
                      <w:rFonts w:hint="eastAsia" w:ascii="宋体" w:hAnsi="宋体" w:eastAsia="宋体" w:cs="宋体"/>
                      <w:color w:val="auto"/>
                      <w:kern w:val="0"/>
                      <w:szCs w:val="21"/>
                      <w:lang w:bidi="ar"/>
                    </w:rPr>
                    <w:t>t/</w:t>
                  </w:r>
                  <w:r>
                    <w:rPr>
                      <w:rFonts w:hint="eastAsia" w:ascii="宋体" w:hAnsi="宋体" w:eastAsia="宋体" w:cs="宋体"/>
                      <w:color w:val="auto"/>
                      <w:kern w:val="0"/>
                      <w:szCs w:val="21"/>
                      <w:lang w:val="en-US" w:eastAsia="zh-CN" w:bidi="ar"/>
                    </w:rPr>
                    <w:t>5</w:t>
                  </w:r>
                  <w:r>
                    <w:rPr>
                      <w:rFonts w:hint="eastAsia" w:ascii="宋体" w:hAnsi="宋体" w:eastAsia="宋体" w:cs="宋体"/>
                      <w:color w:val="auto"/>
                      <w:kern w:val="0"/>
                      <w:szCs w:val="21"/>
                      <w:lang w:bidi="ar"/>
                    </w:rPr>
                    <w:t>a</w:t>
                  </w:r>
                </w:p>
              </w:tc>
              <w:tc>
                <w:tcPr>
                  <w:tcW w:w="1594" w:type="dxa"/>
                  <w:vAlign w:val="center"/>
                </w:tcPr>
                <w:p w14:paraId="678F237D">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b w:val="0"/>
                      <w:color w:val="auto"/>
                      <w:kern w:val="2"/>
                      <w:sz w:val="21"/>
                      <w:szCs w:val="21"/>
                      <w:lang w:val="en-US" w:eastAsia="zh-CN"/>
                    </w:rPr>
                    <w:t>0.15t/5a</w:t>
                  </w:r>
                </w:p>
              </w:tc>
              <w:tc>
                <w:tcPr>
                  <w:tcW w:w="1505" w:type="dxa"/>
                  <w:vAlign w:val="center"/>
                </w:tcPr>
                <w:p w14:paraId="218245C2">
                  <w:pPr>
                    <w:keepNext w:val="0"/>
                    <w:keepLines w:val="0"/>
                    <w:widowControl/>
                    <w:suppressLineNumbers w:val="0"/>
                    <w:adjustRightInd w:val="0"/>
                    <w:snapToGrid w:val="0"/>
                    <w:spacing w:before="0" w:beforeAutospacing="0" w:after="0" w:afterAutospacing="0" w:line="360" w:lineRule="exact"/>
                    <w:ind w:left="0" w:right="0"/>
                    <w:jc w:val="center"/>
                    <w:textAlignment w:val="center"/>
                    <w:rPr>
                      <w:rFonts w:hint="eastAsia" w:ascii="宋体" w:hAnsi="宋体" w:eastAsia="宋体" w:cs="宋体"/>
                      <w:bCs/>
                      <w:color w:val="auto"/>
                      <w:kern w:val="0"/>
                      <w:szCs w:val="21"/>
                    </w:rPr>
                  </w:pPr>
                  <w:r>
                    <w:rPr>
                      <w:rFonts w:hint="eastAsia" w:ascii="宋体" w:hAnsi="宋体" w:eastAsia="宋体" w:cs="宋体"/>
                      <w:color w:val="auto"/>
                      <w:kern w:val="0"/>
                      <w:szCs w:val="21"/>
                      <w:lang w:bidi="ar"/>
                    </w:rPr>
                    <w:t>0.</w:t>
                  </w:r>
                  <w:r>
                    <w:rPr>
                      <w:rFonts w:hint="eastAsia" w:ascii="宋体" w:hAnsi="宋体" w:eastAsia="宋体" w:cs="宋体"/>
                      <w:color w:val="auto"/>
                      <w:kern w:val="0"/>
                      <w:szCs w:val="21"/>
                      <w:lang w:val="en-US" w:eastAsia="zh-CN" w:bidi="ar"/>
                    </w:rPr>
                    <w:t>1</w:t>
                  </w:r>
                  <w:r>
                    <w:rPr>
                      <w:rFonts w:hint="eastAsia" w:ascii="宋体" w:hAnsi="宋体" w:eastAsia="宋体" w:cs="宋体"/>
                      <w:color w:val="auto"/>
                      <w:kern w:val="0"/>
                      <w:szCs w:val="21"/>
                      <w:lang w:bidi="ar"/>
                    </w:rPr>
                    <w:t>t/</w:t>
                  </w:r>
                  <w:r>
                    <w:rPr>
                      <w:rFonts w:hint="eastAsia" w:ascii="宋体" w:hAnsi="宋体" w:eastAsia="宋体" w:cs="宋体"/>
                      <w:color w:val="auto"/>
                      <w:kern w:val="0"/>
                      <w:szCs w:val="21"/>
                      <w:lang w:val="en-US" w:eastAsia="zh-CN" w:bidi="ar"/>
                    </w:rPr>
                    <w:t>5</w:t>
                  </w:r>
                  <w:r>
                    <w:rPr>
                      <w:rFonts w:hint="eastAsia" w:ascii="宋体" w:hAnsi="宋体" w:eastAsia="宋体" w:cs="宋体"/>
                      <w:color w:val="auto"/>
                      <w:kern w:val="0"/>
                      <w:szCs w:val="21"/>
                      <w:lang w:bidi="ar"/>
                    </w:rPr>
                    <w:t>a</w:t>
                  </w:r>
                </w:p>
              </w:tc>
              <w:tc>
                <w:tcPr>
                  <w:tcW w:w="1047" w:type="dxa"/>
                  <w:vAlign w:val="center"/>
                </w:tcPr>
                <w:p w14:paraId="31B6698C">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r>
                    <w:rPr>
                      <w:rFonts w:hint="eastAsia" w:ascii="宋体" w:hAnsi="宋体" w:eastAsia="宋体" w:cs="宋体"/>
                      <w:color w:val="auto"/>
                      <w:kern w:val="0"/>
                      <w:szCs w:val="21"/>
                      <w:lang w:bidi="ar"/>
                    </w:rPr>
                    <w:t>0.</w:t>
                  </w:r>
                  <w:r>
                    <w:rPr>
                      <w:rFonts w:hint="eastAsia" w:ascii="宋体" w:hAnsi="宋体" w:eastAsia="宋体" w:cs="宋体"/>
                      <w:color w:val="auto"/>
                      <w:kern w:val="0"/>
                      <w:szCs w:val="21"/>
                      <w:lang w:val="en-US" w:eastAsia="zh-CN" w:bidi="ar"/>
                    </w:rPr>
                    <w:t>05</w:t>
                  </w:r>
                  <w:r>
                    <w:rPr>
                      <w:rFonts w:hint="eastAsia" w:ascii="宋体" w:hAnsi="宋体" w:eastAsia="宋体" w:cs="宋体"/>
                      <w:color w:val="auto"/>
                      <w:kern w:val="0"/>
                      <w:szCs w:val="21"/>
                      <w:lang w:bidi="ar"/>
                    </w:rPr>
                    <w:t>t/</w:t>
                  </w:r>
                  <w:r>
                    <w:rPr>
                      <w:rFonts w:hint="eastAsia" w:ascii="宋体" w:hAnsi="宋体" w:eastAsia="宋体" w:cs="宋体"/>
                      <w:color w:val="auto"/>
                      <w:kern w:val="0"/>
                      <w:szCs w:val="21"/>
                      <w:lang w:val="en-US" w:eastAsia="zh-CN" w:bidi="ar"/>
                    </w:rPr>
                    <w:t>5</w:t>
                  </w:r>
                  <w:r>
                    <w:rPr>
                      <w:rFonts w:hint="eastAsia" w:ascii="宋体" w:hAnsi="宋体" w:eastAsia="宋体" w:cs="宋体"/>
                      <w:color w:val="auto"/>
                      <w:kern w:val="0"/>
                      <w:szCs w:val="21"/>
                      <w:lang w:bidi="ar"/>
                    </w:rPr>
                    <w:t>a</w:t>
                  </w:r>
                </w:p>
              </w:tc>
            </w:tr>
          </w:tbl>
          <w:p w14:paraId="31A34473">
            <w:pPr>
              <w:keepNext w:val="0"/>
              <w:keepLines w:val="0"/>
              <w:suppressLineNumbers w:val="0"/>
              <w:spacing w:before="0" w:beforeAutospacing="0" w:after="0" w:afterAutospacing="0" w:line="360" w:lineRule="auto"/>
              <w:ind w:left="0" w:right="0"/>
              <w:rPr>
                <w:rFonts w:hint="eastAsia" w:ascii="宋体" w:hAnsi="宋体" w:eastAsia="宋体" w:cs="宋体"/>
                <w:b w:val="0"/>
                <w:bCs w:val="0"/>
                <w:color w:val="auto"/>
                <w:sz w:val="28"/>
                <w:szCs w:val="28"/>
              </w:rPr>
            </w:pPr>
            <w:r>
              <w:rPr>
                <w:rFonts w:hint="eastAsia" w:ascii="宋体" w:hAnsi="宋体" w:eastAsia="宋体" w:cs="宋体"/>
                <w:b w:val="0"/>
                <w:bCs w:val="0"/>
                <w:color w:val="auto"/>
                <w:sz w:val="28"/>
                <w:szCs w:val="28"/>
                <w:lang w:val="en-US" w:eastAsia="zh-CN"/>
              </w:rPr>
              <w:t>9、</w:t>
            </w:r>
            <w:r>
              <w:rPr>
                <w:rFonts w:hint="eastAsia" w:ascii="宋体" w:hAnsi="宋体" w:eastAsia="宋体" w:cs="宋体"/>
                <w:b w:val="0"/>
                <w:bCs w:val="0"/>
                <w:color w:val="auto"/>
                <w:sz w:val="28"/>
                <w:szCs w:val="28"/>
                <w:lang w:eastAsia="zh-CN"/>
              </w:rPr>
              <w:t>竣工环境保护</w:t>
            </w:r>
            <w:r>
              <w:rPr>
                <w:rFonts w:hint="eastAsia" w:ascii="宋体" w:hAnsi="宋体" w:eastAsia="宋体" w:cs="宋体"/>
                <w:b w:val="0"/>
                <w:bCs w:val="0"/>
                <w:color w:val="auto"/>
                <w:sz w:val="28"/>
                <w:szCs w:val="28"/>
              </w:rPr>
              <w:t>“三同时”验收</w:t>
            </w:r>
          </w:p>
          <w:p w14:paraId="54F4BDE1">
            <w:pPr>
              <w:keepNext w:val="0"/>
              <w:keepLines w:val="0"/>
              <w:suppressLineNumbers w:val="0"/>
              <w:spacing w:before="0" w:beforeAutospacing="0" w:after="0" w:afterAutospacing="0" w:line="360" w:lineRule="auto"/>
              <w:ind w:left="420" w:leftChars="200" w:right="0"/>
              <w:rPr>
                <w:rFonts w:hint="eastAsia" w:ascii="宋体" w:hAnsi="宋体" w:eastAsia="宋体" w:cs="宋体"/>
                <w:b/>
                <w:bCs/>
                <w:color w:val="auto"/>
                <w:sz w:val="24"/>
              </w:rPr>
            </w:pPr>
            <w:r>
              <w:rPr>
                <w:rFonts w:hint="eastAsia" w:ascii="宋体" w:hAnsi="宋体" w:eastAsia="宋体" w:cs="宋体"/>
                <w:color w:val="auto"/>
                <w:sz w:val="24"/>
              </w:rPr>
              <w:t>建设项目</w:t>
            </w:r>
            <w:r>
              <w:rPr>
                <w:rFonts w:hint="eastAsia" w:ascii="宋体" w:hAnsi="宋体" w:eastAsia="宋体" w:cs="宋体"/>
                <w:color w:val="auto"/>
                <w:sz w:val="24"/>
                <w:lang w:eastAsia="zh-CN"/>
              </w:rPr>
              <w:t>竣工环境保</w:t>
            </w:r>
            <w:r>
              <w:rPr>
                <w:rFonts w:hint="eastAsia" w:ascii="宋体" w:hAnsi="宋体" w:eastAsia="宋体" w:cs="宋体"/>
                <w:color w:val="auto"/>
                <w:sz w:val="24"/>
              </w:rPr>
              <w:t>护“三同时”验收一览表见表</w:t>
            </w:r>
            <w:r>
              <w:rPr>
                <w:rFonts w:hint="eastAsia" w:ascii="宋体" w:hAnsi="宋体" w:eastAsia="宋体" w:cs="宋体"/>
                <w:color w:val="auto"/>
                <w:sz w:val="24"/>
                <w:lang w:val="en-US" w:eastAsia="zh-CN"/>
              </w:rPr>
              <w:t>4-16</w:t>
            </w:r>
            <w:r>
              <w:rPr>
                <w:rFonts w:hint="eastAsia" w:ascii="宋体" w:hAnsi="宋体" w:eastAsia="宋体" w:cs="宋体"/>
                <w:color w:val="auto"/>
                <w:sz w:val="24"/>
              </w:rPr>
              <w:t xml:space="preserve">。  </w:t>
            </w:r>
            <w:r>
              <w:rPr>
                <w:rFonts w:hint="eastAsia" w:ascii="宋体" w:hAnsi="宋体" w:eastAsia="宋体" w:cs="宋体"/>
                <w:b/>
                <w:bCs/>
                <w:color w:val="auto"/>
                <w:sz w:val="24"/>
              </w:rPr>
              <w:t xml:space="preserve">  </w:t>
            </w:r>
          </w:p>
          <w:p w14:paraId="2EDA448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4-16</w:t>
            </w:r>
            <w:r>
              <w:rPr>
                <w:rFonts w:hint="eastAsia" w:ascii="宋体" w:hAnsi="宋体" w:eastAsia="宋体" w:cs="宋体"/>
                <w:b/>
                <w:bCs/>
                <w:color w:val="auto"/>
                <w:sz w:val="24"/>
              </w:rPr>
              <w:t xml:space="preserve"> 建设环境</w:t>
            </w:r>
            <w:r>
              <w:rPr>
                <w:rFonts w:hint="eastAsia" w:ascii="宋体" w:hAnsi="宋体" w:eastAsia="宋体" w:cs="宋体"/>
                <w:b/>
                <w:bCs/>
                <w:color w:val="auto"/>
                <w:sz w:val="24"/>
                <w:lang w:eastAsia="zh-CN"/>
              </w:rPr>
              <w:t>竣工环境保护</w:t>
            </w:r>
            <w:r>
              <w:rPr>
                <w:rFonts w:hint="eastAsia" w:ascii="宋体" w:hAnsi="宋体" w:eastAsia="宋体" w:cs="宋体"/>
                <w:b/>
                <w:bCs/>
                <w:color w:val="auto"/>
                <w:sz w:val="24"/>
              </w:rPr>
              <w:t>“三同时”验收一览表</w:t>
            </w:r>
          </w:p>
          <w:tbl>
            <w:tblPr>
              <w:tblStyle w:val="26"/>
              <w:tblW w:w="8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960"/>
              <w:gridCol w:w="1873"/>
              <w:gridCol w:w="1025"/>
              <w:gridCol w:w="896"/>
              <w:gridCol w:w="1166"/>
              <w:gridCol w:w="1966"/>
            </w:tblGrid>
            <w:tr w14:paraId="44B9C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7" w:type="dxa"/>
                  <w:tcBorders>
                    <w:tl2br w:val="nil"/>
                    <w:tr2bl w:val="nil"/>
                  </w:tcBorders>
                  <w:vAlign w:val="center"/>
                </w:tcPr>
                <w:p w14:paraId="5B819D23">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项目</w:t>
                  </w:r>
                </w:p>
              </w:tc>
              <w:tc>
                <w:tcPr>
                  <w:tcW w:w="960" w:type="dxa"/>
                  <w:tcBorders>
                    <w:tl2br w:val="nil"/>
                    <w:tr2bl w:val="nil"/>
                  </w:tcBorders>
                  <w:vAlign w:val="center"/>
                </w:tcPr>
                <w:p w14:paraId="7E781FD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污染源</w:t>
                  </w:r>
                </w:p>
              </w:tc>
              <w:tc>
                <w:tcPr>
                  <w:tcW w:w="1873" w:type="dxa"/>
                  <w:tcBorders>
                    <w:tl2br w:val="nil"/>
                    <w:tr2bl w:val="nil"/>
                  </w:tcBorders>
                  <w:vAlign w:val="center"/>
                </w:tcPr>
                <w:p w14:paraId="0AA03B1E">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环保设施名称</w:t>
                  </w:r>
                </w:p>
              </w:tc>
              <w:tc>
                <w:tcPr>
                  <w:tcW w:w="1025" w:type="dxa"/>
                  <w:tcBorders>
                    <w:tl2br w:val="nil"/>
                    <w:tr2bl w:val="nil"/>
                  </w:tcBorders>
                  <w:vAlign w:val="center"/>
                </w:tcPr>
                <w:p w14:paraId="2C2ABF1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监测</w:t>
                  </w:r>
                </w:p>
                <w:p w14:paraId="3077B24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点位</w:t>
                  </w:r>
                </w:p>
              </w:tc>
              <w:tc>
                <w:tcPr>
                  <w:tcW w:w="896" w:type="dxa"/>
                  <w:tcBorders>
                    <w:tl2br w:val="nil"/>
                    <w:tr2bl w:val="nil"/>
                  </w:tcBorders>
                  <w:vAlign w:val="center"/>
                </w:tcPr>
                <w:p w14:paraId="611A39E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监测</w:t>
                  </w:r>
                </w:p>
                <w:p w14:paraId="2E7AFEA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频次</w:t>
                  </w:r>
                </w:p>
              </w:tc>
              <w:tc>
                <w:tcPr>
                  <w:tcW w:w="1166" w:type="dxa"/>
                  <w:tcBorders>
                    <w:tl2br w:val="nil"/>
                    <w:tr2bl w:val="nil"/>
                  </w:tcBorders>
                  <w:vAlign w:val="center"/>
                </w:tcPr>
                <w:p w14:paraId="589545F2">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监测因子</w:t>
                  </w:r>
                </w:p>
              </w:tc>
              <w:tc>
                <w:tcPr>
                  <w:tcW w:w="1966" w:type="dxa"/>
                  <w:tcBorders>
                    <w:tl2br w:val="nil"/>
                    <w:tr2bl w:val="nil"/>
                  </w:tcBorders>
                  <w:vAlign w:val="center"/>
                </w:tcPr>
                <w:p w14:paraId="12F4AD77">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验收标准</w:t>
                  </w:r>
                </w:p>
              </w:tc>
            </w:tr>
            <w:tr w14:paraId="27D67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7" w:type="dxa"/>
                  <w:vMerge w:val="restart"/>
                  <w:tcBorders>
                    <w:tl2br w:val="nil"/>
                    <w:tr2bl w:val="nil"/>
                  </w:tcBorders>
                  <w:vAlign w:val="center"/>
                </w:tcPr>
                <w:p w14:paraId="01D50976">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废气</w:t>
                  </w:r>
                </w:p>
              </w:tc>
              <w:tc>
                <w:tcPr>
                  <w:tcW w:w="960" w:type="dxa"/>
                  <w:tcBorders>
                    <w:tl2br w:val="nil"/>
                    <w:tr2bl w:val="nil"/>
                  </w:tcBorders>
                  <w:vAlign w:val="center"/>
                </w:tcPr>
                <w:p w14:paraId="00C949A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lang w:eastAsia="zh-CN"/>
                    </w:rPr>
                    <w:t>燃油</w:t>
                  </w:r>
                  <w:r>
                    <w:rPr>
                      <w:rFonts w:hint="eastAsia" w:ascii="宋体" w:hAnsi="宋体" w:eastAsia="宋体" w:cs="宋体"/>
                      <w:b w:val="0"/>
                      <w:bCs w:val="0"/>
                      <w:color w:val="auto"/>
                      <w:szCs w:val="21"/>
                    </w:rPr>
                    <w:t>锅炉烟气</w:t>
                  </w:r>
                </w:p>
              </w:tc>
              <w:tc>
                <w:tcPr>
                  <w:tcW w:w="1873" w:type="dxa"/>
                  <w:tcBorders>
                    <w:tl2br w:val="nil"/>
                    <w:tr2bl w:val="nil"/>
                  </w:tcBorders>
                  <w:vAlign w:val="center"/>
                </w:tcPr>
                <w:p w14:paraId="14FD58C9">
                  <w:pPr>
                    <w:keepNext w:val="0"/>
                    <w:keepLines w:val="0"/>
                    <w:suppressLineNumbers w:val="0"/>
                    <w:spacing w:before="0" w:beforeAutospacing="0" w:after="0" w:afterAutospacing="0" w:line="360" w:lineRule="exact"/>
                    <w:ind w:left="0" w:right="0"/>
                    <w:jc w:val="center"/>
                    <w:rPr>
                      <w:rFonts w:hint="default" w:ascii="宋体" w:hAnsi="宋体" w:eastAsia="宋体" w:cs="宋体"/>
                      <w:b w:val="0"/>
                      <w:bCs w:val="0"/>
                      <w:color w:val="auto"/>
                      <w:szCs w:val="21"/>
                      <w:lang w:val="en-US"/>
                    </w:rPr>
                  </w:pPr>
                  <w:r>
                    <w:rPr>
                      <w:rFonts w:hint="eastAsia" w:ascii="宋体" w:hAnsi="宋体" w:eastAsia="宋体" w:cs="宋体"/>
                      <w:color w:val="auto"/>
                      <w:szCs w:val="21"/>
                      <w:lang w:val="en-US" w:eastAsia="zh-CN"/>
                    </w:rPr>
                    <w:t>燃油蒸汽锅炉和备用燃油蒸汽发生器燃用低硫油，均采用低氮燃烧技术</w:t>
                  </w:r>
                  <w:r>
                    <w:rPr>
                      <w:rFonts w:hint="eastAsia" w:eastAsia="宋体" w:cs="宋体"/>
                      <w:color w:val="auto"/>
                      <w:szCs w:val="21"/>
                      <w:lang w:val="en-US" w:eastAsia="zh-CN"/>
                    </w:rPr>
                    <w:t>处理后</w:t>
                  </w:r>
                  <w:r>
                    <w:rPr>
                      <w:rFonts w:hint="eastAsia" w:ascii="宋体" w:hAnsi="宋体" w:eastAsia="宋体" w:cs="宋体"/>
                      <w:color w:val="auto"/>
                      <w:szCs w:val="21"/>
                      <w:lang w:val="en-US" w:eastAsia="zh-CN"/>
                    </w:rPr>
                    <w:t>共用1根15m高排气筒（DA001）</w:t>
                  </w:r>
                  <w:r>
                    <w:rPr>
                      <w:rFonts w:hint="eastAsia" w:eastAsia="宋体" w:cs="宋体"/>
                      <w:color w:val="auto"/>
                      <w:szCs w:val="21"/>
                      <w:lang w:val="en-US" w:eastAsia="zh-CN"/>
                    </w:rPr>
                    <w:t>排放</w:t>
                  </w:r>
                </w:p>
              </w:tc>
              <w:tc>
                <w:tcPr>
                  <w:tcW w:w="1025" w:type="dxa"/>
                  <w:tcBorders>
                    <w:tl2br w:val="nil"/>
                    <w:tr2bl w:val="nil"/>
                  </w:tcBorders>
                  <w:vAlign w:val="center"/>
                </w:tcPr>
                <w:p w14:paraId="23DEC450">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DA001排气筒出口</w:t>
                  </w:r>
                </w:p>
              </w:tc>
              <w:tc>
                <w:tcPr>
                  <w:tcW w:w="896" w:type="dxa"/>
                  <w:tcBorders>
                    <w:tl2br w:val="nil"/>
                    <w:tr2bl w:val="nil"/>
                  </w:tcBorders>
                  <w:vAlign w:val="center"/>
                </w:tcPr>
                <w:p w14:paraId="45C17CC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连续监测2天，每天3次</w:t>
                  </w:r>
                </w:p>
              </w:tc>
              <w:tc>
                <w:tcPr>
                  <w:tcW w:w="1166" w:type="dxa"/>
                  <w:tcBorders>
                    <w:tl2br w:val="nil"/>
                    <w:tr2bl w:val="nil"/>
                  </w:tcBorders>
                  <w:vAlign w:val="center"/>
                </w:tcPr>
                <w:p w14:paraId="6A87459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SO</w:t>
                  </w:r>
                  <w:r>
                    <w:rPr>
                      <w:rFonts w:hint="eastAsia" w:ascii="宋体" w:hAnsi="宋体" w:eastAsia="宋体" w:cs="宋体"/>
                      <w:b w:val="0"/>
                      <w:bCs w:val="0"/>
                      <w:color w:val="auto"/>
                      <w:szCs w:val="21"/>
                      <w:vertAlign w:val="subscript"/>
                    </w:rPr>
                    <w:t>2</w:t>
                  </w:r>
                  <w:r>
                    <w:rPr>
                      <w:rFonts w:hint="eastAsia" w:ascii="宋体" w:hAnsi="宋体" w:eastAsia="宋体" w:cs="宋体"/>
                      <w:b w:val="0"/>
                      <w:bCs w:val="0"/>
                      <w:color w:val="auto"/>
                      <w:szCs w:val="21"/>
                    </w:rPr>
                    <w:t>、NO</w:t>
                  </w:r>
                  <w:r>
                    <w:rPr>
                      <w:rFonts w:hint="eastAsia" w:ascii="宋体" w:hAnsi="宋体" w:eastAsia="宋体" w:cs="宋体"/>
                      <w:b w:val="0"/>
                      <w:bCs w:val="0"/>
                      <w:color w:val="auto"/>
                      <w:szCs w:val="21"/>
                      <w:vertAlign w:val="subscript"/>
                    </w:rPr>
                    <w:t>X</w:t>
                  </w:r>
                  <w:r>
                    <w:rPr>
                      <w:rFonts w:hint="eastAsia" w:ascii="宋体" w:hAnsi="宋体" w:eastAsia="宋体" w:cs="宋体"/>
                      <w:b w:val="0"/>
                      <w:bCs w:val="0"/>
                      <w:color w:val="auto"/>
                      <w:szCs w:val="21"/>
                    </w:rPr>
                    <w:t>、颗粒物、烟气黑度</w:t>
                  </w:r>
                </w:p>
              </w:tc>
              <w:tc>
                <w:tcPr>
                  <w:tcW w:w="1966" w:type="dxa"/>
                  <w:tcBorders>
                    <w:tl2br w:val="nil"/>
                    <w:tr2bl w:val="nil"/>
                  </w:tcBorders>
                  <w:vAlign w:val="center"/>
                </w:tcPr>
                <w:p w14:paraId="13B4818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color w:val="auto"/>
                      <w:sz w:val="21"/>
                      <w:szCs w:val="21"/>
                    </w:rPr>
                    <w:t>《锅炉大气污染物排放标准》（GB13271-2014）表2新建锅炉大气污染物排放浓度限值</w:t>
                  </w:r>
                </w:p>
              </w:tc>
            </w:tr>
            <w:tr w14:paraId="76CA9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7" w:type="dxa"/>
                  <w:vMerge w:val="continue"/>
                  <w:tcBorders>
                    <w:tl2br w:val="nil"/>
                    <w:tr2bl w:val="nil"/>
                  </w:tcBorders>
                  <w:vAlign w:val="center"/>
                </w:tcPr>
                <w:p w14:paraId="6D7A3E6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p>
              </w:tc>
              <w:tc>
                <w:tcPr>
                  <w:tcW w:w="960" w:type="dxa"/>
                  <w:vMerge w:val="restart"/>
                  <w:tcBorders>
                    <w:tl2br w:val="nil"/>
                    <w:tr2bl w:val="nil"/>
                  </w:tcBorders>
                  <w:vAlign w:val="center"/>
                </w:tcPr>
                <w:p w14:paraId="6B629EE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lang w:eastAsia="zh-CN"/>
                    </w:rPr>
                  </w:pPr>
                  <w:r>
                    <w:rPr>
                      <w:rFonts w:hint="eastAsia" w:ascii="宋体" w:hAnsi="宋体" w:eastAsia="宋体" w:cs="宋体"/>
                      <w:b w:val="0"/>
                      <w:bCs w:val="0"/>
                      <w:color w:val="auto"/>
                      <w:szCs w:val="21"/>
                      <w:lang w:eastAsia="zh-CN"/>
                    </w:rPr>
                    <w:t>柴油挥发废气</w:t>
                  </w:r>
                </w:p>
              </w:tc>
              <w:tc>
                <w:tcPr>
                  <w:tcW w:w="1873" w:type="dxa"/>
                  <w:vMerge w:val="restart"/>
                  <w:tcBorders>
                    <w:tl2br w:val="nil"/>
                    <w:tr2bl w:val="nil"/>
                  </w:tcBorders>
                  <w:vAlign w:val="center"/>
                </w:tcPr>
                <w:p w14:paraId="63E5F02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eastAsia="zh-CN"/>
                    </w:rPr>
                    <w:t>锅炉使用的柴油燃料依托现有的柴油罐储存。柴油由</w:t>
                  </w:r>
                  <w:r>
                    <w:rPr>
                      <w:rFonts w:hint="eastAsia" w:ascii="宋体" w:hAnsi="宋体" w:eastAsia="宋体" w:cs="宋体"/>
                      <w:color w:val="auto"/>
                      <w:szCs w:val="21"/>
                    </w:rPr>
                    <w:t>油罐车</w:t>
                  </w:r>
                  <w:r>
                    <w:rPr>
                      <w:rFonts w:hint="eastAsia" w:ascii="宋体" w:hAnsi="宋体" w:eastAsia="宋体" w:cs="宋体"/>
                      <w:color w:val="auto"/>
                      <w:szCs w:val="21"/>
                      <w:lang w:eastAsia="zh-CN"/>
                    </w:rPr>
                    <w:t>运输进厂</w:t>
                  </w:r>
                  <w:r>
                    <w:rPr>
                      <w:rFonts w:hint="eastAsia" w:ascii="宋体" w:hAnsi="宋体" w:eastAsia="宋体" w:cs="宋体"/>
                      <w:color w:val="auto"/>
                      <w:szCs w:val="21"/>
                    </w:rPr>
                    <w:t>，采用密闭卸油方式，通过油泵将油罐内的油料输送至</w:t>
                  </w:r>
                  <w:r>
                    <w:rPr>
                      <w:rFonts w:hint="eastAsia" w:ascii="宋体" w:hAnsi="宋体" w:eastAsia="宋体" w:cs="宋体"/>
                      <w:color w:val="auto"/>
                      <w:szCs w:val="21"/>
                      <w:lang w:eastAsia="zh-CN"/>
                    </w:rPr>
                    <w:t>用柴油罐</w:t>
                  </w:r>
                  <w:r>
                    <w:rPr>
                      <w:rFonts w:hint="eastAsia" w:ascii="宋体" w:hAnsi="宋体" w:eastAsia="宋体" w:cs="宋体"/>
                      <w:color w:val="auto"/>
                      <w:szCs w:val="21"/>
                    </w:rPr>
                    <w:t>，整个卸油、储油和输油过程全密闭，废气挥发量很小，</w:t>
                  </w:r>
                  <w:r>
                    <w:rPr>
                      <w:rFonts w:hint="eastAsia" w:ascii="宋体" w:hAnsi="宋体" w:eastAsia="宋体" w:cs="宋体"/>
                      <w:color w:val="auto"/>
                      <w:szCs w:val="21"/>
                      <w:lang w:eastAsia="zh-CN"/>
                    </w:rPr>
                    <w:t>储油过程挥发的少量废气分别经</w:t>
                  </w:r>
                  <w:r>
                    <w:rPr>
                      <w:rFonts w:hint="eastAsia" w:ascii="宋体" w:hAnsi="宋体" w:eastAsia="宋体" w:cs="宋体"/>
                      <w:color w:val="auto"/>
                      <w:szCs w:val="21"/>
                      <w:lang w:val="en-US" w:eastAsia="zh-CN"/>
                    </w:rPr>
                    <w:t>1根</w:t>
                  </w:r>
                  <w:r>
                    <w:rPr>
                      <w:rFonts w:hint="eastAsia" w:ascii="宋体" w:hAnsi="宋体" w:eastAsia="宋体" w:cs="宋体"/>
                      <w:color w:val="auto"/>
                      <w:szCs w:val="21"/>
                    </w:rPr>
                    <w:t>4m高的通气管排放</w:t>
                  </w:r>
                </w:p>
              </w:tc>
              <w:tc>
                <w:tcPr>
                  <w:tcW w:w="1025" w:type="dxa"/>
                  <w:tcBorders>
                    <w:tl2br w:val="nil"/>
                    <w:tr2bl w:val="nil"/>
                  </w:tcBorders>
                  <w:vAlign w:val="center"/>
                </w:tcPr>
                <w:p w14:paraId="3613C10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厂界上风向1个点位、下风向3个点位</w:t>
                  </w:r>
                </w:p>
              </w:tc>
              <w:tc>
                <w:tcPr>
                  <w:tcW w:w="896" w:type="dxa"/>
                  <w:vMerge w:val="restart"/>
                  <w:tcBorders>
                    <w:tl2br w:val="nil"/>
                    <w:tr2bl w:val="nil"/>
                  </w:tcBorders>
                  <w:vAlign w:val="center"/>
                </w:tcPr>
                <w:p w14:paraId="1CB470D7">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连续监测2天，每天</w:t>
                  </w:r>
                  <w:r>
                    <w:rPr>
                      <w:rFonts w:hint="eastAsia" w:ascii="宋体" w:hAnsi="宋体" w:eastAsia="宋体" w:cs="宋体"/>
                      <w:b w:val="0"/>
                      <w:bCs w:val="0"/>
                      <w:color w:val="auto"/>
                      <w:szCs w:val="21"/>
                      <w:lang w:val="en-US" w:eastAsia="zh-CN"/>
                    </w:rPr>
                    <w:t>4</w:t>
                  </w:r>
                  <w:r>
                    <w:rPr>
                      <w:rFonts w:hint="eastAsia" w:ascii="宋体" w:hAnsi="宋体" w:eastAsia="宋体" w:cs="宋体"/>
                      <w:b w:val="0"/>
                      <w:bCs w:val="0"/>
                      <w:color w:val="auto"/>
                      <w:szCs w:val="21"/>
                    </w:rPr>
                    <w:t>次</w:t>
                  </w:r>
                </w:p>
              </w:tc>
              <w:tc>
                <w:tcPr>
                  <w:tcW w:w="1166" w:type="dxa"/>
                  <w:tcBorders>
                    <w:tl2br w:val="nil"/>
                    <w:tr2bl w:val="nil"/>
                  </w:tcBorders>
                  <w:vAlign w:val="center"/>
                </w:tcPr>
                <w:p w14:paraId="2C4A797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lang w:eastAsia="zh-CN"/>
                    </w:rPr>
                    <w:t>非甲烷总烃</w:t>
                  </w:r>
                </w:p>
              </w:tc>
              <w:tc>
                <w:tcPr>
                  <w:tcW w:w="1966" w:type="dxa"/>
                  <w:tcBorders>
                    <w:tl2br w:val="nil"/>
                    <w:tr2bl w:val="nil"/>
                  </w:tcBorders>
                  <w:vAlign w:val="center"/>
                </w:tcPr>
                <w:p w14:paraId="3B6F096E">
                  <w:pPr>
                    <w:keepNext w:val="0"/>
                    <w:keepLines w:val="0"/>
                    <w:widowControl/>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《大气污染物综合排放标准》（GB16297-1996）表2</w:t>
                  </w:r>
                  <w:r>
                    <w:rPr>
                      <w:rFonts w:hint="eastAsia" w:ascii="宋体" w:hAnsi="宋体" w:eastAsia="宋体" w:cs="宋体"/>
                      <w:color w:val="auto"/>
                      <w:sz w:val="21"/>
                      <w:szCs w:val="21"/>
                      <w:lang w:eastAsia="zh-CN"/>
                    </w:rPr>
                    <w:t>中周界外浓度最高点浓度限值</w:t>
                  </w:r>
                </w:p>
              </w:tc>
            </w:tr>
            <w:tr w14:paraId="53BD3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7" w:type="dxa"/>
                  <w:vMerge w:val="continue"/>
                  <w:tcBorders>
                    <w:tl2br w:val="nil"/>
                    <w:tr2bl w:val="nil"/>
                  </w:tcBorders>
                  <w:vAlign w:val="center"/>
                </w:tcPr>
                <w:p w14:paraId="52948BE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p>
              </w:tc>
              <w:tc>
                <w:tcPr>
                  <w:tcW w:w="960" w:type="dxa"/>
                  <w:vMerge w:val="continue"/>
                  <w:tcBorders>
                    <w:tl2br w:val="nil"/>
                    <w:tr2bl w:val="nil"/>
                  </w:tcBorders>
                  <w:vAlign w:val="center"/>
                </w:tcPr>
                <w:p w14:paraId="1A9D6CC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lang w:eastAsia="zh-CN"/>
                    </w:rPr>
                  </w:pPr>
                </w:p>
              </w:tc>
              <w:tc>
                <w:tcPr>
                  <w:tcW w:w="1873" w:type="dxa"/>
                  <w:vMerge w:val="continue"/>
                  <w:tcBorders>
                    <w:tl2br w:val="nil"/>
                    <w:tr2bl w:val="nil"/>
                  </w:tcBorders>
                  <w:vAlign w:val="center"/>
                </w:tcPr>
                <w:p w14:paraId="4E464AE2">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Cs w:val="21"/>
                      <w:lang w:val="en-US" w:eastAsia="zh-CN"/>
                    </w:rPr>
                  </w:pPr>
                </w:p>
              </w:tc>
              <w:tc>
                <w:tcPr>
                  <w:tcW w:w="1025" w:type="dxa"/>
                  <w:tcBorders>
                    <w:tl2br w:val="nil"/>
                    <w:tr2bl w:val="nil"/>
                  </w:tcBorders>
                  <w:vAlign w:val="center"/>
                </w:tcPr>
                <w:p w14:paraId="70A90A7F">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lang w:eastAsia="zh-CN"/>
                    </w:rPr>
                    <w:t>油罐区下风向外（厂区内）</w:t>
                  </w:r>
                </w:p>
              </w:tc>
              <w:tc>
                <w:tcPr>
                  <w:tcW w:w="896" w:type="dxa"/>
                  <w:vMerge w:val="continue"/>
                  <w:tcBorders>
                    <w:tl2br w:val="nil"/>
                    <w:tr2bl w:val="nil"/>
                  </w:tcBorders>
                  <w:vAlign w:val="center"/>
                </w:tcPr>
                <w:p w14:paraId="2788B7E6">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rPr>
                  </w:pPr>
                </w:p>
              </w:tc>
              <w:tc>
                <w:tcPr>
                  <w:tcW w:w="1166" w:type="dxa"/>
                  <w:tcBorders>
                    <w:tl2br w:val="nil"/>
                    <w:tr2bl w:val="nil"/>
                  </w:tcBorders>
                  <w:vAlign w:val="center"/>
                </w:tcPr>
                <w:p w14:paraId="34D3EDEA">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lang w:eastAsia="zh-CN"/>
                    </w:rPr>
                    <w:t>非甲烷总烃</w:t>
                  </w:r>
                </w:p>
              </w:tc>
              <w:tc>
                <w:tcPr>
                  <w:tcW w:w="1966" w:type="dxa"/>
                  <w:tcBorders>
                    <w:tl2br w:val="nil"/>
                    <w:tr2bl w:val="nil"/>
                  </w:tcBorders>
                  <w:vAlign w:val="center"/>
                </w:tcPr>
                <w:p w14:paraId="1C17C928">
                  <w:pPr>
                    <w:keepNext w:val="0"/>
                    <w:keepLines w:val="0"/>
                    <w:widowControl/>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《挥发性有机物无组织排放控制标准》（GB 37822-2019）表A.1中规定的限值</w:t>
                  </w:r>
                </w:p>
              </w:tc>
            </w:tr>
            <w:tr w14:paraId="48B86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7" w:type="dxa"/>
                  <w:tcBorders>
                    <w:tl2br w:val="nil"/>
                    <w:tr2bl w:val="nil"/>
                  </w:tcBorders>
                  <w:vAlign w:val="center"/>
                </w:tcPr>
                <w:p w14:paraId="3DF308C7">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废水</w:t>
                  </w:r>
                </w:p>
              </w:tc>
              <w:tc>
                <w:tcPr>
                  <w:tcW w:w="960" w:type="dxa"/>
                  <w:tcBorders>
                    <w:tl2br w:val="nil"/>
                    <w:tr2bl w:val="nil"/>
                  </w:tcBorders>
                  <w:vAlign w:val="center"/>
                </w:tcPr>
                <w:p w14:paraId="1928A79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锅炉及软水装置排污水</w:t>
                  </w:r>
                </w:p>
              </w:tc>
              <w:tc>
                <w:tcPr>
                  <w:tcW w:w="1873" w:type="dxa"/>
                  <w:tcBorders>
                    <w:tl2br w:val="nil"/>
                    <w:tr2bl w:val="nil"/>
                  </w:tcBorders>
                  <w:vAlign w:val="center"/>
                </w:tcPr>
                <w:p w14:paraId="4BF09B8E">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color w:val="auto"/>
                      <w:szCs w:val="21"/>
                    </w:rPr>
                    <w:t>锅炉及软水装置排污水</w:t>
                  </w:r>
                  <w:r>
                    <w:rPr>
                      <w:rFonts w:hint="eastAsia" w:ascii="宋体" w:hAnsi="宋体" w:eastAsia="宋体" w:cs="宋体"/>
                      <w:color w:val="auto"/>
                      <w:szCs w:val="21"/>
                      <w:lang w:eastAsia="zh-CN"/>
                    </w:rPr>
                    <w:t>暂存于污水暂存池，回用于水相在线制备</w:t>
                  </w:r>
                  <w:r>
                    <w:rPr>
                      <w:rFonts w:hint="eastAsia" w:ascii="宋体" w:hAnsi="宋体" w:eastAsia="宋体" w:cs="宋体"/>
                      <w:color w:val="auto"/>
                      <w:szCs w:val="21"/>
                    </w:rPr>
                    <w:t>，不外排</w:t>
                  </w:r>
                </w:p>
              </w:tc>
              <w:tc>
                <w:tcPr>
                  <w:tcW w:w="1025" w:type="dxa"/>
                  <w:tcBorders>
                    <w:tl2br w:val="nil"/>
                    <w:tr2bl w:val="nil"/>
                  </w:tcBorders>
                  <w:vAlign w:val="center"/>
                </w:tcPr>
                <w:p w14:paraId="1A2DBDD9">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w:t>
                  </w:r>
                </w:p>
              </w:tc>
              <w:tc>
                <w:tcPr>
                  <w:tcW w:w="896" w:type="dxa"/>
                  <w:tcBorders>
                    <w:tl2br w:val="nil"/>
                    <w:tr2bl w:val="nil"/>
                  </w:tcBorders>
                  <w:vAlign w:val="center"/>
                </w:tcPr>
                <w:p w14:paraId="2887F58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w:t>
                  </w:r>
                </w:p>
              </w:tc>
              <w:tc>
                <w:tcPr>
                  <w:tcW w:w="1166" w:type="dxa"/>
                  <w:tcBorders>
                    <w:tl2br w:val="nil"/>
                    <w:tr2bl w:val="nil"/>
                  </w:tcBorders>
                  <w:vAlign w:val="center"/>
                </w:tcPr>
                <w:p w14:paraId="5D95869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w:t>
                  </w:r>
                </w:p>
              </w:tc>
              <w:tc>
                <w:tcPr>
                  <w:tcW w:w="1966" w:type="dxa"/>
                  <w:tcBorders>
                    <w:tl2br w:val="nil"/>
                    <w:tr2bl w:val="nil"/>
                  </w:tcBorders>
                  <w:vAlign w:val="center"/>
                </w:tcPr>
                <w:p w14:paraId="5AFA8EDA">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不外排</w:t>
                  </w:r>
                </w:p>
              </w:tc>
            </w:tr>
            <w:tr w14:paraId="4E88A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7" w:type="dxa"/>
                  <w:tcBorders>
                    <w:tl2br w:val="nil"/>
                    <w:tr2bl w:val="nil"/>
                  </w:tcBorders>
                  <w:vAlign w:val="center"/>
                </w:tcPr>
                <w:p w14:paraId="3AF4D44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噪声</w:t>
                  </w:r>
                </w:p>
              </w:tc>
              <w:tc>
                <w:tcPr>
                  <w:tcW w:w="960" w:type="dxa"/>
                  <w:tcBorders>
                    <w:tl2br w:val="nil"/>
                    <w:tr2bl w:val="nil"/>
                  </w:tcBorders>
                  <w:vAlign w:val="center"/>
                </w:tcPr>
                <w:p w14:paraId="79E98AFB">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设备</w:t>
                  </w:r>
                </w:p>
                <w:p w14:paraId="07D45203">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噪声</w:t>
                  </w:r>
                </w:p>
              </w:tc>
              <w:tc>
                <w:tcPr>
                  <w:tcW w:w="1873" w:type="dxa"/>
                  <w:tcBorders>
                    <w:tl2br w:val="nil"/>
                    <w:tr2bl w:val="nil"/>
                  </w:tcBorders>
                  <w:vAlign w:val="center"/>
                </w:tcPr>
                <w:p w14:paraId="6C2CAC5F">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szCs w:val="21"/>
                    </w:rPr>
                    <w:t>选购低噪声设备，设备均布置在全封闭厂房内，高噪声设备设置减振基础</w:t>
                  </w:r>
                </w:p>
              </w:tc>
              <w:tc>
                <w:tcPr>
                  <w:tcW w:w="1025" w:type="dxa"/>
                  <w:tcBorders>
                    <w:tl2br w:val="nil"/>
                    <w:tr2bl w:val="nil"/>
                  </w:tcBorders>
                  <w:vAlign w:val="center"/>
                </w:tcPr>
                <w:p w14:paraId="2224EF6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厂界</w:t>
                  </w:r>
                </w:p>
                <w:p w14:paraId="0D9B467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四周</w:t>
                  </w:r>
                </w:p>
              </w:tc>
              <w:tc>
                <w:tcPr>
                  <w:tcW w:w="896" w:type="dxa"/>
                  <w:tcBorders>
                    <w:tl2br w:val="nil"/>
                    <w:tr2bl w:val="nil"/>
                  </w:tcBorders>
                  <w:vAlign w:val="center"/>
                </w:tcPr>
                <w:p w14:paraId="7E70A5D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连续监测2天，昼夜各1次</w:t>
                  </w:r>
                </w:p>
              </w:tc>
              <w:tc>
                <w:tcPr>
                  <w:tcW w:w="1166" w:type="dxa"/>
                  <w:tcBorders>
                    <w:tl2br w:val="nil"/>
                    <w:tr2bl w:val="nil"/>
                  </w:tcBorders>
                  <w:vAlign w:val="center"/>
                </w:tcPr>
                <w:p w14:paraId="6210351C">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等效连续A声级</w:t>
                  </w:r>
                </w:p>
              </w:tc>
              <w:tc>
                <w:tcPr>
                  <w:tcW w:w="1966" w:type="dxa"/>
                  <w:tcBorders>
                    <w:tl2br w:val="nil"/>
                    <w:tr2bl w:val="nil"/>
                  </w:tcBorders>
                  <w:vAlign w:val="center"/>
                </w:tcPr>
                <w:p w14:paraId="050F8619">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《工业企业厂界环境噪声排放标准》</w:t>
                  </w:r>
                </w:p>
                <w:p w14:paraId="3EB7BF75">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（GB12348-2008）中2类标准</w:t>
                  </w:r>
                </w:p>
              </w:tc>
            </w:tr>
            <w:tr w14:paraId="05EF1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87" w:type="dxa"/>
                  <w:tcBorders>
                    <w:tl2br w:val="nil"/>
                    <w:tr2bl w:val="nil"/>
                  </w:tcBorders>
                  <w:vAlign w:val="center"/>
                </w:tcPr>
                <w:p w14:paraId="245BBC99">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固废</w:t>
                  </w:r>
                </w:p>
              </w:tc>
              <w:tc>
                <w:tcPr>
                  <w:tcW w:w="960" w:type="dxa"/>
                  <w:tcBorders>
                    <w:tl2br w:val="nil"/>
                    <w:tr2bl w:val="nil"/>
                  </w:tcBorders>
                  <w:vAlign w:val="center"/>
                </w:tcPr>
                <w:p w14:paraId="2AE2104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废离子交换树脂</w:t>
                  </w:r>
                </w:p>
              </w:tc>
              <w:tc>
                <w:tcPr>
                  <w:tcW w:w="4960" w:type="dxa"/>
                  <w:gridSpan w:val="4"/>
                  <w:tcBorders>
                    <w:tl2br w:val="nil"/>
                    <w:tr2bl w:val="nil"/>
                  </w:tcBorders>
                  <w:vAlign w:val="center"/>
                </w:tcPr>
                <w:p w14:paraId="4995FD78">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color w:val="auto"/>
                      <w:szCs w:val="21"/>
                      <w:lang w:val="en-US" w:eastAsia="zh-CN"/>
                    </w:rPr>
                    <w:t>由厂家上门更换时直接带走，不在项目区暂存</w:t>
                  </w:r>
                </w:p>
              </w:tc>
              <w:tc>
                <w:tcPr>
                  <w:tcW w:w="1966" w:type="dxa"/>
                  <w:tcBorders>
                    <w:tl2br w:val="nil"/>
                    <w:tr2bl w:val="nil"/>
                  </w:tcBorders>
                  <w:vAlign w:val="center"/>
                </w:tcPr>
                <w:p w14:paraId="5149FDB4">
                  <w:pPr>
                    <w:keepNext w:val="0"/>
                    <w:keepLines w:val="0"/>
                    <w:suppressLineNumbers w:val="0"/>
                    <w:spacing w:before="0" w:beforeAutospacing="0" w:after="0" w:afterAutospacing="0" w:line="360" w:lineRule="exact"/>
                    <w:ind w:left="0" w:right="0"/>
                    <w:jc w:val="center"/>
                    <w:rPr>
                      <w:rFonts w:hint="eastAsia" w:ascii="宋体" w:hAnsi="宋体" w:eastAsia="宋体" w:cs="宋体"/>
                      <w:b w:val="0"/>
                      <w:bCs w:val="0"/>
                      <w:color w:val="auto"/>
                      <w:szCs w:val="21"/>
                    </w:rPr>
                  </w:pPr>
                  <w:r>
                    <w:rPr>
                      <w:rFonts w:hint="eastAsia" w:ascii="宋体" w:hAnsi="宋体" w:eastAsia="宋体" w:cs="宋体"/>
                      <w:b w:val="0"/>
                      <w:bCs w:val="0"/>
                      <w:color w:val="auto"/>
                      <w:szCs w:val="21"/>
                    </w:rPr>
                    <w:t>《一般工业固体废物贮存、处置场污染控制标准》（GB18599－2020）</w:t>
                  </w:r>
                </w:p>
              </w:tc>
            </w:tr>
          </w:tbl>
          <w:p w14:paraId="60A8BF61">
            <w:pPr>
              <w:keepNext w:val="0"/>
              <w:keepLines w:val="0"/>
              <w:widowControl/>
              <w:suppressLineNumbers w:val="0"/>
              <w:spacing w:before="0" w:beforeAutospacing="0" w:after="0" w:afterAutospacing="0" w:line="360" w:lineRule="auto"/>
              <w:ind w:left="0" w:right="0" w:firstLine="420" w:firstLineChars="200"/>
              <w:jc w:val="left"/>
              <w:rPr>
                <w:rFonts w:hint="eastAsia" w:ascii="宋体" w:hAnsi="宋体" w:eastAsia="宋体" w:cs="宋体"/>
                <w:color w:val="auto"/>
                <w:szCs w:val="21"/>
              </w:rPr>
            </w:pPr>
          </w:p>
        </w:tc>
      </w:tr>
    </w:tbl>
    <w:p w14:paraId="61A56647">
      <w:pPr>
        <w:pStyle w:val="24"/>
        <w:ind w:firstLine="600"/>
        <w:jc w:val="center"/>
        <w:outlineLvl w:val="0"/>
        <w:rPr>
          <w:rFonts w:hint="eastAsia" w:ascii="宋体" w:hAnsi="宋体" w:eastAsia="宋体" w:cs="宋体"/>
          <w:snapToGrid w:val="0"/>
          <w:color w:val="auto"/>
          <w:sz w:val="30"/>
          <w:szCs w:val="30"/>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8A6F28C">
      <w:pPr>
        <w:pStyle w:val="24"/>
        <w:ind w:firstLine="600"/>
        <w:jc w:val="center"/>
        <w:outlineLvl w:val="0"/>
        <w:rPr>
          <w:rFonts w:hint="eastAsia" w:ascii="宋体" w:hAnsi="宋体" w:eastAsia="宋体" w:cs="宋体"/>
          <w:snapToGrid w:val="0"/>
          <w:color w:val="auto"/>
          <w:sz w:val="30"/>
          <w:szCs w:val="30"/>
        </w:rPr>
      </w:pPr>
      <w:r>
        <w:rPr>
          <w:rFonts w:hint="eastAsia" w:ascii="宋体" w:hAnsi="宋体" w:eastAsia="宋体" w:cs="宋体"/>
          <w:snapToGrid w:val="0"/>
          <w:color w:val="auto"/>
          <w:sz w:val="30"/>
          <w:szCs w:val="30"/>
        </w:rPr>
        <w:t>五、环境保护措施监督检查清单</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1714"/>
        <w:gridCol w:w="1238"/>
        <w:gridCol w:w="2479"/>
        <w:gridCol w:w="2433"/>
      </w:tblGrid>
      <w:tr w14:paraId="6F9B9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207" w:type="dxa"/>
            <w:tcBorders>
              <w:tl2br w:val="single" w:color="auto" w:sz="4" w:space="0"/>
            </w:tcBorders>
            <w:vAlign w:val="center"/>
          </w:tcPr>
          <w:p w14:paraId="3FF10B6C">
            <w:pPr>
              <w:keepNext w:val="0"/>
              <w:keepLines w:val="0"/>
              <w:suppressLineNumbers w:val="0"/>
              <w:spacing w:before="0" w:beforeAutospacing="0" w:after="0" w:afterAutospacing="0" w:line="360" w:lineRule="exact"/>
              <w:ind w:left="0" w:right="0"/>
              <w:jc w:val="right"/>
              <w:rPr>
                <w:rFonts w:hint="eastAsia" w:ascii="宋体" w:hAnsi="宋体" w:eastAsia="宋体" w:cs="宋体"/>
                <w:b/>
                <w:bCs/>
                <w:color w:val="auto"/>
                <w:szCs w:val="21"/>
              </w:rPr>
            </w:pPr>
            <w:r>
              <w:rPr>
                <w:rFonts w:hint="eastAsia" w:ascii="宋体" w:hAnsi="宋体" w:eastAsia="宋体" w:cs="宋体"/>
                <w:b/>
                <w:bCs/>
                <w:color w:val="auto"/>
                <w:szCs w:val="21"/>
              </w:rPr>
              <w:t>要素</w:t>
            </w:r>
          </w:p>
          <w:p w14:paraId="4E7CE341">
            <w:pPr>
              <w:keepNext w:val="0"/>
              <w:keepLines w:val="0"/>
              <w:suppressLineNumbers w:val="0"/>
              <w:spacing w:before="0" w:beforeAutospacing="0" w:after="0" w:afterAutospacing="0" w:line="360" w:lineRule="exact"/>
              <w:ind w:left="0" w:right="0"/>
              <w:jc w:val="left"/>
              <w:rPr>
                <w:rFonts w:hint="eastAsia" w:ascii="宋体" w:hAnsi="宋体" w:eastAsia="宋体" w:cs="宋体"/>
                <w:b/>
                <w:bCs/>
                <w:color w:val="auto"/>
                <w:szCs w:val="21"/>
              </w:rPr>
            </w:pPr>
            <w:r>
              <w:rPr>
                <w:rFonts w:hint="eastAsia" w:ascii="宋体" w:hAnsi="宋体" w:eastAsia="宋体" w:cs="宋体"/>
                <w:b/>
                <w:bCs/>
                <w:color w:val="auto"/>
                <w:szCs w:val="21"/>
              </w:rPr>
              <w:t>内容</w:t>
            </w:r>
          </w:p>
        </w:tc>
        <w:tc>
          <w:tcPr>
            <w:tcW w:w="1714" w:type="dxa"/>
            <w:vAlign w:val="center"/>
          </w:tcPr>
          <w:p w14:paraId="2BE5DB7F">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排放口（编号、名称）/污染源</w:t>
            </w:r>
          </w:p>
        </w:tc>
        <w:tc>
          <w:tcPr>
            <w:tcW w:w="1238" w:type="dxa"/>
            <w:vAlign w:val="center"/>
          </w:tcPr>
          <w:p w14:paraId="5AFB386F">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污染物</w:t>
            </w:r>
          </w:p>
          <w:p w14:paraId="2F948AA6">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项目</w:t>
            </w:r>
          </w:p>
        </w:tc>
        <w:tc>
          <w:tcPr>
            <w:tcW w:w="2479" w:type="dxa"/>
            <w:vAlign w:val="center"/>
          </w:tcPr>
          <w:p w14:paraId="27B38FCC">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环境保护措施</w:t>
            </w:r>
          </w:p>
        </w:tc>
        <w:tc>
          <w:tcPr>
            <w:tcW w:w="2433" w:type="dxa"/>
            <w:vAlign w:val="center"/>
          </w:tcPr>
          <w:p w14:paraId="7DC9A038">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执行标准</w:t>
            </w:r>
          </w:p>
        </w:tc>
      </w:tr>
      <w:tr w14:paraId="51432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5" w:hRule="atLeast"/>
          <w:jc w:val="center"/>
        </w:trPr>
        <w:tc>
          <w:tcPr>
            <w:tcW w:w="1207" w:type="dxa"/>
            <w:vMerge w:val="restart"/>
            <w:vAlign w:val="center"/>
          </w:tcPr>
          <w:p w14:paraId="5F9BA955">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大气环境</w:t>
            </w:r>
          </w:p>
        </w:tc>
        <w:tc>
          <w:tcPr>
            <w:tcW w:w="1714" w:type="dxa"/>
            <w:vAlign w:val="center"/>
          </w:tcPr>
          <w:p w14:paraId="093B6245">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kern w:val="0"/>
                <w:szCs w:val="21"/>
              </w:rPr>
            </w:pPr>
            <w:r>
              <w:rPr>
                <w:rFonts w:hint="eastAsia" w:ascii="宋体" w:hAnsi="宋体" w:eastAsia="宋体" w:cs="宋体"/>
                <w:bCs/>
                <w:color w:val="auto"/>
                <w:szCs w:val="21"/>
                <w:lang w:eastAsia="zh-CN"/>
              </w:rPr>
              <w:t>燃油</w:t>
            </w:r>
            <w:r>
              <w:rPr>
                <w:rFonts w:hint="eastAsia" w:ascii="宋体" w:hAnsi="宋体" w:eastAsia="宋体" w:cs="宋体"/>
                <w:bCs/>
                <w:color w:val="auto"/>
                <w:szCs w:val="21"/>
              </w:rPr>
              <w:t>锅炉废气</w:t>
            </w:r>
          </w:p>
        </w:tc>
        <w:tc>
          <w:tcPr>
            <w:tcW w:w="1238" w:type="dxa"/>
            <w:vAlign w:val="center"/>
          </w:tcPr>
          <w:p w14:paraId="1128FAB9">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rPr>
            </w:pPr>
            <w:r>
              <w:rPr>
                <w:rFonts w:hint="eastAsia" w:ascii="宋体" w:hAnsi="宋体" w:eastAsia="宋体" w:cs="宋体"/>
                <w:bCs/>
                <w:color w:val="auto"/>
                <w:szCs w:val="21"/>
              </w:rPr>
              <w:t>颗粒物、</w:t>
            </w:r>
          </w:p>
          <w:p w14:paraId="6EA3784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bCs/>
                <w:color w:val="auto"/>
                <w:szCs w:val="21"/>
              </w:rPr>
              <w:t>二氧化硫、</w:t>
            </w:r>
          </w:p>
          <w:p w14:paraId="4540AB25">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bCs/>
                <w:color w:val="auto"/>
                <w:szCs w:val="21"/>
              </w:rPr>
              <w:t>氮氧化物</w:t>
            </w:r>
            <w:r>
              <w:rPr>
                <w:rFonts w:hint="eastAsia" w:ascii="宋体" w:hAnsi="宋体" w:eastAsia="宋体" w:cs="宋体"/>
                <w:color w:val="auto"/>
                <w:szCs w:val="21"/>
              </w:rPr>
              <w:t>、烟气黑度</w:t>
            </w:r>
          </w:p>
        </w:tc>
        <w:tc>
          <w:tcPr>
            <w:tcW w:w="2479" w:type="dxa"/>
            <w:vAlign w:val="center"/>
          </w:tcPr>
          <w:p w14:paraId="784665F4">
            <w:pPr>
              <w:keepNext w:val="0"/>
              <w:keepLines w:val="0"/>
              <w:suppressLineNumbers w:val="0"/>
              <w:snapToGrid w:val="0"/>
              <w:spacing w:before="0" w:beforeAutospacing="0" w:after="0" w:afterAutospacing="0" w:line="360" w:lineRule="exact"/>
              <w:ind w:left="0" w:right="0"/>
              <w:jc w:val="center"/>
              <w:rPr>
                <w:rFonts w:hint="default" w:ascii="宋体" w:hAnsi="宋体" w:eastAsia="宋体" w:cs="宋体"/>
                <w:color w:val="auto"/>
                <w:szCs w:val="21"/>
                <w:lang w:val="en-US"/>
              </w:rPr>
            </w:pPr>
            <w:r>
              <w:rPr>
                <w:rFonts w:hint="eastAsia" w:ascii="宋体" w:hAnsi="宋体" w:eastAsia="宋体" w:cs="宋体"/>
                <w:color w:val="auto"/>
                <w:szCs w:val="21"/>
                <w:lang w:val="en-US" w:eastAsia="zh-CN"/>
              </w:rPr>
              <w:t>燃油蒸汽锅炉和备用燃油蒸汽发生器燃用低硫油，均采用低氮燃烧技术</w:t>
            </w:r>
            <w:r>
              <w:rPr>
                <w:rFonts w:hint="eastAsia" w:eastAsia="宋体" w:cs="宋体"/>
                <w:color w:val="auto"/>
                <w:szCs w:val="21"/>
                <w:lang w:val="en-US" w:eastAsia="zh-CN"/>
              </w:rPr>
              <w:t>处理后</w:t>
            </w:r>
            <w:r>
              <w:rPr>
                <w:rFonts w:hint="eastAsia" w:ascii="宋体" w:hAnsi="宋体" w:eastAsia="宋体" w:cs="宋体"/>
                <w:color w:val="auto"/>
                <w:szCs w:val="21"/>
                <w:lang w:val="en-US" w:eastAsia="zh-CN"/>
              </w:rPr>
              <w:t>共用1根15m高排气筒（DA001）</w:t>
            </w:r>
            <w:r>
              <w:rPr>
                <w:rFonts w:hint="eastAsia" w:eastAsia="宋体" w:cs="宋体"/>
                <w:color w:val="auto"/>
                <w:szCs w:val="21"/>
                <w:lang w:val="en-US" w:eastAsia="zh-CN"/>
              </w:rPr>
              <w:t>排放</w:t>
            </w:r>
          </w:p>
        </w:tc>
        <w:tc>
          <w:tcPr>
            <w:tcW w:w="2433" w:type="dxa"/>
            <w:vAlign w:val="center"/>
          </w:tcPr>
          <w:p w14:paraId="2761680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 w:val="21"/>
                <w:szCs w:val="21"/>
              </w:rPr>
              <w:t>《锅炉大气污染物排放标准》（GB13271-2014）表2新建锅炉大气污染物排放浓度限值</w:t>
            </w:r>
          </w:p>
        </w:tc>
      </w:tr>
      <w:tr w14:paraId="7B3AD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1207" w:type="dxa"/>
            <w:vMerge w:val="continue"/>
            <w:vAlign w:val="center"/>
          </w:tcPr>
          <w:p w14:paraId="112C7E2C">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p>
        </w:tc>
        <w:tc>
          <w:tcPr>
            <w:tcW w:w="1714" w:type="dxa"/>
            <w:vMerge w:val="restart"/>
            <w:vAlign w:val="center"/>
          </w:tcPr>
          <w:p w14:paraId="04D60C2D">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 w:val="0"/>
                <w:bCs w:val="0"/>
                <w:color w:val="auto"/>
                <w:szCs w:val="21"/>
                <w:lang w:eastAsia="zh-CN"/>
              </w:rPr>
              <w:t>柴油挥发废气</w:t>
            </w:r>
          </w:p>
        </w:tc>
        <w:tc>
          <w:tcPr>
            <w:tcW w:w="1238" w:type="dxa"/>
            <w:vMerge w:val="restart"/>
            <w:vAlign w:val="center"/>
          </w:tcPr>
          <w:p w14:paraId="5D321CC4">
            <w:pPr>
              <w:keepNext w:val="0"/>
              <w:keepLines w:val="0"/>
              <w:suppressLineNumbers w:val="0"/>
              <w:spacing w:before="0" w:beforeAutospacing="0" w:after="0" w:afterAutospacing="0" w:line="360" w:lineRule="exact"/>
              <w:ind w:left="0" w:right="0"/>
              <w:jc w:val="center"/>
              <w:rPr>
                <w:rFonts w:hint="eastAsia" w:ascii="宋体" w:hAnsi="宋体" w:eastAsia="宋体" w:cs="宋体"/>
                <w:bCs/>
                <w:color w:val="auto"/>
                <w:szCs w:val="21"/>
                <w:lang w:eastAsia="zh-CN"/>
              </w:rPr>
            </w:pPr>
            <w:r>
              <w:rPr>
                <w:rFonts w:hint="eastAsia" w:ascii="宋体" w:hAnsi="宋体" w:eastAsia="宋体" w:cs="宋体"/>
                <w:bCs/>
                <w:color w:val="auto"/>
                <w:szCs w:val="21"/>
                <w:lang w:eastAsia="zh-CN"/>
              </w:rPr>
              <w:t>非甲烷总烃</w:t>
            </w:r>
          </w:p>
        </w:tc>
        <w:tc>
          <w:tcPr>
            <w:tcW w:w="2479" w:type="dxa"/>
            <w:vMerge w:val="restart"/>
            <w:vAlign w:val="center"/>
          </w:tcPr>
          <w:p w14:paraId="656F760B">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eastAsia="zh-CN"/>
              </w:rPr>
              <w:t>锅炉使用的柴油燃料依托现有的柴油罐储存。柴油由</w:t>
            </w:r>
            <w:r>
              <w:rPr>
                <w:rFonts w:hint="eastAsia" w:ascii="宋体" w:hAnsi="宋体" w:eastAsia="宋体" w:cs="宋体"/>
                <w:color w:val="auto"/>
                <w:szCs w:val="21"/>
              </w:rPr>
              <w:t>油罐车</w:t>
            </w:r>
            <w:r>
              <w:rPr>
                <w:rFonts w:hint="eastAsia" w:ascii="宋体" w:hAnsi="宋体" w:eastAsia="宋体" w:cs="宋体"/>
                <w:color w:val="auto"/>
                <w:szCs w:val="21"/>
                <w:lang w:eastAsia="zh-CN"/>
              </w:rPr>
              <w:t>运输进厂</w:t>
            </w:r>
            <w:r>
              <w:rPr>
                <w:rFonts w:hint="eastAsia" w:ascii="宋体" w:hAnsi="宋体" w:eastAsia="宋体" w:cs="宋体"/>
                <w:color w:val="auto"/>
                <w:szCs w:val="21"/>
              </w:rPr>
              <w:t>，采用密闭卸油方式，通过油泵将油罐内的油料输送至</w:t>
            </w:r>
            <w:r>
              <w:rPr>
                <w:rFonts w:hint="eastAsia" w:ascii="宋体" w:hAnsi="宋体" w:eastAsia="宋体" w:cs="宋体"/>
                <w:color w:val="auto"/>
                <w:szCs w:val="21"/>
                <w:lang w:eastAsia="zh-CN"/>
              </w:rPr>
              <w:t>用柴油罐</w:t>
            </w:r>
            <w:r>
              <w:rPr>
                <w:rFonts w:hint="eastAsia" w:ascii="宋体" w:hAnsi="宋体" w:eastAsia="宋体" w:cs="宋体"/>
                <w:color w:val="auto"/>
                <w:szCs w:val="21"/>
              </w:rPr>
              <w:t>，整个卸油、储油和输油过程全密闭，废气挥发量很小，</w:t>
            </w:r>
            <w:r>
              <w:rPr>
                <w:rFonts w:hint="eastAsia" w:ascii="宋体" w:hAnsi="宋体" w:eastAsia="宋体" w:cs="宋体"/>
                <w:color w:val="auto"/>
                <w:szCs w:val="21"/>
                <w:lang w:eastAsia="zh-CN"/>
              </w:rPr>
              <w:t>储油过程挥发的少量废气分别经</w:t>
            </w:r>
            <w:r>
              <w:rPr>
                <w:rFonts w:hint="eastAsia" w:ascii="宋体" w:hAnsi="宋体" w:eastAsia="宋体" w:cs="宋体"/>
                <w:color w:val="auto"/>
                <w:szCs w:val="21"/>
                <w:lang w:val="en-US" w:eastAsia="zh-CN"/>
              </w:rPr>
              <w:t>1根</w:t>
            </w:r>
            <w:r>
              <w:rPr>
                <w:rFonts w:hint="eastAsia" w:ascii="宋体" w:hAnsi="宋体" w:eastAsia="宋体" w:cs="宋体"/>
                <w:color w:val="auto"/>
                <w:szCs w:val="21"/>
              </w:rPr>
              <w:t>4m高的通气管排放</w:t>
            </w:r>
          </w:p>
        </w:tc>
        <w:tc>
          <w:tcPr>
            <w:tcW w:w="2433" w:type="dxa"/>
            <w:vAlign w:val="center"/>
          </w:tcPr>
          <w:p w14:paraId="338D35F4">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lang w:eastAsia="zh-CN"/>
              </w:rPr>
              <w:t>厂界执行</w:t>
            </w:r>
            <w:r>
              <w:rPr>
                <w:rFonts w:hint="eastAsia" w:ascii="宋体" w:hAnsi="宋体" w:eastAsia="宋体" w:cs="宋体"/>
                <w:color w:val="auto"/>
                <w:sz w:val="21"/>
                <w:szCs w:val="21"/>
              </w:rPr>
              <w:t>《大气污染物综合排放标准》（GB16297-1996）表2</w:t>
            </w:r>
            <w:r>
              <w:rPr>
                <w:rFonts w:hint="eastAsia" w:ascii="宋体" w:hAnsi="宋体" w:eastAsia="宋体" w:cs="宋体"/>
                <w:color w:val="auto"/>
                <w:sz w:val="21"/>
                <w:szCs w:val="21"/>
                <w:lang w:eastAsia="zh-CN"/>
              </w:rPr>
              <w:t>中周界外浓度最高点浓度限值</w:t>
            </w:r>
          </w:p>
        </w:tc>
      </w:tr>
      <w:tr w14:paraId="6D5E0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1207" w:type="dxa"/>
            <w:vMerge w:val="continue"/>
            <w:vAlign w:val="center"/>
          </w:tcPr>
          <w:p w14:paraId="0CC7A153">
            <w:pPr>
              <w:keepNext w:val="0"/>
              <w:keepLines w:val="0"/>
              <w:suppressLineNumbers w:val="0"/>
              <w:spacing w:before="0" w:beforeAutospacing="0" w:after="0" w:afterAutospacing="0" w:line="360" w:lineRule="exact"/>
              <w:ind w:left="0" w:right="0"/>
              <w:jc w:val="center"/>
              <w:rPr>
                <w:rFonts w:hint="eastAsia" w:ascii="宋体" w:hAnsi="宋体" w:eastAsia="宋体" w:cs="宋体"/>
              </w:rPr>
            </w:pPr>
          </w:p>
        </w:tc>
        <w:tc>
          <w:tcPr>
            <w:tcW w:w="1714" w:type="dxa"/>
            <w:vMerge w:val="continue"/>
            <w:vAlign w:val="center"/>
          </w:tcPr>
          <w:p w14:paraId="65D328BC">
            <w:pPr>
              <w:keepNext w:val="0"/>
              <w:keepLines w:val="0"/>
              <w:suppressLineNumbers w:val="0"/>
              <w:spacing w:before="0" w:beforeAutospacing="0" w:after="0" w:afterAutospacing="0" w:line="360" w:lineRule="exact"/>
              <w:ind w:left="0" w:right="0"/>
              <w:jc w:val="center"/>
              <w:rPr>
                <w:rFonts w:hint="eastAsia" w:ascii="宋体" w:hAnsi="宋体" w:eastAsia="宋体" w:cs="宋体"/>
              </w:rPr>
            </w:pPr>
          </w:p>
        </w:tc>
        <w:tc>
          <w:tcPr>
            <w:tcW w:w="1238" w:type="dxa"/>
            <w:vMerge w:val="continue"/>
            <w:vAlign w:val="center"/>
          </w:tcPr>
          <w:p w14:paraId="7CA363DF">
            <w:pPr>
              <w:keepNext w:val="0"/>
              <w:keepLines w:val="0"/>
              <w:suppressLineNumbers w:val="0"/>
              <w:spacing w:before="0" w:beforeAutospacing="0" w:after="0" w:afterAutospacing="0" w:line="360" w:lineRule="exact"/>
              <w:ind w:left="0" w:right="0"/>
              <w:jc w:val="center"/>
              <w:rPr>
                <w:rFonts w:hint="eastAsia" w:ascii="宋体" w:hAnsi="宋体" w:eastAsia="宋体" w:cs="宋体"/>
              </w:rPr>
            </w:pPr>
          </w:p>
        </w:tc>
        <w:tc>
          <w:tcPr>
            <w:tcW w:w="2479" w:type="dxa"/>
            <w:vMerge w:val="continue"/>
            <w:vAlign w:val="center"/>
          </w:tcPr>
          <w:p w14:paraId="6C6810EC">
            <w:pPr>
              <w:keepNext w:val="0"/>
              <w:keepLines w:val="0"/>
              <w:suppressLineNumbers w:val="0"/>
              <w:spacing w:before="0" w:beforeAutospacing="0" w:after="0" w:afterAutospacing="0" w:line="360" w:lineRule="exact"/>
              <w:ind w:left="0" w:right="0"/>
              <w:jc w:val="center"/>
              <w:rPr>
                <w:rFonts w:hint="eastAsia" w:ascii="宋体" w:hAnsi="宋体" w:eastAsia="宋体" w:cs="宋体"/>
              </w:rPr>
            </w:pPr>
          </w:p>
        </w:tc>
        <w:tc>
          <w:tcPr>
            <w:tcW w:w="2433" w:type="dxa"/>
            <w:vAlign w:val="center"/>
          </w:tcPr>
          <w:p w14:paraId="4722831B">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kern w:val="0"/>
                <w:sz w:val="21"/>
                <w:szCs w:val="21"/>
                <w:lang w:val="en-US" w:eastAsia="zh-CN" w:bidi="ar"/>
              </w:rPr>
              <w:t>厂区内执行《挥发性有机物无组织排放控制标准》（GB 37822-2019）表A.1中规定的限值</w:t>
            </w:r>
          </w:p>
        </w:tc>
      </w:tr>
      <w:tr w14:paraId="352E0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7" w:type="dxa"/>
            <w:vAlign w:val="center"/>
          </w:tcPr>
          <w:p w14:paraId="35F06708">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地表水环境</w:t>
            </w:r>
          </w:p>
        </w:tc>
        <w:tc>
          <w:tcPr>
            <w:tcW w:w="1714" w:type="dxa"/>
            <w:vAlign w:val="center"/>
          </w:tcPr>
          <w:p w14:paraId="52393D9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b w:val="0"/>
                <w:bCs w:val="0"/>
                <w:color w:val="auto"/>
                <w:szCs w:val="21"/>
              </w:rPr>
              <w:t>锅炉及软水装置排污水</w:t>
            </w:r>
          </w:p>
        </w:tc>
        <w:tc>
          <w:tcPr>
            <w:tcW w:w="1238" w:type="dxa"/>
            <w:vAlign w:val="center"/>
          </w:tcPr>
          <w:p w14:paraId="230BE6D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eastAsia="zh-CN"/>
              </w:rPr>
              <w:t>盐类、</w:t>
            </w:r>
            <w:r>
              <w:rPr>
                <w:rFonts w:hint="eastAsia" w:ascii="宋体" w:hAnsi="宋体" w:eastAsia="宋体" w:cs="宋体"/>
                <w:color w:val="auto"/>
                <w:szCs w:val="21"/>
                <w:lang w:val="en-US" w:eastAsia="zh-CN"/>
              </w:rPr>
              <w:t>SS</w:t>
            </w:r>
          </w:p>
        </w:tc>
        <w:tc>
          <w:tcPr>
            <w:tcW w:w="2479" w:type="dxa"/>
            <w:vAlign w:val="center"/>
          </w:tcPr>
          <w:p w14:paraId="6E9159E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锅炉及软水装置排污水</w:t>
            </w:r>
            <w:r>
              <w:rPr>
                <w:rFonts w:hint="eastAsia" w:ascii="宋体" w:hAnsi="宋体" w:eastAsia="宋体" w:cs="宋体"/>
                <w:color w:val="auto"/>
                <w:szCs w:val="21"/>
                <w:lang w:eastAsia="zh-CN"/>
              </w:rPr>
              <w:t>暂存于污水暂存池，回用于水相在线制备</w:t>
            </w:r>
            <w:r>
              <w:rPr>
                <w:rFonts w:hint="eastAsia" w:ascii="宋体" w:hAnsi="宋体" w:eastAsia="宋体" w:cs="宋体"/>
                <w:color w:val="auto"/>
                <w:szCs w:val="21"/>
              </w:rPr>
              <w:t>，不外排</w:t>
            </w:r>
          </w:p>
        </w:tc>
        <w:tc>
          <w:tcPr>
            <w:tcW w:w="2433" w:type="dxa"/>
            <w:vAlign w:val="center"/>
          </w:tcPr>
          <w:p w14:paraId="0185C2EE">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val="en-US" w:eastAsia="zh-CN"/>
              </w:rPr>
              <w:t>/</w:t>
            </w:r>
          </w:p>
        </w:tc>
      </w:tr>
      <w:tr w14:paraId="68129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7" w:type="dxa"/>
            <w:vAlign w:val="center"/>
          </w:tcPr>
          <w:p w14:paraId="3EC062EC">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声环境</w:t>
            </w:r>
          </w:p>
        </w:tc>
        <w:tc>
          <w:tcPr>
            <w:tcW w:w="1714" w:type="dxa"/>
            <w:vAlign w:val="center"/>
          </w:tcPr>
          <w:p w14:paraId="21F4F113">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生产设备</w:t>
            </w:r>
          </w:p>
        </w:tc>
        <w:tc>
          <w:tcPr>
            <w:tcW w:w="1238" w:type="dxa"/>
            <w:vAlign w:val="center"/>
          </w:tcPr>
          <w:p w14:paraId="264C470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噪声</w:t>
            </w:r>
          </w:p>
        </w:tc>
        <w:tc>
          <w:tcPr>
            <w:tcW w:w="2479" w:type="dxa"/>
            <w:vAlign w:val="center"/>
          </w:tcPr>
          <w:p w14:paraId="04589CBA">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szCs w:val="21"/>
              </w:rPr>
              <w:t>选购低噪声设备，设备均布置在全封闭厂房内，高噪声设备设置减振基础</w:t>
            </w:r>
            <w:r>
              <w:rPr>
                <w:rFonts w:hint="eastAsia" w:ascii="宋体" w:hAnsi="宋体" w:eastAsia="宋体" w:cs="宋体"/>
                <w:szCs w:val="21"/>
                <w:lang w:eastAsia="zh-CN"/>
              </w:rPr>
              <w:t>，</w:t>
            </w:r>
            <w:r>
              <w:rPr>
                <w:rFonts w:hint="eastAsia" w:ascii="宋体" w:hAnsi="宋体" w:eastAsia="宋体" w:cs="宋体"/>
                <w:szCs w:val="21"/>
                <w:lang w:val="en-US" w:eastAsia="zh-CN"/>
              </w:rPr>
              <w:t>安装</w:t>
            </w:r>
            <w:r>
              <w:rPr>
                <w:rFonts w:hint="eastAsia" w:ascii="宋体" w:hAnsi="宋体" w:eastAsia="宋体" w:cs="宋体"/>
                <w:szCs w:val="21"/>
              </w:rPr>
              <w:t>柔性接头，定期维修养护</w:t>
            </w:r>
          </w:p>
        </w:tc>
        <w:tc>
          <w:tcPr>
            <w:tcW w:w="2433" w:type="dxa"/>
            <w:vAlign w:val="center"/>
          </w:tcPr>
          <w:p w14:paraId="17FB6554">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《工业企业厂界环境噪声排放标准》（GB12348-2008）2类标准</w:t>
            </w:r>
          </w:p>
        </w:tc>
      </w:tr>
      <w:tr w14:paraId="65B44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7" w:type="dxa"/>
            <w:vAlign w:val="center"/>
          </w:tcPr>
          <w:p w14:paraId="11A2ACFE">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电磁辐射</w:t>
            </w:r>
          </w:p>
        </w:tc>
        <w:tc>
          <w:tcPr>
            <w:tcW w:w="1714" w:type="dxa"/>
            <w:vAlign w:val="center"/>
          </w:tcPr>
          <w:p w14:paraId="61DF254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1238" w:type="dxa"/>
            <w:vAlign w:val="center"/>
          </w:tcPr>
          <w:p w14:paraId="09F13C2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2479" w:type="dxa"/>
            <w:vAlign w:val="center"/>
          </w:tcPr>
          <w:p w14:paraId="0F5FF22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2433" w:type="dxa"/>
            <w:vAlign w:val="center"/>
          </w:tcPr>
          <w:p w14:paraId="1F9D0E0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r>
      <w:tr w14:paraId="47A64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1207" w:type="dxa"/>
            <w:vAlign w:val="center"/>
          </w:tcPr>
          <w:p w14:paraId="30B49DA6">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b/>
                <w:bCs/>
                <w:color w:val="auto"/>
                <w:szCs w:val="21"/>
              </w:rPr>
              <w:t>固体废物</w:t>
            </w:r>
          </w:p>
        </w:tc>
        <w:tc>
          <w:tcPr>
            <w:tcW w:w="1714" w:type="dxa"/>
            <w:shd w:val="clear" w:color="auto" w:fill="auto"/>
            <w:vAlign w:val="center"/>
          </w:tcPr>
          <w:p w14:paraId="6B3F0BD0">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软化水装置</w:t>
            </w:r>
          </w:p>
        </w:tc>
        <w:tc>
          <w:tcPr>
            <w:tcW w:w="1238" w:type="dxa"/>
            <w:shd w:val="clear" w:color="auto" w:fill="auto"/>
            <w:vAlign w:val="center"/>
          </w:tcPr>
          <w:p w14:paraId="0CCD297F">
            <w:pPr>
              <w:keepNext w:val="0"/>
              <w:keepLines w:val="0"/>
              <w:widowControl/>
              <w:suppressLineNumbers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废离子交换树脂</w:t>
            </w:r>
          </w:p>
        </w:tc>
        <w:tc>
          <w:tcPr>
            <w:tcW w:w="2479" w:type="dxa"/>
            <w:vAlign w:val="center"/>
          </w:tcPr>
          <w:p w14:paraId="0170457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由厂家上门更换时直接带走，不在项目区暂存</w:t>
            </w:r>
          </w:p>
        </w:tc>
        <w:tc>
          <w:tcPr>
            <w:tcW w:w="2433" w:type="dxa"/>
            <w:vAlign w:val="center"/>
          </w:tcPr>
          <w:p w14:paraId="6E2C44B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《一般工业固体废物贮存、处置场污染控制标准》（GB18599－2020）</w:t>
            </w:r>
          </w:p>
        </w:tc>
      </w:tr>
      <w:tr w14:paraId="1E4B0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07" w:type="dxa"/>
            <w:vAlign w:val="center"/>
          </w:tcPr>
          <w:p w14:paraId="7D200364">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土壤及地下水污染防治措施</w:t>
            </w:r>
          </w:p>
        </w:tc>
        <w:tc>
          <w:tcPr>
            <w:tcW w:w="7864" w:type="dxa"/>
            <w:gridSpan w:val="4"/>
            <w:vAlign w:val="center"/>
          </w:tcPr>
          <w:p w14:paraId="767A13DD">
            <w:pPr>
              <w:keepNext w:val="0"/>
              <w:keepLines w:val="0"/>
              <w:suppressLineNumbers w:val="0"/>
              <w:spacing w:before="0" w:beforeAutospacing="0" w:after="0" w:afterAutospacing="0" w:line="360" w:lineRule="exact"/>
              <w:ind w:left="0" w:right="0" w:firstLine="420" w:firstLineChars="200"/>
              <w:rPr>
                <w:rFonts w:hint="eastAsia" w:ascii="宋体" w:hAnsi="宋体" w:eastAsia="宋体" w:cs="宋体"/>
                <w:color w:val="auto"/>
                <w:szCs w:val="21"/>
              </w:rPr>
            </w:pPr>
            <w:r>
              <w:rPr>
                <w:rFonts w:hint="eastAsia" w:ascii="宋体" w:hAnsi="宋体" w:eastAsia="宋体" w:cs="宋体"/>
                <w:color w:val="auto"/>
                <w:szCs w:val="21"/>
                <w:lang w:eastAsia="zh-CN"/>
              </w:rPr>
              <w:t>技改项目新增地下水和土壤环境污染</w:t>
            </w:r>
            <w:r>
              <w:rPr>
                <w:rFonts w:hint="eastAsia" w:ascii="宋体" w:hAnsi="宋体" w:eastAsia="宋体" w:cs="宋体"/>
                <w:color w:val="auto"/>
                <w:szCs w:val="21"/>
                <w:highlight w:val="none"/>
                <w:lang w:eastAsia="zh-CN"/>
              </w:rPr>
              <w:t>源为燃料供给间，</w:t>
            </w:r>
            <w:r>
              <w:rPr>
                <w:rFonts w:hint="eastAsia" w:ascii="宋体" w:hAnsi="宋体" w:eastAsia="宋体" w:cs="宋体"/>
                <w:color w:val="auto"/>
                <w:szCs w:val="21"/>
                <w:lang w:eastAsia="zh-CN"/>
              </w:rPr>
              <w:t>污染途径主要是垂直入渗，主要危害因素为石油类，</w:t>
            </w:r>
            <w:r>
              <w:rPr>
                <w:rFonts w:hint="eastAsia" w:ascii="宋体" w:hAnsi="宋体" w:eastAsia="宋体" w:cs="宋体"/>
                <w:color w:val="auto"/>
                <w:szCs w:val="21"/>
              </w:rPr>
              <w:t>为防止</w:t>
            </w:r>
            <w:r>
              <w:rPr>
                <w:rFonts w:hint="eastAsia" w:ascii="宋体" w:hAnsi="宋体" w:eastAsia="宋体" w:cs="宋体"/>
                <w:color w:val="auto"/>
                <w:szCs w:val="21"/>
                <w:lang w:eastAsia="zh-CN"/>
              </w:rPr>
              <w:t>柴油</w:t>
            </w:r>
            <w:r>
              <w:rPr>
                <w:rFonts w:hint="eastAsia" w:ascii="宋体" w:hAnsi="宋体" w:eastAsia="宋体" w:cs="宋体"/>
                <w:color w:val="auto"/>
                <w:szCs w:val="21"/>
              </w:rPr>
              <w:t>跑、冒、滴、漏污染土壤和地下水，</w:t>
            </w:r>
            <w:r>
              <w:rPr>
                <w:rFonts w:hint="eastAsia" w:ascii="宋体" w:hAnsi="宋体" w:eastAsia="宋体" w:cs="宋体"/>
                <w:color w:val="auto"/>
                <w:szCs w:val="21"/>
                <w:lang w:eastAsia="zh-CN"/>
              </w:rPr>
              <w:t>柴油箱采用双层材质，</w:t>
            </w:r>
            <w:r>
              <w:rPr>
                <w:rFonts w:hint="eastAsia" w:ascii="宋体" w:hAnsi="宋体" w:eastAsia="宋体" w:cs="宋体"/>
                <w:color w:val="auto"/>
                <w:szCs w:val="21"/>
                <w:highlight w:val="none"/>
                <w:lang w:eastAsia="zh-CN"/>
              </w:rPr>
              <w:t>燃料供给间</w:t>
            </w:r>
            <w:r>
              <w:rPr>
                <w:rFonts w:hint="eastAsia" w:ascii="宋体" w:hAnsi="宋体" w:eastAsia="宋体" w:cs="宋体"/>
                <w:color w:val="auto"/>
                <w:szCs w:val="21"/>
                <w:lang w:eastAsia="zh-CN"/>
              </w:rPr>
              <w:t>按照重点防渗区采取防渗措施</w:t>
            </w:r>
            <w:r>
              <w:rPr>
                <w:rFonts w:hint="eastAsia" w:ascii="宋体" w:hAnsi="宋体" w:eastAsia="宋体" w:cs="宋体"/>
                <w:color w:val="auto"/>
                <w:szCs w:val="21"/>
              </w:rPr>
              <w:t>，</w:t>
            </w:r>
            <w:r>
              <w:rPr>
                <w:rFonts w:hint="eastAsia" w:ascii="宋体" w:hAnsi="宋体" w:eastAsia="宋体" w:cs="宋体"/>
                <w:bCs/>
                <w:color w:val="auto"/>
                <w:lang w:val="en-US" w:eastAsia="zh-CN"/>
              </w:rPr>
              <w:t>地面采用</w:t>
            </w:r>
            <w:r>
              <w:rPr>
                <w:rFonts w:hint="eastAsia" w:eastAsia="宋体" w:cs="宋体"/>
                <w:bCs/>
                <w:color w:val="auto"/>
                <w:lang w:val="en-US" w:eastAsia="zh-CN"/>
              </w:rPr>
              <w:t>C30混凝土硬化+涂刷防渗漆</w:t>
            </w:r>
            <w:r>
              <w:rPr>
                <w:rFonts w:hint="eastAsia" w:ascii="宋体" w:hAnsi="宋体" w:eastAsia="宋体" w:cs="宋体"/>
                <w:bCs/>
                <w:color w:val="auto"/>
                <w:lang w:val="en-US" w:eastAsia="zh-CN"/>
              </w:rPr>
              <w:t>，</w:t>
            </w:r>
            <w:r>
              <w:rPr>
                <w:rFonts w:hint="eastAsia" w:ascii="宋体" w:hAnsi="宋体" w:eastAsia="宋体" w:cs="宋体"/>
                <w:color w:val="auto"/>
                <w:szCs w:val="21"/>
                <w:lang w:eastAsia="zh-CN"/>
              </w:rPr>
              <w:t>要求</w:t>
            </w:r>
            <w:r>
              <w:rPr>
                <w:rFonts w:hint="eastAsia" w:ascii="宋体" w:hAnsi="宋体" w:eastAsia="宋体" w:cs="宋体"/>
                <w:color w:val="auto"/>
                <w:szCs w:val="21"/>
              </w:rPr>
              <w:t>渗透系数</w:t>
            </w:r>
            <w:r>
              <w:rPr>
                <w:rFonts w:hint="eastAsia" w:ascii="宋体" w:hAnsi="宋体" w:eastAsia="宋体" w:cs="宋体"/>
                <w:color w:val="auto"/>
                <w:szCs w:val="21"/>
                <w:lang w:val="en-US" w:eastAsia="zh-CN"/>
              </w:rPr>
              <w:t>K</w:t>
            </w:r>
            <w:r>
              <w:rPr>
                <w:rFonts w:hint="eastAsia" w:ascii="宋体" w:hAnsi="宋体" w:eastAsia="宋体" w:cs="宋体"/>
                <w:color w:val="auto"/>
                <w:szCs w:val="21"/>
              </w:rPr>
              <w:t>≤10</w:t>
            </w:r>
            <w:r>
              <w:rPr>
                <w:rFonts w:hint="eastAsia" w:ascii="宋体" w:hAnsi="宋体" w:eastAsia="宋体" w:cs="宋体"/>
                <w:color w:val="auto"/>
                <w:szCs w:val="21"/>
                <w:vertAlign w:val="superscript"/>
              </w:rPr>
              <w:t>-</w:t>
            </w:r>
            <w:r>
              <w:rPr>
                <w:rFonts w:hint="eastAsia" w:ascii="宋体" w:hAnsi="宋体" w:eastAsia="宋体" w:cs="宋体"/>
                <w:color w:val="auto"/>
                <w:szCs w:val="21"/>
                <w:vertAlign w:val="superscript"/>
                <w:lang w:val="en-US" w:eastAsia="zh-CN"/>
              </w:rPr>
              <w:t>10</w:t>
            </w:r>
            <w:r>
              <w:rPr>
                <w:rFonts w:hint="eastAsia" w:ascii="宋体" w:hAnsi="宋体" w:eastAsia="宋体" w:cs="宋体"/>
                <w:color w:val="auto"/>
                <w:szCs w:val="21"/>
                <w:lang w:val="en-US" w:eastAsia="zh-CN"/>
              </w:rPr>
              <w:t>cm</w:t>
            </w:r>
            <w:r>
              <w:rPr>
                <w:rFonts w:hint="eastAsia" w:ascii="宋体" w:hAnsi="宋体" w:eastAsia="宋体" w:cs="宋体"/>
                <w:color w:val="auto"/>
                <w:szCs w:val="21"/>
              </w:rPr>
              <w:t>/</w:t>
            </w:r>
            <w:r>
              <w:rPr>
                <w:rFonts w:hint="eastAsia" w:ascii="宋体" w:hAnsi="宋体" w:eastAsia="宋体" w:cs="宋体"/>
                <w:color w:val="auto"/>
                <w:szCs w:val="21"/>
                <w:lang w:val="en-US" w:eastAsia="zh-CN"/>
              </w:rPr>
              <w:t>s</w:t>
            </w:r>
            <w:r>
              <w:rPr>
                <w:rFonts w:hint="eastAsia" w:ascii="宋体" w:hAnsi="宋体" w:eastAsia="宋体" w:cs="宋体"/>
                <w:color w:val="auto"/>
                <w:szCs w:val="21"/>
              </w:rPr>
              <w:t>。</w:t>
            </w:r>
          </w:p>
          <w:p w14:paraId="680300B8">
            <w:pPr>
              <w:keepNext w:val="0"/>
              <w:keepLines w:val="0"/>
              <w:suppressLineNumbers w:val="0"/>
              <w:spacing w:before="0" w:beforeAutospacing="0" w:after="0" w:afterAutospacing="0" w:line="360" w:lineRule="exact"/>
              <w:ind w:left="0" w:right="0" w:firstLine="420" w:firstLineChars="200"/>
              <w:rPr>
                <w:rFonts w:hint="eastAsia" w:ascii="宋体" w:hAnsi="宋体" w:eastAsia="宋体" w:cs="宋体"/>
                <w:color w:val="auto"/>
                <w:szCs w:val="21"/>
              </w:rPr>
            </w:pPr>
            <w:r>
              <w:rPr>
                <w:rFonts w:hint="eastAsia" w:ascii="宋体" w:hAnsi="宋体" w:eastAsia="宋体" w:cs="宋体"/>
                <w:color w:val="auto"/>
                <w:szCs w:val="21"/>
                <w:lang w:val="en-US" w:eastAsia="zh-CN"/>
              </w:rPr>
              <w:t>采取了上述防渗措施后，项目可达到较强的防渗效果，对可能产生土壤、地下水影响的途径进行了有效地预防，在确保防渗措施得以落实，并加强维护，在加强环境管理的前提下，可以有效控制污染物的下渗现象，避免污染地下水、土壤。项目对区域地下水和土壤环境的影响较小。</w:t>
            </w:r>
          </w:p>
        </w:tc>
      </w:tr>
      <w:tr w14:paraId="5D597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07" w:type="dxa"/>
            <w:vAlign w:val="center"/>
          </w:tcPr>
          <w:p w14:paraId="148F60F6">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生态保护措施</w:t>
            </w:r>
          </w:p>
        </w:tc>
        <w:tc>
          <w:tcPr>
            <w:tcW w:w="7864" w:type="dxa"/>
            <w:gridSpan w:val="4"/>
            <w:vAlign w:val="center"/>
          </w:tcPr>
          <w:p w14:paraId="73E25946">
            <w:pPr>
              <w:keepNext w:val="0"/>
              <w:keepLines w:val="0"/>
              <w:suppressLineNumbers w:val="0"/>
              <w:spacing w:before="0" w:beforeAutospacing="0" w:after="0" w:afterAutospacing="0" w:line="360" w:lineRule="exact"/>
              <w:ind w:left="0" w:right="0" w:firstLine="420" w:firstLineChars="200"/>
              <w:rPr>
                <w:rFonts w:hint="eastAsia" w:ascii="宋体" w:hAnsi="宋体" w:eastAsia="宋体" w:cs="宋体"/>
                <w:color w:val="auto"/>
                <w:szCs w:val="21"/>
              </w:rPr>
            </w:pPr>
            <w:r>
              <w:rPr>
                <w:rFonts w:hint="eastAsia" w:ascii="宋体" w:hAnsi="宋体" w:eastAsia="宋体" w:cs="宋体"/>
                <w:color w:val="auto"/>
                <w:szCs w:val="21"/>
              </w:rPr>
              <w:t>本项目用地范围内不存在生态环境保护目标，运营期对生态环境影响很小。</w:t>
            </w:r>
          </w:p>
        </w:tc>
      </w:tr>
      <w:tr w14:paraId="0648A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07" w:type="dxa"/>
            <w:vAlign w:val="center"/>
          </w:tcPr>
          <w:p w14:paraId="5C59CA0D">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环境风险</w:t>
            </w:r>
          </w:p>
          <w:p w14:paraId="15947400">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highlight w:val="none"/>
              </w:rPr>
              <w:t>防范措施</w:t>
            </w:r>
          </w:p>
        </w:tc>
        <w:tc>
          <w:tcPr>
            <w:tcW w:w="7864" w:type="dxa"/>
            <w:gridSpan w:val="4"/>
            <w:vAlign w:val="center"/>
          </w:tcPr>
          <w:p w14:paraId="76E0C5A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现有项目的危险物质为柴油和硝酸铵水溶液，本次技改项目锅炉燃料柴油依托现有柴油罐储存（锅炉房燃料供给间内的柴油箱内的柴油由柴油罐打入），因此技改项目不新增风险物质，不增加柴油储存量（最大储存量42t，临界量2500t，Q0.0168），不改变全厂的环境风险等级，不改变全厂的风险事故类型，增加危险单元燃料供给间。技改项目涉及的风险物质为柴油，风险单元为燃料供给间。</w:t>
            </w:r>
          </w:p>
          <w:p w14:paraId="15134DBD">
            <w:pPr>
              <w:keepNext w:val="0"/>
              <w:keepLines w:val="0"/>
              <w:suppressLineNumbers w:val="0"/>
              <w:bidi w:val="0"/>
              <w:spacing w:before="0" w:beforeAutospacing="0" w:after="0" w:afterAutospacing="0" w:line="360" w:lineRule="auto"/>
              <w:ind w:left="0" w:right="0" w:firstLine="420" w:firstLineChars="200"/>
              <w:rPr>
                <w:rFonts w:hint="eastAsia" w:ascii="宋体" w:hAnsi="宋体" w:eastAsia="宋体" w:cs="宋体"/>
                <w:color w:val="auto"/>
                <w:szCs w:val="21"/>
              </w:rPr>
            </w:pPr>
            <w:r>
              <w:rPr>
                <w:rFonts w:hint="eastAsia"/>
                <w:color w:val="auto"/>
                <w:lang w:val="en-US" w:eastAsia="zh-CN"/>
              </w:rPr>
              <w:t>根据前文风险分析结果表明，项目发生环境风险事故后可能会对周围环境造成一定程度的影响，在落实各项环保措施和本评价所列出的各项环境风险防范措施、有效的应急预案，加强风险管理的条件下，本项目的环境风险可防可控。</w:t>
            </w:r>
          </w:p>
        </w:tc>
      </w:tr>
      <w:tr w14:paraId="247D8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07" w:type="dxa"/>
            <w:vAlign w:val="center"/>
          </w:tcPr>
          <w:p w14:paraId="76724A04">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其他环境</w:t>
            </w:r>
          </w:p>
          <w:p w14:paraId="5E8F09B9">
            <w:pPr>
              <w:keepNext w:val="0"/>
              <w:keepLines w:val="0"/>
              <w:suppressLineNumbers w:val="0"/>
              <w:spacing w:before="0" w:beforeAutospacing="0" w:after="0" w:afterAutospacing="0" w:line="360" w:lineRule="exact"/>
              <w:ind w:left="0" w:right="0"/>
              <w:jc w:val="center"/>
              <w:rPr>
                <w:rFonts w:hint="eastAsia" w:ascii="宋体" w:hAnsi="宋体" w:eastAsia="宋体" w:cs="宋体"/>
                <w:b/>
                <w:bCs/>
                <w:color w:val="auto"/>
                <w:szCs w:val="21"/>
              </w:rPr>
            </w:pPr>
            <w:r>
              <w:rPr>
                <w:rFonts w:hint="eastAsia" w:ascii="宋体" w:hAnsi="宋体" w:eastAsia="宋体" w:cs="宋体"/>
                <w:b/>
                <w:bCs/>
                <w:color w:val="auto"/>
                <w:szCs w:val="21"/>
              </w:rPr>
              <w:t>管理要求</w:t>
            </w:r>
          </w:p>
        </w:tc>
        <w:tc>
          <w:tcPr>
            <w:tcW w:w="7864" w:type="dxa"/>
            <w:gridSpan w:val="4"/>
            <w:vAlign w:val="center"/>
          </w:tcPr>
          <w:p w14:paraId="13FDC092">
            <w:pPr>
              <w:keepNext w:val="0"/>
              <w:keepLines w:val="0"/>
              <w:suppressLineNumbers w:val="0"/>
              <w:spacing w:before="0" w:beforeAutospacing="0" w:after="0" w:afterAutospacing="0" w:line="360" w:lineRule="exact"/>
              <w:ind w:left="0" w:right="0" w:firstLine="420" w:firstLineChars="200"/>
              <w:rPr>
                <w:rFonts w:hint="eastAsia" w:ascii="宋体" w:hAnsi="宋体" w:eastAsia="宋体" w:cs="宋体"/>
                <w:color w:val="auto"/>
                <w:szCs w:val="21"/>
              </w:rPr>
            </w:pPr>
            <w:r>
              <w:rPr>
                <w:rFonts w:hint="eastAsia" w:ascii="宋体" w:hAnsi="宋体" w:eastAsia="宋体" w:cs="宋体"/>
                <w:color w:val="auto"/>
                <w:szCs w:val="21"/>
              </w:rPr>
              <w:t>无</w:t>
            </w:r>
          </w:p>
        </w:tc>
      </w:tr>
    </w:tbl>
    <w:p w14:paraId="0E3D395A">
      <w:pPr>
        <w:pStyle w:val="24"/>
        <w:ind w:firstLine="600"/>
        <w:jc w:val="center"/>
        <w:outlineLvl w:val="0"/>
        <w:rPr>
          <w:rFonts w:hint="eastAsia" w:ascii="宋体" w:hAnsi="宋体" w:eastAsia="宋体" w:cs="宋体"/>
          <w:snapToGrid w:val="0"/>
          <w:color w:val="auto"/>
          <w:sz w:val="30"/>
          <w:szCs w:val="30"/>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D80345B">
      <w:pPr>
        <w:pStyle w:val="24"/>
        <w:ind w:firstLine="600"/>
        <w:jc w:val="center"/>
        <w:outlineLvl w:val="0"/>
        <w:rPr>
          <w:rFonts w:hint="eastAsia" w:ascii="宋体" w:hAnsi="宋体" w:eastAsia="宋体" w:cs="宋体"/>
          <w:snapToGrid w:val="0"/>
          <w:color w:val="auto"/>
          <w:sz w:val="30"/>
          <w:szCs w:val="30"/>
        </w:rPr>
      </w:pPr>
      <w:r>
        <w:rPr>
          <w:rFonts w:hint="eastAsia" w:ascii="宋体" w:hAnsi="宋体" w:eastAsia="宋体" w:cs="宋体"/>
          <w:snapToGrid w:val="0"/>
          <w:color w:val="auto"/>
          <w:sz w:val="30"/>
          <w:szCs w:val="30"/>
        </w:rPr>
        <w:t>六、结论</w:t>
      </w:r>
    </w:p>
    <w:tbl>
      <w:tblPr>
        <w:tblStyle w:val="27"/>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14:paraId="4BE69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71" w:type="dxa"/>
            <w:vAlign w:val="center"/>
          </w:tcPr>
          <w:p w14:paraId="509F8608">
            <w:pPr>
              <w:keepNext w:val="0"/>
              <w:keepLines w:val="0"/>
              <w:suppressLineNumbers w:val="0"/>
              <w:spacing w:before="0" w:beforeAutospacing="0" w:after="0" w:afterAutospacing="0" w:line="360" w:lineRule="auto"/>
              <w:ind w:left="0" w:right="0" w:firstLine="480" w:firstLineChars="200"/>
              <w:jc w:val="left"/>
              <w:rPr>
                <w:rFonts w:hint="eastAsia" w:ascii="宋体" w:hAnsi="宋体" w:eastAsia="宋体" w:cs="宋体"/>
                <w:color w:val="auto"/>
                <w:sz w:val="24"/>
              </w:rPr>
            </w:pPr>
            <w:r>
              <w:rPr>
                <w:rFonts w:hint="eastAsia" w:ascii="宋体" w:hAnsi="宋体" w:eastAsia="宋体" w:cs="宋体"/>
                <w:color w:val="auto"/>
                <w:sz w:val="24"/>
              </w:rPr>
              <w:t>本项目建设符合国家产业政策，选址合理。项目施工期、运营期不可避免的会对周围环境产生影响，在认真落实本报告中提出的各项污染防治措施及建议的前提下，加强环境管理，其废气、废水、噪声、固废等污染物对周围环境的影响能够控制在可接受范围内，从环境保护角度分析，该建设项目可行。</w:t>
            </w:r>
          </w:p>
          <w:p w14:paraId="1942D4B5">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24E02873">
            <w:pPr>
              <w:pStyle w:val="10"/>
              <w:keepNext w:val="0"/>
              <w:keepLines w:val="0"/>
              <w:suppressLineNumbers w:val="0"/>
              <w:spacing w:before="0" w:beforeAutospacing="0" w:afterAutospacing="0"/>
              <w:ind w:right="0" w:firstLine="480"/>
              <w:rPr>
                <w:rFonts w:hint="eastAsia" w:ascii="宋体" w:hAnsi="宋体" w:eastAsia="宋体" w:cs="宋体"/>
                <w:color w:val="auto"/>
                <w:sz w:val="24"/>
                <w:szCs w:val="24"/>
              </w:rPr>
            </w:pPr>
          </w:p>
          <w:p w14:paraId="6FAF8F0E">
            <w:pPr>
              <w:keepNext w:val="0"/>
              <w:keepLines w:val="0"/>
              <w:suppressLineNumbers w:val="0"/>
              <w:spacing w:before="0" w:beforeAutospacing="0" w:after="0" w:afterAutospacing="0"/>
              <w:ind w:left="0" w:right="0"/>
              <w:rPr>
                <w:rFonts w:hint="eastAsia" w:ascii="宋体" w:hAnsi="宋体" w:eastAsia="宋体" w:cs="宋体"/>
                <w:color w:val="auto"/>
                <w:sz w:val="24"/>
              </w:rPr>
            </w:pPr>
          </w:p>
          <w:p w14:paraId="1D40AD7F">
            <w:pPr>
              <w:pStyle w:val="10"/>
              <w:keepNext w:val="0"/>
              <w:keepLines w:val="0"/>
              <w:suppressLineNumbers w:val="0"/>
              <w:spacing w:before="0" w:beforeAutospacing="0" w:afterAutospacing="0"/>
              <w:ind w:right="0" w:firstLine="480"/>
              <w:rPr>
                <w:rFonts w:hint="eastAsia" w:ascii="宋体" w:hAnsi="宋体" w:eastAsia="宋体" w:cs="宋体"/>
                <w:color w:val="auto"/>
                <w:sz w:val="24"/>
                <w:szCs w:val="24"/>
              </w:rPr>
            </w:pPr>
          </w:p>
          <w:p w14:paraId="76223CC6">
            <w:pPr>
              <w:keepNext w:val="0"/>
              <w:keepLines w:val="0"/>
              <w:suppressLineNumbers w:val="0"/>
              <w:spacing w:before="0" w:beforeAutospacing="0" w:after="0" w:afterAutospacing="0"/>
              <w:ind w:left="0" w:right="0"/>
              <w:rPr>
                <w:rFonts w:hint="eastAsia" w:ascii="宋体" w:hAnsi="宋体" w:eastAsia="宋体" w:cs="宋体"/>
                <w:color w:val="auto"/>
                <w:sz w:val="24"/>
              </w:rPr>
            </w:pPr>
          </w:p>
          <w:p w14:paraId="6FE08257">
            <w:pPr>
              <w:pStyle w:val="10"/>
              <w:keepNext w:val="0"/>
              <w:keepLines w:val="0"/>
              <w:suppressLineNumbers w:val="0"/>
              <w:spacing w:before="0" w:beforeAutospacing="0" w:afterAutospacing="0"/>
              <w:ind w:right="0" w:firstLine="480"/>
              <w:rPr>
                <w:rFonts w:hint="eastAsia" w:ascii="宋体" w:hAnsi="宋体" w:eastAsia="宋体" w:cs="宋体"/>
                <w:color w:val="auto"/>
                <w:sz w:val="24"/>
                <w:szCs w:val="24"/>
              </w:rPr>
            </w:pPr>
          </w:p>
          <w:p w14:paraId="2B4CE4AF">
            <w:pPr>
              <w:keepNext w:val="0"/>
              <w:keepLines w:val="0"/>
              <w:suppressLineNumbers w:val="0"/>
              <w:spacing w:before="0" w:beforeAutospacing="0" w:after="0" w:afterAutospacing="0"/>
              <w:ind w:left="0" w:right="0"/>
              <w:rPr>
                <w:rFonts w:hint="eastAsia" w:ascii="宋体" w:hAnsi="宋体" w:eastAsia="宋体" w:cs="宋体"/>
                <w:color w:val="auto"/>
                <w:sz w:val="24"/>
              </w:rPr>
            </w:pPr>
          </w:p>
          <w:p w14:paraId="147B8756">
            <w:pPr>
              <w:pStyle w:val="10"/>
              <w:keepNext w:val="0"/>
              <w:keepLines w:val="0"/>
              <w:suppressLineNumbers w:val="0"/>
              <w:spacing w:before="0" w:beforeAutospacing="0" w:afterAutospacing="0"/>
              <w:ind w:right="0" w:firstLine="480"/>
              <w:rPr>
                <w:rFonts w:hint="eastAsia" w:ascii="宋体" w:hAnsi="宋体" w:eastAsia="宋体" w:cs="宋体"/>
                <w:color w:val="auto"/>
                <w:sz w:val="24"/>
                <w:szCs w:val="24"/>
              </w:rPr>
            </w:pPr>
          </w:p>
          <w:p w14:paraId="4091D08A">
            <w:pPr>
              <w:keepNext w:val="0"/>
              <w:keepLines w:val="0"/>
              <w:suppressLineNumbers w:val="0"/>
              <w:spacing w:before="0" w:beforeAutospacing="0" w:after="0" w:afterAutospacing="0"/>
              <w:ind w:left="0" w:right="0"/>
              <w:rPr>
                <w:rFonts w:hint="eastAsia" w:ascii="宋体" w:hAnsi="宋体" w:eastAsia="宋体" w:cs="宋体"/>
                <w:color w:val="auto"/>
                <w:sz w:val="24"/>
              </w:rPr>
            </w:pPr>
          </w:p>
          <w:p w14:paraId="2C56E90C">
            <w:pPr>
              <w:pStyle w:val="10"/>
              <w:keepNext w:val="0"/>
              <w:keepLines w:val="0"/>
              <w:suppressLineNumbers w:val="0"/>
              <w:spacing w:before="0" w:beforeAutospacing="0" w:afterAutospacing="0"/>
              <w:ind w:right="0" w:firstLine="480"/>
              <w:rPr>
                <w:rFonts w:hint="eastAsia" w:ascii="宋体" w:hAnsi="宋体" w:eastAsia="宋体" w:cs="宋体"/>
                <w:color w:val="auto"/>
                <w:sz w:val="24"/>
                <w:szCs w:val="24"/>
              </w:rPr>
            </w:pPr>
          </w:p>
          <w:p w14:paraId="75982002">
            <w:pPr>
              <w:keepNext w:val="0"/>
              <w:keepLines w:val="0"/>
              <w:suppressLineNumbers w:val="0"/>
              <w:spacing w:before="0" w:beforeAutospacing="0" w:after="0" w:afterAutospacing="0"/>
              <w:ind w:left="0" w:right="0"/>
              <w:rPr>
                <w:rFonts w:hint="eastAsia" w:ascii="宋体" w:hAnsi="宋体" w:eastAsia="宋体" w:cs="宋体"/>
                <w:color w:val="auto"/>
                <w:sz w:val="24"/>
              </w:rPr>
            </w:pPr>
          </w:p>
          <w:p w14:paraId="065EB264">
            <w:pPr>
              <w:pStyle w:val="10"/>
              <w:keepNext w:val="0"/>
              <w:keepLines w:val="0"/>
              <w:suppressLineNumbers w:val="0"/>
              <w:spacing w:before="0" w:beforeAutospacing="0" w:afterAutospacing="0"/>
              <w:ind w:right="0" w:firstLine="480"/>
              <w:rPr>
                <w:rFonts w:hint="eastAsia" w:ascii="宋体" w:hAnsi="宋体" w:eastAsia="宋体" w:cs="宋体"/>
                <w:color w:val="auto"/>
                <w:sz w:val="24"/>
                <w:szCs w:val="24"/>
              </w:rPr>
            </w:pPr>
          </w:p>
          <w:p w14:paraId="46195A1F">
            <w:pPr>
              <w:keepNext w:val="0"/>
              <w:keepLines w:val="0"/>
              <w:suppressLineNumbers w:val="0"/>
              <w:spacing w:before="0" w:beforeAutospacing="0" w:after="0" w:afterAutospacing="0"/>
              <w:ind w:left="0" w:right="0"/>
              <w:rPr>
                <w:rFonts w:hint="eastAsia" w:ascii="宋体" w:hAnsi="宋体" w:eastAsia="宋体" w:cs="宋体"/>
                <w:color w:val="auto"/>
                <w:sz w:val="24"/>
              </w:rPr>
            </w:pPr>
          </w:p>
          <w:p w14:paraId="1BFA18CD">
            <w:pPr>
              <w:keepNext w:val="0"/>
              <w:keepLines w:val="0"/>
              <w:suppressLineNumbers w:val="0"/>
              <w:spacing w:before="0" w:beforeAutospacing="0" w:after="0" w:afterAutospacing="0"/>
              <w:ind w:left="0" w:right="0"/>
              <w:rPr>
                <w:rFonts w:hint="eastAsia" w:ascii="宋体" w:hAnsi="宋体" w:eastAsia="宋体" w:cs="宋体"/>
                <w:color w:val="auto"/>
              </w:rPr>
            </w:pPr>
          </w:p>
          <w:p w14:paraId="7C8CD597">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5985AF52">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5BD393D1">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0BF69204">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253B1B74">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193E2692">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35DB25C2">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0A7363E3">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1AF54BB6">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19ECE9AE">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618FE985">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76236B4B">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511BD6FC">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0B8F07F5">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2E110A2F">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3D8A421D">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p w14:paraId="161052C3">
            <w:pPr>
              <w:keepNext w:val="0"/>
              <w:keepLines w:val="0"/>
              <w:suppressLineNumbers w:val="0"/>
              <w:spacing w:before="0" w:beforeAutospacing="0" w:after="0" w:afterAutospacing="0"/>
              <w:ind w:left="0" w:right="0"/>
              <w:jc w:val="center"/>
              <w:rPr>
                <w:rFonts w:hint="eastAsia" w:ascii="宋体" w:hAnsi="宋体" w:eastAsia="宋体" w:cs="宋体"/>
                <w:color w:val="auto"/>
                <w:sz w:val="24"/>
              </w:rPr>
            </w:pPr>
          </w:p>
        </w:tc>
      </w:tr>
    </w:tbl>
    <w:p w14:paraId="72B0033F">
      <w:pPr>
        <w:rPr>
          <w:rFonts w:hint="eastAsia" w:ascii="宋体" w:hAnsi="宋体" w:eastAsia="宋体" w:cs="宋体"/>
          <w:color w:val="auto"/>
          <w:sz w:val="28"/>
          <w:szCs w:val="28"/>
        </w:rPr>
      </w:pPr>
    </w:p>
    <w:p w14:paraId="18434AE8">
      <w:pPr>
        <w:rPr>
          <w:rFonts w:hint="eastAsia" w:ascii="宋体" w:hAnsi="宋体" w:eastAsia="宋体" w:cs="宋体"/>
          <w:color w:val="auto"/>
          <w:sz w:val="28"/>
          <w:szCs w:val="28"/>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68657C">
      <w:pPr>
        <w:pStyle w:val="24"/>
        <w:ind w:firstLine="600"/>
        <w:jc w:val="center"/>
        <w:outlineLvl w:val="0"/>
        <w:rPr>
          <w:rFonts w:hint="eastAsia" w:ascii="宋体" w:hAnsi="宋体" w:eastAsia="宋体" w:cs="宋体"/>
          <w:snapToGrid w:val="0"/>
          <w:color w:val="auto"/>
          <w:sz w:val="30"/>
          <w:szCs w:val="30"/>
          <w:lang w:val="en-US" w:eastAsia="zh-CN"/>
        </w:rPr>
      </w:pPr>
      <w:r>
        <w:rPr>
          <w:rFonts w:hint="eastAsia" w:ascii="宋体" w:hAnsi="宋体" w:eastAsia="宋体" w:cs="宋体"/>
          <w:snapToGrid w:val="0"/>
          <w:color w:val="auto"/>
          <w:sz w:val="30"/>
          <w:szCs w:val="30"/>
        </w:rPr>
        <w:t>附表      建设项目污染物排放量汇总表</w:t>
      </w:r>
      <w:r>
        <w:rPr>
          <w:rFonts w:hint="eastAsia" w:ascii="宋体" w:hAnsi="宋体" w:eastAsia="宋体" w:cs="宋体"/>
          <w:snapToGrid w:val="0"/>
          <w:color w:val="auto"/>
          <w:sz w:val="30"/>
          <w:szCs w:val="30"/>
          <w:lang w:val="en-US" w:eastAsia="zh-CN"/>
        </w:rPr>
        <w:t xml:space="preserve">     单位：t/a</w:t>
      </w:r>
      <w:r>
        <w:commentReference w:id="16"/>
      </w:r>
    </w:p>
    <w:tbl>
      <w:tblPr>
        <w:tblStyle w:val="27"/>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1793"/>
        <w:gridCol w:w="1973"/>
        <w:gridCol w:w="1295"/>
        <w:gridCol w:w="1554"/>
        <w:gridCol w:w="1567"/>
        <w:gridCol w:w="1562"/>
        <w:gridCol w:w="1920"/>
        <w:gridCol w:w="1358"/>
      </w:tblGrid>
      <w:tr w14:paraId="62A38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52" w:type="dxa"/>
            <w:tcBorders>
              <w:tl2br w:val="single" w:color="auto" w:sz="4" w:space="0"/>
            </w:tcBorders>
            <w:vAlign w:val="center"/>
          </w:tcPr>
          <w:p w14:paraId="554871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right"/>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项目</w:t>
            </w:r>
          </w:p>
          <w:p w14:paraId="77AE8D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left"/>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分类</w:t>
            </w:r>
          </w:p>
        </w:tc>
        <w:tc>
          <w:tcPr>
            <w:tcW w:w="1793" w:type="dxa"/>
            <w:vAlign w:val="center"/>
          </w:tcPr>
          <w:p w14:paraId="499DC9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污染物名称</w:t>
            </w:r>
          </w:p>
        </w:tc>
        <w:tc>
          <w:tcPr>
            <w:tcW w:w="1973" w:type="dxa"/>
            <w:vAlign w:val="center"/>
          </w:tcPr>
          <w:p w14:paraId="481E6B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现有工程排放量（固体废物产生量）①</w:t>
            </w:r>
          </w:p>
        </w:tc>
        <w:tc>
          <w:tcPr>
            <w:tcW w:w="1295" w:type="dxa"/>
            <w:vAlign w:val="center"/>
          </w:tcPr>
          <w:p w14:paraId="678A6D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现有工程许可排放量</w:t>
            </w:r>
            <w:r>
              <w:rPr>
                <w:rFonts w:hint="eastAsia" w:ascii="宋体" w:hAnsi="宋体" w:eastAsia="宋体" w:cs="宋体"/>
                <w:b w:val="0"/>
                <w:bCs w:val="0"/>
                <w:color w:val="auto"/>
                <w:szCs w:val="21"/>
              </w:rPr>
              <w:fldChar w:fldCharType="begin"/>
            </w:r>
            <w:r>
              <w:rPr>
                <w:rFonts w:hint="eastAsia" w:ascii="宋体" w:hAnsi="宋体" w:eastAsia="宋体" w:cs="宋体"/>
                <w:b w:val="0"/>
                <w:bCs w:val="0"/>
                <w:color w:val="auto"/>
                <w:szCs w:val="21"/>
              </w:rPr>
              <w:instrText xml:space="preserve"> = 2 \* GB3 \* MERGEFORMAT </w:instrText>
            </w:r>
            <w:r>
              <w:rPr>
                <w:rFonts w:hint="eastAsia" w:ascii="宋体" w:hAnsi="宋体" w:eastAsia="宋体" w:cs="宋体"/>
                <w:b w:val="0"/>
                <w:bCs w:val="0"/>
                <w:color w:val="auto"/>
                <w:szCs w:val="21"/>
              </w:rPr>
              <w:fldChar w:fldCharType="separate"/>
            </w:r>
            <w:r>
              <w:rPr>
                <w:rFonts w:hint="eastAsia" w:ascii="宋体" w:hAnsi="宋体" w:eastAsia="宋体" w:cs="宋体"/>
                <w:b w:val="0"/>
                <w:bCs w:val="0"/>
                <w:color w:val="auto"/>
                <w:szCs w:val="21"/>
              </w:rPr>
              <w:t>②</w:t>
            </w:r>
            <w:r>
              <w:rPr>
                <w:rFonts w:hint="eastAsia" w:ascii="宋体" w:hAnsi="宋体" w:eastAsia="宋体" w:cs="宋体"/>
                <w:b w:val="0"/>
                <w:bCs w:val="0"/>
                <w:color w:val="auto"/>
                <w:szCs w:val="21"/>
              </w:rPr>
              <w:fldChar w:fldCharType="end"/>
            </w:r>
          </w:p>
        </w:tc>
        <w:tc>
          <w:tcPr>
            <w:tcW w:w="1554" w:type="dxa"/>
            <w:vAlign w:val="center"/>
          </w:tcPr>
          <w:p w14:paraId="458609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在建工程排放量（固体废物产生量）</w:t>
            </w:r>
            <w:r>
              <w:rPr>
                <w:rFonts w:hint="eastAsia" w:ascii="宋体" w:hAnsi="宋体" w:eastAsia="宋体" w:cs="宋体"/>
                <w:b w:val="0"/>
                <w:bCs w:val="0"/>
                <w:color w:val="auto"/>
                <w:szCs w:val="21"/>
              </w:rPr>
              <w:fldChar w:fldCharType="begin"/>
            </w:r>
            <w:r>
              <w:rPr>
                <w:rFonts w:hint="eastAsia" w:ascii="宋体" w:hAnsi="宋体" w:eastAsia="宋体" w:cs="宋体"/>
                <w:b w:val="0"/>
                <w:bCs w:val="0"/>
                <w:color w:val="auto"/>
                <w:szCs w:val="21"/>
              </w:rPr>
              <w:instrText xml:space="preserve"> = 3 \* GB3 \* MERGEFORMAT </w:instrText>
            </w:r>
            <w:r>
              <w:rPr>
                <w:rFonts w:hint="eastAsia" w:ascii="宋体" w:hAnsi="宋体" w:eastAsia="宋体" w:cs="宋体"/>
                <w:b w:val="0"/>
                <w:bCs w:val="0"/>
                <w:color w:val="auto"/>
                <w:szCs w:val="21"/>
              </w:rPr>
              <w:fldChar w:fldCharType="separate"/>
            </w:r>
            <w:r>
              <w:rPr>
                <w:rFonts w:hint="eastAsia" w:ascii="宋体" w:hAnsi="宋体" w:eastAsia="宋体" w:cs="宋体"/>
                <w:b w:val="0"/>
                <w:bCs w:val="0"/>
                <w:color w:val="auto"/>
                <w:szCs w:val="21"/>
              </w:rPr>
              <w:t>③</w:t>
            </w:r>
            <w:r>
              <w:rPr>
                <w:rFonts w:hint="eastAsia" w:ascii="宋体" w:hAnsi="宋体" w:eastAsia="宋体" w:cs="宋体"/>
                <w:b w:val="0"/>
                <w:bCs w:val="0"/>
                <w:color w:val="auto"/>
                <w:szCs w:val="21"/>
              </w:rPr>
              <w:fldChar w:fldCharType="end"/>
            </w:r>
          </w:p>
        </w:tc>
        <w:tc>
          <w:tcPr>
            <w:tcW w:w="1567" w:type="dxa"/>
            <w:vAlign w:val="center"/>
          </w:tcPr>
          <w:p w14:paraId="36A5FA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本项目排放量（固体废物产生量）</w:t>
            </w:r>
            <w:r>
              <w:rPr>
                <w:rFonts w:hint="eastAsia" w:ascii="宋体" w:hAnsi="宋体" w:eastAsia="宋体" w:cs="宋体"/>
                <w:b w:val="0"/>
                <w:bCs w:val="0"/>
                <w:color w:val="auto"/>
                <w:szCs w:val="21"/>
              </w:rPr>
              <w:fldChar w:fldCharType="begin"/>
            </w:r>
            <w:r>
              <w:rPr>
                <w:rFonts w:hint="eastAsia" w:ascii="宋体" w:hAnsi="宋体" w:eastAsia="宋体" w:cs="宋体"/>
                <w:b w:val="0"/>
                <w:bCs w:val="0"/>
                <w:color w:val="auto"/>
                <w:szCs w:val="21"/>
              </w:rPr>
              <w:instrText xml:space="preserve"> = 4 \* GB3 \* MERGEFORMAT </w:instrText>
            </w:r>
            <w:r>
              <w:rPr>
                <w:rFonts w:hint="eastAsia" w:ascii="宋体" w:hAnsi="宋体" w:eastAsia="宋体" w:cs="宋体"/>
                <w:b w:val="0"/>
                <w:bCs w:val="0"/>
                <w:color w:val="auto"/>
                <w:szCs w:val="21"/>
              </w:rPr>
              <w:fldChar w:fldCharType="separate"/>
            </w:r>
            <w:r>
              <w:rPr>
                <w:rFonts w:hint="eastAsia" w:ascii="宋体" w:hAnsi="宋体" w:eastAsia="宋体" w:cs="宋体"/>
                <w:b w:val="0"/>
                <w:bCs w:val="0"/>
                <w:color w:val="auto"/>
                <w:szCs w:val="21"/>
              </w:rPr>
              <w:t>④</w:t>
            </w:r>
            <w:r>
              <w:rPr>
                <w:rFonts w:hint="eastAsia" w:ascii="宋体" w:hAnsi="宋体" w:eastAsia="宋体" w:cs="宋体"/>
                <w:b w:val="0"/>
                <w:bCs w:val="0"/>
                <w:color w:val="auto"/>
                <w:szCs w:val="21"/>
              </w:rPr>
              <w:fldChar w:fldCharType="end"/>
            </w:r>
          </w:p>
        </w:tc>
        <w:tc>
          <w:tcPr>
            <w:tcW w:w="1562" w:type="dxa"/>
            <w:vAlign w:val="center"/>
          </w:tcPr>
          <w:p w14:paraId="342208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以新带老削减量（新建项目不填）</w:t>
            </w:r>
            <w:r>
              <w:rPr>
                <w:rFonts w:hint="eastAsia" w:ascii="宋体" w:hAnsi="宋体" w:eastAsia="宋体" w:cs="宋体"/>
                <w:b w:val="0"/>
                <w:bCs w:val="0"/>
                <w:color w:val="auto"/>
                <w:szCs w:val="21"/>
              </w:rPr>
              <w:fldChar w:fldCharType="begin"/>
            </w:r>
            <w:r>
              <w:rPr>
                <w:rFonts w:hint="eastAsia" w:ascii="宋体" w:hAnsi="宋体" w:eastAsia="宋体" w:cs="宋体"/>
                <w:b w:val="0"/>
                <w:bCs w:val="0"/>
                <w:color w:val="auto"/>
                <w:szCs w:val="21"/>
              </w:rPr>
              <w:instrText xml:space="preserve"> = 5 \* GB3 \* MERGEFORMAT </w:instrText>
            </w:r>
            <w:r>
              <w:rPr>
                <w:rFonts w:hint="eastAsia" w:ascii="宋体" w:hAnsi="宋体" w:eastAsia="宋体" w:cs="宋体"/>
                <w:b w:val="0"/>
                <w:bCs w:val="0"/>
                <w:color w:val="auto"/>
                <w:szCs w:val="21"/>
              </w:rPr>
              <w:fldChar w:fldCharType="separate"/>
            </w:r>
            <w:r>
              <w:rPr>
                <w:rFonts w:hint="eastAsia" w:ascii="宋体" w:hAnsi="宋体" w:eastAsia="宋体" w:cs="宋体"/>
                <w:b w:val="0"/>
                <w:bCs w:val="0"/>
                <w:color w:val="auto"/>
                <w:szCs w:val="21"/>
              </w:rPr>
              <w:t>⑤</w:t>
            </w:r>
            <w:r>
              <w:rPr>
                <w:rFonts w:hint="eastAsia" w:ascii="宋体" w:hAnsi="宋体" w:eastAsia="宋体" w:cs="宋体"/>
                <w:b w:val="0"/>
                <w:bCs w:val="0"/>
                <w:color w:val="auto"/>
                <w:szCs w:val="21"/>
              </w:rPr>
              <w:fldChar w:fldCharType="end"/>
            </w:r>
          </w:p>
        </w:tc>
        <w:tc>
          <w:tcPr>
            <w:tcW w:w="1920" w:type="dxa"/>
            <w:vAlign w:val="center"/>
          </w:tcPr>
          <w:p w14:paraId="249F75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本项目建成后全厂排放量（固体废物产生量）</w:t>
            </w:r>
            <w:r>
              <w:rPr>
                <w:rFonts w:hint="eastAsia" w:ascii="宋体" w:hAnsi="宋体" w:eastAsia="宋体" w:cs="宋体"/>
                <w:b w:val="0"/>
                <w:bCs w:val="0"/>
                <w:color w:val="auto"/>
                <w:szCs w:val="21"/>
              </w:rPr>
              <w:fldChar w:fldCharType="begin"/>
            </w:r>
            <w:r>
              <w:rPr>
                <w:rFonts w:hint="eastAsia" w:ascii="宋体" w:hAnsi="宋体" w:eastAsia="宋体" w:cs="宋体"/>
                <w:b w:val="0"/>
                <w:bCs w:val="0"/>
                <w:color w:val="auto"/>
                <w:szCs w:val="21"/>
              </w:rPr>
              <w:instrText xml:space="preserve"> = 6 \* GB3 \* MERGEFORMAT </w:instrText>
            </w:r>
            <w:r>
              <w:rPr>
                <w:rFonts w:hint="eastAsia" w:ascii="宋体" w:hAnsi="宋体" w:eastAsia="宋体" w:cs="宋体"/>
                <w:b w:val="0"/>
                <w:bCs w:val="0"/>
                <w:color w:val="auto"/>
                <w:szCs w:val="21"/>
              </w:rPr>
              <w:fldChar w:fldCharType="separate"/>
            </w:r>
            <w:r>
              <w:rPr>
                <w:rFonts w:hint="eastAsia" w:ascii="宋体" w:hAnsi="宋体" w:eastAsia="宋体" w:cs="宋体"/>
                <w:b w:val="0"/>
                <w:bCs w:val="0"/>
                <w:color w:val="auto"/>
                <w:szCs w:val="21"/>
              </w:rPr>
              <w:t>⑥</w:t>
            </w:r>
            <w:r>
              <w:rPr>
                <w:rFonts w:hint="eastAsia" w:ascii="宋体" w:hAnsi="宋体" w:eastAsia="宋体" w:cs="宋体"/>
                <w:b w:val="0"/>
                <w:bCs w:val="0"/>
                <w:color w:val="auto"/>
                <w:szCs w:val="21"/>
              </w:rPr>
              <w:fldChar w:fldCharType="end"/>
            </w:r>
          </w:p>
        </w:tc>
        <w:tc>
          <w:tcPr>
            <w:tcW w:w="1358" w:type="dxa"/>
            <w:vAlign w:val="center"/>
          </w:tcPr>
          <w:p w14:paraId="6182F6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val="0"/>
                <w:bCs w:val="0"/>
                <w:color w:val="auto"/>
                <w:szCs w:val="21"/>
              </w:rPr>
            </w:pPr>
            <w:r>
              <w:rPr>
                <w:rFonts w:hint="eastAsia" w:ascii="宋体" w:hAnsi="宋体" w:eastAsia="宋体" w:cs="宋体"/>
                <w:b w:val="0"/>
                <w:bCs w:val="0"/>
                <w:color w:val="auto"/>
                <w:szCs w:val="21"/>
              </w:rPr>
              <w:t>变化量</w:t>
            </w:r>
            <w:r>
              <w:rPr>
                <w:rFonts w:hint="eastAsia" w:ascii="宋体" w:hAnsi="宋体" w:eastAsia="宋体" w:cs="宋体"/>
                <w:b w:val="0"/>
                <w:bCs w:val="0"/>
                <w:color w:val="auto"/>
                <w:szCs w:val="21"/>
              </w:rPr>
              <w:fldChar w:fldCharType="begin"/>
            </w:r>
            <w:r>
              <w:rPr>
                <w:rFonts w:hint="eastAsia" w:ascii="宋体" w:hAnsi="宋体" w:eastAsia="宋体" w:cs="宋体"/>
                <w:b w:val="0"/>
                <w:bCs w:val="0"/>
                <w:color w:val="auto"/>
                <w:szCs w:val="21"/>
              </w:rPr>
              <w:instrText xml:space="preserve"> = 7 \* GB3 \* MERGEFORMAT </w:instrText>
            </w:r>
            <w:r>
              <w:rPr>
                <w:rFonts w:hint="eastAsia" w:ascii="宋体" w:hAnsi="宋体" w:eastAsia="宋体" w:cs="宋体"/>
                <w:b w:val="0"/>
                <w:bCs w:val="0"/>
                <w:color w:val="auto"/>
                <w:szCs w:val="21"/>
              </w:rPr>
              <w:fldChar w:fldCharType="separate"/>
            </w:r>
            <w:r>
              <w:rPr>
                <w:rFonts w:hint="eastAsia" w:ascii="宋体" w:hAnsi="宋体" w:eastAsia="宋体" w:cs="宋体"/>
                <w:b w:val="0"/>
                <w:bCs w:val="0"/>
                <w:color w:val="auto"/>
                <w:szCs w:val="21"/>
              </w:rPr>
              <w:t>⑦</w:t>
            </w:r>
            <w:r>
              <w:rPr>
                <w:rFonts w:hint="eastAsia" w:ascii="宋体" w:hAnsi="宋体" w:eastAsia="宋体" w:cs="宋体"/>
                <w:b w:val="0"/>
                <w:bCs w:val="0"/>
                <w:color w:val="auto"/>
                <w:szCs w:val="21"/>
              </w:rPr>
              <w:fldChar w:fldCharType="end"/>
            </w:r>
          </w:p>
        </w:tc>
      </w:tr>
      <w:tr w14:paraId="1EABB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restart"/>
            <w:vAlign w:val="center"/>
          </w:tcPr>
          <w:p w14:paraId="0F8DA950">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r>
              <w:rPr>
                <w:rFonts w:hint="eastAsia" w:ascii="宋体" w:hAnsi="宋体" w:eastAsia="宋体" w:cs="宋体"/>
                <w:color w:val="auto"/>
                <w:szCs w:val="21"/>
              </w:rPr>
              <w:t>废气</w:t>
            </w:r>
          </w:p>
        </w:tc>
        <w:tc>
          <w:tcPr>
            <w:tcW w:w="1793" w:type="dxa"/>
            <w:vAlign w:val="center"/>
          </w:tcPr>
          <w:p w14:paraId="4E89A887">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烟气量</w:t>
            </w:r>
          </w:p>
        </w:tc>
        <w:tc>
          <w:tcPr>
            <w:tcW w:w="1973" w:type="dxa"/>
            <w:vAlign w:val="center"/>
          </w:tcPr>
          <w:p w14:paraId="36AFD596">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szCs w:val="21"/>
                <w:vertAlign w:val="superscript"/>
                <w:lang w:val="en-US" w:eastAsia="zh-CN"/>
              </w:rPr>
            </w:pPr>
            <w:r>
              <w:rPr>
                <w:rFonts w:hint="eastAsia" w:ascii="宋体" w:hAnsi="宋体" w:eastAsia="宋体" w:cs="宋体"/>
                <w:color w:val="auto"/>
                <w:szCs w:val="21"/>
                <w:lang w:val="en-US" w:eastAsia="zh-CN"/>
              </w:rPr>
              <w:t>2845.02×10</w:t>
            </w:r>
            <w:r>
              <w:rPr>
                <w:rFonts w:hint="eastAsia" w:ascii="宋体" w:hAnsi="宋体" w:eastAsia="宋体" w:cs="宋体"/>
                <w:color w:val="auto"/>
                <w:szCs w:val="21"/>
                <w:vertAlign w:val="superscript"/>
                <w:lang w:val="en-US" w:eastAsia="zh-CN"/>
              </w:rPr>
              <w:t>4</w:t>
            </w:r>
          </w:p>
          <w:p w14:paraId="688E9A64">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szCs w:val="21"/>
                <w:vertAlign w:val="baseline"/>
                <w:lang w:val="en-US" w:eastAsia="zh-CN"/>
              </w:rPr>
              <w:t>Nm³/a</w:t>
            </w:r>
          </w:p>
        </w:tc>
        <w:tc>
          <w:tcPr>
            <w:tcW w:w="1295" w:type="dxa"/>
            <w:vAlign w:val="center"/>
          </w:tcPr>
          <w:p w14:paraId="2C0BE0AA">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78525FEF">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700B1C1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lang w:bidi="ar"/>
              </w:rPr>
            </w:pPr>
            <w:r>
              <w:rPr>
                <w:rFonts w:hint="eastAsia" w:ascii="宋体" w:hAnsi="宋体" w:eastAsia="宋体" w:cs="宋体"/>
                <w:color w:val="auto"/>
                <w:szCs w:val="21"/>
                <w:lang w:val="en-US" w:eastAsia="zh-CN" w:bidi="ar"/>
              </w:rPr>
              <w:t>534.12</w:t>
            </w:r>
            <w:r>
              <w:rPr>
                <w:rFonts w:hint="eastAsia" w:ascii="宋体" w:hAnsi="宋体" w:eastAsia="宋体" w:cs="宋体"/>
                <w:color w:val="auto"/>
                <w:szCs w:val="21"/>
                <w:lang w:bidi="ar"/>
              </w:rPr>
              <w:t>×10</w:t>
            </w:r>
            <w:r>
              <w:rPr>
                <w:rFonts w:hint="eastAsia" w:ascii="宋体" w:hAnsi="宋体" w:eastAsia="宋体" w:cs="宋体"/>
                <w:color w:val="auto"/>
                <w:szCs w:val="21"/>
                <w:vertAlign w:val="superscript"/>
                <w:lang w:bidi="ar"/>
              </w:rPr>
              <w:t>4</w:t>
            </w:r>
          </w:p>
          <w:p w14:paraId="18B580F8">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vertAlign w:val="baseline"/>
                <w:lang w:val="en-US" w:eastAsia="zh-CN"/>
              </w:rPr>
              <w:t>N</w:t>
            </w:r>
            <w:r>
              <w:rPr>
                <w:rFonts w:hint="eastAsia" w:ascii="宋体" w:hAnsi="宋体" w:eastAsia="宋体" w:cs="宋体"/>
                <w:color w:val="auto"/>
                <w:szCs w:val="21"/>
                <w:lang w:bidi="ar"/>
              </w:rPr>
              <w:t>m</w:t>
            </w:r>
            <w:r>
              <w:rPr>
                <w:rFonts w:hint="eastAsia" w:ascii="宋体" w:hAnsi="宋体" w:eastAsia="宋体" w:cs="宋体"/>
                <w:color w:val="auto"/>
                <w:szCs w:val="21"/>
                <w:vertAlign w:val="superscript"/>
                <w:lang w:bidi="ar"/>
              </w:rPr>
              <w:t>3</w:t>
            </w:r>
            <w:r>
              <w:rPr>
                <w:rFonts w:hint="eastAsia" w:ascii="宋体" w:hAnsi="宋体" w:eastAsia="宋体" w:cs="宋体"/>
                <w:color w:val="auto"/>
                <w:szCs w:val="21"/>
                <w:lang w:bidi="ar"/>
              </w:rPr>
              <w:t>/a</w:t>
            </w:r>
          </w:p>
        </w:tc>
        <w:tc>
          <w:tcPr>
            <w:tcW w:w="1562" w:type="dxa"/>
            <w:vAlign w:val="center"/>
          </w:tcPr>
          <w:p w14:paraId="7591782E">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szCs w:val="21"/>
                <w:vertAlign w:val="superscript"/>
                <w:lang w:val="en-US" w:eastAsia="zh-CN"/>
              </w:rPr>
            </w:pPr>
            <w:r>
              <w:rPr>
                <w:rFonts w:hint="eastAsia" w:ascii="宋体" w:hAnsi="宋体" w:eastAsia="宋体" w:cs="宋体"/>
                <w:color w:val="auto"/>
                <w:szCs w:val="21"/>
                <w:lang w:val="en-US" w:eastAsia="zh-CN"/>
              </w:rPr>
              <w:t>2845.02×10</w:t>
            </w:r>
            <w:r>
              <w:rPr>
                <w:rFonts w:hint="eastAsia" w:ascii="宋体" w:hAnsi="宋体" w:eastAsia="宋体" w:cs="宋体"/>
                <w:color w:val="auto"/>
                <w:szCs w:val="21"/>
                <w:vertAlign w:val="superscript"/>
                <w:lang w:val="en-US" w:eastAsia="zh-CN"/>
              </w:rPr>
              <w:t>4</w:t>
            </w:r>
          </w:p>
          <w:p w14:paraId="5521A935">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szCs w:val="21"/>
                <w:vertAlign w:val="baseline"/>
                <w:lang w:val="en-US" w:eastAsia="zh-CN"/>
              </w:rPr>
              <w:t>Nm³/a</w:t>
            </w:r>
          </w:p>
        </w:tc>
        <w:tc>
          <w:tcPr>
            <w:tcW w:w="1920" w:type="dxa"/>
            <w:vAlign w:val="center"/>
          </w:tcPr>
          <w:p w14:paraId="4D0029AD">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lang w:bidi="ar"/>
              </w:rPr>
            </w:pPr>
            <w:r>
              <w:rPr>
                <w:rFonts w:hint="eastAsia" w:ascii="宋体" w:hAnsi="宋体" w:eastAsia="宋体" w:cs="宋体"/>
                <w:color w:val="auto"/>
                <w:szCs w:val="21"/>
                <w:lang w:val="en-US" w:eastAsia="zh-CN" w:bidi="ar"/>
              </w:rPr>
              <w:t>534.12</w:t>
            </w:r>
            <w:r>
              <w:rPr>
                <w:rFonts w:hint="eastAsia" w:ascii="宋体" w:hAnsi="宋体" w:eastAsia="宋体" w:cs="宋体"/>
                <w:color w:val="auto"/>
                <w:szCs w:val="21"/>
                <w:lang w:bidi="ar"/>
              </w:rPr>
              <w:t>×10</w:t>
            </w:r>
            <w:r>
              <w:rPr>
                <w:rFonts w:hint="eastAsia" w:ascii="宋体" w:hAnsi="宋体" w:eastAsia="宋体" w:cs="宋体"/>
                <w:color w:val="auto"/>
                <w:szCs w:val="21"/>
                <w:vertAlign w:val="superscript"/>
                <w:lang w:bidi="ar"/>
              </w:rPr>
              <w:t>4</w:t>
            </w:r>
          </w:p>
          <w:p w14:paraId="579BB009">
            <w:pPr>
              <w:keepNext w:val="0"/>
              <w:keepLines w:val="0"/>
              <w:suppressLineNumbers w:val="0"/>
              <w:spacing w:before="0" w:beforeAutospacing="0" w:after="0" w:afterAutospacing="0" w:line="360" w:lineRule="exact"/>
              <w:ind w:left="0" w:leftChars="0" w:right="0" w:rightChars="0"/>
              <w:jc w:val="center"/>
              <w:rPr>
                <w:rFonts w:hint="eastAsia" w:ascii="宋体" w:hAnsi="宋体" w:eastAsia="宋体" w:cs="宋体"/>
                <w:color w:val="auto"/>
                <w:kern w:val="0"/>
                <w:szCs w:val="21"/>
                <w:lang w:bidi="ar"/>
              </w:rPr>
            </w:pPr>
            <w:r>
              <w:rPr>
                <w:rFonts w:hint="eastAsia" w:ascii="宋体" w:hAnsi="宋体" w:eastAsia="宋体" w:cs="宋体"/>
                <w:color w:val="auto"/>
                <w:szCs w:val="21"/>
                <w:vertAlign w:val="baseline"/>
                <w:lang w:val="en-US" w:eastAsia="zh-CN"/>
              </w:rPr>
              <w:t>N</w:t>
            </w:r>
            <w:r>
              <w:rPr>
                <w:rFonts w:hint="eastAsia" w:ascii="宋体" w:hAnsi="宋体" w:eastAsia="宋体" w:cs="宋体"/>
                <w:color w:val="auto"/>
                <w:szCs w:val="21"/>
                <w:lang w:bidi="ar"/>
              </w:rPr>
              <w:t>m</w:t>
            </w:r>
            <w:r>
              <w:rPr>
                <w:rFonts w:hint="eastAsia" w:ascii="宋体" w:hAnsi="宋体" w:eastAsia="宋体" w:cs="宋体"/>
                <w:color w:val="auto"/>
                <w:szCs w:val="21"/>
                <w:vertAlign w:val="superscript"/>
                <w:lang w:bidi="ar"/>
              </w:rPr>
              <w:t>3</w:t>
            </w:r>
            <w:r>
              <w:rPr>
                <w:rFonts w:hint="eastAsia" w:ascii="宋体" w:hAnsi="宋体" w:eastAsia="宋体" w:cs="宋体"/>
                <w:color w:val="auto"/>
                <w:szCs w:val="21"/>
                <w:lang w:bidi="ar"/>
              </w:rPr>
              <w:t>/a</w:t>
            </w:r>
          </w:p>
        </w:tc>
        <w:tc>
          <w:tcPr>
            <w:tcW w:w="1358" w:type="dxa"/>
            <w:vAlign w:val="center"/>
          </w:tcPr>
          <w:p w14:paraId="67309D0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vertAlign w:val="superscript"/>
                <w:lang w:bidi="ar"/>
              </w:rPr>
            </w:pPr>
            <w:r>
              <w:rPr>
                <w:rFonts w:hint="eastAsia" w:ascii="宋体" w:hAnsi="宋体" w:eastAsia="宋体" w:cs="宋体"/>
                <w:color w:val="auto"/>
                <w:kern w:val="0"/>
                <w:szCs w:val="21"/>
                <w:lang w:val="en-US" w:eastAsia="zh-CN" w:bidi="ar"/>
              </w:rPr>
              <w:t>2310.9</w:t>
            </w:r>
            <w:r>
              <w:rPr>
                <w:rFonts w:hint="eastAsia" w:ascii="宋体" w:hAnsi="宋体" w:eastAsia="宋体" w:cs="宋体"/>
                <w:color w:val="auto"/>
                <w:szCs w:val="21"/>
                <w:lang w:bidi="ar"/>
              </w:rPr>
              <w:t>×10</w:t>
            </w:r>
            <w:r>
              <w:rPr>
                <w:rFonts w:hint="eastAsia" w:ascii="宋体" w:hAnsi="宋体" w:eastAsia="宋体" w:cs="宋体"/>
                <w:color w:val="auto"/>
                <w:szCs w:val="21"/>
                <w:vertAlign w:val="superscript"/>
                <w:lang w:bidi="ar"/>
              </w:rPr>
              <w:t>4</w:t>
            </w:r>
          </w:p>
          <w:p w14:paraId="0BDCBAB0">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kern w:val="0"/>
                <w:szCs w:val="21"/>
                <w:lang w:val="en-US" w:eastAsia="zh-CN" w:bidi="ar"/>
              </w:rPr>
            </w:pPr>
            <w:r>
              <w:rPr>
                <w:rFonts w:hint="eastAsia" w:ascii="宋体" w:hAnsi="宋体" w:eastAsia="宋体" w:cs="宋体"/>
                <w:color w:val="auto"/>
                <w:szCs w:val="21"/>
                <w:vertAlign w:val="baseline"/>
                <w:lang w:val="en-US" w:eastAsia="zh-CN"/>
              </w:rPr>
              <w:t>N</w:t>
            </w:r>
            <w:r>
              <w:rPr>
                <w:rFonts w:hint="eastAsia" w:ascii="宋体" w:hAnsi="宋体" w:eastAsia="宋体" w:cs="宋体"/>
                <w:color w:val="auto"/>
                <w:szCs w:val="21"/>
                <w:lang w:bidi="ar"/>
              </w:rPr>
              <w:t>m</w:t>
            </w:r>
            <w:r>
              <w:rPr>
                <w:rFonts w:hint="eastAsia" w:ascii="宋体" w:hAnsi="宋体" w:eastAsia="宋体" w:cs="宋体"/>
                <w:color w:val="auto"/>
                <w:szCs w:val="21"/>
                <w:vertAlign w:val="superscript"/>
                <w:lang w:bidi="ar"/>
              </w:rPr>
              <w:t>3</w:t>
            </w:r>
            <w:r>
              <w:rPr>
                <w:rFonts w:hint="eastAsia" w:ascii="宋体" w:hAnsi="宋体" w:eastAsia="宋体" w:cs="宋体"/>
                <w:color w:val="auto"/>
                <w:szCs w:val="21"/>
                <w:lang w:bidi="ar"/>
              </w:rPr>
              <w:t>/a</w:t>
            </w:r>
          </w:p>
        </w:tc>
      </w:tr>
      <w:tr w14:paraId="52D39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vAlign w:val="center"/>
          </w:tcPr>
          <w:p w14:paraId="31E92B42">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1E4A45D3">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Cs w:val="21"/>
              </w:rPr>
              <w:t>颗粒物</w:t>
            </w:r>
          </w:p>
        </w:tc>
        <w:tc>
          <w:tcPr>
            <w:tcW w:w="1973" w:type="dxa"/>
            <w:vAlign w:val="center"/>
          </w:tcPr>
          <w:p w14:paraId="7FC7EEC6">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Cs w:val="21"/>
                <w:lang w:val="en-US" w:eastAsia="zh-CN" w:bidi="ar"/>
              </w:rPr>
              <w:t>0.646</w:t>
            </w:r>
          </w:p>
        </w:tc>
        <w:tc>
          <w:tcPr>
            <w:tcW w:w="1295" w:type="dxa"/>
            <w:vAlign w:val="center"/>
          </w:tcPr>
          <w:p w14:paraId="301467D8">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76B3E56F">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063FE921">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0.0</w:t>
            </w:r>
            <w:r>
              <w:rPr>
                <w:rFonts w:hint="eastAsia" w:eastAsia="宋体" w:cs="宋体"/>
                <w:color w:val="auto"/>
                <w:kern w:val="2"/>
                <w:sz w:val="21"/>
                <w:szCs w:val="21"/>
                <w:lang w:val="en-US" w:eastAsia="zh-CN" w:bidi="ar-SA"/>
              </w:rPr>
              <w:t>78</w:t>
            </w:r>
          </w:p>
        </w:tc>
        <w:tc>
          <w:tcPr>
            <w:tcW w:w="1562" w:type="dxa"/>
            <w:vAlign w:val="center"/>
          </w:tcPr>
          <w:p w14:paraId="0354C39B">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Cs w:val="21"/>
                <w:lang w:val="en-US" w:eastAsia="zh-CN" w:bidi="ar"/>
              </w:rPr>
              <w:t>0.646</w:t>
            </w:r>
          </w:p>
        </w:tc>
        <w:tc>
          <w:tcPr>
            <w:tcW w:w="1920" w:type="dxa"/>
            <w:vAlign w:val="center"/>
          </w:tcPr>
          <w:p w14:paraId="0C17B925">
            <w:pPr>
              <w:keepNext w:val="0"/>
              <w:keepLines w:val="0"/>
              <w:widowControl/>
              <w:suppressLineNumbers w:val="0"/>
              <w:spacing w:before="0" w:beforeAutospacing="0" w:after="0" w:afterAutospacing="0" w:line="360" w:lineRule="exact"/>
              <w:ind w:left="0" w:leftChars="0" w:right="0" w:rightChars="0"/>
              <w:jc w:val="center"/>
              <w:textAlignment w:val="center"/>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2"/>
                <w:sz w:val="21"/>
                <w:szCs w:val="21"/>
                <w:lang w:val="en-US" w:eastAsia="zh-CN" w:bidi="ar-SA"/>
              </w:rPr>
              <w:t>0.0</w:t>
            </w:r>
            <w:r>
              <w:rPr>
                <w:rFonts w:hint="eastAsia" w:eastAsia="宋体" w:cs="宋体"/>
                <w:color w:val="auto"/>
                <w:kern w:val="2"/>
                <w:sz w:val="21"/>
                <w:szCs w:val="21"/>
                <w:lang w:val="en-US" w:eastAsia="zh-CN" w:bidi="ar-SA"/>
              </w:rPr>
              <w:t>78</w:t>
            </w:r>
          </w:p>
        </w:tc>
        <w:tc>
          <w:tcPr>
            <w:tcW w:w="1358" w:type="dxa"/>
            <w:vAlign w:val="center"/>
          </w:tcPr>
          <w:p w14:paraId="3712AFB3">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-0.</w:t>
            </w:r>
            <w:r>
              <w:rPr>
                <w:rFonts w:hint="eastAsia" w:eastAsia="宋体" w:cs="宋体"/>
                <w:color w:val="auto"/>
                <w:kern w:val="0"/>
                <w:sz w:val="21"/>
                <w:szCs w:val="21"/>
                <w:lang w:val="en-US" w:eastAsia="zh-CN" w:bidi="ar"/>
              </w:rPr>
              <w:t>568</w:t>
            </w:r>
          </w:p>
        </w:tc>
      </w:tr>
      <w:tr w14:paraId="599B7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vAlign w:val="center"/>
          </w:tcPr>
          <w:p w14:paraId="40B660A0">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1A6C8C9B">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rPr>
            </w:pPr>
            <w:r>
              <w:rPr>
                <w:rFonts w:hint="eastAsia" w:ascii="宋体" w:hAnsi="宋体" w:eastAsia="宋体" w:cs="宋体"/>
                <w:color w:val="auto"/>
                <w:szCs w:val="21"/>
              </w:rPr>
              <w:t>二氧化硫</w:t>
            </w:r>
          </w:p>
        </w:tc>
        <w:tc>
          <w:tcPr>
            <w:tcW w:w="1973" w:type="dxa"/>
            <w:vAlign w:val="center"/>
          </w:tcPr>
          <w:p w14:paraId="58CD705B">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2.325</w:t>
            </w:r>
          </w:p>
        </w:tc>
        <w:tc>
          <w:tcPr>
            <w:tcW w:w="1295" w:type="dxa"/>
            <w:vAlign w:val="center"/>
          </w:tcPr>
          <w:p w14:paraId="75ABBF34">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257ADE65">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63471F7A">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0.006</w:t>
            </w:r>
          </w:p>
        </w:tc>
        <w:tc>
          <w:tcPr>
            <w:tcW w:w="1562" w:type="dxa"/>
            <w:vAlign w:val="center"/>
          </w:tcPr>
          <w:p w14:paraId="7DDE77A2">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2.325</w:t>
            </w:r>
          </w:p>
        </w:tc>
        <w:tc>
          <w:tcPr>
            <w:tcW w:w="1920" w:type="dxa"/>
            <w:vAlign w:val="center"/>
          </w:tcPr>
          <w:p w14:paraId="7BAF5EBD">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szCs w:val="21"/>
                <w:lang w:val="en-US" w:eastAsia="zh-CN"/>
              </w:rPr>
              <w:t>0.006</w:t>
            </w:r>
          </w:p>
        </w:tc>
        <w:tc>
          <w:tcPr>
            <w:tcW w:w="1358" w:type="dxa"/>
            <w:vAlign w:val="center"/>
          </w:tcPr>
          <w:p w14:paraId="37EF089F">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-2.319</w:t>
            </w:r>
          </w:p>
        </w:tc>
      </w:tr>
      <w:tr w14:paraId="63432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vAlign w:val="center"/>
          </w:tcPr>
          <w:p w14:paraId="42E2ABD7">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43AA408F">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rPr>
            </w:pPr>
            <w:r>
              <w:rPr>
                <w:rFonts w:hint="eastAsia" w:ascii="宋体" w:hAnsi="宋体" w:eastAsia="宋体" w:cs="宋体"/>
                <w:color w:val="auto"/>
                <w:szCs w:val="21"/>
              </w:rPr>
              <w:t>氮氧化物</w:t>
            </w:r>
          </w:p>
        </w:tc>
        <w:tc>
          <w:tcPr>
            <w:tcW w:w="1973" w:type="dxa"/>
            <w:vAlign w:val="center"/>
          </w:tcPr>
          <w:p w14:paraId="1305DB7D">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1.421</w:t>
            </w:r>
          </w:p>
        </w:tc>
        <w:tc>
          <w:tcPr>
            <w:tcW w:w="1295" w:type="dxa"/>
            <w:vAlign w:val="center"/>
          </w:tcPr>
          <w:p w14:paraId="690E43A2">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69C0C1DE">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285FBD3D">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szCs w:val="21"/>
                <w:lang w:val="en-US" w:eastAsia="zh-CN"/>
              </w:rPr>
            </w:pPr>
            <w:r>
              <w:rPr>
                <w:rFonts w:hint="eastAsia" w:eastAsia="宋体" w:cs="宋体"/>
                <w:color w:val="auto"/>
                <w:szCs w:val="21"/>
                <w:lang w:val="en-US" w:eastAsia="zh-CN"/>
              </w:rPr>
              <w:t>0.636</w:t>
            </w:r>
          </w:p>
        </w:tc>
        <w:tc>
          <w:tcPr>
            <w:tcW w:w="1562" w:type="dxa"/>
            <w:vAlign w:val="center"/>
          </w:tcPr>
          <w:p w14:paraId="0333CF22">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1.421</w:t>
            </w:r>
          </w:p>
        </w:tc>
        <w:tc>
          <w:tcPr>
            <w:tcW w:w="1920" w:type="dxa"/>
            <w:vAlign w:val="center"/>
          </w:tcPr>
          <w:p w14:paraId="609D6C51">
            <w:pPr>
              <w:keepNext w:val="0"/>
              <w:keepLines w:val="0"/>
              <w:widowControl/>
              <w:suppressLineNumbers w:val="0"/>
              <w:spacing w:before="0" w:beforeAutospacing="0" w:after="0" w:afterAutospacing="0" w:line="360" w:lineRule="exact"/>
              <w:ind w:left="0" w:leftChars="0" w:right="0" w:rightChars="0"/>
              <w:jc w:val="center"/>
              <w:textAlignment w:val="center"/>
              <w:rPr>
                <w:rFonts w:hint="default" w:ascii="宋体" w:hAnsi="宋体" w:eastAsia="宋体" w:cs="宋体"/>
                <w:color w:val="auto"/>
                <w:kern w:val="0"/>
                <w:szCs w:val="21"/>
                <w:lang w:val="en-US" w:bidi="ar"/>
              </w:rPr>
            </w:pPr>
            <w:r>
              <w:rPr>
                <w:rFonts w:hint="eastAsia" w:eastAsia="宋体" w:cs="宋体"/>
                <w:color w:val="auto"/>
                <w:szCs w:val="21"/>
                <w:lang w:val="en-US" w:eastAsia="zh-CN"/>
              </w:rPr>
              <w:t>0.636</w:t>
            </w:r>
          </w:p>
        </w:tc>
        <w:tc>
          <w:tcPr>
            <w:tcW w:w="1358" w:type="dxa"/>
            <w:vAlign w:val="center"/>
          </w:tcPr>
          <w:p w14:paraId="35CD2C99">
            <w:pPr>
              <w:keepNext w:val="0"/>
              <w:keepLines w:val="0"/>
              <w:widowControl/>
              <w:suppressLineNumbers w:val="0"/>
              <w:spacing w:before="0" w:beforeAutospacing="0" w:after="0" w:afterAutospacing="0" w:line="360" w:lineRule="exact"/>
              <w:ind w:left="0" w:right="0"/>
              <w:jc w:val="center"/>
              <w:textAlignment w:val="center"/>
              <w:rPr>
                <w:rFonts w:hint="default"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w:t>
            </w:r>
            <w:r>
              <w:rPr>
                <w:rFonts w:hint="eastAsia" w:eastAsia="宋体" w:cs="宋体"/>
                <w:color w:val="auto"/>
                <w:kern w:val="0"/>
                <w:szCs w:val="21"/>
                <w:lang w:val="en-US" w:eastAsia="zh-CN" w:bidi="ar"/>
              </w:rPr>
              <w:t>0.785</w:t>
            </w:r>
          </w:p>
        </w:tc>
      </w:tr>
      <w:tr w14:paraId="6913A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vAlign w:val="center"/>
          </w:tcPr>
          <w:p w14:paraId="32C89632">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3651DA16">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lang w:eastAsia="zh-CN"/>
              </w:rPr>
            </w:pPr>
            <w:r>
              <w:rPr>
                <w:rFonts w:hint="eastAsia" w:ascii="宋体" w:hAnsi="宋体" w:eastAsia="宋体" w:cs="宋体"/>
                <w:color w:val="auto"/>
                <w:szCs w:val="21"/>
                <w:lang w:eastAsia="zh-CN"/>
              </w:rPr>
              <w:t>汞及其化合物</w:t>
            </w:r>
          </w:p>
        </w:tc>
        <w:tc>
          <w:tcPr>
            <w:tcW w:w="1973" w:type="dxa"/>
            <w:vAlign w:val="center"/>
          </w:tcPr>
          <w:p w14:paraId="20BB7221">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b w:val="0"/>
                <w:kern w:val="2"/>
                <w:sz w:val="21"/>
                <w:szCs w:val="21"/>
                <w:lang w:val="en-US" w:eastAsia="zh-CN" w:bidi="ar"/>
              </w:rPr>
              <w:t>9.75×10</w:t>
            </w:r>
            <w:r>
              <w:rPr>
                <w:rFonts w:hint="eastAsia" w:ascii="宋体" w:hAnsi="宋体" w:eastAsia="宋体" w:cs="宋体"/>
                <w:b w:val="0"/>
                <w:kern w:val="2"/>
                <w:sz w:val="21"/>
                <w:szCs w:val="21"/>
                <w:vertAlign w:val="superscript"/>
                <w:lang w:val="en-US" w:eastAsia="zh-CN" w:bidi="ar"/>
              </w:rPr>
              <w:t>-6</w:t>
            </w:r>
          </w:p>
        </w:tc>
        <w:tc>
          <w:tcPr>
            <w:tcW w:w="1295" w:type="dxa"/>
            <w:vAlign w:val="center"/>
          </w:tcPr>
          <w:p w14:paraId="6613FE7D">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1B7C205A">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48740BDA">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w:t>
            </w:r>
          </w:p>
        </w:tc>
        <w:tc>
          <w:tcPr>
            <w:tcW w:w="1562" w:type="dxa"/>
            <w:vAlign w:val="center"/>
          </w:tcPr>
          <w:p w14:paraId="47955738">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b w:val="0"/>
                <w:kern w:val="2"/>
                <w:sz w:val="21"/>
                <w:szCs w:val="21"/>
                <w:lang w:val="en-US" w:eastAsia="zh-CN" w:bidi="ar"/>
              </w:rPr>
              <w:t>9.75×10</w:t>
            </w:r>
            <w:r>
              <w:rPr>
                <w:rFonts w:hint="eastAsia" w:ascii="宋体" w:hAnsi="宋体" w:eastAsia="宋体" w:cs="宋体"/>
                <w:b w:val="0"/>
                <w:kern w:val="2"/>
                <w:sz w:val="21"/>
                <w:szCs w:val="21"/>
                <w:vertAlign w:val="superscript"/>
                <w:lang w:val="en-US" w:eastAsia="zh-CN" w:bidi="ar"/>
              </w:rPr>
              <w:t>-6</w:t>
            </w:r>
          </w:p>
        </w:tc>
        <w:tc>
          <w:tcPr>
            <w:tcW w:w="1920" w:type="dxa"/>
            <w:vAlign w:val="center"/>
          </w:tcPr>
          <w:p w14:paraId="736C7DF5">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0</w:t>
            </w:r>
          </w:p>
        </w:tc>
        <w:tc>
          <w:tcPr>
            <w:tcW w:w="1358" w:type="dxa"/>
            <w:vAlign w:val="center"/>
          </w:tcPr>
          <w:p w14:paraId="0A4541AD">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w:t>
            </w:r>
            <w:r>
              <w:rPr>
                <w:rFonts w:hint="eastAsia" w:ascii="宋体" w:hAnsi="宋体" w:eastAsia="宋体" w:cs="宋体"/>
                <w:b w:val="0"/>
                <w:kern w:val="2"/>
                <w:sz w:val="21"/>
                <w:szCs w:val="21"/>
                <w:lang w:val="en-US" w:eastAsia="zh-CN" w:bidi="ar"/>
              </w:rPr>
              <w:t>9.75×10</w:t>
            </w:r>
            <w:r>
              <w:rPr>
                <w:rFonts w:hint="eastAsia" w:ascii="宋体" w:hAnsi="宋体" w:eastAsia="宋体" w:cs="宋体"/>
                <w:b w:val="0"/>
                <w:kern w:val="2"/>
                <w:sz w:val="21"/>
                <w:szCs w:val="21"/>
                <w:vertAlign w:val="superscript"/>
                <w:lang w:val="en-US" w:eastAsia="zh-CN" w:bidi="ar"/>
              </w:rPr>
              <w:t>-6</w:t>
            </w:r>
          </w:p>
        </w:tc>
      </w:tr>
      <w:tr w14:paraId="4A599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vAlign w:val="center"/>
          </w:tcPr>
          <w:p w14:paraId="122CC0B3">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0566AD7A">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非甲烷总烃</w:t>
            </w:r>
          </w:p>
          <w:p w14:paraId="1F469D44">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（无组织）</w:t>
            </w:r>
          </w:p>
        </w:tc>
        <w:tc>
          <w:tcPr>
            <w:tcW w:w="1973" w:type="dxa"/>
            <w:vAlign w:val="center"/>
          </w:tcPr>
          <w:p w14:paraId="05F3A6AE">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0.285</w:t>
            </w:r>
          </w:p>
        </w:tc>
        <w:tc>
          <w:tcPr>
            <w:tcW w:w="1295" w:type="dxa"/>
            <w:vAlign w:val="center"/>
          </w:tcPr>
          <w:p w14:paraId="3A63518E">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150BAE4B">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11CA5C2C">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0.426</w:t>
            </w:r>
          </w:p>
        </w:tc>
        <w:tc>
          <w:tcPr>
            <w:tcW w:w="1562" w:type="dxa"/>
            <w:vAlign w:val="center"/>
          </w:tcPr>
          <w:p w14:paraId="5752075E">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 w:val="0"/>
                <w:kern w:val="2"/>
                <w:sz w:val="21"/>
                <w:szCs w:val="21"/>
                <w:lang w:val="en-US" w:eastAsia="zh-CN" w:bidi="ar"/>
              </w:rPr>
            </w:pPr>
            <w:r>
              <w:rPr>
                <w:rFonts w:hint="eastAsia" w:ascii="宋体" w:hAnsi="宋体" w:eastAsia="宋体" w:cs="宋体"/>
                <w:b w:val="0"/>
                <w:kern w:val="2"/>
                <w:sz w:val="21"/>
                <w:szCs w:val="21"/>
                <w:lang w:val="en-US" w:eastAsia="zh-CN" w:bidi="ar"/>
              </w:rPr>
              <w:t>0</w:t>
            </w:r>
          </w:p>
        </w:tc>
        <w:tc>
          <w:tcPr>
            <w:tcW w:w="1920" w:type="dxa"/>
            <w:vAlign w:val="center"/>
          </w:tcPr>
          <w:p w14:paraId="2CC916D7">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0.711</w:t>
            </w:r>
          </w:p>
        </w:tc>
        <w:tc>
          <w:tcPr>
            <w:tcW w:w="1358" w:type="dxa"/>
            <w:vAlign w:val="center"/>
          </w:tcPr>
          <w:p w14:paraId="3FD605CC">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val="en-US" w:eastAsia="zh-CN" w:bidi="ar"/>
              </w:rPr>
            </w:pPr>
            <w:r>
              <w:rPr>
                <w:rFonts w:hint="eastAsia" w:ascii="宋体" w:hAnsi="宋体" w:eastAsia="宋体" w:cs="宋体"/>
                <w:color w:val="auto"/>
                <w:kern w:val="0"/>
                <w:szCs w:val="21"/>
                <w:lang w:val="en-US" w:eastAsia="zh-CN" w:bidi="ar"/>
              </w:rPr>
              <w:t>0.426</w:t>
            </w:r>
          </w:p>
        </w:tc>
      </w:tr>
      <w:tr w14:paraId="16D66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Align w:val="center"/>
          </w:tcPr>
          <w:p w14:paraId="46736377">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r>
              <w:rPr>
                <w:rFonts w:hint="eastAsia" w:ascii="宋体" w:hAnsi="宋体" w:eastAsia="宋体" w:cs="宋体"/>
                <w:color w:val="auto"/>
                <w:szCs w:val="21"/>
              </w:rPr>
              <w:t>废水</w:t>
            </w:r>
          </w:p>
        </w:tc>
        <w:tc>
          <w:tcPr>
            <w:tcW w:w="1793" w:type="dxa"/>
            <w:vAlign w:val="center"/>
          </w:tcPr>
          <w:p w14:paraId="06B5CF85">
            <w:pPr>
              <w:pStyle w:val="9"/>
              <w:keepNext w:val="0"/>
              <w:keepLines w:val="0"/>
              <w:suppressLineNumbers w:val="0"/>
              <w:spacing w:before="0" w:beforeAutospacing="0" w:after="0" w:afterAutospacing="0" w:line="360" w:lineRule="exact"/>
              <w:ind w:left="0" w:right="0" w:firstLine="0" w:firstLineChars="0"/>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1973" w:type="dxa"/>
            <w:vAlign w:val="center"/>
          </w:tcPr>
          <w:p w14:paraId="03777E11">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eastAsia="zh-CN"/>
              </w:rPr>
            </w:pPr>
            <w:r>
              <w:rPr>
                <w:rFonts w:hint="eastAsia" w:ascii="宋体" w:hAnsi="宋体" w:eastAsia="宋体" w:cs="宋体"/>
                <w:color w:val="auto"/>
                <w:szCs w:val="21"/>
                <w:lang w:val="en-US" w:eastAsia="zh-CN"/>
              </w:rPr>
              <w:t>/</w:t>
            </w:r>
          </w:p>
        </w:tc>
        <w:tc>
          <w:tcPr>
            <w:tcW w:w="1295" w:type="dxa"/>
            <w:vAlign w:val="center"/>
          </w:tcPr>
          <w:p w14:paraId="5EC0667A">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371B5817">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26E035D4">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2" w:type="dxa"/>
            <w:vAlign w:val="center"/>
          </w:tcPr>
          <w:p w14:paraId="27849686">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920" w:type="dxa"/>
            <w:vAlign w:val="center"/>
          </w:tcPr>
          <w:p w14:paraId="0726C8C0">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358" w:type="dxa"/>
            <w:vAlign w:val="center"/>
          </w:tcPr>
          <w:p w14:paraId="65568545">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r>
      <w:tr w14:paraId="4A777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restart"/>
            <w:vAlign w:val="center"/>
          </w:tcPr>
          <w:p w14:paraId="06B6DCCB">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r>
              <w:rPr>
                <w:rFonts w:hint="eastAsia" w:ascii="宋体" w:hAnsi="宋体" w:eastAsia="宋体" w:cs="宋体"/>
                <w:color w:val="auto"/>
                <w:szCs w:val="21"/>
              </w:rPr>
              <w:t>一般工业固体废物</w:t>
            </w:r>
          </w:p>
        </w:tc>
        <w:tc>
          <w:tcPr>
            <w:tcW w:w="1793" w:type="dxa"/>
            <w:vAlign w:val="center"/>
          </w:tcPr>
          <w:p w14:paraId="0D3B528B">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灰渣</w:t>
            </w:r>
          </w:p>
        </w:tc>
        <w:tc>
          <w:tcPr>
            <w:tcW w:w="1973" w:type="dxa"/>
            <w:vAlign w:val="center"/>
          </w:tcPr>
          <w:p w14:paraId="5D0F2B18">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4.2</w:t>
            </w:r>
          </w:p>
        </w:tc>
        <w:tc>
          <w:tcPr>
            <w:tcW w:w="1295" w:type="dxa"/>
            <w:vAlign w:val="center"/>
          </w:tcPr>
          <w:p w14:paraId="1FD5554E">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2840A505">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62BBC2D5">
            <w:pPr>
              <w:keepNext w:val="0"/>
              <w:keepLines w:val="0"/>
              <w:widowControl/>
              <w:suppressLineNumbers w:val="0"/>
              <w:adjustRightInd w:val="0"/>
              <w:snapToGrid w:val="0"/>
              <w:spacing w:before="0" w:beforeAutospacing="0" w:after="0" w:afterAutospacing="0" w:line="360" w:lineRule="exact"/>
              <w:ind w:left="0" w:right="0"/>
              <w:jc w:val="center"/>
              <w:textAlignment w:val="center"/>
              <w:rPr>
                <w:rFonts w:hint="eastAsia" w:ascii="宋体" w:hAnsi="宋体" w:eastAsia="宋体" w:cs="宋体"/>
                <w:color w:val="auto"/>
                <w:szCs w:val="21"/>
                <w:lang w:eastAsia="zh-CN"/>
              </w:rPr>
            </w:pPr>
            <w:r>
              <w:rPr>
                <w:rFonts w:hint="eastAsia" w:ascii="宋体" w:hAnsi="宋体" w:eastAsia="宋体" w:cs="宋体"/>
                <w:bCs/>
                <w:color w:val="auto"/>
                <w:kern w:val="0"/>
                <w:szCs w:val="21"/>
                <w:lang w:val="en-US" w:eastAsia="zh-CN"/>
              </w:rPr>
              <w:t>0</w:t>
            </w:r>
          </w:p>
        </w:tc>
        <w:tc>
          <w:tcPr>
            <w:tcW w:w="1562" w:type="dxa"/>
            <w:vAlign w:val="center"/>
          </w:tcPr>
          <w:p w14:paraId="6C466AE6">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val="en-US" w:eastAsia="zh-CN" w:bidi="ar"/>
              </w:rPr>
              <w:t>4.2</w:t>
            </w:r>
          </w:p>
        </w:tc>
        <w:tc>
          <w:tcPr>
            <w:tcW w:w="1920" w:type="dxa"/>
            <w:vAlign w:val="center"/>
          </w:tcPr>
          <w:p w14:paraId="2F942170">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szCs w:val="21"/>
              </w:rPr>
            </w:pPr>
            <w:r>
              <w:rPr>
                <w:rFonts w:hint="eastAsia" w:ascii="宋体" w:hAnsi="宋体" w:eastAsia="宋体" w:cs="宋体"/>
                <w:color w:val="auto"/>
                <w:kern w:val="0"/>
                <w:szCs w:val="21"/>
                <w:lang w:val="en-US" w:eastAsia="zh-CN" w:bidi="ar"/>
              </w:rPr>
              <w:t>0</w:t>
            </w:r>
          </w:p>
        </w:tc>
        <w:tc>
          <w:tcPr>
            <w:tcW w:w="1358" w:type="dxa"/>
            <w:vAlign w:val="center"/>
          </w:tcPr>
          <w:p w14:paraId="451FB329">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w:t>
            </w:r>
            <w:r>
              <w:rPr>
                <w:rFonts w:hint="eastAsia" w:ascii="宋体" w:hAnsi="宋体" w:eastAsia="宋体" w:cs="宋体"/>
                <w:color w:val="auto"/>
                <w:szCs w:val="21"/>
                <w:lang w:val="en-US" w:eastAsia="zh-CN"/>
              </w:rPr>
              <w:t>4.2</w:t>
            </w:r>
          </w:p>
        </w:tc>
      </w:tr>
      <w:tr w14:paraId="294C8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152" w:type="dxa"/>
            <w:vMerge w:val="continue"/>
            <w:vAlign w:val="center"/>
          </w:tcPr>
          <w:p w14:paraId="1CF0F691">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1E896E63">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脱硫渣</w:t>
            </w:r>
          </w:p>
        </w:tc>
        <w:tc>
          <w:tcPr>
            <w:tcW w:w="1973" w:type="dxa"/>
            <w:vAlign w:val="center"/>
          </w:tcPr>
          <w:p w14:paraId="0C4B24DE">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1.6</w:t>
            </w:r>
          </w:p>
        </w:tc>
        <w:tc>
          <w:tcPr>
            <w:tcW w:w="1295" w:type="dxa"/>
            <w:vAlign w:val="center"/>
          </w:tcPr>
          <w:p w14:paraId="53D0AA3C">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3765D489">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497CCDEA">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Cs/>
                <w:color w:val="auto"/>
                <w:kern w:val="0"/>
                <w:szCs w:val="21"/>
                <w:lang w:eastAsia="zh-CN"/>
              </w:rPr>
            </w:pPr>
            <w:r>
              <w:rPr>
                <w:rFonts w:hint="eastAsia" w:ascii="宋体" w:hAnsi="宋体" w:eastAsia="宋体" w:cs="宋体"/>
                <w:color w:val="auto"/>
                <w:szCs w:val="21"/>
                <w:lang w:val="en-US" w:eastAsia="zh-CN"/>
              </w:rPr>
              <w:t>0</w:t>
            </w:r>
          </w:p>
        </w:tc>
        <w:tc>
          <w:tcPr>
            <w:tcW w:w="1562" w:type="dxa"/>
            <w:vAlign w:val="center"/>
          </w:tcPr>
          <w:p w14:paraId="439389F3">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color w:val="auto"/>
                <w:kern w:val="0"/>
                <w:szCs w:val="21"/>
                <w:lang w:bidi="ar"/>
              </w:rPr>
            </w:pPr>
            <w:r>
              <w:rPr>
                <w:rFonts w:hint="eastAsia" w:ascii="宋体" w:hAnsi="宋体" w:eastAsia="宋体" w:cs="宋体"/>
                <w:color w:val="auto"/>
                <w:kern w:val="0"/>
                <w:szCs w:val="21"/>
                <w:lang w:val="en-US" w:eastAsia="zh-CN" w:bidi="ar"/>
              </w:rPr>
              <w:t>1.6</w:t>
            </w:r>
          </w:p>
        </w:tc>
        <w:tc>
          <w:tcPr>
            <w:tcW w:w="1920" w:type="dxa"/>
            <w:vAlign w:val="center"/>
          </w:tcPr>
          <w:p w14:paraId="35E8FF81">
            <w:pPr>
              <w:keepNext w:val="0"/>
              <w:keepLines w:val="0"/>
              <w:widowControl/>
              <w:suppressLineNumbers w:val="0"/>
              <w:spacing w:before="0" w:beforeAutospacing="0" w:after="0" w:afterAutospacing="0" w:line="360" w:lineRule="exact"/>
              <w:ind w:left="0" w:leftChars="0" w:right="0" w:rightChars="0"/>
              <w:jc w:val="center"/>
              <w:textAlignment w:val="center"/>
              <w:rPr>
                <w:rFonts w:hint="eastAsia" w:ascii="宋体" w:hAnsi="宋体" w:eastAsia="宋体" w:cs="宋体"/>
                <w:bCs/>
                <w:color w:val="auto"/>
                <w:kern w:val="0"/>
                <w:szCs w:val="21"/>
              </w:rPr>
            </w:pPr>
            <w:r>
              <w:rPr>
                <w:rFonts w:hint="eastAsia" w:ascii="宋体" w:hAnsi="宋体" w:eastAsia="宋体" w:cs="宋体"/>
                <w:color w:val="auto"/>
                <w:kern w:val="0"/>
                <w:szCs w:val="21"/>
                <w:lang w:val="en-US" w:eastAsia="zh-CN" w:bidi="ar"/>
              </w:rPr>
              <w:t>0</w:t>
            </w:r>
          </w:p>
        </w:tc>
        <w:tc>
          <w:tcPr>
            <w:tcW w:w="1358" w:type="dxa"/>
            <w:vAlign w:val="center"/>
          </w:tcPr>
          <w:p w14:paraId="067C1821">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lang w:val="en-US" w:eastAsia="zh-CN"/>
              </w:rPr>
            </w:pPr>
            <w:r>
              <w:rPr>
                <w:rFonts w:hint="eastAsia" w:ascii="宋体" w:hAnsi="宋体" w:eastAsia="宋体" w:cs="宋体"/>
                <w:color w:val="auto"/>
                <w:szCs w:val="21"/>
              </w:rPr>
              <w:t>-</w:t>
            </w:r>
            <w:r>
              <w:rPr>
                <w:rFonts w:hint="eastAsia" w:ascii="宋体" w:hAnsi="宋体" w:eastAsia="宋体" w:cs="宋体"/>
                <w:color w:val="auto"/>
                <w:szCs w:val="21"/>
                <w:lang w:val="en-US" w:eastAsia="zh-CN"/>
              </w:rPr>
              <w:t>1.6</w:t>
            </w:r>
          </w:p>
        </w:tc>
      </w:tr>
      <w:tr w14:paraId="18E03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Merge w:val="continue"/>
            <w:vAlign w:val="center"/>
          </w:tcPr>
          <w:p w14:paraId="1A186729">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7E96ACF5">
            <w:pPr>
              <w:keepNext w:val="0"/>
              <w:keepLines w:val="0"/>
              <w:suppressLineNumbers w:val="0"/>
              <w:spacing w:before="0" w:beforeAutospacing="0" w:after="0" w:afterAutospacing="0"/>
              <w:ind w:left="0" w:right="0"/>
              <w:jc w:val="center"/>
              <w:rPr>
                <w:rFonts w:hint="eastAsia" w:ascii="宋体" w:hAnsi="宋体" w:eastAsia="宋体" w:cs="宋体"/>
                <w:color w:val="auto"/>
                <w:lang w:eastAsia="zh-CN"/>
              </w:rPr>
            </w:pPr>
            <w:r>
              <w:rPr>
                <w:rFonts w:hint="eastAsia" w:ascii="宋体" w:hAnsi="宋体" w:eastAsia="宋体" w:cs="宋体"/>
                <w:color w:val="auto"/>
              </w:rPr>
              <w:t>废</w:t>
            </w:r>
            <w:r>
              <w:rPr>
                <w:rFonts w:hint="eastAsia" w:ascii="宋体" w:hAnsi="宋体" w:eastAsia="宋体" w:cs="宋体"/>
                <w:color w:val="auto"/>
                <w:lang w:eastAsia="zh-CN"/>
              </w:rPr>
              <w:t>包装袋</w:t>
            </w:r>
          </w:p>
        </w:tc>
        <w:tc>
          <w:tcPr>
            <w:tcW w:w="1973" w:type="dxa"/>
            <w:vAlign w:val="center"/>
          </w:tcPr>
          <w:p w14:paraId="7A99A6B2">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1</w:t>
            </w:r>
          </w:p>
        </w:tc>
        <w:tc>
          <w:tcPr>
            <w:tcW w:w="1295" w:type="dxa"/>
            <w:vAlign w:val="center"/>
          </w:tcPr>
          <w:p w14:paraId="37E1E41B">
            <w:pPr>
              <w:keepNext w:val="0"/>
              <w:keepLines w:val="0"/>
              <w:suppressLineNumbers w:val="0"/>
              <w:spacing w:before="0" w:beforeAutospacing="0" w:after="0" w:afterAutospacing="0"/>
              <w:ind w:left="0" w:right="0"/>
              <w:jc w:val="center"/>
              <w:rPr>
                <w:rFonts w:hint="eastAsia" w:ascii="宋体" w:hAnsi="宋体" w:eastAsia="宋体" w:cs="宋体"/>
                <w:color w:val="auto"/>
              </w:rPr>
            </w:pPr>
            <w:r>
              <w:rPr>
                <w:rFonts w:hint="eastAsia" w:ascii="宋体" w:hAnsi="宋体" w:eastAsia="宋体" w:cs="宋体"/>
                <w:color w:val="auto"/>
                <w:szCs w:val="21"/>
                <w:lang w:val="en-US" w:eastAsia="zh-CN"/>
              </w:rPr>
              <w:t>/</w:t>
            </w:r>
          </w:p>
        </w:tc>
        <w:tc>
          <w:tcPr>
            <w:tcW w:w="1554" w:type="dxa"/>
            <w:vAlign w:val="center"/>
          </w:tcPr>
          <w:p w14:paraId="6FFA647C">
            <w:pPr>
              <w:keepNext w:val="0"/>
              <w:keepLines w:val="0"/>
              <w:suppressLineNumbers w:val="0"/>
              <w:spacing w:before="0" w:beforeAutospacing="0" w:after="0" w:afterAutospacing="0"/>
              <w:ind w:left="0" w:right="0"/>
              <w:jc w:val="center"/>
              <w:rPr>
                <w:rFonts w:hint="eastAsia" w:ascii="宋体" w:hAnsi="宋体" w:eastAsia="宋体" w:cs="宋体"/>
                <w:color w:val="auto"/>
              </w:rPr>
            </w:pPr>
            <w:r>
              <w:rPr>
                <w:rFonts w:hint="eastAsia" w:ascii="宋体" w:hAnsi="宋体" w:eastAsia="宋体" w:cs="宋体"/>
                <w:color w:val="auto"/>
                <w:szCs w:val="21"/>
                <w:lang w:val="en-US" w:eastAsia="zh-CN"/>
              </w:rPr>
              <w:t>/</w:t>
            </w:r>
          </w:p>
        </w:tc>
        <w:tc>
          <w:tcPr>
            <w:tcW w:w="1567" w:type="dxa"/>
            <w:vAlign w:val="center"/>
          </w:tcPr>
          <w:p w14:paraId="59556B2F">
            <w:pPr>
              <w:keepNext w:val="0"/>
              <w:keepLines w:val="0"/>
              <w:suppressLineNumbers w:val="0"/>
              <w:spacing w:before="0" w:beforeAutospacing="0" w:after="0" w:afterAutospacing="0"/>
              <w:ind w:left="0" w:right="0"/>
              <w:jc w:val="center"/>
              <w:rPr>
                <w:rFonts w:hint="eastAsia" w:ascii="宋体" w:hAnsi="宋体" w:eastAsia="宋体" w:cs="宋体"/>
                <w:color w:val="auto"/>
                <w:lang w:eastAsia="zh-CN" w:bidi="ar"/>
              </w:rPr>
            </w:pPr>
            <w:r>
              <w:rPr>
                <w:rFonts w:hint="eastAsia" w:eastAsia="宋体" w:cs="宋体"/>
                <w:color w:val="auto"/>
                <w:lang w:val="en-US" w:eastAsia="zh-CN" w:bidi="ar"/>
              </w:rPr>
              <w:t>0</w:t>
            </w:r>
          </w:p>
        </w:tc>
        <w:tc>
          <w:tcPr>
            <w:tcW w:w="1562" w:type="dxa"/>
            <w:vAlign w:val="center"/>
          </w:tcPr>
          <w:p w14:paraId="08E8E555">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0</w:t>
            </w:r>
          </w:p>
        </w:tc>
        <w:tc>
          <w:tcPr>
            <w:tcW w:w="1920" w:type="dxa"/>
            <w:vAlign w:val="center"/>
          </w:tcPr>
          <w:p w14:paraId="05B1611D">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1</w:t>
            </w:r>
          </w:p>
        </w:tc>
        <w:tc>
          <w:tcPr>
            <w:tcW w:w="1358" w:type="dxa"/>
            <w:vAlign w:val="center"/>
          </w:tcPr>
          <w:p w14:paraId="114ED605">
            <w:pPr>
              <w:keepNext w:val="0"/>
              <w:keepLines w:val="0"/>
              <w:suppressLineNumbers w:val="0"/>
              <w:spacing w:before="0" w:beforeAutospacing="0" w:after="0" w:afterAutospacing="0"/>
              <w:ind w:left="0" w:right="0"/>
              <w:jc w:val="center"/>
              <w:rPr>
                <w:rFonts w:hint="eastAsia" w:ascii="宋体" w:hAnsi="宋体" w:eastAsia="宋体" w:cs="宋体"/>
                <w:color w:val="auto"/>
                <w:lang w:val="en-US" w:eastAsia="zh-CN" w:bidi="ar"/>
              </w:rPr>
            </w:pPr>
            <w:r>
              <w:rPr>
                <w:rFonts w:hint="eastAsia" w:eastAsia="宋体" w:cs="宋体"/>
                <w:color w:val="auto"/>
                <w:lang w:val="en-US" w:eastAsia="zh-CN" w:bidi="ar"/>
              </w:rPr>
              <w:t>0</w:t>
            </w:r>
          </w:p>
        </w:tc>
      </w:tr>
      <w:tr w14:paraId="022E1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52" w:type="dxa"/>
            <w:vMerge w:val="continue"/>
            <w:vAlign w:val="center"/>
          </w:tcPr>
          <w:p w14:paraId="16DF36AD">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p>
        </w:tc>
        <w:tc>
          <w:tcPr>
            <w:tcW w:w="1793" w:type="dxa"/>
            <w:vAlign w:val="center"/>
          </w:tcPr>
          <w:p w14:paraId="42D39EB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废离子交换树脂</w:t>
            </w:r>
          </w:p>
        </w:tc>
        <w:tc>
          <w:tcPr>
            <w:tcW w:w="1973" w:type="dxa"/>
            <w:vAlign w:val="center"/>
          </w:tcPr>
          <w:p w14:paraId="7328AE90">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b w:val="0"/>
                <w:color w:val="auto"/>
                <w:kern w:val="2"/>
                <w:sz w:val="21"/>
                <w:szCs w:val="21"/>
                <w:lang w:val="en-US" w:eastAsia="zh-CN"/>
              </w:rPr>
              <w:t>0.15t/5a</w:t>
            </w:r>
          </w:p>
        </w:tc>
        <w:tc>
          <w:tcPr>
            <w:tcW w:w="1295" w:type="dxa"/>
            <w:vAlign w:val="center"/>
          </w:tcPr>
          <w:p w14:paraId="5DCEBC2D">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54" w:type="dxa"/>
            <w:vAlign w:val="center"/>
          </w:tcPr>
          <w:p w14:paraId="2983B45E">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p>
        </w:tc>
        <w:tc>
          <w:tcPr>
            <w:tcW w:w="1567" w:type="dxa"/>
            <w:vAlign w:val="center"/>
          </w:tcPr>
          <w:p w14:paraId="193C6BEC">
            <w:pPr>
              <w:keepNext w:val="0"/>
              <w:keepLines w:val="0"/>
              <w:widowControl/>
              <w:suppressLineNumbers w:val="0"/>
              <w:adjustRightInd w:val="0"/>
              <w:snapToGrid w:val="0"/>
              <w:spacing w:before="0" w:beforeAutospacing="0" w:after="0" w:afterAutospacing="0" w:line="360" w:lineRule="exact"/>
              <w:ind w:left="0" w:right="0"/>
              <w:jc w:val="center"/>
              <w:textAlignment w:val="center"/>
              <w:rPr>
                <w:rFonts w:hint="eastAsia" w:ascii="宋体" w:hAnsi="宋体" w:eastAsia="宋体" w:cs="宋体"/>
                <w:bCs/>
                <w:color w:val="auto"/>
                <w:kern w:val="0"/>
                <w:szCs w:val="21"/>
              </w:rPr>
            </w:pPr>
            <w:r>
              <w:rPr>
                <w:rFonts w:hint="eastAsia" w:ascii="宋体" w:hAnsi="宋体" w:eastAsia="宋体" w:cs="宋体"/>
                <w:color w:val="auto"/>
                <w:kern w:val="0"/>
                <w:szCs w:val="21"/>
                <w:lang w:bidi="ar"/>
              </w:rPr>
              <w:t>0.</w:t>
            </w:r>
            <w:r>
              <w:rPr>
                <w:rFonts w:hint="eastAsia" w:ascii="宋体" w:hAnsi="宋体" w:eastAsia="宋体" w:cs="宋体"/>
                <w:color w:val="auto"/>
                <w:kern w:val="0"/>
                <w:szCs w:val="21"/>
                <w:lang w:val="en-US" w:eastAsia="zh-CN" w:bidi="ar"/>
              </w:rPr>
              <w:t>1</w:t>
            </w:r>
            <w:r>
              <w:rPr>
                <w:rFonts w:hint="eastAsia" w:ascii="宋体" w:hAnsi="宋体" w:eastAsia="宋体" w:cs="宋体"/>
                <w:color w:val="auto"/>
                <w:kern w:val="0"/>
                <w:szCs w:val="21"/>
                <w:lang w:bidi="ar"/>
              </w:rPr>
              <w:t>t/</w:t>
            </w:r>
            <w:r>
              <w:rPr>
                <w:rFonts w:hint="eastAsia" w:ascii="宋体" w:hAnsi="宋体" w:eastAsia="宋体" w:cs="宋体"/>
                <w:color w:val="auto"/>
                <w:kern w:val="0"/>
                <w:szCs w:val="21"/>
                <w:lang w:val="en-US" w:eastAsia="zh-CN" w:bidi="ar"/>
              </w:rPr>
              <w:t>5</w:t>
            </w:r>
            <w:r>
              <w:rPr>
                <w:rFonts w:hint="eastAsia" w:ascii="宋体" w:hAnsi="宋体" w:eastAsia="宋体" w:cs="宋体"/>
                <w:color w:val="auto"/>
                <w:kern w:val="0"/>
                <w:szCs w:val="21"/>
                <w:lang w:bidi="ar"/>
              </w:rPr>
              <w:t>a</w:t>
            </w:r>
          </w:p>
        </w:tc>
        <w:tc>
          <w:tcPr>
            <w:tcW w:w="1562" w:type="dxa"/>
            <w:vAlign w:val="center"/>
          </w:tcPr>
          <w:p w14:paraId="2666125B">
            <w:pPr>
              <w:keepNext w:val="0"/>
              <w:keepLines w:val="0"/>
              <w:widowControl/>
              <w:suppressLineNumbers w:val="0"/>
              <w:spacing w:before="0" w:beforeAutospacing="0" w:after="0" w:afterAutospacing="0" w:line="360" w:lineRule="exact"/>
              <w:ind w:left="0" w:right="0"/>
              <w:jc w:val="center"/>
              <w:textAlignment w:val="center"/>
              <w:rPr>
                <w:rFonts w:hint="eastAsia" w:ascii="宋体" w:hAnsi="宋体" w:eastAsia="宋体" w:cs="宋体"/>
                <w:color w:val="auto"/>
                <w:kern w:val="0"/>
                <w:szCs w:val="21"/>
                <w:lang w:bidi="ar"/>
              </w:rPr>
            </w:pPr>
            <w:r>
              <w:rPr>
                <w:rFonts w:hint="eastAsia" w:ascii="宋体" w:hAnsi="宋体" w:eastAsia="宋体" w:cs="宋体"/>
                <w:b w:val="0"/>
                <w:color w:val="auto"/>
                <w:kern w:val="2"/>
                <w:sz w:val="21"/>
                <w:szCs w:val="21"/>
                <w:lang w:val="en-US" w:eastAsia="zh-CN"/>
              </w:rPr>
              <w:t>0.15t/5a</w:t>
            </w:r>
          </w:p>
        </w:tc>
        <w:tc>
          <w:tcPr>
            <w:tcW w:w="1920" w:type="dxa"/>
            <w:vAlign w:val="center"/>
          </w:tcPr>
          <w:p w14:paraId="4EE00410">
            <w:pPr>
              <w:keepNext w:val="0"/>
              <w:keepLines w:val="0"/>
              <w:widowControl/>
              <w:suppressLineNumbers w:val="0"/>
              <w:adjustRightInd w:val="0"/>
              <w:snapToGrid w:val="0"/>
              <w:spacing w:before="0" w:beforeAutospacing="0" w:after="0" w:afterAutospacing="0" w:line="360" w:lineRule="exact"/>
              <w:ind w:left="0" w:right="0"/>
              <w:jc w:val="center"/>
              <w:textAlignment w:val="center"/>
              <w:rPr>
                <w:rFonts w:hint="eastAsia" w:ascii="宋体" w:hAnsi="宋体" w:eastAsia="宋体" w:cs="宋体"/>
                <w:bCs/>
                <w:color w:val="auto"/>
                <w:kern w:val="0"/>
                <w:szCs w:val="21"/>
              </w:rPr>
            </w:pPr>
            <w:r>
              <w:rPr>
                <w:rFonts w:hint="eastAsia" w:ascii="宋体" w:hAnsi="宋体" w:eastAsia="宋体" w:cs="宋体"/>
                <w:color w:val="auto"/>
                <w:kern w:val="0"/>
                <w:szCs w:val="21"/>
                <w:lang w:bidi="ar"/>
              </w:rPr>
              <w:t>0.</w:t>
            </w:r>
            <w:r>
              <w:rPr>
                <w:rFonts w:hint="eastAsia" w:ascii="宋体" w:hAnsi="宋体" w:eastAsia="宋体" w:cs="宋体"/>
                <w:color w:val="auto"/>
                <w:kern w:val="0"/>
                <w:szCs w:val="21"/>
                <w:lang w:val="en-US" w:eastAsia="zh-CN" w:bidi="ar"/>
              </w:rPr>
              <w:t>1</w:t>
            </w:r>
            <w:r>
              <w:rPr>
                <w:rFonts w:hint="eastAsia" w:ascii="宋体" w:hAnsi="宋体" w:eastAsia="宋体" w:cs="宋体"/>
                <w:color w:val="auto"/>
                <w:kern w:val="0"/>
                <w:szCs w:val="21"/>
                <w:lang w:bidi="ar"/>
              </w:rPr>
              <w:t>t/</w:t>
            </w:r>
            <w:r>
              <w:rPr>
                <w:rFonts w:hint="eastAsia" w:ascii="宋体" w:hAnsi="宋体" w:eastAsia="宋体" w:cs="宋体"/>
                <w:color w:val="auto"/>
                <w:kern w:val="0"/>
                <w:szCs w:val="21"/>
                <w:lang w:val="en-US" w:eastAsia="zh-CN" w:bidi="ar"/>
              </w:rPr>
              <w:t>5</w:t>
            </w:r>
            <w:r>
              <w:rPr>
                <w:rFonts w:hint="eastAsia" w:ascii="宋体" w:hAnsi="宋体" w:eastAsia="宋体" w:cs="宋体"/>
                <w:color w:val="auto"/>
                <w:kern w:val="0"/>
                <w:szCs w:val="21"/>
                <w:lang w:bidi="ar"/>
              </w:rPr>
              <w:t>a</w:t>
            </w:r>
          </w:p>
        </w:tc>
        <w:tc>
          <w:tcPr>
            <w:tcW w:w="1358" w:type="dxa"/>
            <w:vAlign w:val="center"/>
          </w:tcPr>
          <w:p w14:paraId="42916C37">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lang w:val="en-US" w:eastAsia="zh-CN"/>
              </w:rPr>
              <w:t>-</w:t>
            </w:r>
            <w:r>
              <w:rPr>
                <w:rFonts w:hint="eastAsia" w:ascii="宋体" w:hAnsi="宋体" w:eastAsia="宋体" w:cs="宋体"/>
                <w:color w:val="auto"/>
                <w:kern w:val="0"/>
                <w:szCs w:val="21"/>
                <w:lang w:bidi="ar"/>
              </w:rPr>
              <w:t>0.</w:t>
            </w:r>
            <w:r>
              <w:rPr>
                <w:rFonts w:hint="eastAsia" w:ascii="宋体" w:hAnsi="宋体" w:eastAsia="宋体" w:cs="宋体"/>
                <w:color w:val="auto"/>
                <w:kern w:val="0"/>
                <w:szCs w:val="21"/>
                <w:lang w:val="en-US" w:eastAsia="zh-CN" w:bidi="ar"/>
              </w:rPr>
              <w:t>05</w:t>
            </w:r>
            <w:r>
              <w:rPr>
                <w:rFonts w:hint="eastAsia" w:ascii="宋体" w:hAnsi="宋体" w:eastAsia="宋体" w:cs="宋体"/>
                <w:color w:val="auto"/>
                <w:kern w:val="0"/>
                <w:szCs w:val="21"/>
                <w:lang w:bidi="ar"/>
              </w:rPr>
              <w:t>t/</w:t>
            </w:r>
            <w:r>
              <w:rPr>
                <w:rFonts w:hint="eastAsia" w:ascii="宋体" w:hAnsi="宋体" w:eastAsia="宋体" w:cs="宋体"/>
                <w:color w:val="auto"/>
                <w:kern w:val="0"/>
                <w:szCs w:val="21"/>
                <w:lang w:val="en-US" w:eastAsia="zh-CN" w:bidi="ar"/>
              </w:rPr>
              <w:t>5</w:t>
            </w:r>
            <w:r>
              <w:rPr>
                <w:rFonts w:hint="eastAsia" w:ascii="宋体" w:hAnsi="宋体" w:eastAsia="宋体" w:cs="宋体"/>
                <w:color w:val="auto"/>
                <w:kern w:val="0"/>
                <w:szCs w:val="21"/>
                <w:lang w:bidi="ar"/>
              </w:rPr>
              <w:t>a</w:t>
            </w:r>
          </w:p>
        </w:tc>
      </w:tr>
      <w:tr w14:paraId="399AE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2" w:type="dxa"/>
            <w:vAlign w:val="center"/>
          </w:tcPr>
          <w:p w14:paraId="7AC275AF">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Cs w:val="21"/>
              </w:rPr>
            </w:pPr>
            <w:r>
              <w:rPr>
                <w:rFonts w:hint="eastAsia" w:ascii="宋体" w:hAnsi="宋体" w:eastAsia="宋体" w:cs="宋体"/>
                <w:color w:val="auto"/>
                <w:szCs w:val="21"/>
              </w:rPr>
              <w:t>危险废物</w:t>
            </w:r>
          </w:p>
        </w:tc>
        <w:tc>
          <w:tcPr>
            <w:tcW w:w="1793" w:type="dxa"/>
            <w:vAlign w:val="center"/>
          </w:tcPr>
          <w:p w14:paraId="5073DC49">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1973" w:type="dxa"/>
            <w:vAlign w:val="bottom"/>
          </w:tcPr>
          <w:p w14:paraId="40116078">
            <w:pPr>
              <w:keepNext w:val="0"/>
              <w:keepLines w:val="0"/>
              <w:widowControl/>
              <w:suppressLineNumbers w:val="0"/>
              <w:spacing w:before="0" w:beforeAutospacing="0" w:after="0" w:afterAutospacing="0" w:line="360" w:lineRule="exact"/>
              <w:ind w:left="0" w:right="0"/>
              <w:jc w:val="center"/>
              <w:textAlignment w:val="bottom"/>
              <w:rPr>
                <w:rFonts w:hint="eastAsia" w:ascii="宋体" w:hAnsi="宋体" w:eastAsia="宋体" w:cs="宋体"/>
                <w:color w:val="auto"/>
                <w:kern w:val="0"/>
                <w:szCs w:val="21"/>
                <w:lang w:bidi="ar"/>
              </w:rPr>
            </w:pPr>
            <w:r>
              <w:rPr>
                <w:rFonts w:hint="eastAsia" w:ascii="宋体" w:hAnsi="宋体" w:eastAsia="宋体" w:cs="宋体"/>
                <w:color w:val="auto"/>
                <w:szCs w:val="21"/>
              </w:rPr>
              <w:t>/</w:t>
            </w:r>
          </w:p>
        </w:tc>
        <w:tc>
          <w:tcPr>
            <w:tcW w:w="1295" w:type="dxa"/>
            <w:vAlign w:val="center"/>
          </w:tcPr>
          <w:p w14:paraId="30D6E42C">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54" w:type="dxa"/>
            <w:vAlign w:val="center"/>
          </w:tcPr>
          <w:p w14:paraId="20DE09B1">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p>
        </w:tc>
        <w:tc>
          <w:tcPr>
            <w:tcW w:w="1567" w:type="dxa"/>
            <w:vAlign w:val="bottom"/>
          </w:tcPr>
          <w:p w14:paraId="620B39BE">
            <w:pPr>
              <w:keepNext w:val="0"/>
              <w:keepLines w:val="0"/>
              <w:widowControl/>
              <w:suppressLineNumbers w:val="0"/>
              <w:spacing w:before="0" w:beforeAutospacing="0" w:after="0" w:afterAutospacing="0" w:line="360" w:lineRule="exact"/>
              <w:ind w:left="0" w:right="0"/>
              <w:jc w:val="center"/>
              <w:textAlignment w:val="bottom"/>
              <w:rPr>
                <w:rFonts w:hint="eastAsia" w:ascii="宋体" w:hAnsi="宋体" w:eastAsia="宋体" w:cs="宋体"/>
                <w:color w:val="auto"/>
                <w:szCs w:val="21"/>
              </w:rPr>
            </w:pPr>
            <w:r>
              <w:rPr>
                <w:rFonts w:hint="eastAsia" w:ascii="宋体" w:hAnsi="宋体" w:eastAsia="宋体" w:cs="宋体"/>
                <w:color w:val="auto"/>
                <w:szCs w:val="21"/>
              </w:rPr>
              <w:t>/</w:t>
            </w:r>
          </w:p>
        </w:tc>
        <w:tc>
          <w:tcPr>
            <w:tcW w:w="1562" w:type="dxa"/>
            <w:vAlign w:val="center"/>
          </w:tcPr>
          <w:p w14:paraId="56638017">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1920" w:type="dxa"/>
            <w:vAlign w:val="center"/>
          </w:tcPr>
          <w:p w14:paraId="2D844DFF">
            <w:pPr>
              <w:keepNext w:val="0"/>
              <w:keepLines w:val="0"/>
              <w:suppressLineNumbers w:val="0"/>
              <w:spacing w:before="0" w:beforeAutospacing="0" w:after="0" w:afterAutospacing="0" w:line="360" w:lineRule="exact"/>
              <w:ind w:left="0" w:right="0"/>
              <w:jc w:val="center"/>
              <w:rPr>
                <w:rFonts w:hint="eastAsia" w:ascii="宋体" w:hAnsi="宋体" w:eastAsia="宋体" w:cs="宋体"/>
                <w:color w:val="auto"/>
                <w:szCs w:val="21"/>
              </w:rPr>
            </w:pPr>
            <w:r>
              <w:rPr>
                <w:rFonts w:hint="eastAsia" w:ascii="宋体" w:hAnsi="宋体" w:eastAsia="宋体" w:cs="宋体"/>
                <w:color w:val="auto"/>
                <w:szCs w:val="21"/>
              </w:rPr>
              <w:t>/</w:t>
            </w:r>
          </w:p>
        </w:tc>
        <w:tc>
          <w:tcPr>
            <w:tcW w:w="1358" w:type="dxa"/>
            <w:vAlign w:val="bottom"/>
          </w:tcPr>
          <w:p w14:paraId="4A3F3B8F">
            <w:pPr>
              <w:keepNext w:val="0"/>
              <w:keepLines w:val="0"/>
              <w:widowControl/>
              <w:suppressLineNumbers w:val="0"/>
              <w:spacing w:before="0" w:beforeAutospacing="0" w:after="0" w:afterAutospacing="0" w:line="360" w:lineRule="exact"/>
              <w:ind w:left="0" w:right="0"/>
              <w:jc w:val="center"/>
              <w:textAlignment w:val="bottom"/>
              <w:rPr>
                <w:rFonts w:hint="default" w:ascii="宋体" w:hAnsi="宋体" w:eastAsia="宋体" w:cs="宋体"/>
                <w:color w:val="auto"/>
                <w:szCs w:val="21"/>
                <w:lang w:val="en-US" w:eastAsia="zh-CN"/>
              </w:rPr>
            </w:pPr>
            <w:r>
              <w:rPr>
                <w:rFonts w:hint="eastAsia" w:ascii="宋体" w:hAnsi="宋体" w:eastAsia="宋体" w:cs="宋体"/>
                <w:color w:val="auto"/>
                <w:szCs w:val="21"/>
              </w:rPr>
              <w:t>/</w:t>
            </w:r>
          </w:p>
        </w:tc>
      </w:tr>
    </w:tbl>
    <w:p w14:paraId="7647550F">
      <w:pPr>
        <w:rPr>
          <w:rFonts w:hint="eastAsia" w:ascii="宋体" w:hAnsi="宋体" w:eastAsia="宋体" w:cs="宋体"/>
          <w:color w:val="auto"/>
        </w:rPr>
        <w:sectPr>
          <w:pgSz w:w="16838" w:h="11906" w:orient="landscape"/>
          <w:pgMar w:top="1043" w:right="1440" w:bottom="105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3A622B1">
      <w:pPr>
        <w:rPr>
          <w:rFonts w:hint="eastAsia" w:ascii="宋体" w:hAnsi="宋体" w:eastAsia="宋体" w:cs="宋体"/>
          <w:b w:val="0"/>
          <w:bCs w:val="0"/>
          <w:color w:val="auto"/>
          <w:sz w:val="28"/>
          <w:szCs w:val="28"/>
          <w:highlight w:val="none"/>
          <w:lang w:val="en-US" w:eastAsia="zh-CN"/>
        </w:rPr>
      </w:pPr>
      <w:r>
        <w:rPr>
          <w:rFonts w:hint="eastAsia" w:ascii="宋体" w:hAnsi="宋体" w:eastAsia="宋体" w:cs="宋体"/>
          <w:b w:val="0"/>
          <w:bCs w:val="0"/>
          <w:color w:val="auto"/>
          <w:sz w:val="28"/>
          <w:szCs w:val="28"/>
          <w:highlight w:val="none"/>
        </w:rPr>
        <w:t>附件1：</w:t>
      </w:r>
      <w:r>
        <w:rPr>
          <w:rFonts w:hint="eastAsia" w:ascii="宋体" w:hAnsi="宋体" w:eastAsia="宋体" w:cs="宋体"/>
          <w:b w:val="0"/>
          <w:bCs w:val="0"/>
          <w:color w:val="auto"/>
          <w:sz w:val="28"/>
          <w:szCs w:val="28"/>
          <w:highlight w:val="none"/>
          <w:lang w:val="en-US" w:eastAsia="zh-CN"/>
        </w:rPr>
        <w:t>委托书</w:t>
      </w:r>
    </w:p>
    <w:p w14:paraId="5C843293">
      <w:pPr>
        <w:pStyle w:val="2"/>
        <w:ind w:left="0" w:leftChars="0" w:firstLine="0" w:firstLineChars="0"/>
        <w:rPr>
          <w:rFonts w:hint="eastAsia"/>
          <w:lang w:val="en-US" w:eastAsia="zh-CN"/>
        </w:rPr>
      </w:pPr>
      <w:r>
        <w:rPr>
          <w:rFonts w:hint="eastAsia"/>
          <w:lang w:val="en-US" w:eastAsia="zh-CN"/>
        </w:rPr>
        <w:drawing>
          <wp:anchor distT="0" distB="0" distL="114300" distR="114300" simplePos="0" relativeHeight="251677696" behindDoc="0" locked="0" layoutInCell="1" allowOverlap="1">
            <wp:simplePos x="0" y="0"/>
            <wp:positionH relativeFrom="column">
              <wp:posOffset>-228600</wp:posOffset>
            </wp:positionH>
            <wp:positionV relativeFrom="paragraph">
              <wp:posOffset>36195</wp:posOffset>
            </wp:positionV>
            <wp:extent cx="5264785" cy="7506970"/>
            <wp:effectExtent l="0" t="0" r="12065" b="17780"/>
            <wp:wrapNone/>
            <wp:docPr id="58" name="图片 58" descr="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委托书_01"/>
                    <pic:cNvPicPr>
                      <a:picLocks noChangeAspect="1"/>
                    </pic:cNvPicPr>
                  </pic:nvPicPr>
                  <pic:blipFill>
                    <a:blip r:embed="rId30"/>
                    <a:stretch>
                      <a:fillRect/>
                    </a:stretch>
                  </pic:blipFill>
                  <pic:spPr>
                    <a:xfrm>
                      <a:off x="0" y="0"/>
                      <a:ext cx="5264785" cy="7506970"/>
                    </a:xfrm>
                    <a:prstGeom prst="rect">
                      <a:avLst/>
                    </a:prstGeom>
                  </pic:spPr>
                </pic:pic>
              </a:graphicData>
            </a:graphic>
          </wp:anchor>
        </w:drawing>
      </w:r>
    </w:p>
    <w:p w14:paraId="10C149CA">
      <w:pPr>
        <w:rPr>
          <w:rFonts w:hint="eastAsia" w:ascii="宋体" w:hAnsi="宋体" w:eastAsia="宋体" w:cs="宋体"/>
          <w:b/>
          <w:bCs/>
          <w:color w:val="auto"/>
          <w:sz w:val="24"/>
          <w:lang w:val="en-US" w:eastAsia="zh-CN"/>
        </w:rPr>
      </w:pPr>
    </w:p>
    <w:p w14:paraId="4209FE21">
      <w:pPr>
        <w:rPr>
          <w:rFonts w:hint="eastAsia" w:ascii="宋体" w:hAnsi="宋体" w:eastAsia="宋体" w:cs="宋体"/>
          <w:b/>
          <w:bCs/>
          <w:color w:val="auto"/>
          <w:sz w:val="24"/>
          <w:lang w:val="en-US" w:eastAsia="zh-CN"/>
        </w:rPr>
      </w:pPr>
    </w:p>
    <w:p w14:paraId="4BB9509F">
      <w:pPr>
        <w:rPr>
          <w:rFonts w:hint="eastAsia" w:ascii="宋体" w:hAnsi="宋体" w:eastAsia="宋体" w:cs="宋体"/>
          <w:b/>
          <w:bCs/>
          <w:color w:val="auto"/>
          <w:sz w:val="24"/>
          <w:lang w:val="en-US" w:eastAsia="zh-CN"/>
        </w:rPr>
        <w:sectPr>
          <w:footerReference r:id="rId6" w:type="default"/>
          <w:pgSz w:w="11906" w:h="16838"/>
          <w:pgMar w:top="1440" w:right="1803" w:bottom="1440" w:left="1803" w:header="1417" w:footer="1417" w:gutter="0"/>
          <w:pgBorders>
            <w:top w:val="none" w:sz="0" w:space="0"/>
            <w:left w:val="none" w:sz="0" w:space="0"/>
            <w:bottom w:val="none" w:sz="0" w:space="0"/>
            <w:right w:val="none" w:sz="0" w:space="0"/>
          </w:pgBorders>
          <w:pgNumType w:fmt="decimal"/>
          <w:cols w:space="720" w:num="1"/>
          <w:docGrid w:type="lines" w:linePitch="312" w:charSpace="0"/>
        </w:sectPr>
      </w:pPr>
    </w:p>
    <w:p w14:paraId="16703657">
      <w:pPr>
        <w:rPr>
          <w:rFonts w:hint="eastAsia" w:ascii="宋体" w:hAnsi="宋体" w:eastAsia="宋体" w:cs="宋体"/>
          <w:b w:val="0"/>
          <w:bCs w:val="0"/>
          <w:color w:val="auto"/>
          <w:sz w:val="28"/>
          <w:szCs w:val="28"/>
          <w:lang w:val="en-US"/>
        </w:rPr>
      </w:pPr>
      <w:r>
        <w:rPr>
          <w:rFonts w:hint="eastAsia" w:ascii="宋体" w:hAnsi="宋体" w:eastAsia="宋体" w:cs="宋体"/>
          <w:b w:val="0"/>
          <w:bCs w:val="0"/>
          <w:color w:val="auto"/>
          <w:sz w:val="28"/>
          <w:szCs w:val="28"/>
          <w:lang w:val="en-US" w:eastAsia="zh-CN"/>
        </w:rPr>
        <w:t>附件2：</w:t>
      </w:r>
      <w:r>
        <w:rPr>
          <w:rFonts w:hint="eastAsia" w:ascii="宋体" w:hAnsi="宋体" w:eastAsia="宋体" w:cs="宋体"/>
          <w:b w:val="0"/>
          <w:bCs w:val="0"/>
          <w:color w:val="auto"/>
          <w:sz w:val="28"/>
          <w:szCs w:val="28"/>
          <w:lang w:eastAsia="zh-CN"/>
        </w:rPr>
        <w:t>巴彦淖尔盛安化工有限责任公司乌拉特中旗分公司年产5000t移动式乳化炸药地面站建设项目</w:t>
      </w:r>
      <w:r>
        <w:rPr>
          <w:rFonts w:hint="eastAsia" w:ascii="宋体" w:hAnsi="宋体" w:eastAsia="宋体" w:cs="宋体"/>
          <w:b w:val="0"/>
          <w:bCs w:val="0"/>
          <w:color w:val="auto"/>
          <w:sz w:val="28"/>
          <w:szCs w:val="28"/>
          <w:lang w:val="en-US" w:eastAsia="zh-CN"/>
        </w:rPr>
        <w:t>环评批复</w:t>
      </w:r>
    </w:p>
    <w:p w14:paraId="606183D8">
      <w:pPr>
        <w:rPr>
          <w:rFonts w:hint="eastAsia" w:ascii="宋体" w:hAnsi="宋体" w:eastAsia="宋体" w:cs="宋体"/>
          <w:b/>
          <w:bCs/>
          <w:color w:val="auto"/>
        </w:rPr>
      </w:pPr>
      <w:r>
        <w:rPr>
          <w:rFonts w:hint="eastAsia" w:ascii="宋体" w:hAnsi="宋体" w:eastAsia="宋体" w:cs="宋体"/>
        </w:rPr>
        <w:drawing>
          <wp:inline distT="0" distB="0" distL="114300" distR="114300">
            <wp:extent cx="5254625" cy="7496810"/>
            <wp:effectExtent l="0" t="0" r="3175" b="8890"/>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31"/>
                    <a:stretch>
                      <a:fillRect/>
                    </a:stretch>
                  </pic:blipFill>
                  <pic:spPr>
                    <a:xfrm>
                      <a:off x="0" y="0"/>
                      <a:ext cx="5254625" cy="749681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54625" cy="7496810"/>
            <wp:effectExtent l="0" t="0" r="3175" b="8890"/>
            <wp:docPr id="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
                    <pic:cNvPicPr>
                      <a:picLocks noChangeAspect="1"/>
                    </pic:cNvPicPr>
                  </pic:nvPicPr>
                  <pic:blipFill>
                    <a:blip r:embed="rId32"/>
                    <a:stretch>
                      <a:fillRect/>
                    </a:stretch>
                  </pic:blipFill>
                  <pic:spPr>
                    <a:xfrm>
                      <a:off x="0" y="0"/>
                      <a:ext cx="5254625" cy="7496810"/>
                    </a:xfrm>
                    <a:prstGeom prst="rect">
                      <a:avLst/>
                    </a:prstGeom>
                    <a:noFill/>
                    <a:ln>
                      <a:noFill/>
                    </a:ln>
                  </pic:spPr>
                </pic:pic>
              </a:graphicData>
            </a:graphic>
          </wp:inline>
        </w:drawing>
      </w:r>
    </w:p>
    <w:p w14:paraId="44C28DB4">
      <w:pPr>
        <w:pStyle w:val="10"/>
        <w:ind w:left="0" w:leftChars="0" w:firstLine="0" w:firstLineChars="0"/>
        <w:jc w:val="both"/>
        <w:rPr>
          <w:rFonts w:hint="eastAsia" w:ascii="宋体" w:hAnsi="宋体" w:eastAsia="宋体" w:cs="宋体"/>
          <w:color w:val="auto"/>
        </w:rPr>
      </w:pPr>
    </w:p>
    <w:p w14:paraId="2D2754DF">
      <w:pPr>
        <w:pStyle w:val="10"/>
        <w:ind w:left="0" w:leftChars="0" w:firstLine="0" w:firstLineChars="0"/>
        <w:rPr>
          <w:rFonts w:hint="eastAsia" w:ascii="宋体" w:hAnsi="宋体" w:eastAsia="宋体" w:cs="宋体"/>
          <w:b/>
          <w:bCs/>
          <w:color w:val="auto"/>
          <w:sz w:val="24"/>
          <w:szCs w:val="24"/>
        </w:rPr>
      </w:pPr>
    </w:p>
    <w:p w14:paraId="18254785">
      <w:pPr>
        <w:pStyle w:val="10"/>
        <w:ind w:left="0" w:leftChars="0" w:firstLine="0" w:firstLineChars="0"/>
        <w:rPr>
          <w:rFonts w:hint="eastAsia" w:ascii="宋体" w:hAnsi="宋体" w:eastAsia="宋体" w:cs="宋体"/>
          <w:b/>
          <w:bCs/>
          <w:color w:val="auto"/>
          <w:sz w:val="24"/>
          <w:szCs w:val="24"/>
        </w:rPr>
      </w:pPr>
    </w:p>
    <w:p w14:paraId="78CD1B01">
      <w:pPr>
        <w:pStyle w:val="10"/>
        <w:ind w:left="0" w:leftChars="0" w:firstLine="0" w:firstLineChars="0"/>
        <w:rPr>
          <w:rFonts w:hint="eastAsia" w:ascii="宋体" w:hAnsi="宋体" w:eastAsia="宋体" w:cs="宋体"/>
          <w:b/>
          <w:bCs/>
          <w:color w:val="auto"/>
          <w:sz w:val="24"/>
          <w:szCs w:val="24"/>
        </w:rPr>
      </w:pPr>
    </w:p>
    <w:p w14:paraId="0A39DE61">
      <w:pPr>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附件3：巴彦淖尔盛安化工有限责任公司乌拉特中旗分公司年产5000t移动式乳化炸药地面站建设项目竣工环境保护验收意见</w:t>
      </w:r>
    </w:p>
    <w:p w14:paraId="3A923E38">
      <w:pPr>
        <w:pStyle w:val="10"/>
        <w:ind w:left="0" w:leftChars="0" w:firstLine="0" w:firstLineChars="0"/>
        <w:rPr>
          <w:rFonts w:hint="eastAsia" w:ascii="宋体" w:hAnsi="宋体" w:eastAsia="宋体" w:cs="宋体"/>
          <w:b/>
          <w:bCs/>
          <w:color w:val="auto"/>
          <w:sz w:val="24"/>
          <w:szCs w:val="24"/>
        </w:rPr>
      </w:pPr>
      <w:r>
        <w:rPr>
          <w:rFonts w:hint="eastAsia" w:ascii="宋体" w:hAnsi="宋体" w:eastAsia="宋体" w:cs="宋体"/>
        </w:rPr>
        <w:drawing>
          <wp:inline distT="0" distB="0" distL="114300" distR="114300">
            <wp:extent cx="5255260" cy="7401560"/>
            <wp:effectExtent l="0" t="0" r="2540" b="8890"/>
            <wp:docPr id="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
                    <pic:cNvPicPr>
                      <a:picLocks noChangeAspect="1"/>
                    </pic:cNvPicPr>
                  </pic:nvPicPr>
                  <pic:blipFill>
                    <a:blip r:embed="rId33"/>
                    <a:stretch>
                      <a:fillRect/>
                    </a:stretch>
                  </pic:blipFill>
                  <pic:spPr>
                    <a:xfrm>
                      <a:off x="0" y="0"/>
                      <a:ext cx="5255260" cy="74015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65420" cy="7680960"/>
            <wp:effectExtent l="0" t="0" r="11430" b="15240"/>
            <wp:docPr id="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3"/>
                    <pic:cNvPicPr>
                      <a:picLocks noChangeAspect="1"/>
                    </pic:cNvPicPr>
                  </pic:nvPicPr>
                  <pic:blipFill>
                    <a:blip r:embed="rId34"/>
                    <a:stretch>
                      <a:fillRect/>
                    </a:stretch>
                  </pic:blipFill>
                  <pic:spPr>
                    <a:xfrm>
                      <a:off x="0" y="0"/>
                      <a:ext cx="5265420" cy="76809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53990" cy="8277225"/>
            <wp:effectExtent l="0" t="0" r="3810" b="9525"/>
            <wp:docPr id="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4"/>
                    <pic:cNvPicPr>
                      <a:picLocks noChangeAspect="1"/>
                    </pic:cNvPicPr>
                  </pic:nvPicPr>
                  <pic:blipFill>
                    <a:blip r:embed="rId35"/>
                    <a:stretch>
                      <a:fillRect/>
                    </a:stretch>
                  </pic:blipFill>
                  <pic:spPr>
                    <a:xfrm>
                      <a:off x="0" y="0"/>
                      <a:ext cx="5253990" cy="82772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55260" cy="7261225"/>
            <wp:effectExtent l="0" t="0" r="2540" b="15875"/>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pic:cNvPicPr>
                  </pic:nvPicPr>
                  <pic:blipFill>
                    <a:blip r:embed="rId36"/>
                    <a:stretch>
                      <a:fillRect/>
                    </a:stretch>
                  </pic:blipFill>
                  <pic:spPr>
                    <a:xfrm>
                      <a:off x="0" y="0"/>
                      <a:ext cx="5255260" cy="7261225"/>
                    </a:xfrm>
                    <a:prstGeom prst="rect">
                      <a:avLst/>
                    </a:prstGeom>
                    <a:noFill/>
                    <a:ln>
                      <a:noFill/>
                    </a:ln>
                  </pic:spPr>
                </pic:pic>
              </a:graphicData>
            </a:graphic>
          </wp:inline>
        </w:drawing>
      </w:r>
    </w:p>
    <w:p w14:paraId="374339AE">
      <w:pPr>
        <w:rPr>
          <w:rFonts w:hint="eastAsia" w:ascii="宋体" w:hAnsi="宋体" w:eastAsia="宋体" w:cs="宋体"/>
          <w:color w:val="auto"/>
        </w:rPr>
      </w:pPr>
    </w:p>
    <w:p w14:paraId="4E4DBFFB">
      <w:pPr>
        <w:pStyle w:val="10"/>
        <w:ind w:left="0" w:leftChars="0" w:firstLine="0" w:firstLineChars="0"/>
        <w:rPr>
          <w:rFonts w:hint="eastAsia" w:ascii="宋体" w:hAnsi="宋体" w:eastAsia="宋体" w:cs="宋体"/>
          <w:color w:val="auto"/>
        </w:rPr>
      </w:pPr>
    </w:p>
    <w:p w14:paraId="23FF7680">
      <w:pPr>
        <w:rPr>
          <w:rFonts w:hint="eastAsia" w:ascii="宋体" w:hAnsi="宋体" w:eastAsia="宋体" w:cs="宋体"/>
          <w:color w:val="auto"/>
        </w:rPr>
      </w:pPr>
    </w:p>
    <w:p w14:paraId="41A2B76D">
      <w:pPr>
        <w:pStyle w:val="10"/>
        <w:ind w:left="0" w:leftChars="0" w:firstLine="0" w:firstLineChars="0"/>
        <w:rPr>
          <w:rFonts w:hint="eastAsia" w:ascii="宋体" w:hAnsi="宋体" w:eastAsia="宋体" w:cs="宋体"/>
          <w:color w:val="auto"/>
        </w:rPr>
      </w:pPr>
    </w:p>
    <w:p w14:paraId="140708BC">
      <w:pPr>
        <w:pStyle w:val="10"/>
        <w:ind w:left="0" w:leftChars="0" w:firstLine="0" w:firstLineChars="0"/>
        <w:rPr>
          <w:rFonts w:hint="eastAsia" w:ascii="宋体" w:hAnsi="宋体" w:eastAsia="宋体" w:cs="宋体"/>
          <w:color w:val="auto"/>
        </w:rPr>
      </w:pPr>
    </w:p>
    <w:p w14:paraId="74BAA7EE">
      <w:pPr>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附件4：排污处理协议</w:t>
      </w:r>
    </w:p>
    <w:p w14:paraId="7B56C0EA">
      <w:pPr>
        <w:pStyle w:val="10"/>
        <w:ind w:left="0" w:leftChars="0" w:firstLine="0" w:firstLineChars="0"/>
        <w:rPr>
          <w:rFonts w:hint="eastAsia" w:ascii="宋体" w:hAnsi="宋体" w:eastAsia="宋体" w:cs="宋体"/>
        </w:rPr>
      </w:pPr>
      <w:r>
        <w:rPr>
          <w:rFonts w:hint="eastAsia" w:ascii="宋体" w:hAnsi="宋体" w:eastAsia="宋体" w:cs="宋体"/>
        </w:rPr>
        <w:drawing>
          <wp:inline distT="0" distB="0" distL="114300" distR="114300">
            <wp:extent cx="5267960" cy="7510780"/>
            <wp:effectExtent l="0" t="0" r="8890" b="13970"/>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37"/>
                    <a:stretch>
                      <a:fillRect/>
                    </a:stretch>
                  </pic:blipFill>
                  <pic:spPr>
                    <a:xfrm>
                      <a:off x="0" y="0"/>
                      <a:ext cx="5267960" cy="751078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67960" cy="7510780"/>
            <wp:effectExtent l="0" t="0" r="8890" b="1397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38"/>
                    <a:stretch>
                      <a:fillRect/>
                    </a:stretch>
                  </pic:blipFill>
                  <pic:spPr>
                    <a:xfrm>
                      <a:off x="0" y="0"/>
                      <a:ext cx="5267960" cy="7510780"/>
                    </a:xfrm>
                    <a:prstGeom prst="rect">
                      <a:avLst/>
                    </a:prstGeom>
                    <a:noFill/>
                    <a:ln>
                      <a:noFill/>
                    </a:ln>
                  </pic:spPr>
                </pic:pic>
              </a:graphicData>
            </a:graphic>
          </wp:inline>
        </w:drawing>
      </w:r>
    </w:p>
    <w:p w14:paraId="233EC064">
      <w:pPr>
        <w:rPr>
          <w:rFonts w:hint="eastAsia" w:ascii="宋体" w:hAnsi="宋体" w:eastAsia="宋体" w:cs="宋体"/>
        </w:rPr>
      </w:pPr>
    </w:p>
    <w:p w14:paraId="6EB2594C">
      <w:pPr>
        <w:pStyle w:val="10"/>
        <w:rPr>
          <w:rFonts w:hint="eastAsia" w:ascii="宋体" w:hAnsi="宋体" w:eastAsia="宋体" w:cs="宋体"/>
        </w:rPr>
      </w:pPr>
    </w:p>
    <w:p w14:paraId="2C5C5E62">
      <w:pPr>
        <w:rPr>
          <w:rFonts w:hint="eastAsia" w:ascii="宋体" w:hAnsi="宋体" w:eastAsia="宋体" w:cs="宋体"/>
        </w:rPr>
      </w:pPr>
    </w:p>
    <w:p w14:paraId="54829E27">
      <w:pPr>
        <w:pStyle w:val="10"/>
        <w:rPr>
          <w:rFonts w:hint="eastAsia" w:ascii="宋体" w:hAnsi="宋体" w:eastAsia="宋体" w:cs="宋体"/>
        </w:rPr>
      </w:pPr>
    </w:p>
    <w:p w14:paraId="66040F51">
      <w:pPr>
        <w:pStyle w:val="10"/>
        <w:ind w:left="0" w:leftChars="0" w:firstLine="0" w:firstLineChars="0"/>
        <w:rPr>
          <w:rFonts w:hint="eastAsia" w:ascii="宋体" w:hAnsi="宋体" w:eastAsia="宋体" w:cs="宋体"/>
          <w:lang w:val="en-US" w:eastAsia="zh-CN"/>
        </w:rPr>
      </w:pPr>
    </w:p>
    <w:p w14:paraId="1F07792B">
      <w:pPr>
        <w:rPr>
          <w:rFonts w:hint="eastAsia" w:ascii="宋体" w:hAnsi="宋体" w:eastAsia="宋体" w:cs="宋体"/>
          <w:b w:val="0"/>
          <w:bCs w:val="0"/>
          <w:color w:val="auto"/>
          <w:sz w:val="28"/>
          <w:szCs w:val="28"/>
          <w:lang w:val="en-US" w:eastAsia="zh-CN"/>
        </w:rPr>
      </w:pPr>
      <w:r>
        <w:rPr>
          <w:rFonts w:hint="eastAsia" w:ascii="宋体" w:hAnsi="宋体" w:eastAsia="宋体" w:cs="宋体"/>
          <w:b w:val="0"/>
          <w:bCs w:val="0"/>
          <w:color w:val="auto"/>
          <w:sz w:val="28"/>
          <w:szCs w:val="28"/>
          <w:lang w:val="en-US" w:eastAsia="zh-CN"/>
        </w:rPr>
        <w:t>附件5：固定污染源排污登记回执</w:t>
      </w:r>
    </w:p>
    <w:p w14:paraId="1C141144">
      <w:pPr>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5265420" cy="6987540"/>
            <wp:effectExtent l="0" t="0" r="11430" b="3810"/>
            <wp:docPr id="2" name="图片 2" descr="174928307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49283076839"/>
                    <pic:cNvPicPr>
                      <a:picLocks noChangeAspect="1"/>
                    </pic:cNvPicPr>
                  </pic:nvPicPr>
                  <pic:blipFill>
                    <a:blip r:embed="rId39"/>
                    <a:stretch>
                      <a:fillRect/>
                    </a:stretch>
                  </pic:blipFill>
                  <pic:spPr>
                    <a:xfrm>
                      <a:off x="0" y="0"/>
                      <a:ext cx="5265420" cy="6987540"/>
                    </a:xfrm>
                    <a:prstGeom prst="rect">
                      <a:avLst/>
                    </a:prstGeom>
                  </pic:spPr>
                </pic:pic>
              </a:graphicData>
            </a:graphic>
          </wp:inline>
        </w:drawing>
      </w:r>
    </w:p>
    <w:p w14:paraId="189FDC1E">
      <w:pPr>
        <w:rPr>
          <w:rFonts w:hint="eastAsia" w:ascii="宋体" w:hAnsi="宋体" w:eastAsia="宋体" w:cs="宋体"/>
          <w:lang w:val="en-US" w:eastAsia="zh-CN"/>
        </w:rPr>
      </w:pPr>
    </w:p>
    <w:p w14:paraId="50689056">
      <w:pPr>
        <w:pStyle w:val="32"/>
        <w:ind w:left="0" w:leftChars="0" w:firstLine="0" w:firstLineChars="0"/>
        <w:rPr>
          <w:rFonts w:hint="eastAsia" w:ascii="宋体" w:hAnsi="宋体" w:eastAsia="宋体" w:cs="宋体"/>
          <w:color w:val="auto"/>
        </w:rPr>
      </w:pPr>
    </w:p>
    <w:p w14:paraId="7C36B99D">
      <w:pPr>
        <w:pStyle w:val="4"/>
        <w:rPr>
          <w:rFonts w:hint="eastAsia" w:ascii="宋体" w:hAnsi="宋体" w:eastAsia="宋体" w:cs="宋体"/>
          <w:color w:val="auto"/>
        </w:rPr>
      </w:pPr>
    </w:p>
    <w:p w14:paraId="5E884AEA">
      <w:pPr>
        <w:rPr>
          <w:rFonts w:hint="eastAsia" w:ascii="宋体" w:hAnsi="宋体" w:eastAsia="宋体" w:cs="宋体"/>
          <w:color w:val="auto"/>
        </w:rPr>
      </w:pPr>
    </w:p>
    <w:p w14:paraId="77782660">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lang w:eastAsia="zh-CN"/>
        </w:rPr>
        <w:t>附件</w:t>
      </w:r>
      <w:r>
        <w:rPr>
          <w:rFonts w:hint="eastAsia" w:ascii="宋体" w:hAnsi="宋体" w:eastAsia="宋体" w:cs="宋体"/>
          <w:b/>
          <w:bCs/>
          <w:color w:val="auto"/>
          <w:sz w:val="28"/>
          <w:szCs w:val="28"/>
          <w:lang w:val="en-US" w:eastAsia="zh-CN"/>
        </w:rPr>
        <w:t>6：不需办理环保审批手续的说明</w:t>
      </w:r>
    </w:p>
    <w:p w14:paraId="16FD61DA">
      <w:pPr>
        <w:pStyle w:val="10"/>
        <w:ind w:left="0" w:leftChars="0" w:firstLine="0" w:firstLineChars="0"/>
        <w:rPr>
          <w:rFonts w:hint="eastAsia" w:ascii="宋体" w:hAnsi="宋体" w:eastAsia="宋体" w:cs="宋体"/>
          <w:lang w:val="en-US" w:eastAsia="zh-CN"/>
        </w:rPr>
        <w:sectPr>
          <w:pgSz w:w="11906" w:h="16838"/>
          <w:pgMar w:top="1440" w:right="1803" w:bottom="1440" w:left="1803" w:header="1417" w:footer="1417"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lang w:val="en-US" w:eastAsia="zh-CN"/>
        </w:rPr>
        <w:drawing>
          <wp:inline distT="0" distB="0" distL="114300" distR="114300">
            <wp:extent cx="5269230" cy="7494905"/>
            <wp:effectExtent l="0" t="0" r="7620" b="10795"/>
            <wp:docPr id="49" name="图片 49" descr="cb46015cd54ed828004936eb83d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b46015cd54ed828004936eb83d4891"/>
                    <pic:cNvPicPr>
                      <a:picLocks noChangeAspect="1"/>
                    </pic:cNvPicPr>
                  </pic:nvPicPr>
                  <pic:blipFill>
                    <a:blip r:embed="rId40"/>
                    <a:stretch>
                      <a:fillRect/>
                    </a:stretch>
                  </pic:blipFill>
                  <pic:spPr>
                    <a:xfrm>
                      <a:off x="0" y="0"/>
                      <a:ext cx="5269230" cy="7494905"/>
                    </a:xfrm>
                    <a:prstGeom prst="rect">
                      <a:avLst/>
                    </a:prstGeom>
                  </pic:spPr>
                </pic:pic>
              </a:graphicData>
            </a:graphic>
          </wp:inline>
        </w:drawing>
      </w:r>
      <w:r>
        <w:rPr>
          <w:rFonts w:hint="eastAsia" w:ascii="宋体" w:hAnsi="宋体" w:eastAsia="宋体" w:cs="宋体"/>
          <w:lang w:val="en-US" w:eastAsia="zh-CN"/>
        </w:rPr>
        <w:drawing>
          <wp:inline distT="0" distB="0" distL="114300" distR="114300">
            <wp:extent cx="5266690" cy="7473950"/>
            <wp:effectExtent l="0" t="0" r="10160" b="12700"/>
            <wp:docPr id="50" name="图片 50" descr="007d90415a29ea94d5416f2aa2e05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07d90415a29ea94d5416f2aa2e05fe"/>
                    <pic:cNvPicPr>
                      <a:picLocks noChangeAspect="1"/>
                    </pic:cNvPicPr>
                  </pic:nvPicPr>
                  <pic:blipFill>
                    <a:blip r:embed="rId41"/>
                    <a:stretch>
                      <a:fillRect/>
                    </a:stretch>
                  </pic:blipFill>
                  <pic:spPr>
                    <a:xfrm>
                      <a:off x="0" y="0"/>
                      <a:ext cx="5266690" cy="7473950"/>
                    </a:xfrm>
                    <a:prstGeom prst="rect">
                      <a:avLst/>
                    </a:prstGeom>
                  </pic:spPr>
                </pic:pic>
              </a:graphicData>
            </a:graphic>
          </wp:inline>
        </w:drawing>
      </w:r>
    </w:p>
    <w:p w14:paraId="2C39A486">
      <w:pPr>
        <w:pStyle w:val="10"/>
        <w:ind w:left="0" w:leftChars="0" w:firstLine="0" w:firstLineChars="0"/>
        <w:rPr>
          <w:rFonts w:hint="eastAsia" w:ascii="宋体" w:hAnsi="宋体" w:eastAsia="宋体" w:cs="宋体"/>
          <w:b/>
          <w:bCs/>
          <w:color w:val="auto"/>
          <w:sz w:val="28"/>
          <w:szCs w:val="28"/>
          <w:highlight w:val="none"/>
          <w:lang w:val="en-US" w:eastAsia="zh-CN"/>
        </w:rPr>
      </w:pPr>
      <w:r>
        <w:rPr>
          <w:rFonts w:hint="eastAsia" w:ascii="宋体" w:hAnsi="宋体" w:eastAsia="宋体" w:cs="宋体"/>
          <w:b/>
          <w:bCs/>
          <w:color w:val="auto"/>
          <w:sz w:val="28"/>
          <w:szCs w:val="28"/>
          <w:highlight w:val="none"/>
          <w:lang w:eastAsia="zh-CN"/>
        </w:rPr>
        <w:t>附件</w:t>
      </w:r>
      <w:r>
        <w:rPr>
          <w:rFonts w:hint="eastAsia" w:ascii="宋体" w:hAnsi="宋体" w:eastAsia="宋体" w:cs="宋体"/>
          <w:b/>
          <w:bCs/>
          <w:color w:val="auto"/>
          <w:sz w:val="28"/>
          <w:szCs w:val="28"/>
          <w:highlight w:val="none"/>
          <w:lang w:val="en-US" w:eastAsia="zh-CN"/>
        </w:rPr>
        <w:t>7：民用爆炸物品安全生产许可证</w:t>
      </w:r>
    </w:p>
    <w:p w14:paraId="72528B62">
      <w:pPr>
        <w:jc w:val="center"/>
        <w:rPr>
          <w:rFonts w:hint="eastAsia" w:ascii="宋体" w:hAnsi="宋体" w:eastAsia="宋体" w:cs="宋体"/>
          <w:lang w:val="en-US" w:eastAsia="zh-CN"/>
        </w:rPr>
      </w:pPr>
      <w:r>
        <w:drawing>
          <wp:inline distT="0" distB="0" distL="114300" distR="114300">
            <wp:extent cx="6180455" cy="4635500"/>
            <wp:effectExtent l="0" t="0" r="10795" b="1270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42"/>
                    <a:stretch>
                      <a:fillRect/>
                    </a:stretch>
                  </pic:blipFill>
                  <pic:spPr>
                    <a:xfrm>
                      <a:off x="0" y="0"/>
                      <a:ext cx="6180455" cy="4635500"/>
                    </a:xfrm>
                    <a:prstGeom prst="rect">
                      <a:avLst/>
                    </a:prstGeom>
                    <a:noFill/>
                    <a:ln>
                      <a:noFill/>
                    </a:ln>
                  </pic:spPr>
                </pic:pic>
              </a:graphicData>
            </a:graphic>
          </wp:inline>
        </w:drawing>
      </w:r>
    </w:p>
    <w:p w14:paraId="518A0EAB">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pPr>
      <w:r>
        <w:drawing>
          <wp:inline distT="0" distB="0" distL="114300" distR="114300">
            <wp:extent cx="7555865" cy="5308600"/>
            <wp:effectExtent l="0" t="0" r="6985" b="635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43"/>
                    <a:stretch>
                      <a:fillRect/>
                    </a:stretch>
                  </pic:blipFill>
                  <pic:spPr>
                    <a:xfrm>
                      <a:off x="0" y="0"/>
                      <a:ext cx="7555865" cy="5308600"/>
                    </a:xfrm>
                    <a:prstGeom prst="rect">
                      <a:avLst/>
                    </a:prstGeom>
                    <a:noFill/>
                    <a:ln>
                      <a:noFill/>
                    </a:ln>
                  </pic:spPr>
                </pic:pic>
              </a:graphicData>
            </a:graphic>
          </wp:inline>
        </w:drawing>
      </w:r>
    </w:p>
    <w:p w14:paraId="0CBFF888">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b/>
          <w:bCs/>
          <w:color w:val="auto"/>
          <w:sz w:val="28"/>
          <w:szCs w:val="28"/>
          <w:lang w:eastAsia="zh-CN"/>
        </w:rPr>
        <w:sectPr>
          <w:pgSz w:w="16838" w:h="11906" w:orient="landscape"/>
          <w:pgMar w:top="1803" w:right="1440" w:bottom="1803" w:left="1440" w:header="1417" w:footer="1417" w:gutter="0"/>
          <w:pgBorders>
            <w:top w:val="none" w:sz="0" w:space="0"/>
            <w:left w:val="none" w:sz="0" w:space="0"/>
            <w:bottom w:val="none" w:sz="0" w:space="0"/>
            <w:right w:val="none" w:sz="0" w:space="0"/>
          </w:pgBorders>
          <w:pgNumType w:fmt="decimal"/>
          <w:cols w:space="720" w:num="1"/>
          <w:docGrid w:type="lines" w:linePitch="312" w:charSpace="0"/>
        </w:sectPr>
      </w:pPr>
    </w:p>
    <w:p w14:paraId="319D425F">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lang w:eastAsia="zh-CN"/>
        </w:rPr>
        <w:t>附件</w:t>
      </w:r>
      <w:r>
        <w:rPr>
          <w:rFonts w:hint="eastAsia" w:ascii="宋体" w:hAnsi="宋体" w:eastAsia="宋体" w:cs="宋体"/>
          <w:b/>
          <w:bCs/>
          <w:color w:val="auto"/>
          <w:sz w:val="28"/>
          <w:szCs w:val="28"/>
          <w:lang w:val="en-US" w:eastAsia="zh-CN"/>
        </w:rPr>
        <w:t>8：科学技术成果鉴定证书</w:t>
      </w:r>
    </w:p>
    <w:p w14:paraId="6494E3A4">
      <w:pPr>
        <w:rPr>
          <w:rFonts w:hint="eastAsia"/>
          <w:lang w:val="en-US" w:eastAsia="zh-CN"/>
        </w:rPr>
      </w:pPr>
      <w:r>
        <w:drawing>
          <wp:inline distT="0" distB="0" distL="114300" distR="114300">
            <wp:extent cx="5254625" cy="7496810"/>
            <wp:effectExtent l="0" t="0" r="3175" b="889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44"/>
                    <a:stretch>
                      <a:fillRect/>
                    </a:stretch>
                  </pic:blipFill>
                  <pic:spPr>
                    <a:xfrm>
                      <a:off x="0" y="0"/>
                      <a:ext cx="5254625" cy="7496810"/>
                    </a:xfrm>
                    <a:prstGeom prst="rect">
                      <a:avLst/>
                    </a:prstGeom>
                    <a:noFill/>
                    <a:ln>
                      <a:noFill/>
                    </a:ln>
                  </pic:spPr>
                </pic:pic>
              </a:graphicData>
            </a:graphic>
          </wp:inline>
        </w:drawing>
      </w:r>
    </w:p>
    <w:p w14:paraId="4B3FDFEE">
      <w:pPr>
        <w:pStyle w:val="10"/>
        <w:ind w:left="0" w:leftChars="0" w:firstLine="0" w:firstLineChars="0"/>
        <w:jc w:val="center"/>
        <w:rPr>
          <w:rFonts w:hint="eastAsia" w:ascii="宋体" w:hAnsi="宋体" w:eastAsia="宋体" w:cs="宋体"/>
        </w:rPr>
      </w:pPr>
    </w:p>
    <w:p w14:paraId="466A92CB">
      <w:r>
        <w:drawing>
          <wp:inline distT="0" distB="0" distL="114300" distR="114300">
            <wp:extent cx="5254625" cy="7496810"/>
            <wp:effectExtent l="0" t="0" r="3175" b="889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45"/>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46"/>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47"/>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48"/>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49"/>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50"/>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51"/>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pic:cNvPicPr>
                      <a:picLocks noChangeAspect="1"/>
                    </pic:cNvPicPr>
                  </pic:nvPicPr>
                  <pic:blipFill>
                    <a:blip r:embed="rId52"/>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pic:cNvPicPr>
                  </pic:nvPicPr>
                  <pic:blipFill>
                    <a:blip r:embed="rId53"/>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a:picLocks noChangeAspect="1"/>
                    </pic:cNvPicPr>
                  </pic:nvPicPr>
                  <pic:blipFill>
                    <a:blip r:embed="rId54"/>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1"/>
                    <pic:cNvPicPr>
                      <a:picLocks noChangeAspect="1"/>
                    </pic:cNvPicPr>
                  </pic:nvPicPr>
                  <pic:blipFill>
                    <a:blip r:embed="rId55"/>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2"/>
                    <pic:cNvPicPr>
                      <a:picLocks noChangeAspect="1"/>
                    </pic:cNvPicPr>
                  </pic:nvPicPr>
                  <pic:blipFill>
                    <a:blip r:embed="rId56"/>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3"/>
                    <pic:cNvPicPr>
                      <a:picLocks noChangeAspect="1"/>
                    </pic:cNvPicPr>
                  </pic:nvPicPr>
                  <pic:blipFill>
                    <a:blip r:embed="rId57"/>
                    <a:stretch>
                      <a:fillRect/>
                    </a:stretch>
                  </pic:blipFill>
                  <pic:spPr>
                    <a:xfrm>
                      <a:off x="0" y="0"/>
                      <a:ext cx="5254625" cy="7496810"/>
                    </a:xfrm>
                    <a:prstGeom prst="rect">
                      <a:avLst/>
                    </a:prstGeom>
                    <a:noFill/>
                    <a:ln>
                      <a:noFill/>
                    </a:ln>
                  </pic:spPr>
                </pic:pic>
              </a:graphicData>
            </a:graphic>
          </wp:inline>
        </w:drawing>
      </w:r>
      <w:r>
        <w:drawing>
          <wp:inline distT="0" distB="0" distL="114300" distR="114300">
            <wp:extent cx="5254625" cy="7496810"/>
            <wp:effectExtent l="0" t="0" r="3175" b="8890"/>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58"/>
                    <a:stretch>
                      <a:fillRect/>
                    </a:stretch>
                  </pic:blipFill>
                  <pic:spPr>
                    <a:xfrm>
                      <a:off x="0" y="0"/>
                      <a:ext cx="5254625" cy="7496810"/>
                    </a:xfrm>
                    <a:prstGeom prst="rect">
                      <a:avLst/>
                    </a:prstGeom>
                    <a:noFill/>
                    <a:ln>
                      <a:noFill/>
                    </a:ln>
                  </pic:spPr>
                </pic:pic>
              </a:graphicData>
            </a:graphic>
          </wp:inline>
        </w:drawing>
      </w:r>
    </w:p>
    <w:p w14:paraId="323BD2F2">
      <w:pPr>
        <w:pStyle w:val="10"/>
      </w:pPr>
    </w:p>
    <w:p w14:paraId="28D3C60E"/>
    <w:p w14:paraId="02E53A20">
      <w:pPr>
        <w:pStyle w:val="10"/>
      </w:pPr>
    </w:p>
    <w:p w14:paraId="2E844883"/>
    <w:p w14:paraId="3551DF7E">
      <w:pPr>
        <w:pStyle w:val="10"/>
      </w:pPr>
    </w:p>
    <w:p w14:paraId="7DEA9DA5">
      <w:pPr>
        <w:pStyle w:val="10"/>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lang w:eastAsia="zh-CN"/>
        </w:rPr>
        <w:t>附件</w:t>
      </w:r>
      <w:r>
        <w:rPr>
          <w:rFonts w:hint="eastAsia" w:ascii="宋体" w:hAnsi="宋体" w:eastAsia="宋体" w:cs="宋体"/>
          <w:b/>
          <w:bCs/>
          <w:color w:val="auto"/>
          <w:sz w:val="28"/>
          <w:szCs w:val="28"/>
          <w:lang w:val="en-US" w:eastAsia="zh-CN"/>
        </w:rPr>
        <w:t>9：现状检测报告</w:t>
      </w:r>
    </w:p>
    <w:p w14:paraId="6B7A724B">
      <w:pPr>
        <w:rPr>
          <w:rFonts w:hint="default"/>
          <w:lang w:val="en-US" w:eastAsia="zh-CN"/>
        </w:rPr>
      </w:pPr>
      <w:r>
        <w:drawing>
          <wp:inline distT="0" distB="0" distL="114300" distR="114300">
            <wp:extent cx="5267960" cy="7459980"/>
            <wp:effectExtent l="0" t="0" r="8890" b="7620"/>
            <wp:docPr id="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pic:cNvPicPr>
                      <a:picLocks noChangeAspect="1"/>
                    </pic:cNvPicPr>
                  </pic:nvPicPr>
                  <pic:blipFill>
                    <a:blip r:embed="rId59"/>
                    <a:stretch>
                      <a:fillRect/>
                    </a:stretch>
                  </pic:blipFill>
                  <pic:spPr>
                    <a:xfrm>
                      <a:off x="0" y="0"/>
                      <a:ext cx="5267960" cy="7459980"/>
                    </a:xfrm>
                    <a:prstGeom prst="rect">
                      <a:avLst/>
                    </a:prstGeom>
                    <a:noFill/>
                    <a:ln>
                      <a:noFill/>
                    </a:ln>
                  </pic:spPr>
                </pic:pic>
              </a:graphicData>
            </a:graphic>
          </wp:inline>
        </w:drawing>
      </w:r>
    </w:p>
    <w:p w14:paraId="3194E429">
      <w:pPr>
        <w:pStyle w:val="10"/>
        <w:ind w:left="0" w:leftChars="0" w:firstLine="0" w:firstLineChars="0"/>
        <w:rPr>
          <w:rFonts w:hint="eastAsia"/>
        </w:rPr>
        <w:sectPr>
          <w:pgSz w:w="11906" w:h="16838"/>
          <w:pgMar w:top="1440" w:right="1803" w:bottom="1440" w:left="1803" w:header="1417" w:footer="1417" w:gutter="0"/>
          <w:pgBorders>
            <w:top w:val="none" w:sz="0" w:space="0"/>
            <w:left w:val="none" w:sz="0" w:space="0"/>
            <w:bottom w:val="none" w:sz="0" w:space="0"/>
            <w:right w:val="none" w:sz="0" w:space="0"/>
          </w:pgBorders>
          <w:pgNumType w:fmt="decimal"/>
          <w:cols w:space="720" w:num="1"/>
          <w:docGrid w:type="lines" w:linePitch="312" w:charSpace="0"/>
        </w:sectPr>
      </w:pPr>
      <w:r>
        <w:drawing>
          <wp:inline distT="0" distB="0" distL="114300" distR="114300">
            <wp:extent cx="5267960" cy="7459980"/>
            <wp:effectExtent l="0" t="0" r="8890" b="762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60"/>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61"/>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62"/>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63"/>
                    <a:stretch>
                      <a:fillRect/>
                    </a:stretch>
                  </pic:blipFill>
                  <pic:spPr>
                    <a:xfrm>
                      <a:off x="0" y="0"/>
                      <a:ext cx="5267960" cy="7459980"/>
                    </a:xfrm>
                    <a:prstGeom prst="rect">
                      <a:avLst/>
                    </a:prstGeom>
                    <a:noFill/>
                    <a:ln>
                      <a:noFill/>
                    </a:ln>
                  </pic:spPr>
                </pic:pic>
              </a:graphicData>
            </a:graphic>
          </wp:inline>
        </w:drawing>
      </w:r>
    </w:p>
    <w:p w14:paraId="157B7790">
      <w:pPr>
        <w:pStyle w:val="10"/>
        <w:tabs>
          <w:tab w:val="left" w:pos="0"/>
        </w:tabs>
        <w:spacing w:after="0"/>
        <w:ind w:left="0" w:leftChars="0" w:firstLine="0" w:firstLineChars="0"/>
        <w:jc w:val="center"/>
        <w:rPr>
          <w:rFonts w:hint="eastAsia" w:ascii="宋体" w:hAnsi="宋体" w:eastAsia="宋体" w:cs="宋体"/>
          <w:color w:val="auto"/>
        </w:rPr>
      </w:pPr>
      <w:r>
        <w:rPr>
          <w:rFonts w:hint="eastAsia" w:ascii="宋体" w:hAnsi="宋体" w:eastAsia="宋体" w:cs="宋体"/>
          <w:color w:val="auto"/>
          <w:sz w:val="30"/>
        </w:rPr>
        <mc:AlternateContent>
          <mc:Choice Requires="wps">
            <w:drawing>
              <wp:anchor distT="0" distB="0" distL="114300" distR="114300" simplePos="0" relativeHeight="251664384" behindDoc="0" locked="0" layoutInCell="1" allowOverlap="1">
                <wp:simplePos x="0" y="0"/>
                <wp:positionH relativeFrom="column">
                  <wp:posOffset>6336665</wp:posOffset>
                </wp:positionH>
                <wp:positionV relativeFrom="paragraph">
                  <wp:posOffset>3994785</wp:posOffset>
                </wp:positionV>
                <wp:extent cx="1120775" cy="389255"/>
                <wp:effectExtent l="10795" t="154305" r="11430" b="8890"/>
                <wp:wrapNone/>
                <wp:docPr id="64" name="圆角矩形标注 64"/>
                <wp:cNvGraphicFramePr/>
                <a:graphic xmlns:a="http://schemas.openxmlformats.org/drawingml/2006/main">
                  <a:graphicData uri="http://schemas.microsoft.com/office/word/2010/wordprocessingShape">
                    <wps:wsp>
                      <wps:cNvSpPr/>
                      <wps:spPr>
                        <a:xfrm flipV="1">
                          <a:off x="0" y="0"/>
                          <a:ext cx="1120775" cy="389255"/>
                        </a:xfrm>
                        <a:prstGeom prst="wedgeRoundRectCallout">
                          <a:avLst>
                            <a:gd name="adj1" fmla="val -48958"/>
                            <a:gd name="adj2" fmla="val 86500"/>
                            <a:gd name="adj3" fmla="val 16667"/>
                          </a:avLst>
                        </a:prstGeom>
                        <a:solidFill>
                          <a:srgbClr val="00B0F0">
                            <a:alpha val="50000"/>
                          </a:srgbClr>
                        </a:solidFill>
                        <a:ln w="9525" cap="flat" cmpd="sng">
                          <a:solidFill>
                            <a:srgbClr val="000000"/>
                          </a:solidFill>
                          <a:prstDash val="solid"/>
                          <a:miter/>
                          <a:headEnd type="none" w="med" len="med"/>
                          <a:tailEnd type="none" w="med" len="med"/>
                        </a:ln>
                      </wps:spPr>
                      <wps:txbx>
                        <w:txbxContent>
                          <w:p w14:paraId="000CB277">
                            <w:pPr>
                              <w:ind w:firstLine="0" w:firstLineChars="0"/>
                              <w:rPr>
                                <w:rFonts w:hint="eastAsia"/>
                                <w:b/>
                                <w:bCs/>
                                <w:color w:val="FF0000"/>
                                <w:sz w:val="24"/>
                                <w:szCs w:val="24"/>
                              </w:rPr>
                            </w:pPr>
                            <w:r>
                              <w:rPr>
                                <w:rFonts w:hint="eastAsia"/>
                                <w:b/>
                                <w:bCs/>
                                <w:color w:val="FF0000"/>
                                <w:sz w:val="24"/>
                                <w:szCs w:val="24"/>
                              </w:rPr>
                              <w:t>项目所在地</w:t>
                            </w:r>
                          </w:p>
                        </w:txbxContent>
                      </wps:txbx>
                      <wps:bodyPr upright="1"/>
                    </wps:wsp>
                  </a:graphicData>
                </a:graphic>
              </wp:anchor>
            </w:drawing>
          </mc:Choice>
          <mc:Fallback>
            <w:pict>
              <v:shape id="_x0000_s1026" o:spid="_x0000_s1026" o:spt="62" type="#_x0000_t62" style="position:absolute;left:0pt;flip:y;margin-left:498.95pt;margin-top:314.55pt;height:30.65pt;width:88.25pt;z-index:251664384;mso-width-relative:page;mso-height-relative:page;" fillcolor="#00B0F0" filled="t" stroked="t" coordsize="21600,21600" o:gfxdata="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KFe3faAAAADAEAAA8AAAAAAAAAAQAgAAAAIgAAAGRycy9kb3ducmV2&#10;LnhtbFBLAQIUABQAAAAIAIdO4kBQSPMSbAIAAOkEAAAOAAAAAAAAAAEAIAAAACkBAABkcnMvZTJv&#10;RG9jLnhtbFBLBQYAAAAABgAGAFkBAAAHBgAAAAA=&#10;" adj="225,29484,14400">
                <v:fill on="t" opacity="32768f" focussize="0,0"/>
                <v:stroke color="#000000" joinstyle="miter"/>
                <v:imagedata o:title=""/>
                <o:lock v:ext="edit" aspectratio="f"/>
                <v:textbox>
                  <w:txbxContent>
                    <w:p w14:paraId="000CB277">
                      <w:pPr>
                        <w:ind w:firstLine="0" w:firstLineChars="0"/>
                        <w:rPr>
                          <w:rFonts w:hint="eastAsia"/>
                          <w:b/>
                          <w:bCs/>
                          <w:color w:val="FF0000"/>
                          <w:sz w:val="24"/>
                          <w:szCs w:val="24"/>
                        </w:rPr>
                      </w:pPr>
                      <w:r>
                        <w:rPr>
                          <w:rFonts w:hint="eastAsia"/>
                          <w:b/>
                          <w:bCs/>
                          <w:color w:val="FF0000"/>
                          <w:sz w:val="24"/>
                          <w:szCs w:val="24"/>
                        </w:rPr>
                        <w:t>项目所在地</w:t>
                      </w:r>
                    </w:p>
                  </w:txbxContent>
                </v:textbox>
              </v:shape>
            </w:pict>
          </mc:Fallback>
        </mc:AlternateContent>
      </w:r>
      <w:r>
        <w:rPr>
          <w:rFonts w:hint="eastAsia" w:ascii="宋体" w:hAnsi="宋体" w:eastAsia="宋体" w:cs="宋体"/>
          <w:sz w:val="30"/>
        </w:rPr>
        <mc:AlternateContent>
          <mc:Choice Requires="wps">
            <w:drawing>
              <wp:anchor distT="0" distB="0" distL="114300" distR="114300" simplePos="0" relativeHeight="251665408" behindDoc="0" locked="0" layoutInCell="1" allowOverlap="1">
                <wp:simplePos x="0" y="0"/>
                <wp:positionH relativeFrom="column">
                  <wp:posOffset>6253480</wp:posOffset>
                </wp:positionH>
                <wp:positionV relativeFrom="paragraph">
                  <wp:posOffset>3726815</wp:posOffset>
                </wp:positionV>
                <wp:extent cx="179705" cy="179705"/>
                <wp:effectExtent l="19050" t="21590" r="29845" b="27305"/>
                <wp:wrapNone/>
                <wp:docPr id="65" name="五角星 65"/>
                <wp:cNvGraphicFramePr/>
                <a:graphic xmlns:a="http://schemas.openxmlformats.org/drawingml/2006/main">
                  <a:graphicData uri="http://schemas.microsoft.com/office/word/2010/wordprocessingShape">
                    <wps:wsp>
                      <wps:cNvSpPr/>
                      <wps:spPr>
                        <a:xfrm>
                          <a:off x="7215505" y="4496435"/>
                          <a:ext cx="179705" cy="17970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92.4pt;margin-top:293.45pt;height:14.15pt;width:14.15pt;z-index:251665408;v-text-anchor:middle;mso-width-relative:page;mso-height-relative:page;" fillcolor="#FF0000" filled="t" stroked="t" coordsize="179705,179705" o:gfxdata="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y874n2QAAAAwBAAAPAAAAAAAAAAEAIAAA&#10;ACIAAABkcnMvZG93bnJldi54bWxQSwECFAAUAAAACACHTuJA0+637n0CAAAFBQAADgAAAAAAAAAB&#10;ACAAAAAoAQAAZHJzL2Uyb0RvYy54bWxQSwUGAAAAAAYABgBZAQAAFwYAAAAA&#10;" path="m0,68641l68641,68641,89852,0,111063,68641,179704,68641,124172,111063,145384,179704,89852,137281,34320,179704,55532,111063xe">
                <v:path o:connectlocs="89852,0;0,68641;34320,179704;145384,179704;179704,68641" o:connectangles="247,164,82,82,0"/>
                <v:fill on="t" focussize="0,0"/>
                <v:stroke weight="1pt" color="#FF0000 [2404]" miterlimit="8" joinstyle="miter"/>
                <v:imagedata o:title=""/>
                <o:lock v:ext="edit" aspectratio="f"/>
              </v:shape>
            </w:pict>
          </mc:Fallback>
        </mc:AlternateContent>
      </w:r>
      <w:r>
        <w:rPr>
          <w:rFonts w:hint="eastAsia" w:ascii="宋体" w:hAnsi="宋体" w:eastAsia="宋体" w:cs="宋体"/>
          <w:color w:val="auto"/>
        </w:rPr>
        <w:drawing>
          <wp:inline distT="0" distB="0" distL="114300" distR="114300">
            <wp:extent cx="8097520" cy="5916930"/>
            <wp:effectExtent l="0" t="0" r="17780" b="7620"/>
            <wp:docPr id="63" name="图片 13" descr="乌拉特中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descr="乌拉特中旗"/>
                    <pic:cNvPicPr>
                      <a:picLocks noChangeAspect="1"/>
                    </pic:cNvPicPr>
                  </pic:nvPicPr>
                  <pic:blipFill>
                    <a:blip r:embed="rId64"/>
                    <a:stretch>
                      <a:fillRect/>
                    </a:stretch>
                  </pic:blipFill>
                  <pic:spPr>
                    <a:xfrm>
                      <a:off x="0" y="0"/>
                      <a:ext cx="8097520" cy="5916930"/>
                    </a:xfrm>
                    <a:prstGeom prst="rect">
                      <a:avLst/>
                    </a:prstGeom>
                    <a:noFill/>
                    <a:ln>
                      <a:noFill/>
                    </a:ln>
                  </pic:spPr>
                </pic:pic>
              </a:graphicData>
            </a:graphic>
          </wp:inline>
        </w:drawing>
      </w:r>
    </w:p>
    <w:p w14:paraId="6E975EA5">
      <w:pPr>
        <w:jc w:val="center"/>
        <w:rPr>
          <w:rFonts w:hint="eastAsia" w:ascii="宋体" w:hAnsi="宋体" w:eastAsia="宋体" w:cs="宋体"/>
          <w:b w:val="0"/>
          <w:bCs/>
          <w:color w:val="auto"/>
          <w:sz w:val="28"/>
          <w:szCs w:val="28"/>
        </w:rPr>
        <w:sectPr>
          <w:footerReference r:id="rId7" w:type="default"/>
          <w:pgSz w:w="16838" w:h="11906" w:orient="landscape"/>
          <w:pgMar w:top="1020" w:right="1440" w:bottom="1020" w:left="1440" w:header="680" w:footer="68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cs="宋体"/>
          <w:b w:val="0"/>
          <w:bCs/>
          <w:color w:val="auto"/>
          <w:sz w:val="28"/>
          <w:szCs w:val="28"/>
        </w:rPr>
        <w:t>附图1 项目地理位置图</w:t>
      </w:r>
    </w:p>
    <w:p w14:paraId="5D05FF5E">
      <w:pPr>
        <w:jc w:val="center"/>
        <w:rPr>
          <w:rFonts w:hint="eastAsia" w:ascii="宋体" w:hAnsi="宋体" w:eastAsia="宋体" w:cs="宋体"/>
          <w:color w:val="auto"/>
        </w:rPr>
      </w:pPr>
      <w:r>
        <w:rPr>
          <w:rFonts w:hint="eastAsia" w:ascii="宋体" w:hAnsi="宋体" w:eastAsia="宋体" w:cs="宋体"/>
          <w:color w:val="auto"/>
        </w:rPr>
        <w:drawing>
          <wp:inline distT="0" distB="0" distL="114300" distR="114300">
            <wp:extent cx="7174865" cy="4932045"/>
            <wp:effectExtent l="0" t="0" r="6985" b="1905"/>
            <wp:docPr id="3" name="图片 3" descr="174611165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46111652411"/>
                    <pic:cNvPicPr>
                      <a:picLocks noChangeAspect="1"/>
                    </pic:cNvPicPr>
                  </pic:nvPicPr>
                  <pic:blipFill>
                    <a:blip r:embed="rId65"/>
                    <a:stretch>
                      <a:fillRect/>
                    </a:stretch>
                  </pic:blipFill>
                  <pic:spPr>
                    <a:xfrm>
                      <a:off x="0" y="0"/>
                      <a:ext cx="7174865" cy="4932045"/>
                    </a:xfrm>
                    <a:prstGeom prst="rect">
                      <a:avLst/>
                    </a:prstGeom>
                  </pic:spPr>
                </pic:pic>
              </a:graphicData>
            </a:graphic>
          </wp:inline>
        </w:drawing>
      </w:r>
      <w:r>
        <w:rPr>
          <w:rFonts w:hint="eastAsia" w:ascii="宋体" w:hAnsi="宋体" w:eastAsia="宋体" w:cs="宋体"/>
          <w:color w:val="auto"/>
        </w:rPr>
        <w:t xml:space="preserve"> </w:t>
      </w:r>
      <w:r>
        <w:rPr>
          <w:rFonts w:hint="eastAsia" w:ascii="宋体" w:hAnsi="宋体" w:eastAsia="宋体" w:cs="宋体"/>
          <w:color w:val="auto"/>
          <w:sz w:val="24"/>
          <w:szCs w:val="20"/>
        </w:rPr>
        <w:t xml:space="preserve"> </w:t>
      </w:r>
    </w:p>
    <w:p w14:paraId="013AC8D3">
      <w:pPr>
        <w:jc w:val="center"/>
        <w:rPr>
          <w:rFonts w:hint="eastAsia" w:ascii="宋体" w:hAnsi="宋体" w:eastAsia="宋体" w:cs="宋体"/>
          <w:b w:val="0"/>
          <w:bCs w:val="0"/>
          <w:color w:val="auto"/>
          <w:sz w:val="28"/>
          <w:szCs w:val="28"/>
        </w:rPr>
        <w:sectPr>
          <w:pgSz w:w="16838" w:h="11906" w:orient="landscape"/>
          <w:pgMar w:top="1803" w:right="1440" w:bottom="1803" w:left="1440" w:header="1417" w:footer="1417"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val="0"/>
          <w:bCs w:val="0"/>
          <w:color w:val="auto"/>
          <w:sz w:val="28"/>
          <w:szCs w:val="28"/>
        </w:rPr>
        <w:t>附图2 项目四邻关系图</w:t>
      </w:r>
    </w:p>
    <w:p w14:paraId="459AD9E2">
      <w:pPr>
        <w:pStyle w:val="14"/>
        <w:tabs>
          <w:tab w:val="left" w:pos="600"/>
        </w:tabs>
        <w:spacing w:before="0" w:line="240" w:lineRule="auto"/>
        <w:ind w:left="0" w:right="0" w:rightChars="0" w:firstLine="0" w:firstLineChars="0"/>
        <w:jc w:val="center"/>
        <w:rPr>
          <w:rFonts w:hint="eastAsia" w:ascii="宋体" w:hAnsi="宋体" w:eastAsia="宋体" w:cs="宋体"/>
          <w:b/>
          <w:color w:val="auto"/>
          <w:sz w:val="21"/>
          <w:szCs w:val="21"/>
          <w:lang w:eastAsia="zh-CN"/>
        </w:rPr>
      </w:pPr>
      <w:r>
        <w:rPr>
          <w:rFonts w:hint="eastAsia" w:ascii="宋体" w:hAnsi="宋体" w:eastAsia="宋体" w:cs="宋体"/>
          <w:b/>
          <w:color w:val="auto"/>
          <w:sz w:val="21"/>
          <w:szCs w:val="21"/>
          <w:lang w:eastAsia="zh-CN"/>
        </w:rPr>
        <w:drawing>
          <wp:anchor distT="0" distB="0" distL="114300" distR="114300" simplePos="0" relativeHeight="251672576" behindDoc="0" locked="0" layoutInCell="1" allowOverlap="1">
            <wp:simplePos x="0" y="0"/>
            <wp:positionH relativeFrom="column">
              <wp:posOffset>4032250</wp:posOffset>
            </wp:positionH>
            <wp:positionV relativeFrom="paragraph">
              <wp:posOffset>424815</wp:posOffset>
            </wp:positionV>
            <wp:extent cx="857885" cy="1035685"/>
            <wp:effectExtent l="0" t="0" r="18415" b="12065"/>
            <wp:wrapNone/>
            <wp:docPr id="19" name="图片 19" descr="174713962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47139623549"/>
                    <pic:cNvPicPr>
                      <a:picLocks noChangeAspect="1"/>
                    </pic:cNvPicPr>
                  </pic:nvPicPr>
                  <pic:blipFill>
                    <a:blip r:embed="rId66"/>
                    <a:stretch>
                      <a:fillRect/>
                    </a:stretch>
                  </pic:blipFill>
                  <pic:spPr>
                    <a:xfrm>
                      <a:off x="0" y="0"/>
                      <a:ext cx="857885" cy="1035685"/>
                    </a:xfrm>
                    <a:prstGeom prst="rect">
                      <a:avLst/>
                    </a:prstGeom>
                  </pic:spPr>
                </pic:pic>
              </a:graphicData>
            </a:graphic>
          </wp:anchor>
        </w:drawing>
      </w:r>
      <w:r>
        <w:rPr>
          <w:rFonts w:hint="eastAsia" w:ascii="宋体" w:hAnsi="宋体" w:eastAsia="宋体" w:cs="宋体"/>
          <w:sz w:val="21"/>
        </w:rPr>
        <mc:AlternateContent>
          <mc:Choice Requires="wps">
            <w:drawing>
              <wp:anchor distT="0" distB="0" distL="114300" distR="114300" simplePos="0" relativeHeight="251671552" behindDoc="0" locked="0" layoutInCell="1" allowOverlap="1">
                <wp:simplePos x="0" y="0"/>
                <wp:positionH relativeFrom="column">
                  <wp:posOffset>4497705</wp:posOffset>
                </wp:positionH>
                <wp:positionV relativeFrom="paragraph">
                  <wp:posOffset>5727065</wp:posOffset>
                </wp:positionV>
                <wp:extent cx="870585" cy="336550"/>
                <wp:effectExtent l="0" t="0" r="0" b="0"/>
                <wp:wrapNone/>
                <wp:docPr id="18" name="矩形 18"/>
                <wp:cNvGraphicFramePr/>
                <a:graphic xmlns:a="http://schemas.openxmlformats.org/drawingml/2006/main">
                  <a:graphicData uri="http://schemas.microsoft.com/office/word/2010/wordprocessingShape">
                    <wps:wsp>
                      <wps:cNvSpPr/>
                      <wps:spPr>
                        <a:xfrm>
                          <a:off x="0" y="0"/>
                          <a:ext cx="870585" cy="3365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E3FA72">
                            <w:pPr>
                              <w:jc w:val="cente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技改内容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4.15pt;margin-top:450.95pt;height:26.5pt;width:68.55pt;z-index:251671552;v-text-anchor:middle;mso-width-relative:page;mso-height-relative:page;" filled="f" stroked="f" coordsize="21600,21600" o:gfxdata="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pM71t2QAAAAsBAAAPAAAAAAAAAAEAIAAAACIAAABkcnMvZG93bnJldi54bWxQSwECFAAUAAAA&#10;CACHTuJATNwzVF8CAACuBAAADgAAAAAAAAABACAAAAAoAQAAZHJzL2Uyb0RvYy54bWxQSwUGAAAA&#10;AAYABgBZAQAA+QUAAAAA&#10;">
                <v:fill on="f" focussize="0,0"/>
                <v:stroke on="f" weight="1pt" miterlimit="8" joinstyle="miter"/>
                <v:imagedata o:title=""/>
                <o:lock v:ext="edit" aspectratio="f"/>
                <v:textbox>
                  <w:txbxContent>
                    <w:p w14:paraId="1BE3FA72">
                      <w:pPr>
                        <w:jc w:val="cente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技改内容</w:t>
                      </w:r>
                    </w:p>
                  </w:txbxContent>
                </v:textbox>
              </v:rect>
            </w:pict>
          </mc:Fallback>
        </mc:AlternateContent>
      </w:r>
      <w:r>
        <w:rPr>
          <w:rFonts w:hint="eastAsia" w:ascii="宋体" w:hAnsi="宋体" w:eastAsia="宋体" w:cs="宋体"/>
          <w:sz w:val="21"/>
        </w:rPr>
        <mc:AlternateContent>
          <mc:Choice Requires="wps">
            <w:drawing>
              <wp:anchor distT="0" distB="0" distL="114300" distR="114300" simplePos="0" relativeHeight="251670528" behindDoc="0" locked="0" layoutInCell="1" allowOverlap="1">
                <wp:simplePos x="0" y="0"/>
                <wp:positionH relativeFrom="column">
                  <wp:posOffset>4158615</wp:posOffset>
                </wp:positionH>
                <wp:positionV relativeFrom="paragraph">
                  <wp:posOffset>5800090</wp:posOffset>
                </wp:positionV>
                <wp:extent cx="247015" cy="150495"/>
                <wp:effectExtent l="6350" t="6350" r="13335" b="14605"/>
                <wp:wrapNone/>
                <wp:docPr id="16" name="矩形 16"/>
                <wp:cNvGraphicFramePr/>
                <a:graphic xmlns:a="http://schemas.openxmlformats.org/drawingml/2006/main">
                  <a:graphicData uri="http://schemas.microsoft.com/office/word/2010/wordprocessingShape">
                    <wps:wsp>
                      <wps:cNvSpPr/>
                      <wps:spPr>
                        <a:xfrm>
                          <a:off x="0" y="0"/>
                          <a:ext cx="247015" cy="1504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7.45pt;margin-top:456.7pt;height:11.85pt;width:19.45pt;z-index:251670528;v-text-anchor:middle;mso-width-relative:page;mso-height-relative:page;" filled="f" stroked="t" coordsize="21600,21600" o:gfxdata="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yPzb+2QAAAAsBAAAPAAAAAAAAAAEAIAAAACIAAABkcnMvZG93bnJldi54&#10;bWxQSwECFAAUAAAACACHTuJAVPU10WsCAADMBAAADgAAAAAAAAABACAAAAAoAQAAZHJzL2Uyb0Rv&#10;Yy54bWxQSwUGAAAAAAYABgBZAQAABQYAAAAA&#10;">
                <v:fill on="f" focussize="0,0"/>
                <v:stroke weight="1pt" color="#FF0000 [2404]" miterlimit="8" joinstyle="miter"/>
                <v:imagedata o:title=""/>
                <o:lock v:ext="edit" aspectratio="f"/>
              </v:rect>
            </w:pict>
          </mc:Fallback>
        </mc:AlternateContent>
      </w:r>
      <w:r>
        <w:rPr>
          <w:rFonts w:hint="eastAsia" w:ascii="宋体" w:hAnsi="宋体" w:eastAsia="宋体" w:cs="宋体"/>
          <w:sz w:val="21"/>
        </w:rPr>
        <mc:AlternateContent>
          <mc:Choice Requires="wps">
            <w:drawing>
              <wp:anchor distT="0" distB="0" distL="114300" distR="114300" simplePos="0" relativeHeight="251669504" behindDoc="0" locked="0" layoutInCell="1" allowOverlap="1">
                <wp:simplePos x="0" y="0"/>
                <wp:positionH relativeFrom="column">
                  <wp:posOffset>1026160</wp:posOffset>
                </wp:positionH>
                <wp:positionV relativeFrom="paragraph">
                  <wp:posOffset>5434965</wp:posOffset>
                </wp:positionV>
                <wp:extent cx="403860" cy="340995"/>
                <wp:effectExtent l="23495" t="27305" r="29845" b="31750"/>
                <wp:wrapNone/>
                <wp:docPr id="15" name="矩形 15"/>
                <wp:cNvGraphicFramePr/>
                <a:graphic xmlns:a="http://schemas.openxmlformats.org/drawingml/2006/main">
                  <a:graphicData uri="http://schemas.microsoft.com/office/word/2010/wordprocessingShape">
                    <wps:wsp>
                      <wps:cNvSpPr/>
                      <wps:spPr>
                        <a:xfrm rot="21240000">
                          <a:off x="1967230" y="7247890"/>
                          <a:ext cx="403860" cy="3409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8pt;margin-top:427.95pt;height:26.85pt;width:31.8pt;rotation:-393216f;z-index:251669504;v-text-anchor:middle;mso-width-relative:page;mso-height-relative:page;" filled="f" stroked="t" coordsize="21600,21600" o:gfxdata="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FblqkzbAAAACwEAAA8AAAAAAAAA&#10;AQAgAAAAIgAAAGRycy9kb3ducmV2LnhtbFBLAQIUABQAAAAIAIdO4kCg9Cq+gAIAAOcEAAAOAAAA&#10;AAAAAAEAIAAAACoBAABkcnMvZTJvRG9jLnhtbFBLBQYAAAAABgAGAFkBAAAcBgAAAAA=&#10;">
                <v:fill on="f" focussize="0,0"/>
                <v:stroke weight="1pt" color="#FF0000 [2404]" miterlimit="8" joinstyle="miter"/>
                <v:imagedata o:title=""/>
                <o:lock v:ext="edit" aspectratio="f"/>
              </v:rect>
            </w:pict>
          </mc:Fallback>
        </mc:AlternateContent>
      </w:r>
      <w:r>
        <w:rPr>
          <w:rFonts w:hint="eastAsia" w:ascii="宋体" w:hAnsi="宋体" w:eastAsia="宋体" w:cs="宋体"/>
          <w:sz w:val="21"/>
        </w:rPr>
        <mc:AlternateContent>
          <mc:Choice Requires="wpg">
            <w:drawing>
              <wp:anchor distT="0" distB="0" distL="114300" distR="114300" simplePos="0" relativeHeight="251668480" behindDoc="0" locked="0" layoutInCell="1" allowOverlap="1">
                <wp:simplePos x="0" y="0"/>
                <wp:positionH relativeFrom="column">
                  <wp:posOffset>4743450</wp:posOffset>
                </wp:positionH>
                <wp:positionV relativeFrom="paragraph">
                  <wp:posOffset>6301740</wp:posOffset>
                </wp:positionV>
                <wp:extent cx="519430" cy="76200"/>
                <wp:effectExtent l="3810" t="0" r="10160" b="19050"/>
                <wp:wrapNone/>
                <wp:docPr id="14" name="组合 14"/>
                <wp:cNvGraphicFramePr/>
                <a:graphic xmlns:a="http://schemas.openxmlformats.org/drawingml/2006/main">
                  <a:graphicData uri="http://schemas.microsoft.com/office/word/2010/wordprocessingGroup">
                    <wpg:wgp>
                      <wpg:cNvGrpSpPr/>
                      <wpg:grpSpPr>
                        <a:xfrm>
                          <a:off x="0" y="0"/>
                          <a:ext cx="519430" cy="76200"/>
                          <a:chOff x="10172" y="1075678"/>
                          <a:chExt cx="818" cy="120"/>
                        </a:xfrm>
                      </wpg:grpSpPr>
                      <wps:wsp>
                        <wps:cNvPr id="10" name="直接连接符 10"/>
                        <wps:cNvCnPr/>
                        <wps:spPr>
                          <a:xfrm flipV="1">
                            <a:off x="10172" y="1075786"/>
                            <a:ext cx="819" cy="1"/>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 name="直接连接符 12"/>
                        <wps:cNvCnPr/>
                        <wps:spPr>
                          <a:xfrm flipH="1" flipV="1">
                            <a:off x="10176" y="1075678"/>
                            <a:ext cx="1" cy="113"/>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3" name="直接连接符 13"/>
                        <wps:cNvCnPr/>
                        <wps:spPr>
                          <a:xfrm flipH="1" flipV="1">
                            <a:off x="10976" y="1075686"/>
                            <a:ext cx="1" cy="113"/>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373.5pt;margin-top:496.2pt;height:6pt;width:40.9pt;z-index:251668480;mso-width-relative:page;mso-height-relative:page;" coordorigin="10172,1075678" coordsize="818,120" o:gfxdata="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CLHd183AAAAAwBAAAPAAAAAAAAAAEAIAAAACIAAABkcnMvZG93&#10;bnJldi54bWxQSwECFAAUAAAACACHTuJAUHaXaKcCAADWCAAADgAAAAAAAAABACAAAAArAQAAZHJz&#10;L2Uyb0RvYy54bWxQSwUGAAAAAAYABgBZAQAARAYAAAAA&#10;">
                <o:lock v:ext="edit" aspectratio="f"/>
                <v:line id="_x0000_s1026" o:spid="_x0000_s1026" o:spt="20" style="position:absolute;left:10172;top:1075786;flip:y;height:1;width:819;" filled="f" stroked="t" coordsize="21600,21600" o:gfxdata="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5Vg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line>
                <v:line id="_x0000_s1026" o:spid="_x0000_s1026" o:spt="20" style="position:absolute;left:10176;top:1075678;flip:x y;height:113;width:1;" filled="f" stroked="t" coordsize="21600,21600" o:gfxdata="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DXgm8AAAA&#10;2w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line>
                <v:line id="_x0000_s1026" o:spid="_x0000_s1026" o:spt="20" style="position:absolute;left:10976;top:1075686;flip:x y;height:113;width:1;" filled="f" stroked="t" coordsize="21600,21600" o:gfxdata="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k/7krsAAADb&#10;AAAADwAAAAAAAAABACAAAAAiAAAAZHJzL2Rvd25yZXYueG1sUEsBAhQAFAAAAAgAh07iQDMvBZ47&#10;AAAAOQAAABAAAAAAAAAAAQAgAAAACgEAAGRycy9zaGFwZXhtbC54bWxQSwUGAAAAAAYABgBbAQAA&#10;tAMAAAAA&#10;">
                  <v:fill on="f" focussize="0,0"/>
                  <v:stroke weight="1pt" color="#000000 [3213]" miterlimit="8" joinstyle="miter"/>
                  <v:imagedata o:title=""/>
                  <o:lock v:ext="edit" aspectratio="f"/>
                </v:line>
              </v:group>
            </w:pict>
          </mc:Fallback>
        </mc:AlternateContent>
      </w:r>
      <w:r>
        <w:rPr>
          <w:rFonts w:hint="eastAsia" w:ascii="宋体" w:hAnsi="宋体" w:eastAsia="宋体" w:cs="宋体"/>
          <w:sz w:val="21"/>
        </w:rPr>
        <mc:AlternateContent>
          <mc:Choice Requires="wps">
            <w:drawing>
              <wp:anchor distT="0" distB="0" distL="114300" distR="114300" simplePos="0" relativeHeight="251667456" behindDoc="0" locked="0" layoutInCell="1" allowOverlap="1">
                <wp:simplePos x="0" y="0"/>
                <wp:positionH relativeFrom="column">
                  <wp:posOffset>3986530</wp:posOffset>
                </wp:positionH>
                <wp:positionV relativeFrom="paragraph">
                  <wp:posOffset>6140450</wp:posOffset>
                </wp:positionV>
                <wp:extent cx="719455" cy="336550"/>
                <wp:effectExtent l="0" t="0" r="0" b="0"/>
                <wp:wrapNone/>
                <wp:docPr id="8" name="矩形 8"/>
                <wp:cNvGraphicFramePr/>
                <a:graphic xmlns:a="http://schemas.openxmlformats.org/drawingml/2006/main">
                  <a:graphicData uri="http://schemas.microsoft.com/office/word/2010/wordprocessingShape">
                    <wps:wsp>
                      <wps:cNvSpPr/>
                      <wps:spPr>
                        <a:xfrm>
                          <a:off x="5059045" y="6996430"/>
                          <a:ext cx="719455" cy="33655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1BF424D">
                            <w:pPr>
                              <w:jc w:val="cente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比例尺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9pt;margin-top:483.5pt;height:26.5pt;width:56.65pt;z-index:251667456;v-text-anchor:middle;mso-width-relative:page;mso-height-relative:page;" filled="f" stroked="f" coordsize="21600,21600" o:gfxdata="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IrY/+2AAAAAwBAAAPAAAAAAAAAAEAIAAAACIAAABkcnMvZG93bnJldi54&#10;bWxQSwECFAAUAAAACACHTuJACbVzwGwCAAC4BAAADgAAAAAAAAABACAAAAAnAQAAZHJzL2Uyb0Rv&#10;Yy54bWxQSwUGAAAAAAYABgBZAQAABQYAAAAA&#10;">
                <v:fill on="f" focussize="0,0"/>
                <v:stroke on="f" weight="1pt" miterlimit="8" joinstyle="miter"/>
                <v:imagedata o:title=""/>
                <o:lock v:ext="edit" aspectratio="f"/>
                <v:textbox>
                  <w:txbxContent>
                    <w:p w14:paraId="61BF424D">
                      <w:pPr>
                        <w:jc w:val="cente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比例尺</w:t>
                      </w:r>
                    </w:p>
                  </w:txbxContent>
                </v:textbox>
              </v:rect>
            </w:pict>
          </mc:Fallback>
        </mc:AlternateContent>
      </w:r>
      <w:r>
        <w:rPr>
          <w:rFonts w:hint="eastAsia" w:ascii="宋体" w:hAnsi="宋体" w:eastAsia="宋体" w:cs="宋体"/>
          <w:b/>
          <w:color w:val="auto"/>
          <w:sz w:val="21"/>
          <w:szCs w:val="21"/>
          <w:lang w:eastAsia="zh-CN"/>
        </w:rPr>
        <w:drawing>
          <wp:anchor distT="0" distB="0" distL="114300" distR="114300" simplePos="0" relativeHeight="251666432" behindDoc="0" locked="0" layoutInCell="1" allowOverlap="1">
            <wp:simplePos x="0" y="0"/>
            <wp:positionH relativeFrom="column">
              <wp:posOffset>4721860</wp:posOffset>
            </wp:positionH>
            <wp:positionV relativeFrom="paragraph">
              <wp:posOffset>6052820</wp:posOffset>
            </wp:positionV>
            <wp:extent cx="528320" cy="261620"/>
            <wp:effectExtent l="0" t="0" r="0" b="0"/>
            <wp:wrapNone/>
            <wp:docPr id="7" name="图片 7" descr="174713930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47139307693"/>
                    <pic:cNvPicPr>
                      <a:picLocks noChangeAspect="1"/>
                    </pic:cNvPicPr>
                  </pic:nvPicPr>
                  <pic:blipFill>
                    <a:blip r:embed="rId67"/>
                    <a:srcRect t="2138"/>
                    <a:stretch>
                      <a:fillRect/>
                    </a:stretch>
                  </pic:blipFill>
                  <pic:spPr>
                    <a:xfrm>
                      <a:off x="0" y="0"/>
                      <a:ext cx="528320" cy="261620"/>
                    </a:xfrm>
                    <a:prstGeom prst="rect">
                      <a:avLst/>
                    </a:prstGeom>
                  </pic:spPr>
                </pic:pic>
              </a:graphicData>
            </a:graphic>
          </wp:anchor>
        </w:drawing>
      </w:r>
      <w:r>
        <w:rPr>
          <w:rFonts w:hint="eastAsia" w:ascii="宋体" w:hAnsi="宋体" w:eastAsia="宋体" w:cs="宋体"/>
          <w:b/>
          <w:color w:val="auto"/>
          <w:sz w:val="21"/>
          <w:szCs w:val="21"/>
          <w:lang w:eastAsia="zh-CN"/>
        </w:rPr>
        <w:drawing>
          <wp:inline distT="0" distB="0" distL="114300" distR="114300">
            <wp:extent cx="5270500" cy="6350635"/>
            <wp:effectExtent l="0" t="0" r="0" b="0"/>
            <wp:docPr id="6" name="图片 6" descr="174713925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47139252986"/>
                    <pic:cNvPicPr>
                      <a:picLocks noChangeAspect="1"/>
                    </pic:cNvPicPr>
                  </pic:nvPicPr>
                  <pic:blipFill>
                    <a:blip r:embed="rId68"/>
                    <a:srcRect b="497"/>
                    <a:stretch>
                      <a:fillRect/>
                    </a:stretch>
                  </pic:blipFill>
                  <pic:spPr>
                    <a:xfrm>
                      <a:off x="0" y="0"/>
                      <a:ext cx="5270500" cy="6350635"/>
                    </a:xfrm>
                    <a:prstGeom prst="rect">
                      <a:avLst/>
                    </a:prstGeom>
                  </pic:spPr>
                </pic:pic>
              </a:graphicData>
            </a:graphic>
          </wp:inline>
        </w:drawing>
      </w:r>
    </w:p>
    <w:p w14:paraId="08E597F7">
      <w:pPr>
        <w:pStyle w:val="14"/>
        <w:tabs>
          <w:tab w:val="left" w:pos="600"/>
        </w:tabs>
        <w:spacing w:before="0" w:line="240" w:lineRule="auto"/>
        <w:ind w:left="0" w:right="0" w:rightChars="0" w:firstLine="0" w:firstLineChars="0"/>
        <w:jc w:val="center"/>
        <w:rPr>
          <w:rFonts w:hint="eastAsia" w:ascii="宋体" w:hAnsi="宋体" w:eastAsia="宋体" w:cs="宋体"/>
          <w:b/>
          <w:color w:val="auto"/>
          <w:sz w:val="21"/>
          <w:szCs w:val="21"/>
          <w:lang w:eastAsia="zh-CN"/>
        </w:rPr>
      </w:pPr>
    </w:p>
    <w:p w14:paraId="1E26070B">
      <w:pPr>
        <w:pStyle w:val="14"/>
        <w:tabs>
          <w:tab w:val="left" w:pos="600"/>
        </w:tabs>
        <w:spacing w:before="0" w:line="240" w:lineRule="auto"/>
        <w:ind w:left="0" w:right="0" w:rightChars="0" w:firstLine="0" w:firstLineChars="0"/>
        <w:jc w:val="center"/>
        <w:rPr>
          <w:rFonts w:hint="eastAsia" w:ascii="宋体" w:hAnsi="宋体" w:eastAsia="宋体" w:cs="宋体"/>
          <w:b w:val="0"/>
          <w:bCs w:val="0"/>
          <w:color w:val="auto"/>
          <w:sz w:val="28"/>
          <w:szCs w:val="28"/>
          <w:highlight w:val="none"/>
        </w:rPr>
      </w:pPr>
      <w:r>
        <w:rPr>
          <w:rFonts w:hint="eastAsia" w:ascii="宋体" w:hAnsi="宋体" w:eastAsia="宋体" w:cs="宋体"/>
          <w:b w:val="0"/>
          <w:bCs w:val="0"/>
          <w:color w:val="auto"/>
          <w:sz w:val="28"/>
          <w:szCs w:val="28"/>
          <w:highlight w:val="none"/>
        </w:rPr>
        <w:t>附图3 厂区总平面布置图</w:t>
      </w:r>
    </w:p>
    <w:p w14:paraId="73FF8845">
      <w:pPr>
        <w:pStyle w:val="14"/>
        <w:tabs>
          <w:tab w:val="left" w:pos="600"/>
        </w:tabs>
        <w:spacing w:before="0" w:line="240" w:lineRule="auto"/>
        <w:ind w:left="0" w:right="0" w:rightChars="0" w:firstLine="0" w:firstLineChars="0"/>
        <w:jc w:val="center"/>
        <w:rPr>
          <w:rFonts w:hint="eastAsia" w:ascii="宋体" w:hAnsi="宋体" w:eastAsia="宋体" w:cs="宋体"/>
          <w:b/>
          <w:color w:val="auto"/>
          <w:sz w:val="24"/>
          <w:highlight w:val="none"/>
          <w:lang w:eastAsia="zh-CN"/>
        </w:rPr>
      </w:pPr>
      <w:r>
        <w:rPr>
          <w:rFonts w:hint="eastAsia" w:ascii="宋体" w:hAnsi="宋体" w:eastAsia="宋体" w:cs="宋体"/>
          <w:sz w:val="24"/>
        </w:rPr>
        <mc:AlternateContent>
          <mc:Choice Requires="wps">
            <w:drawing>
              <wp:anchor distT="0" distB="0" distL="114300" distR="114300" simplePos="0" relativeHeight="251675648" behindDoc="0" locked="0" layoutInCell="1" allowOverlap="1">
                <wp:simplePos x="0" y="0"/>
                <wp:positionH relativeFrom="column">
                  <wp:posOffset>4321810</wp:posOffset>
                </wp:positionH>
                <wp:positionV relativeFrom="paragraph">
                  <wp:posOffset>3142615</wp:posOffset>
                </wp:positionV>
                <wp:extent cx="673735" cy="2938145"/>
                <wp:effectExtent l="6350" t="6350" r="24765" b="8255"/>
                <wp:wrapNone/>
                <wp:docPr id="24" name="矩形 24"/>
                <wp:cNvGraphicFramePr/>
                <a:graphic xmlns:a="http://schemas.openxmlformats.org/drawingml/2006/main">
                  <a:graphicData uri="http://schemas.microsoft.com/office/word/2010/wordprocessingShape">
                    <wps:wsp>
                      <wps:cNvSpPr/>
                      <wps:spPr>
                        <a:xfrm>
                          <a:off x="0" y="0"/>
                          <a:ext cx="673735" cy="293814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0.3pt;margin-top:247.45pt;height:231.35pt;width:53.05pt;z-index:251675648;v-text-anchor:middle;mso-width-relative:page;mso-height-relative:page;" fillcolor="#FFFFFF [3212]" filled="t" stroked="t" coordsize="21600,21600" o:gfxdata="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4zWdJdkAAAALAQAADwAAAAAAAAABACAAAAAiAAAAZHJzL2Rvd25y&#10;ZXYueG1sUEsBAhQAFAAAAAgAh07iQHPBViZvAgAA9gQAAA4AAAAAAAAAAQAgAAAAKAEAAGRycy9l&#10;Mm9Eb2MueG1sUEsFBgAAAAAGAAYAWQEAAAkGAAAAAA==&#10;">
                <v:fill on="t" focussize="0,0"/>
                <v:stroke weight="1pt" color="#FFFFFF [3212]" miterlimit="8" joinstyle="miter"/>
                <v:imagedata o:title=""/>
                <o:lock v:ext="edit" aspectratio="f"/>
              </v:rect>
            </w:pict>
          </mc:Fallback>
        </mc:AlternateContent>
      </w:r>
      <w:r>
        <w:rPr>
          <w:rFonts w:hint="eastAsia" w:ascii="宋体" w:hAnsi="宋体" w:eastAsia="宋体" w:cs="宋体"/>
          <w:sz w:val="24"/>
        </w:rPr>
        <mc:AlternateContent>
          <mc:Choice Requires="wps">
            <w:drawing>
              <wp:anchor distT="0" distB="0" distL="114300" distR="114300" simplePos="0" relativeHeight="251674624" behindDoc="0" locked="0" layoutInCell="1" allowOverlap="1">
                <wp:simplePos x="0" y="0"/>
                <wp:positionH relativeFrom="column">
                  <wp:posOffset>4616450</wp:posOffset>
                </wp:positionH>
                <wp:positionV relativeFrom="paragraph">
                  <wp:posOffset>2967990</wp:posOffset>
                </wp:positionV>
                <wp:extent cx="673735" cy="2256790"/>
                <wp:effectExtent l="6350" t="6350" r="24765" b="22860"/>
                <wp:wrapNone/>
                <wp:docPr id="23" name="矩形 23"/>
                <wp:cNvGraphicFramePr/>
                <a:graphic xmlns:a="http://schemas.openxmlformats.org/drawingml/2006/main">
                  <a:graphicData uri="http://schemas.microsoft.com/office/word/2010/wordprocessingShape">
                    <wps:wsp>
                      <wps:cNvSpPr/>
                      <wps:spPr>
                        <a:xfrm>
                          <a:off x="0" y="0"/>
                          <a:ext cx="673735" cy="2256790"/>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5pt;margin-top:233.7pt;height:177.7pt;width:53.05pt;z-index:251674624;v-text-anchor:middle;mso-width-relative:page;mso-height-relative:page;" fillcolor="#FFFFFF [3212]" filled="t" stroked="t" coordsize="21600,21600" o:gfxdata="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DPIftsAAAALAQAADwAAAAAAAAABACAAAAAiAAAAZHJzL2Rv&#10;d25yZXYueG1sUEsBAhQAFAAAAAgAh07iQKkzLbdwAgAA9gQAAA4AAAAAAAAAAQAgAAAAKgEAAGRy&#10;cy9lMm9Eb2MueG1sUEsFBgAAAAAGAAYAWQEAAAwGAAAAAA==&#10;">
                <v:fill on="t" focussize="0,0"/>
                <v:stroke weight="1pt" color="#FFFFFF [3212]" miterlimit="8" joinstyle="miter"/>
                <v:imagedata o:title=""/>
                <o:lock v:ext="edit" aspectratio="f"/>
              </v:rect>
            </w:pict>
          </mc:Fallback>
        </mc:AlternateContent>
      </w:r>
      <w:r>
        <w:rPr>
          <w:rFonts w:hint="eastAsia" w:ascii="宋体" w:hAnsi="宋体" w:eastAsia="宋体" w:cs="宋体"/>
          <w:sz w:val="24"/>
        </w:rPr>
        <mc:AlternateContent>
          <mc:Choice Requires="wps">
            <w:drawing>
              <wp:anchor distT="0" distB="0" distL="114300" distR="114300" simplePos="0" relativeHeight="251673600" behindDoc="0" locked="0" layoutInCell="1" allowOverlap="1">
                <wp:simplePos x="0" y="0"/>
                <wp:positionH relativeFrom="column">
                  <wp:posOffset>-159385</wp:posOffset>
                </wp:positionH>
                <wp:positionV relativeFrom="paragraph">
                  <wp:posOffset>3819525</wp:posOffset>
                </wp:positionV>
                <wp:extent cx="358775" cy="937895"/>
                <wp:effectExtent l="6350" t="6350" r="15875" b="8255"/>
                <wp:wrapNone/>
                <wp:docPr id="22" name="矩形 22"/>
                <wp:cNvGraphicFramePr/>
                <a:graphic xmlns:a="http://schemas.openxmlformats.org/drawingml/2006/main">
                  <a:graphicData uri="http://schemas.microsoft.com/office/word/2010/wordprocessingShape">
                    <wps:wsp>
                      <wps:cNvSpPr/>
                      <wps:spPr>
                        <a:xfrm>
                          <a:off x="985520" y="4733925"/>
                          <a:ext cx="358775" cy="93789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55pt;margin-top:300.75pt;height:73.85pt;width:28.25pt;z-index:251673600;v-text-anchor:middle;mso-width-relative:page;mso-height-relative:page;" fillcolor="#FFFFFF [3212]" filled="t" stroked="t" coordsize="21600,21600" o:gfxdata="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FZYmtkAAAAKAQAADwAAAAAAAAABACAAAAAiAAAA&#10;ZHJzL2Rvd25yZXYueG1sUEsBAhQAFAAAAAgAh07iQP8PPz94AgAAAAUAAA4AAAAAAAAAAQAgAAAA&#10;KAEAAGRycy9lMm9Eb2MueG1sUEsFBgAAAAAGAAYAWQEAABIGAAAAAA==&#10;">
                <v:fill on="t" focussize="0,0"/>
                <v:stroke weight="1pt" color="#FFFFFF [3212]" miterlimit="8" joinstyle="miter"/>
                <v:imagedata o:title=""/>
                <o:lock v:ext="edit" aspectratio="f"/>
              </v:rect>
            </w:pict>
          </mc:Fallback>
        </mc:AlternateContent>
      </w:r>
      <w:r>
        <w:rPr>
          <w:rFonts w:hint="eastAsia" w:ascii="宋体" w:hAnsi="宋体" w:eastAsia="宋体" w:cs="宋体"/>
          <w:b/>
          <w:color w:val="auto"/>
          <w:sz w:val="24"/>
          <w:highlight w:val="none"/>
          <w:lang w:eastAsia="zh-CN"/>
        </w:rPr>
        <w:drawing>
          <wp:inline distT="0" distB="0" distL="114300" distR="114300">
            <wp:extent cx="5361940" cy="7370445"/>
            <wp:effectExtent l="0" t="0" r="10160" b="1905"/>
            <wp:docPr id="21" name="图片 21" descr="174713973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47139730978"/>
                    <pic:cNvPicPr>
                      <a:picLocks noChangeAspect="1"/>
                    </pic:cNvPicPr>
                  </pic:nvPicPr>
                  <pic:blipFill>
                    <a:blip r:embed="rId69"/>
                    <a:srcRect l="18953" r="-36"/>
                    <a:stretch>
                      <a:fillRect/>
                    </a:stretch>
                  </pic:blipFill>
                  <pic:spPr>
                    <a:xfrm>
                      <a:off x="0" y="0"/>
                      <a:ext cx="5361940" cy="7370445"/>
                    </a:xfrm>
                    <a:prstGeom prst="rect">
                      <a:avLst/>
                    </a:prstGeom>
                  </pic:spPr>
                </pic:pic>
              </a:graphicData>
            </a:graphic>
          </wp:inline>
        </w:drawing>
      </w:r>
    </w:p>
    <w:p w14:paraId="26DD4291">
      <w:pPr>
        <w:pStyle w:val="14"/>
        <w:tabs>
          <w:tab w:val="left" w:pos="600"/>
        </w:tabs>
        <w:spacing w:before="0" w:line="240" w:lineRule="auto"/>
        <w:ind w:left="0" w:right="0" w:rightChars="0" w:firstLine="0" w:firstLineChars="0"/>
        <w:jc w:val="center"/>
        <w:rPr>
          <w:rFonts w:hint="eastAsia" w:ascii="宋体" w:hAnsi="宋体" w:eastAsia="宋体" w:cs="宋体"/>
          <w:b w:val="0"/>
          <w:bCs/>
          <w:color w:val="auto"/>
          <w:sz w:val="28"/>
          <w:szCs w:val="28"/>
          <w:highlight w:val="none"/>
          <w:lang w:val="en-US" w:eastAsia="zh-CN"/>
        </w:rPr>
        <w:sectPr>
          <w:footerReference r:id="rId8" w:type="default"/>
          <w:pgSz w:w="11906" w:h="16838"/>
          <w:pgMar w:top="1440" w:right="1803" w:bottom="1440" w:left="1803"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宋体" w:hAnsi="宋体" w:eastAsia="宋体" w:cs="宋体"/>
          <w:b w:val="0"/>
          <w:bCs/>
          <w:color w:val="auto"/>
          <w:sz w:val="28"/>
          <w:szCs w:val="28"/>
          <w:highlight w:val="none"/>
          <w:lang w:eastAsia="zh-CN"/>
        </w:rPr>
        <w:t>附图</w:t>
      </w:r>
      <w:r>
        <w:rPr>
          <w:rFonts w:hint="eastAsia" w:ascii="宋体" w:hAnsi="宋体" w:eastAsia="宋体" w:cs="宋体"/>
          <w:b w:val="0"/>
          <w:bCs/>
          <w:color w:val="auto"/>
          <w:sz w:val="28"/>
          <w:szCs w:val="28"/>
          <w:highlight w:val="none"/>
          <w:lang w:val="en-US" w:eastAsia="zh-CN"/>
        </w:rPr>
        <w:t>4 锅炉房内部布局图</w:t>
      </w:r>
    </w:p>
    <w:p w14:paraId="041AD53B">
      <w:pPr>
        <w:jc w:val="center"/>
        <w:rPr>
          <w:rFonts w:hint="eastAsia" w:ascii="宋体" w:hAnsi="宋体" w:eastAsia="宋体" w:cs="宋体"/>
          <w:sz w:val="21"/>
          <w:lang w:eastAsia="zh-CN"/>
        </w:rPr>
      </w:pPr>
      <w:r>
        <w:rPr>
          <w:rFonts w:hint="eastAsia" w:ascii="宋体" w:hAnsi="宋体" w:eastAsia="宋体" w:cs="宋体"/>
          <w:b/>
          <w:bCs/>
          <w:color w:val="auto"/>
          <w:sz w:val="24"/>
          <w:lang w:eastAsia="zh-CN"/>
        </w:rPr>
        <w:drawing>
          <wp:anchor distT="0" distB="0" distL="114300" distR="114300" simplePos="0" relativeHeight="251676672" behindDoc="0" locked="0" layoutInCell="1" allowOverlap="1">
            <wp:simplePos x="0" y="0"/>
            <wp:positionH relativeFrom="column">
              <wp:posOffset>4932680</wp:posOffset>
            </wp:positionH>
            <wp:positionV relativeFrom="paragraph">
              <wp:posOffset>248285</wp:posOffset>
            </wp:positionV>
            <wp:extent cx="1022985" cy="1033145"/>
            <wp:effectExtent l="0" t="0" r="5715" b="14605"/>
            <wp:wrapNone/>
            <wp:docPr id="37" name="图片 37" descr="175073257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50732573910"/>
                    <pic:cNvPicPr>
                      <a:picLocks noChangeAspect="1"/>
                    </pic:cNvPicPr>
                  </pic:nvPicPr>
                  <pic:blipFill>
                    <a:blip r:embed="rId70"/>
                    <a:stretch>
                      <a:fillRect/>
                    </a:stretch>
                  </pic:blipFill>
                  <pic:spPr>
                    <a:xfrm>
                      <a:off x="0" y="0"/>
                      <a:ext cx="1022985" cy="1033145"/>
                    </a:xfrm>
                    <a:prstGeom prst="rect">
                      <a:avLst/>
                    </a:prstGeom>
                  </pic:spPr>
                </pic:pic>
              </a:graphicData>
            </a:graphic>
          </wp:anchor>
        </w:drawing>
      </w:r>
      <w:r>
        <w:rPr>
          <w:rFonts w:hint="eastAsia" w:ascii="宋体" w:hAnsi="宋体" w:eastAsia="宋体" w:cs="宋体"/>
          <w:color w:val="auto"/>
        </w:rPr>
        <w:t xml:space="preserve"> </w:t>
      </w:r>
      <w:r>
        <w:rPr>
          <w:rFonts w:hint="eastAsia" w:ascii="宋体" w:hAnsi="宋体" w:eastAsia="宋体" w:cs="宋体"/>
          <w:sz w:val="21"/>
          <w:lang w:eastAsia="zh-CN"/>
        </w:rPr>
        <w:drawing>
          <wp:inline distT="0" distB="0" distL="114300" distR="114300">
            <wp:extent cx="5985510" cy="6920230"/>
            <wp:effectExtent l="0" t="0" r="15240" b="13970"/>
            <wp:docPr id="36" name="图片 36" descr="175073249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50732494720"/>
                    <pic:cNvPicPr>
                      <a:picLocks noChangeAspect="1"/>
                    </pic:cNvPicPr>
                  </pic:nvPicPr>
                  <pic:blipFill>
                    <a:blip r:embed="rId71"/>
                    <a:stretch>
                      <a:fillRect/>
                    </a:stretch>
                  </pic:blipFill>
                  <pic:spPr>
                    <a:xfrm>
                      <a:off x="0" y="0"/>
                      <a:ext cx="5985510" cy="6920230"/>
                    </a:xfrm>
                    <a:prstGeom prst="rect">
                      <a:avLst/>
                    </a:prstGeom>
                  </pic:spPr>
                </pic:pic>
              </a:graphicData>
            </a:graphic>
          </wp:inline>
        </w:drawing>
      </w:r>
    </w:p>
    <w:p w14:paraId="0CA64FF0">
      <w:pPr>
        <w:pStyle w:val="14"/>
        <w:spacing w:before="0" w:line="240" w:lineRule="auto"/>
        <w:ind w:left="0" w:firstLine="0" w:firstLineChars="0"/>
        <w:jc w:val="center"/>
        <w:rPr>
          <w:rFonts w:hint="eastAsia" w:ascii="宋体" w:hAnsi="宋体" w:eastAsia="宋体" w:cs="宋体"/>
          <w:b w:val="0"/>
          <w:bCs w:val="0"/>
          <w:color w:val="auto"/>
          <w:sz w:val="28"/>
          <w:szCs w:val="28"/>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宋体" w:hAnsi="宋体" w:eastAsia="宋体" w:cs="宋体"/>
          <w:b w:val="0"/>
          <w:bCs w:val="0"/>
          <w:color w:val="auto"/>
          <w:sz w:val="28"/>
          <w:szCs w:val="28"/>
        </w:rPr>
        <w:t>附图</w:t>
      </w:r>
      <w:r>
        <w:rPr>
          <w:rFonts w:hint="eastAsia" w:ascii="宋体" w:hAnsi="宋体" w:eastAsia="宋体" w:cs="宋体"/>
          <w:b w:val="0"/>
          <w:bCs w:val="0"/>
          <w:color w:val="auto"/>
          <w:sz w:val="28"/>
          <w:szCs w:val="28"/>
          <w:lang w:val="en-US" w:eastAsia="zh-CN"/>
        </w:rPr>
        <w:t>5</w:t>
      </w:r>
      <w:r>
        <w:rPr>
          <w:rFonts w:hint="eastAsia" w:ascii="宋体" w:hAnsi="宋体" w:eastAsia="宋体" w:cs="宋体"/>
          <w:b w:val="0"/>
          <w:bCs w:val="0"/>
          <w:color w:val="auto"/>
          <w:sz w:val="28"/>
          <w:szCs w:val="28"/>
        </w:rPr>
        <w:t xml:space="preserve"> 监测布点图</w:t>
      </w:r>
    </w:p>
    <w:p w14:paraId="5CAC97AB">
      <w:pPr>
        <w:pStyle w:val="14"/>
        <w:spacing w:before="0" w:line="240" w:lineRule="auto"/>
        <w:ind w:left="0" w:firstLine="0" w:firstLineChars="0"/>
        <w:jc w:val="center"/>
        <w:rPr>
          <w:rFonts w:hint="eastAsia" w:ascii="宋体" w:hAnsi="宋体" w:eastAsia="宋体" w:cs="宋体"/>
          <w:b/>
          <w:bCs/>
          <w:color w:val="auto"/>
          <w:sz w:val="24"/>
          <w:lang w:eastAsia="zh-CN"/>
        </w:rPr>
      </w:pPr>
      <w:r>
        <w:rPr>
          <w:rFonts w:hint="eastAsia" w:ascii="宋体" w:hAnsi="宋体" w:eastAsia="宋体" w:cs="宋体"/>
          <w:b/>
          <w:bCs/>
          <w:color w:val="auto"/>
          <w:sz w:val="24"/>
          <w:lang w:eastAsia="zh-CN"/>
        </w:rPr>
        <w:drawing>
          <wp:inline distT="0" distB="0" distL="114300" distR="114300">
            <wp:extent cx="8849995" cy="4952365"/>
            <wp:effectExtent l="0" t="0" r="8255" b="635"/>
            <wp:docPr id="59" name="图片 59" descr="174593040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745930400386"/>
                    <pic:cNvPicPr>
                      <a:picLocks noChangeAspect="1"/>
                    </pic:cNvPicPr>
                  </pic:nvPicPr>
                  <pic:blipFill>
                    <a:blip r:embed="rId72"/>
                    <a:stretch>
                      <a:fillRect/>
                    </a:stretch>
                  </pic:blipFill>
                  <pic:spPr>
                    <a:xfrm>
                      <a:off x="0" y="0"/>
                      <a:ext cx="8849995" cy="4952365"/>
                    </a:xfrm>
                    <a:prstGeom prst="rect">
                      <a:avLst/>
                    </a:prstGeom>
                  </pic:spPr>
                </pic:pic>
              </a:graphicData>
            </a:graphic>
          </wp:inline>
        </w:drawing>
      </w:r>
    </w:p>
    <w:p w14:paraId="4AAF7991">
      <w:pPr>
        <w:pStyle w:val="14"/>
        <w:spacing w:before="0" w:line="240" w:lineRule="auto"/>
        <w:ind w:left="0" w:firstLine="0" w:firstLineChars="0"/>
        <w:jc w:val="center"/>
        <w:rPr>
          <w:rFonts w:hint="eastAsia" w:ascii="宋体" w:hAnsi="宋体" w:eastAsia="宋体" w:cs="宋体"/>
          <w:color w:val="000000"/>
          <w:sz w:val="24"/>
        </w:rPr>
      </w:pPr>
      <w:r>
        <w:rPr>
          <w:rFonts w:hint="eastAsia" w:ascii="宋体" w:hAnsi="宋体" w:eastAsia="宋体" w:cs="宋体"/>
          <w:b w:val="0"/>
          <w:bCs w:val="0"/>
          <w:color w:val="auto"/>
          <w:sz w:val="28"/>
          <w:szCs w:val="28"/>
        </w:rPr>
        <w:t>附图</w:t>
      </w:r>
      <w:r>
        <w:rPr>
          <w:rFonts w:hint="eastAsia" w:ascii="宋体" w:hAnsi="宋体" w:eastAsia="宋体" w:cs="宋体"/>
          <w:b w:val="0"/>
          <w:bCs w:val="0"/>
          <w:color w:val="auto"/>
          <w:sz w:val="28"/>
          <w:szCs w:val="28"/>
          <w:lang w:val="en-US" w:eastAsia="zh-CN"/>
        </w:rPr>
        <w:t>6</w:t>
      </w:r>
      <w:r>
        <w:rPr>
          <w:rFonts w:hint="eastAsia" w:ascii="宋体" w:hAnsi="宋体" w:eastAsia="宋体" w:cs="宋体"/>
          <w:b w:val="0"/>
          <w:bCs w:val="0"/>
          <w:color w:val="auto"/>
          <w:sz w:val="28"/>
          <w:szCs w:val="28"/>
        </w:rPr>
        <w:t xml:space="preserve"> 环境管控</w:t>
      </w:r>
      <w:r>
        <w:rPr>
          <w:rFonts w:hint="eastAsia" w:ascii="宋体" w:hAnsi="宋体" w:eastAsia="宋体" w:cs="宋体"/>
          <w:b w:val="0"/>
          <w:bCs w:val="0"/>
          <w:color w:val="auto"/>
          <w:sz w:val="28"/>
          <w:szCs w:val="28"/>
          <w:lang w:eastAsia="zh-CN"/>
        </w:rPr>
        <w:t>单元</w:t>
      </w:r>
      <w:r>
        <w:rPr>
          <w:rFonts w:hint="eastAsia" w:ascii="宋体" w:hAnsi="宋体" w:eastAsia="宋体" w:cs="宋体"/>
          <w:b w:val="0"/>
          <w:bCs w:val="0"/>
          <w:color w:val="auto"/>
          <w:sz w:val="28"/>
          <w:szCs w:val="28"/>
        </w:rPr>
        <w:t>位置图</w:t>
      </w:r>
      <w:bookmarkStart w:id="16" w:name="_bookmark34"/>
      <w:bookmarkEnd w:id="16"/>
      <w:bookmarkStart w:id="17" w:name="附录1 环境风险评价自查表"/>
      <w:bookmarkEnd w:id="17"/>
    </w:p>
    <w:sectPr>
      <w:footerReference r:id="rId9" w:type="default"/>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314179163" w:date="2025-07-29T16:30:08Z" w:initials="">
    <w:p w14:paraId="7B3706F1">
      <w:pPr>
        <w:pStyle w:val="13"/>
        <w:rPr>
          <w:rFonts w:hint="eastAsia"/>
          <w:lang w:val="en-US" w:eastAsia="zh-CN"/>
        </w:rPr>
      </w:pPr>
      <w:r>
        <w:rPr>
          <w:rFonts w:hint="eastAsia"/>
          <w:lang w:val="en-US" w:eastAsia="zh-CN"/>
        </w:rPr>
        <w:t>核实利旧是不是应该依托？</w:t>
      </w:r>
    </w:p>
    <w:p w14:paraId="104B1F8B">
      <w:pPr>
        <w:pStyle w:val="13"/>
        <w:rPr>
          <w:rFonts w:hint="default"/>
          <w:color w:val="FF0000"/>
          <w:lang w:val="en-US" w:eastAsia="zh-CN"/>
        </w:rPr>
      </w:pPr>
      <w:r>
        <w:rPr>
          <w:rFonts w:hint="eastAsia"/>
          <w:color w:val="FF0000"/>
          <w:lang w:val="en-US" w:eastAsia="zh-CN"/>
        </w:rPr>
        <w:t>因为软水装置是本次技改项目锅炉新配套的软水装置缠身的，所以其产生的废离子交换树脂于锅炉都归为了技改</w:t>
      </w:r>
    </w:p>
  </w:comment>
  <w:comment w:id="1" w:author="314179163" w:date="2025-07-29T16:36:07Z" w:initials="">
    <w:p w14:paraId="0F534146">
      <w:pPr>
        <w:pStyle w:val="13"/>
        <w:rPr>
          <w:rFonts w:hint="eastAsia"/>
          <w:lang w:val="en-US" w:eastAsia="zh-CN"/>
        </w:rPr>
      </w:pPr>
      <w:r>
        <w:rPr>
          <w:rFonts w:hint="eastAsia"/>
          <w:lang w:val="en-US" w:eastAsia="zh-CN"/>
        </w:rPr>
        <w:t>修改，</w:t>
      </w:r>
    </w:p>
    <w:p w14:paraId="5316021E">
      <w:pPr>
        <w:pStyle w:val="13"/>
        <w:rPr>
          <w:rFonts w:hint="default"/>
          <w:color w:val="FF0000"/>
          <w:lang w:val="en-US" w:eastAsia="zh-CN"/>
        </w:rPr>
      </w:pPr>
      <w:r>
        <w:rPr>
          <w:rFonts w:hint="eastAsia"/>
          <w:color w:val="FF0000"/>
          <w:lang w:val="en-US" w:eastAsia="zh-CN"/>
        </w:rPr>
        <w:t>已修改</w:t>
      </w:r>
    </w:p>
  </w:comment>
  <w:comment w:id="2" w:author="314179163" w:date="2025-07-29T16:45:22Z" w:initials="">
    <w:p w14:paraId="69A16392">
      <w:pPr>
        <w:pStyle w:val="13"/>
        <w:rPr>
          <w:rFonts w:hint="eastAsia"/>
          <w:lang w:val="en-US" w:eastAsia="zh-CN"/>
        </w:rPr>
      </w:pPr>
      <w:r>
        <w:rPr>
          <w:rFonts w:hint="eastAsia"/>
          <w:lang w:val="en-US" w:eastAsia="zh-CN"/>
        </w:rPr>
        <w:t>新增消耗量？同一个表里逻辑关系不一样</w:t>
      </w:r>
    </w:p>
    <w:p w14:paraId="371A2BDE">
      <w:pPr>
        <w:pStyle w:val="13"/>
        <w:rPr>
          <w:rFonts w:hint="eastAsia"/>
          <w:lang w:val="en-US" w:eastAsia="zh-CN"/>
        </w:rPr>
      </w:pPr>
    </w:p>
    <w:p w14:paraId="742B7201">
      <w:pPr>
        <w:pStyle w:val="13"/>
        <w:rPr>
          <w:rFonts w:hint="default"/>
          <w:color w:val="FF0000"/>
          <w:lang w:val="en-US" w:eastAsia="zh-CN"/>
        </w:rPr>
      </w:pPr>
      <w:r>
        <w:rPr>
          <w:rFonts w:hint="eastAsia"/>
          <w:color w:val="FF0000"/>
          <w:lang w:val="en-US" w:eastAsia="zh-CN"/>
        </w:rPr>
        <w:t>技改前是混装车辆用柴油量，技改项目是指的新建燃油锅炉柴油消耗量，技改后全厂消耗量包括混装车辆用柴油和燃油锅炉用柴油</w:t>
      </w:r>
    </w:p>
  </w:comment>
  <w:comment w:id="3" w:author="314179163" w:date="2025-07-29T16:48:27Z" w:initials="">
    <w:p w14:paraId="0CD63AFA">
      <w:pPr>
        <w:pStyle w:val="13"/>
        <w:rPr>
          <w:rFonts w:hint="eastAsia"/>
          <w:lang w:val="en-US" w:eastAsia="zh-CN"/>
        </w:rPr>
      </w:pPr>
      <w:r>
        <w:rPr>
          <w:rFonts w:hint="eastAsia"/>
          <w:lang w:val="en-US" w:eastAsia="zh-CN"/>
        </w:rPr>
        <w:t>注明温度</w:t>
      </w:r>
    </w:p>
    <w:p w14:paraId="4A9F39DE">
      <w:pPr>
        <w:pStyle w:val="13"/>
        <w:rPr>
          <w:rFonts w:hint="default"/>
          <w:color w:val="FF0000"/>
          <w:lang w:val="en-US" w:eastAsia="zh-CN"/>
        </w:rPr>
      </w:pPr>
      <w:r>
        <w:rPr>
          <w:rFonts w:hint="eastAsia"/>
          <w:color w:val="FF0000"/>
          <w:lang w:val="en-US" w:eastAsia="zh-CN"/>
        </w:rPr>
        <w:t>已明确温度</w:t>
      </w:r>
    </w:p>
  </w:comment>
  <w:comment w:id="4" w:author="吕娟" w:date="2025-07-30T11:17:09Z" w:initials="">
    <w:p w14:paraId="4D8011BA">
      <w:pPr>
        <w:pStyle w:val="13"/>
        <w:rPr>
          <w:rFonts w:hint="eastAsia"/>
          <w:lang w:eastAsia="zh-CN"/>
        </w:rPr>
      </w:pPr>
      <w:r>
        <w:rPr>
          <w:rFonts w:hint="eastAsia"/>
          <w:lang w:eastAsia="zh-CN"/>
        </w:rPr>
        <w:t>算错了</w:t>
      </w:r>
    </w:p>
    <w:p w14:paraId="31002F59">
      <w:pPr>
        <w:pStyle w:val="13"/>
        <w:rPr>
          <w:rFonts w:hint="eastAsia"/>
          <w:color w:val="FF0000"/>
          <w:lang w:val="en-US" w:eastAsia="zh-CN"/>
        </w:rPr>
      </w:pPr>
      <w:r>
        <w:rPr>
          <w:rFonts w:hint="eastAsia"/>
          <w:color w:val="FF0000"/>
          <w:lang w:val="en-US" w:eastAsia="zh-CN"/>
        </w:rPr>
        <w:t>现有工程排放量指的是技改前燃煤锅炉的排放量，根据企业提供的2021年例行监测报告中数据折算为满负荷的排放量，对应报告表中第28-31页与项目有关的原有环境污染问题章节的内容。技改后改为燃油锅炉，原燃煤锅炉的排放量已全部削减替代。</w:t>
      </w:r>
    </w:p>
    <w:p w14:paraId="67574266">
      <w:pPr>
        <w:pStyle w:val="13"/>
        <w:rPr>
          <w:rFonts w:hint="default"/>
          <w:color w:val="FF0000"/>
          <w:lang w:val="en-US" w:eastAsia="zh-CN"/>
        </w:rPr>
      </w:pPr>
      <w:r>
        <w:rPr>
          <w:rFonts w:hint="eastAsia"/>
          <w:color w:val="FF0000"/>
          <w:lang w:val="en-US" w:eastAsia="zh-CN"/>
        </w:rPr>
        <w:t>技改项目（本项目）排放来那个对应报告表中39-40页中源强核算内容。</w:t>
      </w:r>
    </w:p>
  </w:comment>
  <w:comment w:id="5" w:author="吕娟" w:date="2025-07-30T16:21:58Z" w:initials="">
    <w:p w14:paraId="629A5888">
      <w:pPr>
        <w:pStyle w:val="13"/>
        <w:rPr>
          <w:rFonts w:hint="eastAsia"/>
          <w:lang w:eastAsia="zh-CN"/>
        </w:rPr>
      </w:pPr>
      <w:r>
        <w:rPr>
          <w:rFonts w:hint="eastAsia"/>
          <w:lang w:eastAsia="zh-CN"/>
        </w:rPr>
        <w:t>前后需一致</w:t>
      </w:r>
    </w:p>
    <w:p w14:paraId="24357264">
      <w:pPr>
        <w:pStyle w:val="13"/>
        <w:rPr>
          <w:rFonts w:hint="default"/>
          <w:color w:val="FF0000"/>
          <w:lang w:val="en-US" w:eastAsia="zh-CN"/>
        </w:rPr>
      </w:pPr>
      <w:r>
        <w:rPr>
          <w:rFonts w:hint="eastAsia"/>
          <w:color w:val="FF0000"/>
          <w:lang w:val="en-US" w:eastAsia="zh-CN"/>
        </w:rPr>
        <w:t>这个是技改前燃煤锅炉的排放量</w:t>
      </w:r>
    </w:p>
  </w:comment>
  <w:comment w:id="6" w:author="314179163" w:date="2025-07-29T17:21:19Z" w:initials="">
    <w:p w14:paraId="4D3B69AB">
      <w:pPr>
        <w:pStyle w:val="13"/>
        <w:rPr>
          <w:rFonts w:hint="eastAsia"/>
          <w:lang w:val="en-US" w:eastAsia="zh-CN"/>
        </w:rPr>
      </w:pPr>
      <w:r>
        <w:rPr>
          <w:rFonts w:hint="eastAsia"/>
          <w:lang w:val="en-US" w:eastAsia="zh-CN"/>
        </w:rPr>
        <w:t>修改为依托现有设施</w:t>
      </w:r>
    </w:p>
    <w:p w14:paraId="5E6378A0">
      <w:pPr>
        <w:pStyle w:val="13"/>
        <w:rPr>
          <w:rFonts w:hint="default"/>
          <w:color w:val="FF0000"/>
          <w:lang w:val="en-US" w:eastAsia="zh-CN"/>
        </w:rPr>
      </w:pPr>
      <w:r>
        <w:rPr>
          <w:rFonts w:hint="eastAsia"/>
          <w:color w:val="FF0000"/>
          <w:lang w:val="en-US" w:eastAsia="zh-CN"/>
        </w:rPr>
        <w:t>已完善为依托厂区现有化粪池收集</w:t>
      </w:r>
    </w:p>
  </w:comment>
  <w:comment w:id="8" w:author="314179163" w:date="2025-07-29T17:25:09Z" w:initials="">
    <w:p w14:paraId="0CA076B4">
      <w:pPr>
        <w:pStyle w:val="13"/>
        <w:rPr>
          <w:rFonts w:hint="eastAsia"/>
          <w:highlight w:val="yellow"/>
          <w:lang w:val="en-US" w:eastAsia="zh-CN"/>
        </w:rPr>
      </w:pPr>
      <w:r>
        <w:rPr>
          <w:rFonts w:hint="eastAsia"/>
          <w:highlight w:val="yellow"/>
          <w:lang w:val="en-US" w:eastAsia="zh-CN"/>
        </w:rPr>
        <w:t>这没删？</w:t>
      </w:r>
    </w:p>
    <w:p w14:paraId="77B23B31">
      <w:pPr>
        <w:pStyle w:val="13"/>
        <w:rPr>
          <w:rFonts w:hint="default"/>
          <w:color w:val="FF0000"/>
          <w:highlight w:val="none"/>
          <w:lang w:val="en-US" w:eastAsia="zh-CN"/>
        </w:rPr>
      </w:pPr>
      <w:r>
        <w:rPr>
          <w:rFonts w:hint="eastAsia"/>
          <w:color w:val="FF0000"/>
          <w:highlight w:val="none"/>
          <w:lang w:val="en-US" w:eastAsia="zh-CN"/>
        </w:rPr>
        <w:t>锅炉按照排污许可的要求采用低氮燃烧技术，氮氧化物有低氮燃烧技术的去除效率30%</w:t>
      </w:r>
    </w:p>
  </w:comment>
  <w:comment w:id="7" w:author="吕娟" w:date="2025-07-30T15:45:23Z" w:initials="">
    <w:p w14:paraId="3A2E5E07">
      <w:pPr>
        <w:pStyle w:val="13"/>
        <w:rPr>
          <w:rFonts w:hint="eastAsia"/>
          <w:lang w:eastAsia="zh-CN"/>
        </w:rPr>
      </w:pPr>
      <w:r>
        <w:rPr>
          <w:rFonts w:hint="eastAsia"/>
          <w:lang w:eastAsia="zh-CN"/>
        </w:rPr>
        <w:t>注意三本账</w:t>
      </w:r>
    </w:p>
    <w:p w14:paraId="46C71039">
      <w:pPr>
        <w:pStyle w:val="13"/>
        <w:rPr>
          <w:rFonts w:hint="default"/>
          <w:color w:val="FF0000"/>
          <w:lang w:val="en-US" w:eastAsia="zh-CN"/>
        </w:rPr>
      </w:pPr>
      <w:r>
        <w:rPr>
          <w:rFonts w:hint="eastAsia"/>
          <w:color w:val="FF0000"/>
          <w:lang w:val="en-US" w:eastAsia="zh-CN"/>
        </w:rPr>
        <w:t>这个对应三本账中技改项目（本项目）的排放量</w:t>
      </w:r>
    </w:p>
  </w:comment>
  <w:comment w:id="9" w:author="吕娟" w:date="2025-07-30T15:46:21Z" w:initials="">
    <w:p w14:paraId="64E3507E">
      <w:pPr>
        <w:pStyle w:val="13"/>
        <w:rPr>
          <w:rFonts w:hint="default" w:eastAsiaTheme="minorEastAsia"/>
          <w:color w:val="FF0000"/>
          <w:lang w:val="en-US" w:eastAsia="zh-CN"/>
        </w:rPr>
      </w:pPr>
      <w:r>
        <w:rPr>
          <w:rFonts w:hint="eastAsia"/>
          <w:color w:val="FF0000"/>
          <w:lang w:val="en-US" w:eastAsia="zh-CN"/>
        </w:rPr>
        <w:t>标准中就是这个名称“隐蔽罐”</w:t>
      </w:r>
    </w:p>
    <w:p w14:paraId="6EB7260C">
      <w:pPr>
        <w:pStyle w:val="13"/>
        <w:rPr>
          <w:rFonts w:hint="eastAsia" w:eastAsiaTheme="minorEastAsia"/>
          <w:lang w:eastAsia="zh-CN"/>
        </w:rPr>
      </w:pPr>
      <w:r>
        <w:rPr>
          <w:rFonts w:hint="eastAsia" w:eastAsiaTheme="minorEastAsia"/>
          <w:lang w:eastAsia="zh-CN"/>
        </w:rPr>
        <w:drawing>
          <wp:inline distT="0" distB="0" distL="114300" distR="114300">
            <wp:extent cx="2105025" cy="584200"/>
            <wp:effectExtent l="0" t="0" r="9525" b="6350"/>
            <wp:docPr id="56" name="图片 56" descr="175386649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53866490830"/>
                    <pic:cNvPicPr>
                      <a:picLocks noChangeAspect="1"/>
                    </pic:cNvPicPr>
                  </pic:nvPicPr>
                  <pic:blipFill>
                    <a:blip r:embed="rId1"/>
                    <a:stretch>
                      <a:fillRect/>
                    </a:stretch>
                  </pic:blipFill>
                  <pic:spPr>
                    <a:xfrm flipV="1">
                      <a:off x="0" y="0"/>
                      <a:ext cx="2105025" cy="584200"/>
                    </a:xfrm>
                    <a:prstGeom prst="rect">
                      <a:avLst/>
                    </a:prstGeom>
                  </pic:spPr>
                </pic:pic>
              </a:graphicData>
            </a:graphic>
          </wp:inline>
        </w:drawing>
      </w:r>
    </w:p>
  </w:comment>
  <w:comment w:id="10" w:author="314179163" w:date="2025-07-29T17:27:54Z" w:initials="">
    <w:p w14:paraId="458B1AB0">
      <w:pPr>
        <w:pStyle w:val="13"/>
        <w:rPr>
          <w:rFonts w:hint="eastAsia"/>
          <w:lang w:val="en-US" w:eastAsia="zh-CN"/>
        </w:rPr>
      </w:pPr>
      <w:r>
        <w:rPr>
          <w:rFonts w:hint="eastAsia"/>
          <w:lang w:val="en-US" w:eastAsia="zh-CN"/>
        </w:rPr>
        <w:t>这个数字是哪来的？写错了？</w:t>
      </w:r>
    </w:p>
    <w:p w14:paraId="54D43695">
      <w:pPr>
        <w:keepNext w:val="0"/>
        <w:keepLines w:val="0"/>
        <w:suppressLineNumbers w:val="0"/>
        <w:spacing w:before="0" w:beforeAutospacing="0" w:after="0" w:afterAutospacing="0" w:line="360" w:lineRule="auto"/>
        <w:ind w:left="0" w:right="0" w:firstLine="420" w:firstLineChars="200"/>
        <w:jc w:val="both"/>
        <w:rPr>
          <w:rFonts w:hint="eastAsia" w:ascii="宋体" w:hAnsi="宋体" w:eastAsia="宋体" w:cs="宋体"/>
          <w:b w:val="0"/>
          <w:bCs/>
          <w:color w:val="FF0000"/>
          <w:sz w:val="24"/>
          <w:lang w:val="en-US" w:eastAsia="zh-CN"/>
        </w:rPr>
      </w:pPr>
      <w:r>
        <w:rPr>
          <w:rFonts w:hint="eastAsia"/>
          <w:color w:val="FF0000"/>
          <w:lang w:val="en-US" w:eastAsia="zh-CN"/>
        </w:rPr>
        <w:t>根据表4-3中取值0.01%，</w:t>
      </w:r>
      <w:r>
        <w:rPr>
          <w:rFonts w:hint="eastAsia" w:ascii="宋体" w:hAnsi="宋体" w:eastAsia="宋体" w:cs="宋体"/>
          <w:b w:val="0"/>
          <w:bCs/>
          <w:color w:val="FF0000"/>
          <w:sz w:val="24"/>
          <w:lang w:eastAsia="zh-CN"/>
        </w:rPr>
        <w:t>根据油罐所在地海拔高度修正贮存损耗率，海拔高度在</w:t>
      </w:r>
      <w:r>
        <w:rPr>
          <w:rFonts w:hint="eastAsia" w:ascii="宋体" w:hAnsi="宋体" w:eastAsia="宋体" w:cs="宋体"/>
          <w:b w:val="0"/>
          <w:bCs/>
          <w:color w:val="FF0000"/>
          <w:sz w:val="24"/>
          <w:lang w:val="en-US" w:eastAsia="zh-CN"/>
        </w:rPr>
        <w:t>1001~2000m的损耗率增加21%</w:t>
      </w:r>
      <w:r>
        <w:rPr>
          <w:rFonts w:hint="eastAsia" w:eastAsia="宋体" w:cs="宋体"/>
          <w:b w:val="0"/>
          <w:bCs/>
          <w:color w:val="FF0000"/>
          <w:sz w:val="24"/>
          <w:lang w:val="en-US" w:eastAsia="zh-CN"/>
        </w:rPr>
        <w:t>，</w:t>
      </w:r>
      <w:r>
        <w:rPr>
          <w:rFonts w:hint="eastAsia" w:ascii="宋体" w:hAnsi="宋体" w:eastAsia="宋体" w:cs="宋体"/>
          <w:b w:val="0"/>
          <w:bCs/>
          <w:color w:val="FF0000"/>
          <w:sz w:val="24"/>
          <w:lang w:eastAsia="zh-CN"/>
        </w:rPr>
        <w:t>本项目所在地海拔</w:t>
      </w:r>
      <w:r>
        <w:rPr>
          <w:rFonts w:hint="eastAsia" w:ascii="宋体" w:hAnsi="宋体" w:eastAsia="宋体" w:cs="宋体"/>
          <w:b w:val="0"/>
          <w:bCs/>
          <w:color w:val="FF0000"/>
          <w:sz w:val="24"/>
          <w:highlight w:val="none"/>
          <w:lang w:eastAsia="zh-CN"/>
        </w:rPr>
        <w:t>高度为</w:t>
      </w:r>
      <w:r>
        <w:rPr>
          <w:rFonts w:hint="eastAsia" w:ascii="宋体" w:hAnsi="宋体" w:eastAsia="宋体" w:cs="宋体"/>
          <w:b w:val="0"/>
          <w:bCs/>
          <w:color w:val="FF0000"/>
          <w:sz w:val="24"/>
          <w:highlight w:val="none"/>
          <w:lang w:val="en-US" w:eastAsia="zh-CN"/>
        </w:rPr>
        <w:t>1672.5m</w:t>
      </w:r>
      <w:r>
        <w:rPr>
          <w:rFonts w:hint="eastAsia" w:ascii="宋体" w:hAnsi="宋体" w:eastAsia="宋体" w:cs="宋体"/>
          <w:b w:val="0"/>
          <w:bCs/>
          <w:color w:val="FF0000"/>
          <w:sz w:val="24"/>
          <w:highlight w:val="none"/>
          <w:lang w:eastAsia="zh-CN"/>
        </w:rPr>
        <w:t>，油罐</w:t>
      </w:r>
      <w:r>
        <w:rPr>
          <w:rFonts w:hint="eastAsia" w:ascii="宋体" w:hAnsi="宋体" w:eastAsia="宋体" w:cs="宋体"/>
          <w:b w:val="0"/>
          <w:bCs/>
          <w:color w:val="FF0000"/>
          <w:sz w:val="24"/>
          <w:lang w:eastAsia="zh-CN"/>
        </w:rPr>
        <w:t>贮存损耗率增加</w:t>
      </w:r>
      <w:r>
        <w:rPr>
          <w:rFonts w:hint="eastAsia" w:ascii="宋体" w:hAnsi="宋体" w:eastAsia="宋体" w:cs="宋体"/>
          <w:b w:val="0"/>
          <w:bCs/>
          <w:color w:val="FF0000"/>
          <w:sz w:val="24"/>
          <w:lang w:val="en-US" w:eastAsia="zh-CN"/>
        </w:rPr>
        <w:t>21%。</w:t>
      </w:r>
    </w:p>
    <w:p w14:paraId="03371373">
      <w:pPr>
        <w:pStyle w:val="13"/>
        <w:rPr>
          <w:rFonts w:hint="default"/>
          <w:color w:val="FF0000"/>
          <w:lang w:val="en-US" w:eastAsia="zh-CN"/>
        </w:rPr>
      </w:pPr>
      <w:r>
        <w:rPr>
          <w:rFonts w:hint="eastAsia"/>
          <w:color w:val="FF0000"/>
          <w:lang w:val="en-US" w:eastAsia="zh-CN"/>
        </w:rPr>
        <w:t>因此0.01%+0.01%×21%=0.0121%</w:t>
      </w:r>
    </w:p>
  </w:comment>
  <w:comment w:id="11" w:author="314179163" w:date="2025-07-29T17:35:02Z" w:initials="">
    <w:p w14:paraId="28C609F6">
      <w:pPr>
        <w:pStyle w:val="13"/>
        <w:rPr>
          <w:rFonts w:hint="eastAsia"/>
          <w:lang w:eastAsia="zh-CN"/>
        </w:rPr>
      </w:pPr>
      <w:r>
        <w:rPr>
          <w:rFonts w:hint="eastAsia"/>
          <w:lang w:eastAsia="zh-CN"/>
        </w:rPr>
        <w:t>？</w:t>
      </w:r>
    </w:p>
    <w:p w14:paraId="1BEB539F">
      <w:pPr>
        <w:pStyle w:val="13"/>
        <w:rPr>
          <w:rFonts w:hint="default"/>
          <w:color w:val="FF0000"/>
          <w:lang w:val="en-US" w:eastAsia="zh-CN"/>
        </w:rPr>
      </w:pPr>
      <w:r>
        <w:rPr>
          <w:rFonts w:hint="eastAsia"/>
          <w:color w:val="FF0000"/>
          <w:lang w:val="en-US" w:eastAsia="zh-CN"/>
        </w:rPr>
        <w:t>已更正错别字</w:t>
      </w:r>
    </w:p>
  </w:comment>
  <w:comment w:id="12" w:author="吕娟" w:date="2025-07-30T16:03:03Z" w:initials="">
    <w:p w14:paraId="32DD0C6F">
      <w:pPr>
        <w:pStyle w:val="13"/>
        <w:rPr>
          <w:rFonts w:hint="eastAsia"/>
          <w:lang w:eastAsia="zh-CN"/>
        </w:rPr>
      </w:pPr>
      <w:r>
        <w:rPr>
          <w:rFonts w:hint="eastAsia"/>
          <w:lang w:eastAsia="zh-CN"/>
        </w:rPr>
        <w:t>补充硝酸铵</w:t>
      </w:r>
    </w:p>
    <w:p w14:paraId="45971B15">
      <w:pPr>
        <w:pStyle w:val="13"/>
        <w:rPr>
          <w:rFonts w:hint="default"/>
          <w:color w:val="FF0000"/>
          <w:lang w:val="en-US" w:eastAsia="zh-CN"/>
        </w:rPr>
      </w:pPr>
      <w:r>
        <w:rPr>
          <w:rFonts w:hint="eastAsia"/>
          <w:color w:val="FF0000"/>
          <w:lang w:val="en-US" w:eastAsia="zh-CN"/>
        </w:rPr>
        <w:t xml:space="preserve">已补充完善 </w:t>
      </w:r>
    </w:p>
  </w:comment>
  <w:comment w:id="13" w:author="吕娟" w:date="2025-07-30T16:36:15Z" w:initials="">
    <w:p w14:paraId="5CA57B81">
      <w:pPr>
        <w:pStyle w:val="13"/>
        <w:rPr>
          <w:rFonts w:hint="eastAsia"/>
          <w:lang w:eastAsia="zh-CN"/>
        </w:rPr>
      </w:pPr>
      <w:r>
        <w:rPr>
          <w:rFonts w:hint="eastAsia"/>
          <w:lang w:eastAsia="zh-CN"/>
        </w:rPr>
        <w:t>补充硝酸铵相关方法措施</w:t>
      </w:r>
    </w:p>
    <w:p w14:paraId="5B480700">
      <w:pPr>
        <w:pStyle w:val="13"/>
        <w:rPr>
          <w:rFonts w:hint="default"/>
          <w:color w:val="FF0000"/>
          <w:lang w:val="en-US" w:eastAsia="zh-CN"/>
        </w:rPr>
      </w:pPr>
      <w:r>
        <w:rPr>
          <w:rFonts w:hint="eastAsia"/>
          <w:color w:val="FF0000"/>
          <w:lang w:val="en-US" w:eastAsia="zh-CN"/>
        </w:rPr>
        <w:t>硝酸铵属于技改前项目已有的环境风险物质，不是本次技改新增的，其风险防范措施已补充在上文中现有项目风险防范措施中</w:t>
      </w:r>
    </w:p>
  </w:comment>
  <w:comment w:id="14" w:author="吕娟" w:date="2025-07-30T16:35:23Z" w:initials="">
    <w:p w14:paraId="27BB6E53">
      <w:pPr>
        <w:pStyle w:val="13"/>
        <w:rPr>
          <w:rFonts w:hint="eastAsia"/>
          <w:lang w:eastAsia="zh-CN"/>
        </w:rPr>
      </w:pPr>
      <w:r>
        <w:rPr>
          <w:rFonts w:hint="eastAsia"/>
          <w:lang w:eastAsia="zh-CN"/>
        </w:rPr>
        <w:t>全文统一名称</w:t>
      </w:r>
    </w:p>
    <w:p w14:paraId="2AA07D5B">
      <w:pPr>
        <w:pStyle w:val="13"/>
        <w:rPr>
          <w:rFonts w:hint="default"/>
          <w:color w:val="FF0000"/>
          <w:lang w:val="en-US" w:eastAsia="zh-CN"/>
        </w:rPr>
      </w:pPr>
      <w:r>
        <w:rPr>
          <w:rFonts w:hint="eastAsia"/>
          <w:color w:val="FF0000"/>
          <w:lang w:val="en-US" w:eastAsia="zh-CN"/>
        </w:rPr>
        <w:t>已统一为锅炉废气排放口</w:t>
      </w:r>
    </w:p>
  </w:comment>
  <w:comment w:id="15" w:author="吕娟" w:date="2025-07-30T16:38:18Z" w:initials="">
    <w:p w14:paraId="06E03D54">
      <w:pPr>
        <w:pStyle w:val="13"/>
        <w:rPr>
          <w:rFonts w:hint="eastAsia"/>
          <w:lang w:eastAsia="zh-CN"/>
        </w:rPr>
      </w:pPr>
      <w:r>
        <w:rPr>
          <w:rFonts w:hint="eastAsia"/>
          <w:lang w:eastAsia="zh-CN"/>
        </w:rPr>
        <w:t>同上</w:t>
      </w:r>
    </w:p>
    <w:p w14:paraId="358471B4">
      <w:pPr>
        <w:pStyle w:val="13"/>
        <w:rPr>
          <w:rFonts w:hint="eastAsia"/>
          <w:color w:val="FF0000"/>
          <w:lang w:val="en-US" w:eastAsia="zh-CN"/>
        </w:rPr>
      </w:pPr>
      <w:r>
        <w:rPr>
          <w:rFonts w:hint="eastAsia"/>
          <w:color w:val="FF0000"/>
          <w:lang w:val="en-US" w:eastAsia="zh-CN"/>
        </w:rPr>
        <w:t>现有工程排放量指的是技改前燃煤锅炉的排放量，根据企业提供的2021年例行监测报告中数据折算为满负荷的排放量，对应报告表中第28-31页与项目有关的原有环境污染问题章节的内容。技改后改为燃油锅炉，原燃煤锅炉的排放量已全部削减替代。</w:t>
      </w:r>
    </w:p>
    <w:p w14:paraId="4D4C0D22">
      <w:pPr>
        <w:pStyle w:val="13"/>
        <w:rPr>
          <w:rFonts w:hint="eastAsia"/>
          <w:lang w:eastAsia="zh-CN"/>
        </w:rPr>
      </w:pPr>
      <w:r>
        <w:rPr>
          <w:rFonts w:hint="eastAsia"/>
          <w:color w:val="FF0000"/>
          <w:lang w:val="en-US" w:eastAsia="zh-CN"/>
        </w:rPr>
        <w:t>技改项目（本项目）排放来那个对应报告表中39-40页中源强核算内容。</w:t>
      </w:r>
    </w:p>
  </w:comment>
  <w:comment w:id="16" w:author="吕娟" w:date="2025-07-30T16:44:17Z" w:initials="">
    <w:p w14:paraId="3C14672F">
      <w:pPr>
        <w:pStyle w:val="13"/>
        <w:rPr>
          <w:rFonts w:hint="eastAsia"/>
          <w:lang w:eastAsia="zh-CN"/>
        </w:rPr>
      </w:pPr>
      <w:r>
        <w:rPr>
          <w:rFonts w:hint="eastAsia"/>
          <w:lang w:eastAsia="zh-CN"/>
        </w:rPr>
        <w:t>修改</w:t>
      </w:r>
    </w:p>
    <w:p w14:paraId="284400AB">
      <w:pPr>
        <w:pStyle w:val="13"/>
        <w:rPr>
          <w:rFonts w:hint="eastAsia"/>
          <w:color w:val="FF0000"/>
          <w:lang w:val="en-US" w:eastAsia="zh-CN"/>
        </w:rPr>
      </w:pPr>
      <w:r>
        <w:rPr>
          <w:rFonts w:hint="eastAsia"/>
          <w:color w:val="FF0000"/>
          <w:lang w:val="en-US" w:eastAsia="zh-CN"/>
        </w:rPr>
        <w:t>现有工程排放量指的是技改前燃煤锅炉的排放量，根据企业提供的2021年例行监测报告中数据折算为满负荷的排放量，对应报告表中第28-31页与项目有关的原有环境污染问题章节的内容。技改后改为燃油锅炉，原燃煤锅炉的排放量已全部削减替代。</w:t>
      </w:r>
    </w:p>
    <w:p w14:paraId="22E053CD">
      <w:pPr>
        <w:pStyle w:val="13"/>
        <w:rPr>
          <w:rFonts w:hint="default"/>
          <w:color w:val="FF0000"/>
          <w:lang w:val="en-US" w:eastAsia="zh-CN"/>
        </w:rPr>
      </w:pPr>
      <w:r>
        <w:rPr>
          <w:rFonts w:hint="eastAsia"/>
          <w:color w:val="FF0000"/>
          <w:lang w:val="en-US" w:eastAsia="zh-CN"/>
        </w:rPr>
        <w:t>技改项目（本项目）排放来那个对应报告表中39-40页中源强核算内容。</w:t>
      </w:r>
    </w:p>
    <w:p w14:paraId="56EF5692">
      <w:pPr>
        <w:pStyle w:val="13"/>
        <w:rPr>
          <w:rFonts w:hint="eastAsia"/>
          <w:lang w:eastAsia="zh-CN"/>
        </w:rPr>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04B1F8B" w15:done="0"/>
  <w15:commentEx w15:paraId="5316021E" w15:done="0"/>
  <w15:commentEx w15:paraId="742B7201" w15:done="0"/>
  <w15:commentEx w15:paraId="4A9F39DE" w15:done="0"/>
  <w15:commentEx w15:paraId="67574266" w15:done="0"/>
  <w15:commentEx w15:paraId="24357264" w15:done="0"/>
  <w15:commentEx w15:paraId="5E6378A0" w15:done="0"/>
  <w15:commentEx w15:paraId="77B23B31" w15:done="0"/>
  <w15:commentEx w15:paraId="46C71039" w15:done="0"/>
  <w15:commentEx w15:paraId="6EB7260C" w15:done="0"/>
  <w15:commentEx w15:paraId="03371373" w15:done="0"/>
  <w15:commentEx w15:paraId="1BEB539F" w15:done="0"/>
  <w15:commentEx w15:paraId="45971B15" w15:done="0"/>
  <w15:commentEx w15:paraId="5B480700" w15:done="0"/>
  <w15:commentEx w15:paraId="2AA07D5B" w15:done="0"/>
  <w15:commentEx w15:paraId="4D4C0D22" w15:done="0"/>
  <w15:commentEx w15:paraId="56EF5692"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Batang">
    <w:altName w:val="Malgun Gothic"/>
    <w:panose1 w:val="02030600000101010101"/>
    <w:charset w:val="81"/>
    <w:family w:val="roman"/>
    <w:pitch w:val="default"/>
    <w:sig w:usb0="00000000" w:usb1="00000000" w:usb2="00000030" w:usb3="00000000" w:csb0="4008009F" w:csb1="DFD70000"/>
  </w:font>
  <w:font w:name="Malgun Gothic">
    <w:panose1 w:val="020B0503020000020004"/>
    <w:charset w:val="81"/>
    <w:family w:val="auto"/>
    <w:pitch w:val="default"/>
    <w:sig w:usb0="9000002F" w:usb1="29D77CFB" w:usb2="00000012" w:usb3="00000000" w:csb0="00080001"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AAF7B6">
    <w:pPr>
      <w:pStyle w:val="1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629DC">
                          <w:pPr>
                            <w:pStyle w:val="19"/>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0F5629DC">
                    <w:pPr>
                      <w:pStyle w:val="19"/>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157BF9">
    <w:pPr>
      <w:pStyle w:val="19"/>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D9B752">
                          <w:pPr>
                            <w:pStyle w:val="19"/>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rPr>
                            <w:t xml:space="preserve">  </w:t>
                          </w:r>
                          <w:r>
                            <w:rPr>
                              <w:rFonts w:ascii="宋体" w:hAnsi="宋体"/>
                              <w:sz w:val="26"/>
                              <w:szCs w:val="26"/>
                            </w:rPr>
                            <w:fldChar w:fldCharType="begin"/>
                          </w:r>
                          <w:r>
                            <w:rPr>
                              <w:rStyle w:val="29"/>
                              <w:rFonts w:ascii="宋体" w:hAnsi="宋体"/>
                              <w:sz w:val="26"/>
                              <w:szCs w:val="26"/>
                            </w:rPr>
                            <w:instrText xml:space="preserve">PAGE  </w:instrText>
                          </w:r>
                          <w:r>
                            <w:rPr>
                              <w:rFonts w:ascii="宋体" w:hAnsi="宋体"/>
                              <w:sz w:val="26"/>
                              <w:szCs w:val="26"/>
                            </w:rPr>
                            <w:fldChar w:fldCharType="separate"/>
                          </w:r>
                          <w:r>
                            <w:rPr>
                              <w:rStyle w:val="29"/>
                              <w:rFonts w:ascii="宋体" w:hAnsi="宋体"/>
                              <w:sz w:val="26"/>
                              <w:szCs w:val="26"/>
                            </w:rPr>
                            <w:t>49</w:t>
                          </w:r>
                          <w:r>
                            <w:rPr>
                              <w:rFonts w:ascii="宋体" w:hAnsi="宋体"/>
                              <w:sz w:val="26"/>
                              <w:szCs w:val="26"/>
                            </w:rPr>
                            <w:fldChar w:fldCharType="end"/>
                          </w:r>
                          <w:r>
                            <w:rPr>
                              <w:rStyle w:val="29"/>
                              <w:rFonts w:hint="eastAsia" w:ascii="宋体" w:hAnsi="宋体"/>
                              <w:sz w:val="20"/>
                            </w:rPr>
                            <w:t xml:space="preserve">  </w:t>
                          </w:r>
                          <w:r>
                            <w:rPr>
                              <w:rStyle w:val="29"/>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3Pus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PUV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k3PuszAgAAYwQAAA4AAAAAAAAAAQAgAAAAHwEAAGRycy9lMm9Eb2MueG1sUEsF&#10;BgAAAAAGAAYAWQEAAMQFAAAAAA==&#10;">
              <v:fill on="f" focussize="0,0"/>
              <v:stroke on="f" weight="0.5pt"/>
              <v:imagedata o:title=""/>
              <o:lock v:ext="edit" aspectratio="f"/>
              <v:textbox inset="0mm,0mm,0mm,0mm" style="mso-fit-shape-to-text:t;">
                <w:txbxContent>
                  <w:p w14:paraId="66D9B752">
                    <w:pPr>
                      <w:pStyle w:val="19"/>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rPr>
                      <w:t xml:space="preserve">  </w:t>
                    </w:r>
                    <w:r>
                      <w:rPr>
                        <w:rFonts w:ascii="宋体" w:hAnsi="宋体"/>
                        <w:sz w:val="26"/>
                        <w:szCs w:val="26"/>
                      </w:rPr>
                      <w:fldChar w:fldCharType="begin"/>
                    </w:r>
                    <w:r>
                      <w:rPr>
                        <w:rStyle w:val="29"/>
                        <w:rFonts w:ascii="宋体" w:hAnsi="宋体"/>
                        <w:sz w:val="26"/>
                        <w:szCs w:val="26"/>
                      </w:rPr>
                      <w:instrText xml:space="preserve">PAGE  </w:instrText>
                    </w:r>
                    <w:r>
                      <w:rPr>
                        <w:rFonts w:ascii="宋体" w:hAnsi="宋体"/>
                        <w:sz w:val="26"/>
                        <w:szCs w:val="26"/>
                      </w:rPr>
                      <w:fldChar w:fldCharType="separate"/>
                    </w:r>
                    <w:r>
                      <w:rPr>
                        <w:rStyle w:val="29"/>
                        <w:rFonts w:ascii="宋体" w:hAnsi="宋体"/>
                        <w:sz w:val="26"/>
                        <w:szCs w:val="26"/>
                      </w:rPr>
                      <w:t>49</w:t>
                    </w:r>
                    <w:r>
                      <w:rPr>
                        <w:rFonts w:ascii="宋体" w:hAnsi="宋体"/>
                        <w:sz w:val="26"/>
                        <w:szCs w:val="26"/>
                      </w:rPr>
                      <w:fldChar w:fldCharType="end"/>
                    </w:r>
                    <w:r>
                      <w:rPr>
                        <w:rStyle w:val="29"/>
                        <w:rFonts w:hint="eastAsia" w:ascii="宋体" w:hAnsi="宋体"/>
                        <w:sz w:val="20"/>
                      </w:rPr>
                      <w:t xml:space="preserve">  </w:t>
                    </w:r>
                    <w:r>
                      <w:rPr>
                        <w:rStyle w:val="29"/>
                        <w:rFonts w:hint="eastAsia" w:ascii="宋体" w:hAnsi="宋体"/>
                        <w:sz w:val="28"/>
                        <w:szCs w:val="28"/>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E9270D">
    <w:pPr>
      <w:pStyle w:val="19"/>
      <w:tabs>
        <w:tab w:val="center" w:pos="7039"/>
        <w:tab w:val="left" w:pos="9136"/>
      </w:tabs>
      <w:ind w:right="360" w:firstLine="3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AA4C21">
                          <w:pPr>
                            <w:pStyle w:val="19"/>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rPr>
                            <w:t xml:space="preserve">  </w:t>
                          </w:r>
                          <w:r>
                            <w:rPr>
                              <w:rFonts w:ascii="宋体" w:hAnsi="宋体"/>
                              <w:sz w:val="26"/>
                              <w:szCs w:val="26"/>
                            </w:rPr>
                            <w:fldChar w:fldCharType="begin"/>
                          </w:r>
                          <w:r>
                            <w:rPr>
                              <w:rStyle w:val="29"/>
                              <w:rFonts w:ascii="宋体" w:hAnsi="宋体"/>
                              <w:sz w:val="26"/>
                              <w:szCs w:val="26"/>
                            </w:rPr>
                            <w:instrText xml:space="preserve">PAGE  </w:instrText>
                          </w:r>
                          <w:r>
                            <w:rPr>
                              <w:rFonts w:ascii="宋体" w:hAnsi="宋体"/>
                              <w:sz w:val="26"/>
                              <w:szCs w:val="26"/>
                            </w:rPr>
                            <w:fldChar w:fldCharType="separate"/>
                          </w:r>
                          <w:r>
                            <w:rPr>
                              <w:rStyle w:val="29"/>
                              <w:rFonts w:ascii="宋体" w:hAnsi="宋体"/>
                              <w:sz w:val="26"/>
                              <w:szCs w:val="26"/>
                            </w:rPr>
                            <w:t>36</w:t>
                          </w:r>
                          <w:r>
                            <w:rPr>
                              <w:rFonts w:ascii="宋体" w:hAnsi="宋体"/>
                              <w:sz w:val="26"/>
                              <w:szCs w:val="26"/>
                            </w:rPr>
                            <w:fldChar w:fldCharType="end"/>
                          </w:r>
                          <w:r>
                            <w:rPr>
                              <w:rStyle w:val="29"/>
                              <w:rFonts w:hint="eastAsia" w:ascii="宋体" w:hAnsi="宋体"/>
                              <w:sz w:val="20"/>
                            </w:rPr>
                            <w:t xml:space="preserve">  </w:t>
                          </w:r>
                          <w:r>
                            <w:rPr>
                              <w:rStyle w:val="29"/>
                              <w:rFonts w:hint="eastAsia" w:ascii="宋体" w:hAnsi="宋体"/>
                              <w:sz w:val="28"/>
                              <w:szCs w:val="28"/>
                            </w:rPr>
                            <w:t>—</w:t>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vO0ZWsoBAACbAwAADgAAAAAAAAABACAAAAAeAQAAZHJzL2Uyb0Rv&#10;Yy54bWxQSwUGAAAAAAYABgBZAQAAWgUAAAAA&#10;">
              <v:fill on="f" focussize="0,0"/>
              <v:stroke on="f"/>
              <v:imagedata o:title=""/>
              <o:lock v:ext="edit" aspectratio="f"/>
              <v:textbox inset="0mm,0mm,0mm,0mm" style="mso-fit-shape-to-text:t;">
                <w:txbxContent>
                  <w:p w14:paraId="0DAA4C21">
                    <w:pPr>
                      <w:pStyle w:val="19"/>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rPr>
                      <w:t xml:space="preserve">  </w:t>
                    </w:r>
                    <w:r>
                      <w:rPr>
                        <w:rFonts w:ascii="宋体" w:hAnsi="宋体"/>
                        <w:sz w:val="26"/>
                        <w:szCs w:val="26"/>
                      </w:rPr>
                      <w:fldChar w:fldCharType="begin"/>
                    </w:r>
                    <w:r>
                      <w:rPr>
                        <w:rStyle w:val="29"/>
                        <w:rFonts w:ascii="宋体" w:hAnsi="宋体"/>
                        <w:sz w:val="26"/>
                        <w:szCs w:val="26"/>
                      </w:rPr>
                      <w:instrText xml:space="preserve">PAGE  </w:instrText>
                    </w:r>
                    <w:r>
                      <w:rPr>
                        <w:rFonts w:ascii="宋体" w:hAnsi="宋体"/>
                        <w:sz w:val="26"/>
                        <w:szCs w:val="26"/>
                      </w:rPr>
                      <w:fldChar w:fldCharType="separate"/>
                    </w:r>
                    <w:r>
                      <w:rPr>
                        <w:rStyle w:val="29"/>
                        <w:rFonts w:ascii="宋体" w:hAnsi="宋体"/>
                        <w:sz w:val="26"/>
                        <w:szCs w:val="26"/>
                      </w:rPr>
                      <w:t>36</w:t>
                    </w:r>
                    <w:r>
                      <w:rPr>
                        <w:rFonts w:ascii="宋体" w:hAnsi="宋体"/>
                        <w:sz w:val="26"/>
                        <w:szCs w:val="26"/>
                      </w:rPr>
                      <w:fldChar w:fldCharType="end"/>
                    </w:r>
                    <w:r>
                      <w:rPr>
                        <w:rStyle w:val="29"/>
                        <w:rFonts w:hint="eastAsia" w:ascii="宋体" w:hAnsi="宋体"/>
                        <w:sz w:val="20"/>
                      </w:rPr>
                      <w:t xml:space="preserve">  </w:t>
                    </w:r>
                    <w:r>
                      <w:rPr>
                        <w:rStyle w:val="29"/>
                        <w:rFonts w:hint="eastAsia" w:ascii="宋体" w:hAnsi="宋体"/>
                        <w:sz w:val="28"/>
                        <w:szCs w:val="28"/>
                      </w:rPr>
                      <w:t>—</w:t>
                    </w:r>
                  </w:p>
                </w:txbxContent>
              </v:textbox>
            </v:shape>
          </w:pict>
        </mc:Fallback>
      </mc:AlternateContent>
    </w:r>
    <w:r>
      <w:rPr>
        <w:rFonts w:hint="eastAsia"/>
        <w:lang w:eastAsia="zh-CN"/>
      </w:rPr>
      <w:tab/>
    </w:r>
    <w:r>
      <w:rPr>
        <w:rFonts w:hint="eastAsia"/>
        <w:lang w:eastAsia="zh-CN"/>
      </w:rPr>
      <w:tab/>
    </w:r>
    <w:r>
      <w:rPr>
        <w:rFonts w:hint="eastAsia"/>
        <w:lang w:eastAsia="zh-CN"/>
      </w:rPr>
      <w:tab/>
    </w:r>
    <w:r>
      <w:rPr>
        <w:rFonts w:hint="eastAsia"/>
        <w:lang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EEE13A">
    <w:pPr>
      <w:pStyle w:val="19"/>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EABB62F">
                          <w:pPr>
                            <w:pStyle w:val="19"/>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rPr>
                            <w:t xml:space="preserve">  </w:t>
                          </w:r>
                          <w:r>
                            <w:rPr>
                              <w:rStyle w:val="29"/>
                              <w:rFonts w:ascii="宋体" w:hAnsi="宋体"/>
                              <w:sz w:val="26"/>
                              <w:szCs w:val="26"/>
                            </w:rPr>
                            <w:fldChar w:fldCharType="begin"/>
                          </w:r>
                          <w:r>
                            <w:rPr>
                              <w:rStyle w:val="29"/>
                              <w:rFonts w:ascii="宋体" w:hAnsi="宋体"/>
                              <w:sz w:val="26"/>
                              <w:szCs w:val="26"/>
                            </w:rPr>
                            <w:instrText xml:space="preserve">PAGE  </w:instrText>
                          </w:r>
                          <w:r>
                            <w:rPr>
                              <w:rStyle w:val="29"/>
                              <w:rFonts w:ascii="宋体" w:hAnsi="宋体"/>
                              <w:sz w:val="26"/>
                              <w:szCs w:val="26"/>
                            </w:rPr>
                            <w:fldChar w:fldCharType="separate"/>
                          </w:r>
                          <w:r>
                            <w:rPr>
                              <w:rStyle w:val="29"/>
                              <w:rFonts w:ascii="宋体" w:hAnsi="宋体"/>
                              <w:sz w:val="26"/>
                              <w:szCs w:val="26"/>
                            </w:rPr>
                            <w:t>71</w:t>
                          </w:r>
                          <w:r>
                            <w:rPr>
                              <w:rStyle w:val="29"/>
                              <w:rFonts w:ascii="宋体" w:hAnsi="宋体"/>
                              <w:sz w:val="26"/>
                              <w:szCs w:val="26"/>
                            </w:rPr>
                            <w:fldChar w:fldCharType="end"/>
                          </w:r>
                          <w:r>
                            <w:rPr>
                              <w:rStyle w:val="29"/>
                              <w:rFonts w:hint="eastAsia" w:ascii="宋体" w:hAnsi="宋体"/>
                              <w:sz w:val="20"/>
                            </w:rPr>
                            <w:t xml:space="preserve">  </w:t>
                          </w:r>
                          <w:r>
                            <w:rPr>
                              <w:rStyle w:val="29"/>
                              <w:rFonts w:hint="eastAsia" w:ascii="宋体" w:hAnsi="宋体"/>
                              <w:sz w:val="28"/>
                              <w:szCs w:val="28"/>
                            </w:rPr>
                            <w:t>—</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AyDQZnwwEAAI8DAAAOAAAAAAAAAAEAIAAAAB4BAABkcnMvZTJvRG9jLnhtbFBL&#10;BQYAAAAABgAGAFkBAABTBQAAAAA=&#10;">
              <v:fill on="f" focussize="0,0"/>
              <v:stroke on="f"/>
              <v:imagedata o:title=""/>
              <o:lock v:ext="edit" aspectratio="f"/>
              <v:textbox inset="0mm,0mm,0mm,0mm" style="mso-fit-shape-to-text:t;">
                <w:txbxContent>
                  <w:p w14:paraId="4EABB62F">
                    <w:pPr>
                      <w:pStyle w:val="19"/>
                      <w:rPr>
                        <w:rStyle w:val="29"/>
                        <w:rFonts w:ascii="宋体" w:hAnsi="宋体"/>
                        <w:sz w:val="28"/>
                        <w:szCs w:val="28"/>
                      </w:rPr>
                    </w:pPr>
                    <w:r>
                      <w:rPr>
                        <w:rStyle w:val="29"/>
                        <w:rFonts w:hint="eastAsia" w:ascii="宋体" w:hAnsi="宋体"/>
                        <w:sz w:val="28"/>
                        <w:szCs w:val="28"/>
                      </w:rPr>
                      <w:t>—</w:t>
                    </w:r>
                    <w:r>
                      <w:rPr>
                        <w:rStyle w:val="29"/>
                        <w:rFonts w:hint="eastAsia" w:ascii="宋体" w:hAnsi="宋体"/>
                        <w:sz w:val="20"/>
                      </w:rPr>
                      <w:t xml:space="preserve">  </w:t>
                    </w:r>
                    <w:r>
                      <w:rPr>
                        <w:rStyle w:val="29"/>
                        <w:rFonts w:ascii="宋体" w:hAnsi="宋体"/>
                        <w:sz w:val="26"/>
                        <w:szCs w:val="26"/>
                      </w:rPr>
                      <w:fldChar w:fldCharType="begin"/>
                    </w:r>
                    <w:r>
                      <w:rPr>
                        <w:rStyle w:val="29"/>
                        <w:rFonts w:ascii="宋体" w:hAnsi="宋体"/>
                        <w:sz w:val="26"/>
                        <w:szCs w:val="26"/>
                      </w:rPr>
                      <w:instrText xml:space="preserve">PAGE  </w:instrText>
                    </w:r>
                    <w:r>
                      <w:rPr>
                        <w:rStyle w:val="29"/>
                        <w:rFonts w:ascii="宋体" w:hAnsi="宋体"/>
                        <w:sz w:val="26"/>
                        <w:szCs w:val="26"/>
                      </w:rPr>
                      <w:fldChar w:fldCharType="separate"/>
                    </w:r>
                    <w:r>
                      <w:rPr>
                        <w:rStyle w:val="29"/>
                        <w:rFonts w:ascii="宋体" w:hAnsi="宋体"/>
                        <w:sz w:val="26"/>
                        <w:szCs w:val="26"/>
                      </w:rPr>
                      <w:t>71</w:t>
                    </w:r>
                    <w:r>
                      <w:rPr>
                        <w:rStyle w:val="29"/>
                        <w:rFonts w:ascii="宋体" w:hAnsi="宋体"/>
                        <w:sz w:val="26"/>
                        <w:szCs w:val="26"/>
                      </w:rPr>
                      <w:fldChar w:fldCharType="end"/>
                    </w:r>
                    <w:r>
                      <w:rPr>
                        <w:rStyle w:val="29"/>
                        <w:rFonts w:hint="eastAsia" w:ascii="宋体" w:hAnsi="宋体"/>
                        <w:sz w:val="20"/>
                      </w:rPr>
                      <w:t xml:space="preserve">  </w:t>
                    </w:r>
                    <w:r>
                      <w:rPr>
                        <w:rStyle w:val="29"/>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eastAsia="宋体" w:cs="Times New Roman"/>
        <w:kern w:val="2"/>
        <w:sz w:val="21"/>
        <w:szCs w:val="24"/>
        <w:lang w:val="en-US" w:eastAsia="zh-CN" w:bidi="ar-SA"/>
      </w:rPr>
      <w:id w:val="180326697"/>
    </w:sdtPr>
    <w:sdtEndPr>
      <w:rPr>
        <w:rFonts w:ascii="Times New Roman" w:hAnsi="Times New Roman" w:eastAsia="宋体" w:cs="Times New Roman"/>
        <w:kern w:val="0"/>
        <w:sz w:val="18"/>
        <w:szCs w:val="20"/>
        <w:lang w:val="en-US" w:eastAsia="zh-CN" w:bidi="ar-SA"/>
      </w:rPr>
    </w:sdtEndPr>
    <w:sdtContent>
      <w:p w14:paraId="51E1D413">
        <w:pPr>
          <w:widowControl w:val="0"/>
          <w:tabs>
            <w:tab w:val="center" w:pos="4153"/>
            <w:tab w:val="right" w:pos="8306"/>
          </w:tabs>
          <w:snapToGrid w:val="0"/>
          <w:jc w:val="center"/>
          <w:rPr>
            <w:rFonts w:ascii="Times New Roman" w:hAnsi="Times New Roman" w:eastAsia="宋体" w:cs="Times New Roman"/>
            <w:kern w:val="0"/>
            <w:sz w:val="18"/>
            <w:szCs w:val="20"/>
            <w:lang w:val="en-US" w:eastAsia="zh-CN" w:bidi="ar-SA"/>
          </w:rPr>
        </w:pPr>
        <w:r>
          <w:rPr>
            <w:rFonts w:ascii="Times New Roman" w:hAnsi="Times New Roman" w:eastAsia="宋体" w:cs="Times New Roman"/>
            <w:kern w:val="0"/>
            <w:sz w:val="18"/>
            <w:szCs w:val="20"/>
            <w:lang w:val="en-US" w:eastAsia="zh-CN" w:bidi="ar-SA"/>
          </w:rPr>
          <w:fldChar w:fldCharType="begin"/>
        </w:r>
        <w:r>
          <w:rPr>
            <w:rFonts w:ascii="Times New Roman" w:hAnsi="Times New Roman" w:eastAsia="宋体" w:cs="Times New Roman"/>
            <w:kern w:val="0"/>
            <w:sz w:val="18"/>
            <w:szCs w:val="20"/>
            <w:lang w:val="en-US" w:eastAsia="zh-CN" w:bidi="ar-SA"/>
          </w:rPr>
          <w:instrText xml:space="preserve">PAGE   \* MERGEFORMAT</w:instrText>
        </w:r>
        <w:r>
          <w:rPr>
            <w:rFonts w:ascii="Times New Roman" w:hAnsi="Times New Roman" w:eastAsia="宋体" w:cs="Times New Roman"/>
            <w:kern w:val="0"/>
            <w:sz w:val="18"/>
            <w:szCs w:val="20"/>
            <w:lang w:val="en-US" w:eastAsia="zh-CN" w:bidi="ar-SA"/>
          </w:rPr>
          <w:fldChar w:fldCharType="separate"/>
        </w:r>
        <w:r>
          <w:rPr>
            <w:rFonts w:ascii="Times New Roman" w:hAnsi="Times New Roman" w:eastAsia="宋体" w:cs="Times New Roman"/>
            <w:kern w:val="0"/>
            <w:sz w:val="18"/>
            <w:szCs w:val="20"/>
            <w:lang w:val="zh-CN" w:eastAsia="zh-CN" w:bidi="ar-SA"/>
          </w:rPr>
          <w:t>31</w:t>
        </w:r>
        <w:r>
          <w:rPr>
            <w:rFonts w:ascii="Times New Roman" w:hAnsi="Times New Roman" w:eastAsia="宋体" w:cs="Times New Roman"/>
            <w:kern w:val="0"/>
            <w:sz w:val="18"/>
            <w:szCs w:val="20"/>
            <w:lang w:val="en-US" w:eastAsia="zh-CN" w:bidi="ar-SA"/>
          </w:rPr>
          <w:fldChar w:fldCharType="end"/>
        </w:r>
      </w:p>
    </w:sdtContent>
  </w:sdt>
  <w:p w14:paraId="0259307B">
    <w:pPr>
      <w:widowControl/>
      <w:snapToGrid w:val="0"/>
      <w:spacing w:before="60" w:after="160" w:line="14" w:lineRule="auto"/>
      <w:ind w:right="113"/>
      <w:jc w:val="both"/>
      <w:rPr>
        <w:rFonts w:ascii="Times New Roman" w:hAnsi="Times New Roman" w:eastAsia="宋体" w:cs="Times New Roman"/>
        <w:kern w:val="0"/>
        <w:sz w:val="20"/>
        <w:szCs w:val="20"/>
        <w:lang w:val="en-US" w:eastAsia="zh-CN" w:bidi="ar-SA"/>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236F3F2"/>
    <w:multiLevelType w:val="singleLevel"/>
    <w:tmpl w:val="4236F3F2"/>
    <w:lvl w:ilvl="0" w:tentative="0">
      <w:start w:val="4"/>
      <w:numFmt w:val="decimal"/>
      <w:suff w:val="nothing"/>
      <w:lvlText w:val="（%1）"/>
      <w:lvlJc w:val="left"/>
    </w:lvl>
  </w:abstractNum>
  <w:abstractNum w:abstractNumId="1">
    <w:nsid w:val="44C4F5D9"/>
    <w:multiLevelType w:val="singleLevel"/>
    <w:tmpl w:val="44C4F5D9"/>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314179163">
    <w15:presenceInfo w15:providerId="WPS Office" w15:userId="3629533927"/>
  </w15:person>
  <w15:person w15:author="吕娟">
    <w15:presenceInfo w15:providerId="WPS Office" w15:userId="44299972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8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ZkYjcxMGEzNDYyMjc2NTc0MWIzNjEyNWNkMTMxNmEifQ=="/>
  </w:docVars>
  <w:rsids>
    <w:rsidRoot w:val="284D1310"/>
    <w:rsid w:val="00027A1D"/>
    <w:rsid w:val="00082B57"/>
    <w:rsid w:val="001040FF"/>
    <w:rsid w:val="00134407"/>
    <w:rsid w:val="00162192"/>
    <w:rsid w:val="001669D4"/>
    <w:rsid w:val="00173E32"/>
    <w:rsid w:val="001818CC"/>
    <w:rsid w:val="001B36D3"/>
    <w:rsid w:val="002672F7"/>
    <w:rsid w:val="002B40CB"/>
    <w:rsid w:val="00316F35"/>
    <w:rsid w:val="003A41DA"/>
    <w:rsid w:val="003E0133"/>
    <w:rsid w:val="00436D3A"/>
    <w:rsid w:val="00457D93"/>
    <w:rsid w:val="004F18CC"/>
    <w:rsid w:val="00524F25"/>
    <w:rsid w:val="00533A62"/>
    <w:rsid w:val="00587F9F"/>
    <w:rsid w:val="005B4CCA"/>
    <w:rsid w:val="00605F71"/>
    <w:rsid w:val="00647085"/>
    <w:rsid w:val="00680748"/>
    <w:rsid w:val="006B2FD0"/>
    <w:rsid w:val="006D27FB"/>
    <w:rsid w:val="0072445D"/>
    <w:rsid w:val="0076009B"/>
    <w:rsid w:val="00786F7C"/>
    <w:rsid w:val="0079462B"/>
    <w:rsid w:val="00796E9C"/>
    <w:rsid w:val="007C25EF"/>
    <w:rsid w:val="00833B1D"/>
    <w:rsid w:val="008A34A0"/>
    <w:rsid w:val="009178E5"/>
    <w:rsid w:val="00941625"/>
    <w:rsid w:val="00942C8B"/>
    <w:rsid w:val="009A0F70"/>
    <w:rsid w:val="009A6625"/>
    <w:rsid w:val="009C6D7E"/>
    <w:rsid w:val="009C76C8"/>
    <w:rsid w:val="009E1926"/>
    <w:rsid w:val="00A00E0C"/>
    <w:rsid w:val="00A036B1"/>
    <w:rsid w:val="00A156FC"/>
    <w:rsid w:val="00A458E3"/>
    <w:rsid w:val="00A54996"/>
    <w:rsid w:val="00AD6EBD"/>
    <w:rsid w:val="00B51AD5"/>
    <w:rsid w:val="00B616F7"/>
    <w:rsid w:val="00B66188"/>
    <w:rsid w:val="00BC5D22"/>
    <w:rsid w:val="00C52E7C"/>
    <w:rsid w:val="00C746FD"/>
    <w:rsid w:val="00C76A0E"/>
    <w:rsid w:val="00C92EEF"/>
    <w:rsid w:val="00D23DAF"/>
    <w:rsid w:val="00D91954"/>
    <w:rsid w:val="00E14CEF"/>
    <w:rsid w:val="00E2298C"/>
    <w:rsid w:val="00EC245A"/>
    <w:rsid w:val="00EF1399"/>
    <w:rsid w:val="00F27EBE"/>
    <w:rsid w:val="00FD5477"/>
    <w:rsid w:val="012B4701"/>
    <w:rsid w:val="01620E04"/>
    <w:rsid w:val="01664A93"/>
    <w:rsid w:val="01A15AF1"/>
    <w:rsid w:val="01AB5FEA"/>
    <w:rsid w:val="01B508A3"/>
    <w:rsid w:val="01CA3F1A"/>
    <w:rsid w:val="01F040D1"/>
    <w:rsid w:val="02122E87"/>
    <w:rsid w:val="02922DB8"/>
    <w:rsid w:val="02C95F7F"/>
    <w:rsid w:val="03174FAB"/>
    <w:rsid w:val="0347260B"/>
    <w:rsid w:val="03627420"/>
    <w:rsid w:val="036419B5"/>
    <w:rsid w:val="039C2C8B"/>
    <w:rsid w:val="03CB3E47"/>
    <w:rsid w:val="03CD2A0A"/>
    <w:rsid w:val="03CF75C5"/>
    <w:rsid w:val="03D14EC4"/>
    <w:rsid w:val="041675E9"/>
    <w:rsid w:val="0419490E"/>
    <w:rsid w:val="043F6FDE"/>
    <w:rsid w:val="046A6C0D"/>
    <w:rsid w:val="048301A7"/>
    <w:rsid w:val="049802FF"/>
    <w:rsid w:val="04CA0C93"/>
    <w:rsid w:val="04D7405B"/>
    <w:rsid w:val="04FE421E"/>
    <w:rsid w:val="05071D8B"/>
    <w:rsid w:val="050C37E1"/>
    <w:rsid w:val="05191440"/>
    <w:rsid w:val="052B2726"/>
    <w:rsid w:val="052E423D"/>
    <w:rsid w:val="056D52E8"/>
    <w:rsid w:val="05926C4E"/>
    <w:rsid w:val="05A11577"/>
    <w:rsid w:val="05A473F7"/>
    <w:rsid w:val="05B608F8"/>
    <w:rsid w:val="05C1256C"/>
    <w:rsid w:val="05CE622B"/>
    <w:rsid w:val="05FD057B"/>
    <w:rsid w:val="060E76BD"/>
    <w:rsid w:val="062809B5"/>
    <w:rsid w:val="065D0C7F"/>
    <w:rsid w:val="066F04FF"/>
    <w:rsid w:val="06A87034"/>
    <w:rsid w:val="06B933BA"/>
    <w:rsid w:val="06C35F98"/>
    <w:rsid w:val="075C1AB8"/>
    <w:rsid w:val="07A4199C"/>
    <w:rsid w:val="07C12195"/>
    <w:rsid w:val="07DB28A2"/>
    <w:rsid w:val="08321601"/>
    <w:rsid w:val="084421D4"/>
    <w:rsid w:val="08B43D51"/>
    <w:rsid w:val="08CC4A1B"/>
    <w:rsid w:val="090D6477"/>
    <w:rsid w:val="09211426"/>
    <w:rsid w:val="097A6A50"/>
    <w:rsid w:val="099D724E"/>
    <w:rsid w:val="0A207A67"/>
    <w:rsid w:val="0A414364"/>
    <w:rsid w:val="0A5D0AFA"/>
    <w:rsid w:val="0A7D3C41"/>
    <w:rsid w:val="0AD02447"/>
    <w:rsid w:val="0ADA765B"/>
    <w:rsid w:val="0B801CEE"/>
    <w:rsid w:val="0B884882"/>
    <w:rsid w:val="0C023643"/>
    <w:rsid w:val="0C390C68"/>
    <w:rsid w:val="0C666DD2"/>
    <w:rsid w:val="0C9E3D92"/>
    <w:rsid w:val="0CC35315"/>
    <w:rsid w:val="0CDC3640"/>
    <w:rsid w:val="0CE95B9C"/>
    <w:rsid w:val="0D021A71"/>
    <w:rsid w:val="0D2B062A"/>
    <w:rsid w:val="0DA018D9"/>
    <w:rsid w:val="0E0B1B42"/>
    <w:rsid w:val="0E0E73FF"/>
    <w:rsid w:val="0E151A2E"/>
    <w:rsid w:val="0E4C1F50"/>
    <w:rsid w:val="0E816873"/>
    <w:rsid w:val="0E941711"/>
    <w:rsid w:val="0E9D5AAA"/>
    <w:rsid w:val="0ED71A24"/>
    <w:rsid w:val="0EF41B7B"/>
    <w:rsid w:val="0F0C28F0"/>
    <w:rsid w:val="0F2E6E8C"/>
    <w:rsid w:val="0FA47B58"/>
    <w:rsid w:val="0FAE09D7"/>
    <w:rsid w:val="104D1A24"/>
    <w:rsid w:val="10501EC1"/>
    <w:rsid w:val="10797051"/>
    <w:rsid w:val="10967DE9"/>
    <w:rsid w:val="109B7895"/>
    <w:rsid w:val="10A1053B"/>
    <w:rsid w:val="10D2643F"/>
    <w:rsid w:val="10ED552F"/>
    <w:rsid w:val="11401740"/>
    <w:rsid w:val="114809B7"/>
    <w:rsid w:val="114B4F91"/>
    <w:rsid w:val="11641C95"/>
    <w:rsid w:val="119F220B"/>
    <w:rsid w:val="11AD137B"/>
    <w:rsid w:val="11C15A70"/>
    <w:rsid w:val="11C4642B"/>
    <w:rsid w:val="11C64B71"/>
    <w:rsid w:val="11ED4BF2"/>
    <w:rsid w:val="11F91A26"/>
    <w:rsid w:val="12402AA6"/>
    <w:rsid w:val="126424A2"/>
    <w:rsid w:val="12E0049A"/>
    <w:rsid w:val="130D399B"/>
    <w:rsid w:val="13E144DA"/>
    <w:rsid w:val="14027543"/>
    <w:rsid w:val="14104F23"/>
    <w:rsid w:val="142B11F9"/>
    <w:rsid w:val="142F5D8E"/>
    <w:rsid w:val="143D6A60"/>
    <w:rsid w:val="1457163D"/>
    <w:rsid w:val="146B333A"/>
    <w:rsid w:val="146B3840"/>
    <w:rsid w:val="148166BA"/>
    <w:rsid w:val="14B6412C"/>
    <w:rsid w:val="15280DAB"/>
    <w:rsid w:val="15372586"/>
    <w:rsid w:val="153B766B"/>
    <w:rsid w:val="15541D10"/>
    <w:rsid w:val="15562078"/>
    <w:rsid w:val="155F4EA5"/>
    <w:rsid w:val="159C2701"/>
    <w:rsid w:val="15BC3E04"/>
    <w:rsid w:val="15E05662"/>
    <w:rsid w:val="15EE4223"/>
    <w:rsid w:val="15FB538D"/>
    <w:rsid w:val="16374508"/>
    <w:rsid w:val="165806A1"/>
    <w:rsid w:val="168D0A24"/>
    <w:rsid w:val="16CF79D8"/>
    <w:rsid w:val="16EF75DF"/>
    <w:rsid w:val="17215F32"/>
    <w:rsid w:val="17602EFE"/>
    <w:rsid w:val="176B17F6"/>
    <w:rsid w:val="1772678C"/>
    <w:rsid w:val="17904FB7"/>
    <w:rsid w:val="1811125D"/>
    <w:rsid w:val="18185B5C"/>
    <w:rsid w:val="18276928"/>
    <w:rsid w:val="182A5940"/>
    <w:rsid w:val="18351C95"/>
    <w:rsid w:val="1853036D"/>
    <w:rsid w:val="1853433A"/>
    <w:rsid w:val="18621563"/>
    <w:rsid w:val="18657CD2"/>
    <w:rsid w:val="18CB6B32"/>
    <w:rsid w:val="18CF5699"/>
    <w:rsid w:val="18FF4218"/>
    <w:rsid w:val="193370C5"/>
    <w:rsid w:val="19475560"/>
    <w:rsid w:val="198C25EC"/>
    <w:rsid w:val="19A51C84"/>
    <w:rsid w:val="19CF0524"/>
    <w:rsid w:val="1A106DB2"/>
    <w:rsid w:val="1A16534C"/>
    <w:rsid w:val="1A4D57CC"/>
    <w:rsid w:val="1AAF5BCE"/>
    <w:rsid w:val="1AD129CA"/>
    <w:rsid w:val="1AD674A3"/>
    <w:rsid w:val="1AF745BC"/>
    <w:rsid w:val="1B062DCA"/>
    <w:rsid w:val="1B2C2617"/>
    <w:rsid w:val="1B4A5C40"/>
    <w:rsid w:val="1B6B1E72"/>
    <w:rsid w:val="1B716621"/>
    <w:rsid w:val="1B734D8F"/>
    <w:rsid w:val="1B8076CB"/>
    <w:rsid w:val="1BBF326B"/>
    <w:rsid w:val="1BEB5223"/>
    <w:rsid w:val="1C204A0A"/>
    <w:rsid w:val="1C294408"/>
    <w:rsid w:val="1C4E576D"/>
    <w:rsid w:val="1C536091"/>
    <w:rsid w:val="1C7958FA"/>
    <w:rsid w:val="1C7D79C3"/>
    <w:rsid w:val="1CC96E50"/>
    <w:rsid w:val="1D200BF4"/>
    <w:rsid w:val="1D7B26F1"/>
    <w:rsid w:val="1D8D4321"/>
    <w:rsid w:val="1DCA6B2F"/>
    <w:rsid w:val="1E2D340E"/>
    <w:rsid w:val="1E6029A0"/>
    <w:rsid w:val="1E7004A2"/>
    <w:rsid w:val="1E71564D"/>
    <w:rsid w:val="1EED2CD7"/>
    <w:rsid w:val="1F097421"/>
    <w:rsid w:val="1F0A7D21"/>
    <w:rsid w:val="1F0B7BF4"/>
    <w:rsid w:val="1F116502"/>
    <w:rsid w:val="1F2C62A1"/>
    <w:rsid w:val="1F42705F"/>
    <w:rsid w:val="1F481CE3"/>
    <w:rsid w:val="1F754A30"/>
    <w:rsid w:val="1F7E06F1"/>
    <w:rsid w:val="1F80475E"/>
    <w:rsid w:val="1FA96FEC"/>
    <w:rsid w:val="1FB75336"/>
    <w:rsid w:val="1FE56CA6"/>
    <w:rsid w:val="1FE95082"/>
    <w:rsid w:val="1FF37C0E"/>
    <w:rsid w:val="20426622"/>
    <w:rsid w:val="20973927"/>
    <w:rsid w:val="20E7303F"/>
    <w:rsid w:val="210963B5"/>
    <w:rsid w:val="213543C7"/>
    <w:rsid w:val="21506A8F"/>
    <w:rsid w:val="21642FCC"/>
    <w:rsid w:val="21852A44"/>
    <w:rsid w:val="21CB71C6"/>
    <w:rsid w:val="21DE15EF"/>
    <w:rsid w:val="21FB1B96"/>
    <w:rsid w:val="2206781A"/>
    <w:rsid w:val="221B4E63"/>
    <w:rsid w:val="225931D5"/>
    <w:rsid w:val="22687D9A"/>
    <w:rsid w:val="22716C58"/>
    <w:rsid w:val="227664D0"/>
    <w:rsid w:val="228D26CE"/>
    <w:rsid w:val="22D9486D"/>
    <w:rsid w:val="22DF04C0"/>
    <w:rsid w:val="231150AD"/>
    <w:rsid w:val="2351771C"/>
    <w:rsid w:val="235359E2"/>
    <w:rsid w:val="236D661A"/>
    <w:rsid w:val="238258DF"/>
    <w:rsid w:val="23AA56D9"/>
    <w:rsid w:val="23BF146E"/>
    <w:rsid w:val="23C376AC"/>
    <w:rsid w:val="23C40309"/>
    <w:rsid w:val="23CB7FFC"/>
    <w:rsid w:val="23D450F5"/>
    <w:rsid w:val="23D45D14"/>
    <w:rsid w:val="23FC391F"/>
    <w:rsid w:val="24045981"/>
    <w:rsid w:val="24054F1F"/>
    <w:rsid w:val="240B7C96"/>
    <w:rsid w:val="241C1F5B"/>
    <w:rsid w:val="24437EE3"/>
    <w:rsid w:val="24DB5439"/>
    <w:rsid w:val="25072C0B"/>
    <w:rsid w:val="252F7969"/>
    <w:rsid w:val="257F344C"/>
    <w:rsid w:val="25973EC5"/>
    <w:rsid w:val="25F95379"/>
    <w:rsid w:val="262B0321"/>
    <w:rsid w:val="263C4265"/>
    <w:rsid w:val="265B614F"/>
    <w:rsid w:val="265D1D80"/>
    <w:rsid w:val="2661634B"/>
    <w:rsid w:val="26712A32"/>
    <w:rsid w:val="26E03CEE"/>
    <w:rsid w:val="26ED06AA"/>
    <w:rsid w:val="27264721"/>
    <w:rsid w:val="276854B7"/>
    <w:rsid w:val="279369BB"/>
    <w:rsid w:val="27AF2EC9"/>
    <w:rsid w:val="27B06DE9"/>
    <w:rsid w:val="27D02905"/>
    <w:rsid w:val="27E21FE8"/>
    <w:rsid w:val="284D1310"/>
    <w:rsid w:val="287607EB"/>
    <w:rsid w:val="28796405"/>
    <w:rsid w:val="287A36F4"/>
    <w:rsid w:val="288E2696"/>
    <w:rsid w:val="28B95938"/>
    <w:rsid w:val="28C65625"/>
    <w:rsid w:val="28E13981"/>
    <w:rsid w:val="2935269A"/>
    <w:rsid w:val="294A2D9C"/>
    <w:rsid w:val="29504368"/>
    <w:rsid w:val="29624D76"/>
    <w:rsid w:val="296E14AB"/>
    <w:rsid w:val="29981DAF"/>
    <w:rsid w:val="29A80E55"/>
    <w:rsid w:val="29AB7654"/>
    <w:rsid w:val="29CD228E"/>
    <w:rsid w:val="29E40EB4"/>
    <w:rsid w:val="29EE242B"/>
    <w:rsid w:val="2A375BA4"/>
    <w:rsid w:val="2A41096D"/>
    <w:rsid w:val="2A630400"/>
    <w:rsid w:val="2A7E3F7B"/>
    <w:rsid w:val="2A7F67A5"/>
    <w:rsid w:val="2A866E22"/>
    <w:rsid w:val="2AAF0D5A"/>
    <w:rsid w:val="2ADE232C"/>
    <w:rsid w:val="2B366200"/>
    <w:rsid w:val="2B6C14D0"/>
    <w:rsid w:val="2B7B212C"/>
    <w:rsid w:val="2B983DFD"/>
    <w:rsid w:val="2B991C74"/>
    <w:rsid w:val="2BAA5CC3"/>
    <w:rsid w:val="2BB6224C"/>
    <w:rsid w:val="2BC73603"/>
    <w:rsid w:val="2BD736F0"/>
    <w:rsid w:val="2BD96984"/>
    <w:rsid w:val="2BE512DE"/>
    <w:rsid w:val="2BEF27EC"/>
    <w:rsid w:val="2C3A5F72"/>
    <w:rsid w:val="2C435B51"/>
    <w:rsid w:val="2C4C1009"/>
    <w:rsid w:val="2C8928FE"/>
    <w:rsid w:val="2C8F65B8"/>
    <w:rsid w:val="2CA96AC9"/>
    <w:rsid w:val="2CC17B44"/>
    <w:rsid w:val="2D5021C7"/>
    <w:rsid w:val="2D51688B"/>
    <w:rsid w:val="2D6C3BA9"/>
    <w:rsid w:val="2D7C67AC"/>
    <w:rsid w:val="2D811081"/>
    <w:rsid w:val="2D850B71"/>
    <w:rsid w:val="2D8C1034"/>
    <w:rsid w:val="2DC14578"/>
    <w:rsid w:val="2E436748"/>
    <w:rsid w:val="2E662D02"/>
    <w:rsid w:val="2E8966AF"/>
    <w:rsid w:val="2E8C2DB1"/>
    <w:rsid w:val="2EB42CE0"/>
    <w:rsid w:val="2F2553C6"/>
    <w:rsid w:val="2F2F6E34"/>
    <w:rsid w:val="2F78588E"/>
    <w:rsid w:val="2F89460E"/>
    <w:rsid w:val="2FFA1F7A"/>
    <w:rsid w:val="30111680"/>
    <w:rsid w:val="30572E1A"/>
    <w:rsid w:val="30595574"/>
    <w:rsid w:val="307F12C7"/>
    <w:rsid w:val="30B3118A"/>
    <w:rsid w:val="30B654E5"/>
    <w:rsid w:val="30C5030B"/>
    <w:rsid w:val="30CA51AD"/>
    <w:rsid w:val="30D4749C"/>
    <w:rsid w:val="30D8318E"/>
    <w:rsid w:val="30DB1561"/>
    <w:rsid w:val="310877AF"/>
    <w:rsid w:val="310E5321"/>
    <w:rsid w:val="313A1C72"/>
    <w:rsid w:val="31612057"/>
    <w:rsid w:val="31707707"/>
    <w:rsid w:val="317E3A30"/>
    <w:rsid w:val="318F0C0A"/>
    <w:rsid w:val="31AD292B"/>
    <w:rsid w:val="31AE2D62"/>
    <w:rsid w:val="31B409AB"/>
    <w:rsid w:val="31D10829"/>
    <w:rsid w:val="31F723E5"/>
    <w:rsid w:val="320F4EAD"/>
    <w:rsid w:val="3224020C"/>
    <w:rsid w:val="32483A17"/>
    <w:rsid w:val="324E2560"/>
    <w:rsid w:val="325F6D38"/>
    <w:rsid w:val="326E42CA"/>
    <w:rsid w:val="32ED4ABC"/>
    <w:rsid w:val="33523A13"/>
    <w:rsid w:val="338707B7"/>
    <w:rsid w:val="338F0E0F"/>
    <w:rsid w:val="339D3566"/>
    <w:rsid w:val="33BB0958"/>
    <w:rsid w:val="33D2024D"/>
    <w:rsid w:val="340330BE"/>
    <w:rsid w:val="341F0CFF"/>
    <w:rsid w:val="34530FF5"/>
    <w:rsid w:val="34724240"/>
    <w:rsid w:val="34850AF6"/>
    <w:rsid w:val="34B95766"/>
    <w:rsid w:val="34C36754"/>
    <w:rsid w:val="34E06DAB"/>
    <w:rsid w:val="34E1441D"/>
    <w:rsid w:val="34E83B47"/>
    <w:rsid w:val="34E97BA5"/>
    <w:rsid w:val="352275ED"/>
    <w:rsid w:val="35366BF5"/>
    <w:rsid w:val="35691BB1"/>
    <w:rsid w:val="35A068C5"/>
    <w:rsid w:val="35D5640E"/>
    <w:rsid w:val="361C1678"/>
    <w:rsid w:val="366631AA"/>
    <w:rsid w:val="367735B3"/>
    <w:rsid w:val="367B5763"/>
    <w:rsid w:val="367D0F7F"/>
    <w:rsid w:val="367F4E84"/>
    <w:rsid w:val="36BF188C"/>
    <w:rsid w:val="36D9543B"/>
    <w:rsid w:val="36E024F7"/>
    <w:rsid w:val="36FE1C5B"/>
    <w:rsid w:val="372E2982"/>
    <w:rsid w:val="373A6E70"/>
    <w:rsid w:val="37516E26"/>
    <w:rsid w:val="37A67A75"/>
    <w:rsid w:val="37C077B1"/>
    <w:rsid w:val="37E040B4"/>
    <w:rsid w:val="3810372D"/>
    <w:rsid w:val="38192D95"/>
    <w:rsid w:val="383C42BE"/>
    <w:rsid w:val="38482E10"/>
    <w:rsid w:val="38993FF8"/>
    <w:rsid w:val="38A5658F"/>
    <w:rsid w:val="38B55055"/>
    <w:rsid w:val="392B18D8"/>
    <w:rsid w:val="39355B41"/>
    <w:rsid w:val="396B01D9"/>
    <w:rsid w:val="39917CA4"/>
    <w:rsid w:val="39DE552C"/>
    <w:rsid w:val="39F71049"/>
    <w:rsid w:val="39FF17AC"/>
    <w:rsid w:val="3A0F5A8B"/>
    <w:rsid w:val="3A4E1FCC"/>
    <w:rsid w:val="3A5C4A75"/>
    <w:rsid w:val="3A7B3A28"/>
    <w:rsid w:val="3AB815A0"/>
    <w:rsid w:val="3AE45EE7"/>
    <w:rsid w:val="3B9E3A0B"/>
    <w:rsid w:val="3BA11052"/>
    <w:rsid w:val="3BA84BEA"/>
    <w:rsid w:val="3BAB0D0E"/>
    <w:rsid w:val="3BE35687"/>
    <w:rsid w:val="3C4E1B39"/>
    <w:rsid w:val="3C6237FF"/>
    <w:rsid w:val="3C71476C"/>
    <w:rsid w:val="3C9012E0"/>
    <w:rsid w:val="3C9E6655"/>
    <w:rsid w:val="3D5440BC"/>
    <w:rsid w:val="3D6C5AE1"/>
    <w:rsid w:val="3D826E7B"/>
    <w:rsid w:val="3D8A2A9F"/>
    <w:rsid w:val="3D8E3230"/>
    <w:rsid w:val="3D957523"/>
    <w:rsid w:val="3D9D218E"/>
    <w:rsid w:val="3DEB0EC4"/>
    <w:rsid w:val="3E011945"/>
    <w:rsid w:val="3E13765C"/>
    <w:rsid w:val="3E4203B8"/>
    <w:rsid w:val="3E4E3B86"/>
    <w:rsid w:val="3E55633E"/>
    <w:rsid w:val="3E605A2C"/>
    <w:rsid w:val="3E722F39"/>
    <w:rsid w:val="3E9E0431"/>
    <w:rsid w:val="3EBC44F8"/>
    <w:rsid w:val="3EFC327E"/>
    <w:rsid w:val="3F017F08"/>
    <w:rsid w:val="3F353DB1"/>
    <w:rsid w:val="3F4250CD"/>
    <w:rsid w:val="3F5D0E5D"/>
    <w:rsid w:val="3FB672B0"/>
    <w:rsid w:val="40664832"/>
    <w:rsid w:val="408055CA"/>
    <w:rsid w:val="40BF60D2"/>
    <w:rsid w:val="41485E69"/>
    <w:rsid w:val="414C6D49"/>
    <w:rsid w:val="414D59F2"/>
    <w:rsid w:val="416E7E42"/>
    <w:rsid w:val="4199522E"/>
    <w:rsid w:val="419B3797"/>
    <w:rsid w:val="42154762"/>
    <w:rsid w:val="4226054F"/>
    <w:rsid w:val="422917AB"/>
    <w:rsid w:val="42436E81"/>
    <w:rsid w:val="42785FB7"/>
    <w:rsid w:val="427E2307"/>
    <w:rsid w:val="42AD46A7"/>
    <w:rsid w:val="42AF27E7"/>
    <w:rsid w:val="42BD2703"/>
    <w:rsid w:val="42C8107C"/>
    <w:rsid w:val="42E83C24"/>
    <w:rsid w:val="434056F4"/>
    <w:rsid w:val="435F3E6F"/>
    <w:rsid w:val="43795FEC"/>
    <w:rsid w:val="43967503"/>
    <w:rsid w:val="43996CCD"/>
    <w:rsid w:val="43B0256C"/>
    <w:rsid w:val="43F55E79"/>
    <w:rsid w:val="43FD66DD"/>
    <w:rsid w:val="44242E52"/>
    <w:rsid w:val="442D0CCB"/>
    <w:rsid w:val="44384FA7"/>
    <w:rsid w:val="443C0FC2"/>
    <w:rsid w:val="44727E45"/>
    <w:rsid w:val="4487454E"/>
    <w:rsid w:val="44916D5E"/>
    <w:rsid w:val="44CB735A"/>
    <w:rsid w:val="44DA69D9"/>
    <w:rsid w:val="44ED5830"/>
    <w:rsid w:val="450D0D63"/>
    <w:rsid w:val="4517298D"/>
    <w:rsid w:val="451C00AC"/>
    <w:rsid w:val="452223D2"/>
    <w:rsid w:val="453018B3"/>
    <w:rsid w:val="4541346A"/>
    <w:rsid w:val="45426C7C"/>
    <w:rsid w:val="45877724"/>
    <w:rsid w:val="459B0FFB"/>
    <w:rsid w:val="45CD6FB1"/>
    <w:rsid w:val="45EF4384"/>
    <w:rsid w:val="45F742C3"/>
    <w:rsid w:val="4644072F"/>
    <w:rsid w:val="465D3D3B"/>
    <w:rsid w:val="46816A7D"/>
    <w:rsid w:val="470F656B"/>
    <w:rsid w:val="47107AE3"/>
    <w:rsid w:val="472712F5"/>
    <w:rsid w:val="47274FB7"/>
    <w:rsid w:val="47431803"/>
    <w:rsid w:val="475B5241"/>
    <w:rsid w:val="477A347E"/>
    <w:rsid w:val="47953C4F"/>
    <w:rsid w:val="479559FD"/>
    <w:rsid w:val="479D6F97"/>
    <w:rsid w:val="47A3636C"/>
    <w:rsid w:val="47B32C7D"/>
    <w:rsid w:val="47B76565"/>
    <w:rsid w:val="47C017F7"/>
    <w:rsid w:val="47C500E1"/>
    <w:rsid w:val="47D7734F"/>
    <w:rsid w:val="47E30E5E"/>
    <w:rsid w:val="48177BD7"/>
    <w:rsid w:val="48243B68"/>
    <w:rsid w:val="485E1EF3"/>
    <w:rsid w:val="48C60564"/>
    <w:rsid w:val="48F63A36"/>
    <w:rsid w:val="48FD385A"/>
    <w:rsid w:val="49271743"/>
    <w:rsid w:val="494D495D"/>
    <w:rsid w:val="4960564D"/>
    <w:rsid w:val="4976640D"/>
    <w:rsid w:val="499A1E69"/>
    <w:rsid w:val="4A1347B9"/>
    <w:rsid w:val="4A28056F"/>
    <w:rsid w:val="4A392CF5"/>
    <w:rsid w:val="4A4A2ACF"/>
    <w:rsid w:val="4A4C7934"/>
    <w:rsid w:val="4A5406E6"/>
    <w:rsid w:val="4A712840"/>
    <w:rsid w:val="4A7C40E9"/>
    <w:rsid w:val="4A951F8D"/>
    <w:rsid w:val="4AA1491D"/>
    <w:rsid w:val="4AA22C7B"/>
    <w:rsid w:val="4AB033A5"/>
    <w:rsid w:val="4B2477C4"/>
    <w:rsid w:val="4B2E17D6"/>
    <w:rsid w:val="4BC43335"/>
    <w:rsid w:val="4BCA5002"/>
    <w:rsid w:val="4C006656"/>
    <w:rsid w:val="4C0E2AAC"/>
    <w:rsid w:val="4C3B7054"/>
    <w:rsid w:val="4C675BBA"/>
    <w:rsid w:val="4C787CAD"/>
    <w:rsid w:val="4C85183B"/>
    <w:rsid w:val="4CA87A6F"/>
    <w:rsid w:val="4D0E30D5"/>
    <w:rsid w:val="4D254885"/>
    <w:rsid w:val="4D3121D0"/>
    <w:rsid w:val="4D47241F"/>
    <w:rsid w:val="4D950C92"/>
    <w:rsid w:val="4DE202A7"/>
    <w:rsid w:val="4DF01C6D"/>
    <w:rsid w:val="4E020849"/>
    <w:rsid w:val="4E1D6A43"/>
    <w:rsid w:val="4E347066"/>
    <w:rsid w:val="4E740A62"/>
    <w:rsid w:val="4E7D6BB4"/>
    <w:rsid w:val="4EF72E35"/>
    <w:rsid w:val="4EFD0907"/>
    <w:rsid w:val="4F134B35"/>
    <w:rsid w:val="4F146096"/>
    <w:rsid w:val="4F2C392A"/>
    <w:rsid w:val="4F381A8F"/>
    <w:rsid w:val="4FD97A90"/>
    <w:rsid w:val="504306EC"/>
    <w:rsid w:val="506340D8"/>
    <w:rsid w:val="507657A0"/>
    <w:rsid w:val="5086395C"/>
    <w:rsid w:val="508C7CB7"/>
    <w:rsid w:val="50935F15"/>
    <w:rsid w:val="50A11A67"/>
    <w:rsid w:val="50AD223C"/>
    <w:rsid w:val="50C12E9B"/>
    <w:rsid w:val="50C349F1"/>
    <w:rsid w:val="50D8409E"/>
    <w:rsid w:val="50FE2F65"/>
    <w:rsid w:val="510517B5"/>
    <w:rsid w:val="5172503A"/>
    <w:rsid w:val="51C770FB"/>
    <w:rsid w:val="51F07579"/>
    <w:rsid w:val="520B2746"/>
    <w:rsid w:val="524629AC"/>
    <w:rsid w:val="527728CF"/>
    <w:rsid w:val="52815519"/>
    <w:rsid w:val="52B9738E"/>
    <w:rsid w:val="5335133B"/>
    <w:rsid w:val="539337F6"/>
    <w:rsid w:val="53963790"/>
    <w:rsid w:val="53E411AF"/>
    <w:rsid w:val="540A350F"/>
    <w:rsid w:val="54163CFE"/>
    <w:rsid w:val="546136CF"/>
    <w:rsid w:val="54630617"/>
    <w:rsid w:val="546D21DB"/>
    <w:rsid w:val="5488491F"/>
    <w:rsid w:val="549D3B49"/>
    <w:rsid w:val="5549459B"/>
    <w:rsid w:val="55663084"/>
    <w:rsid w:val="55805F3E"/>
    <w:rsid w:val="558F64A1"/>
    <w:rsid w:val="559166EC"/>
    <w:rsid w:val="55A404BE"/>
    <w:rsid w:val="55AD5F54"/>
    <w:rsid w:val="55CE2806"/>
    <w:rsid w:val="55DF0675"/>
    <w:rsid w:val="55FD11BF"/>
    <w:rsid w:val="561F0E91"/>
    <w:rsid w:val="56575746"/>
    <w:rsid w:val="56D46AD8"/>
    <w:rsid w:val="56D5543B"/>
    <w:rsid w:val="56F92D17"/>
    <w:rsid w:val="57007337"/>
    <w:rsid w:val="571A39ED"/>
    <w:rsid w:val="571D4D41"/>
    <w:rsid w:val="572C3772"/>
    <w:rsid w:val="573C6992"/>
    <w:rsid w:val="57A37EFE"/>
    <w:rsid w:val="57AD6E35"/>
    <w:rsid w:val="57BC2AE9"/>
    <w:rsid w:val="57C62E5E"/>
    <w:rsid w:val="57CD23CB"/>
    <w:rsid w:val="57EA02D5"/>
    <w:rsid w:val="57F05BF4"/>
    <w:rsid w:val="58327CB8"/>
    <w:rsid w:val="58413006"/>
    <w:rsid w:val="584D2D67"/>
    <w:rsid w:val="585F17A8"/>
    <w:rsid w:val="58961A24"/>
    <w:rsid w:val="58A75D12"/>
    <w:rsid w:val="58AC6407"/>
    <w:rsid w:val="58DB1AF2"/>
    <w:rsid w:val="59240245"/>
    <w:rsid w:val="59324122"/>
    <w:rsid w:val="599024BF"/>
    <w:rsid w:val="599D630C"/>
    <w:rsid w:val="59D645C0"/>
    <w:rsid w:val="59F82547"/>
    <w:rsid w:val="5A34230E"/>
    <w:rsid w:val="5AB04ED9"/>
    <w:rsid w:val="5B095D72"/>
    <w:rsid w:val="5B180F4C"/>
    <w:rsid w:val="5B8A545C"/>
    <w:rsid w:val="5BC47ADC"/>
    <w:rsid w:val="5BE32D83"/>
    <w:rsid w:val="5C007D8A"/>
    <w:rsid w:val="5C1C61F2"/>
    <w:rsid w:val="5C7D6672"/>
    <w:rsid w:val="5CA7476A"/>
    <w:rsid w:val="5CA9745E"/>
    <w:rsid w:val="5CF76CFE"/>
    <w:rsid w:val="5D063ADA"/>
    <w:rsid w:val="5D0E4822"/>
    <w:rsid w:val="5D1E1EA2"/>
    <w:rsid w:val="5D2C15D3"/>
    <w:rsid w:val="5D676ACE"/>
    <w:rsid w:val="5D7E37D6"/>
    <w:rsid w:val="5D7F4930"/>
    <w:rsid w:val="5D834805"/>
    <w:rsid w:val="5D8B36D2"/>
    <w:rsid w:val="5DB54F57"/>
    <w:rsid w:val="5DFB3478"/>
    <w:rsid w:val="5E095100"/>
    <w:rsid w:val="5E115F06"/>
    <w:rsid w:val="5E582D49"/>
    <w:rsid w:val="5E6006BB"/>
    <w:rsid w:val="5E754B21"/>
    <w:rsid w:val="5EA12469"/>
    <w:rsid w:val="5EB72ABB"/>
    <w:rsid w:val="5EC529C2"/>
    <w:rsid w:val="5F280252"/>
    <w:rsid w:val="5F794F14"/>
    <w:rsid w:val="5F7E05AF"/>
    <w:rsid w:val="5FC541F5"/>
    <w:rsid w:val="5FF009E5"/>
    <w:rsid w:val="60082DB8"/>
    <w:rsid w:val="60A2785D"/>
    <w:rsid w:val="60DA2BA2"/>
    <w:rsid w:val="60DC595C"/>
    <w:rsid w:val="612D325C"/>
    <w:rsid w:val="61466F9E"/>
    <w:rsid w:val="61491F15"/>
    <w:rsid w:val="61A90897"/>
    <w:rsid w:val="61A94D9A"/>
    <w:rsid w:val="620A2317"/>
    <w:rsid w:val="621A0F33"/>
    <w:rsid w:val="62620EA5"/>
    <w:rsid w:val="62776A24"/>
    <w:rsid w:val="62833131"/>
    <w:rsid w:val="62834E32"/>
    <w:rsid w:val="62D358B5"/>
    <w:rsid w:val="62EA2C49"/>
    <w:rsid w:val="6354365C"/>
    <w:rsid w:val="638918DC"/>
    <w:rsid w:val="63962616"/>
    <w:rsid w:val="63D27633"/>
    <w:rsid w:val="63DA4A6C"/>
    <w:rsid w:val="642D5F5A"/>
    <w:rsid w:val="6451494E"/>
    <w:rsid w:val="64BC23C3"/>
    <w:rsid w:val="64DA4B01"/>
    <w:rsid w:val="64E04304"/>
    <w:rsid w:val="651830FD"/>
    <w:rsid w:val="6522491C"/>
    <w:rsid w:val="65273CE0"/>
    <w:rsid w:val="652E1513"/>
    <w:rsid w:val="6539331C"/>
    <w:rsid w:val="657B402C"/>
    <w:rsid w:val="6599774C"/>
    <w:rsid w:val="65A6554D"/>
    <w:rsid w:val="65AE4279"/>
    <w:rsid w:val="65BD63F3"/>
    <w:rsid w:val="65C07C91"/>
    <w:rsid w:val="65D87F55"/>
    <w:rsid w:val="65DA6872"/>
    <w:rsid w:val="66015C9A"/>
    <w:rsid w:val="66171A2D"/>
    <w:rsid w:val="663D12E2"/>
    <w:rsid w:val="66641F77"/>
    <w:rsid w:val="666D48EB"/>
    <w:rsid w:val="66711144"/>
    <w:rsid w:val="66994D7A"/>
    <w:rsid w:val="66A15ECF"/>
    <w:rsid w:val="66B36607"/>
    <w:rsid w:val="66EC3C8D"/>
    <w:rsid w:val="670074C7"/>
    <w:rsid w:val="67444454"/>
    <w:rsid w:val="674B64F5"/>
    <w:rsid w:val="677D4F7F"/>
    <w:rsid w:val="678C2599"/>
    <w:rsid w:val="67923C71"/>
    <w:rsid w:val="67B764A3"/>
    <w:rsid w:val="67CA52D3"/>
    <w:rsid w:val="67F72090"/>
    <w:rsid w:val="681A04AB"/>
    <w:rsid w:val="681C1AF7"/>
    <w:rsid w:val="68212F76"/>
    <w:rsid w:val="68391EB3"/>
    <w:rsid w:val="68980CE1"/>
    <w:rsid w:val="68C41CC1"/>
    <w:rsid w:val="68C66268"/>
    <w:rsid w:val="68F0088D"/>
    <w:rsid w:val="690B56C7"/>
    <w:rsid w:val="69390EA2"/>
    <w:rsid w:val="693966D8"/>
    <w:rsid w:val="693B5FAC"/>
    <w:rsid w:val="693C2665"/>
    <w:rsid w:val="694D0BAF"/>
    <w:rsid w:val="69BD2254"/>
    <w:rsid w:val="69BD2E65"/>
    <w:rsid w:val="6A1F1F7C"/>
    <w:rsid w:val="6A5F05A9"/>
    <w:rsid w:val="6A7B1CF4"/>
    <w:rsid w:val="6A7D0A71"/>
    <w:rsid w:val="6AB53259"/>
    <w:rsid w:val="6AE46224"/>
    <w:rsid w:val="6AFF1A67"/>
    <w:rsid w:val="6B8A7CAF"/>
    <w:rsid w:val="6B9570A0"/>
    <w:rsid w:val="6BAD5936"/>
    <w:rsid w:val="6C6D768A"/>
    <w:rsid w:val="6CA7278A"/>
    <w:rsid w:val="6CF536F4"/>
    <w:rsid w:val="6CFA6536"/>
    <w:rsid w:val="6D10720A"/>
    <w:rsid w:val="6D363197"/>
    <w:rsid w:val="6D365409"/>
    <w:rsid w:val="6D373CF4"/>
    <w:rsid w:val="6D433682"/>
    <w:rsid w:val="6D4713C4"/>
    <w:rsid w:val="6D4F42A6"/>
    <w:rsid w:val="6D676012"/>
    <w:rsid w:val="6DBE0ED5"/>
    <w:rsid w:val="6DC742B3"/>
    <w:rsid w:val="6DDA5AFA"/>
    <w:rsid w:val="6DFA2DEE"/>
    <w:rsid w:val="6E025F61"/>
    <w:rsid w:val="6E096679"/>
    <w:rsid w:val="6E4A555D"/>
    <w:rsid w:val="6E922E50"/>
    <w:rsid w:val="6EA84AA4"/>
    <w:rsid w:val="6ED85FD4"/>
    <w:rsid w:val="6F1D510C"/>
    <w:rsid w:val="6F560D4B"/>
    <w:rsid w:val="6F863CF9"/>
    <w:rsid w:val="6FA15F97"/>
    <w:rsid w:val="6FA66131"/>
    <w:rsid w:val="6FB06634"/>
    <w:rsid w:val="700D7F77"/>
    <w:rsid w:val="701328EA"/>
    <w:rsid w:val="70302B60"/>
    <w:rsid w:val="7039292C"/>
    <w:rsid w:val="707E0514"/>
    <w:rsid w:val="70912956"/>
    <w:rsid w:val="70B0767A"/>
    <w:rsid w:val="70BA3C5B"/>
    <w:rsid w:val="71072983"/>
    <w:rsid w:val="71125910"/>
    <w:rsid w:val="71137F1F"/>
    <w:rsid w:val="711E5C7D"/>
    <w:rsid w:val="71324D55"/>
    <w:rsid w:val="71410424"/>
    <w:rsid w:val="71481A14"/>
    <w:rsid w:val="718755B0"/>
    <w:rsid w:val="71AA0173"/>
    <w:rsid w:val="71DE1BCB"/>
    <w:rsid w:val="72481677"/>
    <w:rsid w:val="726C367A"/>
    <w:rsid w:val="727950DD"/>
    <w:rsid w:val="728024FA"/>
    <w:rsid w:val="72880CDA"/>
    <w:rsid w:val="72933FAE"/>
    <w:rsid w:val="72DB33D1"/>
    <w:rsid w:val="72E956F6"/>
    <w:rsid w:val="72EE408F"/>
    <w:rsid w:val="73136367"/>
    <w:rsid w:val="7326043F"/>
    <w:rsid w:val="734B7A08"/>
    <w:rsid w:val="7377332E"/>
    <w:rsid w:val="73A86934"/>
    <w:rsid w:val="73C44DF0"/>
    <w:rsid w:val="73C52795"/>
    <w:rsid w:val="73E949B6"/>
    <w:rsid w:val="73EF6A79"/>
    <w:rsid w:val="740B4E88"/>
    <w:rsid w:val="745B3C3C"/>
    <w:rsid w:val="74B707E0"/>
    <w:rsid w:val="74BF3F35"/>
    <w:rsid w:val="74CB14B1"/>
    <w:rsid w:val="753832A6"/>
    <w:rsid w:val="754206C3"/>
    <w:rsid w:val="754632E9"/>
    <w:rsid w:val="7577448A"/>
    <w:rsid w:val="757D16FB"/>
    <w:rsid w:val="7585606E"/>
    <w:rsid w:val="75B565DF"/>
    <w:rsid w:val="75B82705"/>
    <w:rsid w:val="760366FA"/>
    <w:rsid w:val="761402B1"/>
    <w:rsid w:val="761621DC"/>
    <w:rsid w:val="763F5172"/>
    <w:rsid w:val="76462181"/>
    <w:rsid w:val="76742AFE"/>
    <w:rsid w:val="76A1185A"/>
    <w:rsid w:val="76A377A5"/>
    <w:rsid w:val="76D40FC1"/>
    <w:rsid w:val="76EA07D5"/>
    <w:rsid w:val="771B4EE0"/>
    <w:rsid w:val="77771F3A"/>
    <w:rsid w:val="77985CA2"/>
    <w:rsid w:val="781529CB"/>
    <w:rsid w:val="7863563F"/>
    <w:rsid w:val="78883A5D"/>
    <w:rsid w:val="789F082B"/>
    <w:rsid w:val="78A12D39"/>
    <w:rsid w:val="78F826E1"/>
    <w:rsid w:val="79050385"/>
    <w:rsid w:val="791304CF"/>
    <w:rsid w:val="791E5050"/>
    <w:rsid w:val="79525D3E"/>
    <w:rsid w:val="798A3FBB"/>
    <w:rsid w:val="79B64624"/>
    <w:rsid w:val="79BF3EF2"/>
    <w:rsid w:val="7A0D32D1"/>
    <w:rsid w:val="7A491A8D"/>
    <w:rsid w:val="7AB3758A"/>
    <w:rsid w:val="7B2368A0"/>
    <w:rsid w:val="7B424483"/>
    <w:rsid w:val="7B4E0D71"/>
    <w:rsid w:val="7B5E4838"/>
    <w:rsid w:val="7B6C120E"/>
    <w:rsid w:val="7B79386B"/>
    <w:rsid w:val="7BCA0DC6"/>
    <w:rsid w:val="7BD21965"/>
    <w:rsid w:val="7BDB744B"/>
    <w:rsid w:val="7BED0733"/>
    <w:rsid w:val="7BF24662"/>
    <w:rsid w:val="7BFA1097"/>
    <w:rsid w:val="7C1B1F45"/>
    <w:rsid w:val="7C765FE8"/>
    <w:rsid w:val="7CA86B03"/>
    <w:rsid w:val="7CD42548"/>
    <w:rsid w:val="7D1D53B5"/>
    <w:rsid w:val="7D3E5C13"/>
    <w:rsid w:val="7D4900BE"/>
    <w:rsid w:val="7D4D5E56"/>
    <w:rsid w:val="7D94511A"/>
    <w:rsid w:val="7E087355"/>
    <w:rsid w:val="7E1C5F55"/>
    <w:rsid w:val="7E25119F"/>
    <w:rsid w:val="7E28585A"/>
    <w:rsid w:val="7E3808B5"/>
    <w:rsid w:val="7E392789"/>
    <w:rsid w:val="7E7D6053"/>
    <w:rsid w:val="7E8A7362"/>
    <w:rsid w:val="7E9D17D1"/>
    <w:rsid w:val="7EC46201"/>
    <w:rsid w:val="7EC80F11"/>
    <w:rsid w:val="7ED11C27"/>
    <w:rsid w:val="7EF56F10"/>
    <w:rsid w:val="7EFF7828"/>
    <w:rsid w:val="7F0A284C"/>
    <w:rsid w:val="7F2D7CEE"/>
    <w:rsid w:val="7F495230"/>
    <w:rsid w:val="7F512BFF"/>
    <w:rsid w:val="7F5B2AAD"/>
    <w:rsid w:val="7F825AC5"/>
    <w:rsid w:val="7F8E4C30"/>
    <w:rsid w:val="7FAA426E"/>
    <w:rsid w:val="7FE568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宋体" w:hAnsi="宋体" w:eastAsiaTheme="minorEastAsia" w:cstheme="minorBidi"/>
      <w:kern w:val="2"/>
      <w:sz w:val="21"/>
      <w:szCs w:val="24"/>
      <w:lang w:val="en-US" w:eastAsia="zh-CN" w:bidi="ar-SA"/>
    </w:rPr>
  </w:style>
  <w:style w:type="paragraph" w:styleId="5">
    <w:name w:val="heading 1"/>
    <w:basedOn w:val="1"/>
    <w:next w:val="1"/>
    <w:qFormat/>
    <w:uiPriority w:val="0"/>
    <w:pPr>
      <w:keepNext/>
      <w:keepLines/>
      <w:outlineLvl w:val="0"/>
    </w:pPr>
    <w:rPr>
      <w:rFonts w:eastAsia="黑体"/>
      <w:b/>
      <w:bCs/>
      <w:kern w:val="44"/>
      <w:sz w:val="30"/>
      <w:szCs w:val="44"/>
    </w:rPr>
  </w:style>
  <w:style w:type="paragraph" w:styleId="6">
    <w:name w:val="heading 2"/>
    <w:basedOn w:val="1"/>
    <w:next w:val="1"/>
    <w:qFormat/>
    <w:uiPriority w:val="0"/>
    <w:pPr>
      <w:keepNext/>
      <w:keepLines/>
      <w:spacing w:before="260" w:after="260" w:line="416" w:lineRule="auto"/>
      <w:outlineLvl w:val="1"/>
    </w:pPr>
    <w:rPr>
      <w:rFonts w:ascii="Cambria" w:hAnsi="Cambria" w:eastAsia="宋体" w:cs="Times New Roman"/>
      <w:b/>
      <w:bCs/>
      <w:sz w:val="32"/>
      <w:szCs w:val="32"/>
    </w:rPr>
  </w:style>
  <w:style w:type="paragraph" w:styleId="7">
    <w:name w:val="heading 3"/>
    <w:basedOn w:val="1"/>
    <w:next w:val="1"/>
    <w:qFormat/>
    <w:uiPriority w:val="0"/>
    <w:pPr>
      <w:keepNext/>
      <w:keepLines/>
      <w:spacing w:before="260" w:after="260" w:line="416" w:lineRule="auto"/>
      <w:outlineLvl w:val="2"/>
    </w:pPr>
    <w:rPr>
      <w:b/>
      <w:bCs/>
      <w:sz w:val="32"/>
      <w:szCs w:val="32"/>
    </w:rPr>
  </w:style>
  <w:style w:type="paragraph" w:styleId="8">
    <w:name w:val="heading 4"/>
    <w:basedOn w:val="1"/>
    <w:next w:val="1"/>
    <w:qFormat/>
    <w:uiPriority w:val="0"/>
    <w:pPr>
      <w:keepNext/>
      <w:outlineLvl w:val="3"/>
    </w:pPr>
    <w:rPr>
      <w:rFonts w:ascii="Times New Roman" w:hAnsi="Times New Roman"/>
      <w:b/>
      <w:bCs/>
      <w:sz w:val="24"/>
      <w:szCs w:val="20"/>
    </w:rPr>
  </w:style>
  <w:style w:type="character" w:default="1" w:styleId="28">
    <w:name w:val="Default Paragraph Font"/>
    <w:semiHidden/>
    <w:unhideWhenUsed/>
    <w:qFormat/>
    <w:uiPriority w:val="1"/>
  </w:style>
  <w:style w:type="table" w:default="1" w:styleId="2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Indent 2"/>
    <w:basedOn w:val="1"/>
    <w:next w:val="3"/>
    <w:qFormat/>
    <w:uiPriority w:val="0"/>
    <w:pPr>
      <w:spacing w:line="540" w:lineRule="exact"/>
      <w:ind w:firstLine="480" w:firstLineChars="200"/>
    </w:pPr>
    <w:rPr>
      <w:sz w:val="24"/>
    </w:rPr>
  </w:style>
  <w:style w:type="paragraph" w:styleId="3">
    <w:name w:val="Body Text First Indent"/>
    <w:basedOn w:val="4"/>
    <w:next w:val="1"/>
    <w:qFormat/>
    <w:uiPriority w:val="0"/>
    <w:pPr>
      <w:spacing w:after="120"/>
      <w:ind w:firstLine="420" w:firstLineChars="100"/>
      <w:jc w:val="both"/>
    </w:pPr>
    <w:rPr>
      <w:sz w:val="21"/>
    </w:rPr>
  </w:style>
  <w:style w:type="paragraph" w:styleId="4">
    <w:name w:val="Body Text"/>
    <w:basedOn w:val="1"/>
    <w:next w:val="1"/>
    <w:qFormat/>
    <w:uiPriority w:val="0"/>
    <w:pPr>
      <w:jc w:val="left"/>
    </w:pPr>
    <w:rPr>
      <w:sz w:val="24"/>
    </w:rPr>
  </w:style>
  <w:style w:type="paragraph" w:styleId="9">
    <w:name w:val="Normal Indent"/>
    <w:basedOn w:val="1"/>
    <w:next w:val="10"/>
    <w:qFormat/>
    <w:uiPriority w:val="0"/>
    <w:pPr>
      <w:ind w:firstLine="420" w:firstLineChars="200"/>
    </w:pPr>
  </w:style>
  <w:style w:type="paragraph" w:styleId="10">
    <w:name w:val="Body Text First Indent 2"/>
    <w:basedOn w:val="11"/>
    <w:next w:val="1"/>
    <w:qFormat/>
    <w:uiPriority w:val="0"/>
    <w:pPr>
      <w:widowControl w:val="0"/>
      <w:spacing w:after="120" w:afterLines="0"/>
      <w:ind w:left="420" w:firstLine="420" w:firstLineChars="200"/>
      <w:jc w:val="both"/>
    </w:pPr>
    <w:rPr>
      <w:rFonts w:ascii="Times New Roman" w:hAnsi="Times New Roman"/>
      <w:kern w:val="2"/>
      <w:sz w:val="21"/>
      <w:szCs w:val="20"/>
      <w:lang w:eastAsia="zh-CN" w:bidi="ar-SA"/>
    </w:rPr>
  </w:style>
  <w:style w:type="paragraph" w:styleId="11">
    <w:name w:val="Body Text Indent"/>
    <w:basedOn w:val="1"/>
    <w:next w:val="1"/>
    <w:qFormat/>
    <w:uiPriority w:val="0"/>
    <w:pPr>
      <w:widowControl/>
      <w:spacing w:after="312" w:afterLines="100"/>
      <w:ind w:left="200" w:leftChars="200"/>
      <w:jc w:val="left"/>
    </w:pPr>
    <w:rPr>
      <w:rFonts w:ascii="Calibri" w:hAnsi="Calibri"/>
      <w:kern w:val="0"/>
      <w:sz w:val="24"/>
      <w:szCs w:val="22"/>
      <w:lang w:eastAsia="en-US" w:bidi="en-US"/>
    </w:rPr>
  </w:style>
  <w:style w:type="paragraph" w:styleId="12">
    <w:name w:val="caption"/>
    <w:basedOn w:val="1"/>
    <w:next w:val="1"/>
    <w:qFormat/>
    <w:uiPriority w:val="0"/>
    <w:pPr>
      <w:spacing w:beforeLines="50" w:line="360" w:lineRule="auto"/>
      <w:jc w:val="center"/>
    </w:pPr>
    <w:rPr>
      <w:rFonts w:cs="Arial"/>
      <w:b/>
      <w:szCs w:val="20"/>
    </w:rPr>
  </w:style>
  <w:style w:type="paragraph" w:styleId="13">
    <w:name w:val="annotation text"/>
    <w:basedOn w:val="1"/>
    <w:link w:val="87"/>
    <w:qFormat/>
    <w:uiPriority w:val="0"/>
    <w:pPr>
      <w:jc w:val="left"/>
    </w:pPr>
  </w:style>
  <w:style w:type="paragraph" w:styleId="14">
    <w:name w:val="Block Text"/>
    <w:basedOn w:val="1"/>
    <w:qFormat/>
    <w:uiPriority w:val="0"/>
    <w:pPr>
      <w:spacing w:before="100" w:line="360" w:lineRule="auto"/>
      <w:ind w:left="104" w:right="111" w:rightChars="53" w:firstLine="582" w:firstLineChars="208"/>
    </w:pPr>
    <w:rPr>
      <w:rFonts w:eastAsia="楷体_GB2312"/>
      <w:sz w:val="28"/>
    </w:rPr>
  </w:style>
  <w:style w:type="paragraph" w:styleId="15">
    <w:name w:val="Plain Text"/>
    <w:basedOn w:val="1"/>
    <w:qFormat/>
    <w:uiPriority w:val="0"/>
    <w:rPr>
      <w:rFonts w:ascii="宋体" w:hAnsi="Courier New"/>
    </w:rPr>
  </w:style>
  <w:style w:type="paragraph" w:styleId="16">
    <w:name w:val="List Bullet 5"/>
    <w:basedOn w:val="1"/>
    <w:qFormat/>
    <w:uiPriority w:val="0"/>
    <w:pPr>
      <w:numPr>
        <w:ilvl w:val="0"/>
        <w:numId w:val="1"/>
      </w:numPr>
    </w:pPr>
  </w:style>
  <w:style w:type="paragraph" w:styleId="17">
    <w:name w:val="endnote text"/>
    <w:basedOn w:val="1"/>
    <w:qFormat/>
    <w:uiPriority w:val="0"/>
    <w:pPr>
      <w:snapToGrid w:val="0"/>
      <w:jc w:val="left"/>
    </w:pPr>
  </w:style>
  <w:style w:type="paragraph" w:styleId="18">
    <w:name w:val="Balloon Text"/>
    <w:basedOn w:val="1"/>
    <w:link w:val="89"/>
    <w:qFormat/>
    <w:uiPriority w:val="0"/>
    <w:rPr>
      <w:sz w:val="18"/>
      <w:szCs w:val="18"/>
    </w:rPr>
  </w:style>
  <w:style w:type="paragraph" w:styleId="19">
    <w:name w:val="footer"/>
    <w:basedOn w:val="1"/>
    <w:link w:val="53"/>
    <w:qFormat/>
    <w:uiPriority w:val="0"/>
    <w:pPr>
      <w:tabs>
        <w:tab w:val="center" w:pos="4153"/>
        <w:tab w:val="right" w:pos="8306"/>
      </w:tabs>
      <w:snapToGrid w:val="0"/>
      <w:jc w:val="left"/>
    </w:pPr>
    <w:rPr>
      <w:sz w:val="18"/>
    </w:rPr>
  </w:style>
  <w:style w:type="paragraph" w:styleId="2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1">
    <w:name w:val="List"/>
    <w:basedOn w:val="1"/>
    <w:qFormat/>
    <w:uiPriority w:val="0"/>
    <w:pPr>
      <w:jc w:val="center"/>
    </w:pPr>
    <w:rPr>
      <w:rFonts w:ascii="宋体" w:hAnsi="宋体"/>
      <w:spacing w:val="8"/>
    </w:rPr>
  </w:style>
  <w:style w:type="paragraph" w:styleId="22">
    <w:name w:val="Body Text Indent 3"/>
    <w:basedOn w:val="1"/>
    <w:qFormat/>
    <w:uiPriority w:val="0"/>
    <w:pPr>
      <w:spacing w:line="360" w:lineRule="auto"/>
      <w:ind w:firstLine="480" w:firstLineChars="200"/>
      <w:jc w:val="left"/>
    </w:pPr>
    <w:rPr>
      <w:rFonts w:ascii="宋体"/>
      <w:sz w:val="24"/>
    </w:rPr>
  </w:style>
  <w:style w:type="paragraph" w:styleId="23">
    <w:name w:val="toc 2"/>
    <w:basedOn w:val="1"/>
    <w:next w:val="1"/>
    <w:semiHidden/>
    <w:qFormat/>
    <w:uiPriority w:val="0"/>
    <w:pPr>
      <w:ind w:left="420" w:leftChars="200"/>
    </w:pPr>
  </w:style>
  <w:style w:type="paragraph" w:styleId="24">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5">
    <w:name w:val="annotation subject"/>
    <w:basedOn w:val="13"/>
    <w:next w:val="13"/>
    <w:link w:val="88"/>
    <w:qFormat/>
    <w:uiPriority w:val="0"/>
    <w:rPr>
      <w:b/>
      <w:bCs/>
    </w:rPr>
  </w:style>
  <w:style w:type="table" w:styleId="27">
    <w:name w:val="Table Grid"/>
    <w:basedOn w:val="26"/>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lang w:val="en-US" w:eastAsia="zh-C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29">
    <w:name w:val="page number"/>
    <w:basedOn w:val="28"/>
    <w:qFormat/>
    <w:uiPriority w:val="0"/>
  </w:style>
  <w:style w:type="character" w:styleId="30">
    <w:name w:val="Hyperlink"/>
    <w:basedOn w:val="28"/>
    <w:qFormat/>
    <w:uiPriority w:val="0"/>
    <w:rPr>
      <w:color w:val="0000FF"/>
      <w:u w:val="single"/>
    </w:rPr>
  </w:style>
  <w:style w:type="character" w:styleId="31">
    <w:name w:val="annotation reference"/>
    <w:basedOn w:val="28"/>
    <w:qFormat/>
    <w:uiPriority w:val="0"/>
    <w:rPr>
      <w:sz w:val="21"/>
      <w:szCs w:val="21"/>
    </w:rPr>
  </w:style>
  <w:style w:type="paragraph" w:customStyle="1" w:styleId="32">
    <w:name w:val="Default"/>
    <w:basedOn w:val="33"/>
    <w:qFormat/>
    <w:uiPriority w:val="0"/>
    <w:pPr>
      <w:autoSpaceDE w:val="0"/>
      <w:autoSpaceDN w:val="0"/>
      <w:adjustRightInd w:val="0"/>
    </w:pPr>
    <w:rPr>
      <w:rFonts w:ascii="宋体" w:hAnsi="Times New Roman" w:eastAsia="宋体"/>
      <w:sz w:val="24"/>
    </w:rPr>
  </w:style>
  <w:style w:type="paragraph" w:customStyle="1" w:styleId="33">
    <w:name w:val="批注文字1"/>
    <w:qFormat/>
    <w:uiPriority w:val="0"/>
    <w:pPr>
      <w:widowControl w:val="0"/>
    </w:pPr>
    <w:rPr>
      <w:rFonts w:ascii="Calibri" w:hAnsi="Calibri" w:eastAsia="Calibri" w:cs="Times New Roman"/>
      <w:color w:val="000000"/>
      <w:kern w:val="2"/>
      <w:sz w:val="21"/>
      <w:szCs w:val="24"/>
      <w:lang w:val="en-US" w:eastAsia="zh-CN" w:bidi="ar-SA"/>
    </w:rPr>
  </w:style>
  <w:style w:type="paragraph" w:customStyle="1" w:styleId="34">
    <w:name w:val="标题 段落4级"/>
    <w:basedOn w:val="35"/>
    <w:next w:val="13"/>
    <w:qFormat/>
    <w:uiPriority w:val="0"/>
    <w:pPr>
      <w:outlineLvl w:val="3"/>
    </w:pPr>
    <w:rPr>
      <w:rFonts w:cs="Calibri"/>
      <w:b/>
    </w:rPr>
  </w:style>
  <w:style w:type="paragraph" w:customStyle="1" w:styleId="35">
    <w:name w:val="正文 文本"/>
    <w:qFormat/>
    <w:uiPriority w:val="0"/>
    <w:pPr>
      <w:widowControl w:val="0"/>
      <w:snapToGrid w:val="0"/>
      <w:spacing w:line="500" w:lineRule="exact"/>
      <w:ind w:firstLine="200" w:firstLineChars="200"/>
      <w:jc w:val="both"/>
    </w:pPr>
    <w:rPr>
      <w:rFonts w:ascii="Times New Roman" w:hAnsi="Times New Roman" w:eastAsia="仿宋_GB2312" w:cs="Times New Roman"/>
      <w:kern w:val="2"/>
      <w:sz w:val="28"/>
      <w:szCs w:val="24"/>
      <w:lang w:val="en-US" w:eastAsia="zh-CN" w:bidi="ar-SA"/>
    </w:rPr>
  </w:style>
  <w:style w:type="paragraph" w:customStyle="1" w:styleId="36">
    <w:name w:val="纯文本1"/>
    <w:basedOn w:val="1"/>
    <w:qFormat/>
    <w:uiPriority w:val="0"/>
    <w:rPr>
      <w:rFonts w:ascii="宋体" w:hAnsi="Courier New"/>
      <w:b/>
      <w:sz w:val="24"/>
      <w:szCs w:val="24"/>
    </w:rPr>
  </w:style>
  <w:style w:type="paragraph" w:customStyle="1" w:styleId="37">
    <w:name w:val="样式 正文文本缩进 + 行距: 1.5 倍行距"/>
    <w:basedOn w:val="1"/>
    <w:qFormat/>
    <w:uiPriority w:val="0"/>
    <w:pPr>
      <w:spacing w:after="120" w:line="360" w:lineRule="auto"/>
      <w:ind w:left="90" w:leftChars="32" w:firstLine="560"/>
    </w:pPr>
    <w:rPr>
      <w:rFonts w:cs="宋体"/>
    </w:rPr>
  </w:style>
  <w:style w:type="paragraph" w:customStyle="1" w:styleId="38">
    <w:name w:val="[1]正文"/>
    <w:basedOn w:val="1"/>
    <w:qFormat/>
    <w:uiPriority w:val="0"/>
    <w:pPr>
      <w:widowControl/>
      <w:snapToGrid w:val="0"/>
      <w:spacing w:line="360" w:lineRule="auto"/>
      <w:ind w:firstLine="200" w:firstLineChars="200"/>
      <w:jc w:val="left"/>
    </w:pPr>
    <w:rPr>
      <w:rFonts w:ascii="Calibri" w:hAnsi="Calibri"/>
      <w:kern w:val="0"/>
      <w:sz w:val="24"/>
      <w:szCs w:val="28"/>
    </w:rPr>
  </w:style>
  <w:style w:type="paragraph" w:customStyle="1" w:styleId="39">
    <w:name w:val="表格"/>
    <w:basedOn w:val="40"/>
    <w:next w:val="1"/>
    <w:qFormat/>
    <w:uiPriority w:val="0"/>
    <w:pPr>
      <w:tabs>
        <w:tab w:val="center" w:pos="4153"/>
        <w:tab w:val="right" w:pos="8306"/>
      </w:tabs>
      <w:jc w:val="center"/>
    </w:pPr>
    <w:rPr>
      <w:rFonts w:ascii="Times New Roman"/>
    </w:rPr>
  </w:style>
  <w:style w:type="paragraph" w:customStyle="1" w:styleId="40">
    <w:name w:val="表格文字"/>
    <w:basedOn w:val="41"/>
    <w:next w:val="4"/>
    <w:qFormat/>
    <w:uiPriority w:val="0"/>
    <w:pPr>
      <w:tabs>
        <w:tab w:val="center" w:pos="4153"/>
        <w:tab w:val="right" w:pos="8306"/>
      </w:tabs>
    </w:pPr>
    <w:rPr>
      <w:rFonts w:hAnsi="Times New Roman"/>
      <w:sz w:val="24"/>
    </w:rPr>
  </w:style>
  <w:style w:type="paragraph" w:customStyle="1" w:styleId="41">
    <w:name w:val="正文1"/>
    <w:basedOn w:val="32"/>
    <w:next w:val="1"/>
    <w:qFormat/>
    <w:uiPriority w:val="0"/>
    <w:pPr>
      <w:tabs>
        <w:tab w:val="center" w:pos="4153"/>
        <w:tab w:val="right" w:pos="8306"/>
      </w:tabs>
      <w:spacing w:line="420" w:lineRule="atLeast"/>
      <w:jc w:val="both"/>
      <w:textAlignment w:val="baseline"/>
    </w:pPr>
    <w:rPr>
      <w:rFonts w:hAnsi="Calibri"/>
      <w:sz w:val="28"/>
    </w:rPr>
  </w:style>
  <w:style w:type="character" w:customStyle="1" w:styleId="42">
    <w:name w:val="font11"/>
    <w:basedOn w:val="28"/>
    <w:qFormat/>
    <w:uiPriority w:val="0"/>
    <w:rPr>
      <w:rFonts w:hint="default" w:ascii="Times New Roman" w:hAnsi="Times New Roman" w:cs="Times New Roman"/>
      <w:color w:val="000000"/>
      <w:sz w:val="20"/>
      <w:u w:val="none"/>
    </w:rPr>
  </w:style>
  <w:style w:type="paragraph" w:customStyle="1" w:styleId="43">
    <w:name w:val="正文11"/>
    <w:basedOn w:val="1"/>
    <w:qFormat/>
    <w:uiPriority w:val="0"/>
    <w:pPr>
      <w:tabs>
        <w:tab w:val="left" w:pos="2093"/>
      </w:tabs>
      <w:adjustRightInd w:val="0"/>
      <w:spacing w:line="360" w:lineRule="auto"/>
      <w:ind w:firstLine="360" w:firstLineChars="150"/>
    </w:pPr>
    <w:rPr>
      <w:rFonts w:ascii="宋体" w:hAnsi="宋体"/>
      <w:sz w:val="24"/>
    </w:rPr>
  </w:style>
  <w:style w:type="paragraph" w:customStyle="1" w:styleId="44">
    <w:name w:val="Table Paragraph"/>
    <w:basedOn w:val="1"/>
    <w:qFormat/>
    <w:uiPriority w:val="1"/>
  </w:style>
  <w:style w:type="paragraph" w:customStyle="1" w:styleId="45">
    <w:name w:val="样式5"/>
    <w:basedOn w:val="41"/>
    <w:qFormat/>
    <w:uiPriority w:val="0"/>
    <w:pPr>
      <w:spacing w:line="360" w:lineRule="auto"/>
      <w:ind w:firstLine="510"/>
    </w:pPr>
    <w:rPr>
      <w:rFonts w:hAnsi="宋体" w:cs="宋体"/>
      <w:sz w:val="24"/>
    </w:rPr>
  </w:style>
  <w:style w:type="paragraph" w:customStyle="1" w:styleId="46">
    <w:name w:val="正文—高"/>
    <w:basedOn w:val="1"/>
    <w:qFormat/>
    <w:uiPriority w:val="0"/>
    <w:pPr>
      <w:overflowPunct w:val="0"/>
      <w:topLinePunct/>
      <w:autoSpaceDE w:val="0"/>
      <w:autoSpaceDN w:val="0"/>
      <w:spacing w:line="480" w:lineRule="exact"/>
      <w:ind w:firstLine="480" w:firstLineChars="200"/>
    </w:pPr>
    <w:rPr>
      <w:rFonts w:ascii="Calibri" w:hAnsi="Calibri"/>
      <w:color w:val="000000"/>
      <w:kern w:val="24"/>
      <w:sz w:val="24"/>
      <w:szCs w:val="22"/>
    </w:rPr>
  </w:style>
  <w:style w:type="paragraph" w:customStyle="1" w:styleId="47">
    <w:name w:val="列表(L)"/>
    <w:basedOn w:val="21"/>
    <w:qFormat/>
    <w:uiPriority w:val="0"/>
    <w:pPr>
      <w:snapToGrid w:val="0"/>
    </w:pPr>
    <w:rPr>
      <w:rFonts w:eastAsia="仿宋_GB2312"/>
      <w:kern w:val="0"/>
      <w:sz w:val="20"/>
      <w:szCs w:val="20"/>
    </w:rPr>
  </w:style>
  <w:style w:type="paragraph" w:customStyle="1" w:styleId="48">
    <w:name w:val="表格标题w"/>
    <w:basedOn w:val="1"/>
    <w:qFormat/>
    <w:uiPriority w:val="0"/>
    <w:pPr>
      <w:keepNext/>
      <w:adjustRightInd w:val="0"/>
      <w:spacing w:line="440" w:lineRule="exact"/>
      <w:jc w:val="center"/>
    </w:pPr>
    <w:rPr>
      <w:rFonts w:cs="Arial"/>
      <w:b/>
      <w:szCs w:val="21"/>
    </w:rPr>
  </w:style>
  <w:style w:type="paragraph" w:customStyle="1" w:styleId="49">
    <w:name w:val="报告正文"/>
    <w:basedOn w:val="1"/>
    <w:qFormat/>
    <w:uiPriority w:val="0"/>
    <w:pPr>
      <w:spacing w:line="360" w:lineRule="auto"/>
      <w:ind w:firstLine="480" w:firstLineChars="200"/>
    </w:pPr>
    <w:rPr>
      <w:sz w:val="24"/>
    </w:rPr>
  </w:style>
  <w:style w:type="paragraph" w:customStyle="1" w:styleId="50">
    <w:name w:val="HP 正文"/>
    <w:basedOn w:val="1"/>
    <w:qFormat/>
    <w:uiPriority w:val="0"/>
    <w:pPr>
      <w:autoSpaceDE w:val="0"/>
      <w:autoSpaceDN w:val="0"/>
      <w:adjustRightInd w:val="0"/>
      <w:ind w:firstLine="200"/>
    </w:pPr>
  </w:style>
  <w:style w:type="paragraph" w:customStyle="1" w:styleId="51">
    <w:name w:val="ENFI表体格式"/>
    <w:basedOn w:val="1"/>
    <w:qFormat/>
    <w:uiPriority w:val="0"/>
    <w:pPr>
      <w:widowControl/>
      <w:adjustRightInd w:val="0"/>
      <w:snapToGrid w:val="0"/>
      <w:spacing w:line="240" w:lineRule="atLeast"/>
      <w:jc w:val="center"/>
    </w:pPr>
    <w:rPr>
      <w:rFonts w:eastAsia="仿宋_GB2312"/>
      <w:b/>
      <w:kern w:val="0"/>
      <w:sz w:val="24"/>
    </w:rPr>
  </w:style>
  <w:style w:type="paragraph" w:customStyle="1" w:styleId="52">
    <w:name w:val="报告表正文"/>
    <w:basedOn w:val="2"/>
    <w:next w:val="2"/>
    <w:qFormat/>
    <w:uiPriority w:val="0"/>
    <w:pPr>
      <w:spacing w:line="360" w:lineRule="auto"/>
      <w:ind w:firstLine="200"/>
    </w:pPr>
  </w:style>
  <w:style w:type="character" w:customStyle="1" w:styleId="53">
    <w:name w:val="页脚 字符"/>
    <w:basedOn w:val="28"/>
    <w:link w:val="19"/>
    <w:qFormat/>
    <w:uiPriority w:val="0"/>
    <w:rPr>
      <w:rFonts w:hint="default" w:ascii="Calibri" w:hAnsi="Calibri" w:eastAsia="宋体" w:cs="Times New Roman"/>
      <w:kern w:val="2"/>
      <w:sz w:val="18"/>
      <w:szCs w:val="18"/>
    </w:rPr>
  </w:style>
  <w:style w:type="paragraph" w:customStyle="1" w:styleId="54">
    <w:name w:val="TIE-表格内2级标题"/>
    <w:basedOn w:val="1"/>
    <w:qFormat/>
    <w:uiPriority w:val="0"/>
    <w:pPr>
      <w:wordWrap w:val="0"/>
      <w:topLinePunct/>
      <w:jc w:val="left"/>
    </w:pPr>
    <w:rPr>
      <w:rFonts w:eastAsia="Times New Roman"/>
      <w:b/>
    </w:rPr>
  </w:style>
  <w:style w:type="paragraph" w:customStyle="1" w:styleId="55">
    <w:name w:val="TIE，表头，图头"/>
    <w:basedOn w:val="1"/>
    <w:qFormat/>
    <w:uiPriority w:val="0"/>
    <w:pPr>
      <w:jc w:val="center"/>
    </w:pPr>
    <w:rPr>
      <w:rFonts w:eastAsia="Times New Roman"/>
      <w:b/>
    </w:rPr>
  </w:style>
  <w:style w:type="paragraph" w:customStyle="1" w:styleId="56">
    <w:name w:val="TIE-表格内容"/>
    <w:basedOn w:val="1"/>
    <w:qFormat/>
    <w:uiPriority w:val="0"/>
    <w:pPr>
      <w:overflowPunct w:val="0"/>
      <w:topLinePunct/>
      <w:spacing w:line="360" w:lineRule="exact"/>
      <w:jc w:val="center"/>
      <w:textAlignment w:val="center"/>
    </w:pPr>
    <w:rPr>
      <w:szCs w:val="22"/>
    </w:rPr>
  </w:style>
  <w:style w:type="character" w:customStyle="1" w:styleId="57">
    <w:name w:val="文章正文 Char Char"/>
    <w:qFormat/>
    <w:uiPriority w:val="0"/>
    <w:rPr>
      <w:kern w:val="0"/>
      <w:sz w:val="24"/>
    </w:rPr>
  </w:style>
  <w:style w:type="paragraph" w:customStyle="1" w:styleId="58">
    <w:name w:val="样式 正文缩进正文缩进2正文缩进 Char Char正文缩进 Char Char Char Char正文缩进 Char ..."/>
    <w:basedOn w:val="9"/>
    <w:qFormat/>
    <w:uiPriority w:val="0"/>
    <w:pPr>
      <w:spacing w:line="360" w:lineRule="auto"/>
      <w:ind w:firstLine="200"/>
    </w:pPr>
    <w:rPr>
      <w:rFonts w:cs="宋体"/>
      <w:sz w:val="24"/>
    </w:rPr>
  </w:style>
  <w:style w:type="paragraph" w:customStyle="1" w:styleId="59">
    <w:name w:val="正文w"/>
    <w:basedOn w:val="1"/>
    <w:qFormat/>
    <w:uiPriority w:val="0"/>
    <w:pPr>
      <w:spacing w:before="156" w:beforeLines="50" w:line="440" w:lineRule="exact"/>
      <w:ind w:firstLine="200" w:firstLineChars="200"/>
    </w:pPr>
    <w:rPr>
      <w:rFonts w:ascii="Arial" w:hAnsi="Arial"/>
      <w:sz w:val="24"/>
    </w:rPr>
  </w:style>
  <w:style w:type="paragraph" w:customStyle="1" w:styleId="60">
    <w:name w:val="报告表样式"/>
    <w:basedOn w:val="1"/>
    <w:qFormat/>
    <w:uiPriority w:val="0"/>
    <w:pPr>
      <w:adjustRightInd w:val="0"/>
      <w:snapToGrid w:val="0"/>
      <w:spacing w:line="360" w:lineRule="auto"/>
      <w:ind w:firstLine="200" w:firstLineChars="200"/>
    </w:pPr>
    <w:rPr>
      <w:kern w:val="0"/>
      <w:sz w:val="28"/>
      <w:szCs w:val="28"/>
    </w:rPr>
  </w:style>
  <w:style w:type="paragraph" w:customStyle="1" w:styleId="61">
    <w:name w:val="表"/>
    <w:basedOn w:val="1"/>
    <w:qFormat/>
    <w:uiPriority w:val="0"/>
    <w:pPr>
      <w:snapToGrid w:val="0"/>
      <w:jc w:val="center"/>
    </w:pPr>
    <w:rPr>
      <w:spacing w:val="2"/>
    </w:rPr>
  </w:style>
  <w:style w:type="paragraph" w:customStyle="1" w:styleId="62">
    <w:name w:val="正式表格"/>
    <w:basedOn w:val="1"/>
    <w:qFormat/>
    <w:uiPriority w:val="0"/>
    <w:pPr>
      <w:widowControl/>
      <w:contextualSpacing/>
      <w:jc w:val="center"/>
    </w:pPr>
    <w:rPr>
      <w:bCs/>
      <w:color w:val="000000"/>
      <w:kern w:val="0"/>
      <w:sz w:val="20"/>
      <w:szCs w:val="28"/>
    </w:rPr>
  </w:style>
  <w:style w:type="paragraph" w:customStyle="1" w:styleId="63">
    <w:name w:val="ALT+C"/>
    <w:basedOn w:val="1"/>
    <w:qFormat/>
    <w:uiPriority w:val="0"/>
    <w:pPr>
      <w:keepNext/>
      <w:spacing w:line="360" w:lineRule="auto"/>
      <w:ind w:firstLine="480" w:firstLineChars="200"/>
    </w:pPr>
    <w:rPr>
      <w:sz w:val="24"/>
    </w:rPr>
  </w:style>
  <w:style w:type="paragraph" w:customStyle="1" w:styleId="64">
    <w:name w:val="表文字xxxxxxxx"/>
    <w:basedOn w:val="1"/>
    <w:qFormat/>
    <w:uiPriority w:val="0"/>
    <w:pPr>
      <w:topLinePunct/>
      <w:adjustRightInd w:val="0"/>
      <w:spacing w:line="360" w:lineRule="exact"/>
      <w:jc w:val="center"/>
      <w:textAlignment w:val="baseline"/>
    </w:pPr>
    <w:rPr>
      <w:rFonts w:eastAsia="宋体"/>
      <w:szCs w:val="21"/>
    </w:rPr>
  </w:style>
  <w:style w:type="paragraph" w:customStyle="1" w:styleId="65">
    <w:name w:val="表格正文"/>
    <w:basedOn w:val="1"/>
    <w:qFormat/>
    <w:uiPriority w:val="0"/>
    <w:pPr>
      <w:spacing w:line="360" w:lineRule="exact"/>
      <w:jc w:val="center"/>
    </w:pPr>
  </w:style>
  <w:style w:type="character" w:customStyle="1" w:styleId="66">
    <w:name w:val="font31"/>
    <w:basedOn w:val="28"/>
    <w:qFormat/>
    <w:uiPriority w:val="0"/>
    <w:rPr>
      <w:rFonts w:hint="eastAsia" w:ascii="宋体" w:hAnsi="宋体" w:eastAsia="宋体" w:cs="宋体"/>
      <w:color w:val="000000"/>
      <w:sz w:val="21"/>
      <w:szCs w:val="21"/>
      <w:u w:val="none"/>
    </w:rPr>
  </w:style>
  <w:style w:type="paragraph" w:customStyle="1" w:styleId="67">
    <w:name w:val="Char2"/>
    <w:basedOn w:val="1"/>
    <w:qFormat/>
    <w:uiPriority w:val="0"/>
    <w:pPr>
      <w:snapToGrid w:val="0"/>
      <w:ind w:firstLine="529"/>
    </w:pPr>
    <w:rPr>
      <w:rFonts w:ascii="宋体" w:hAnsi="宋体" w:eastAsia="宋体" w:cs="Times New Roman"/>
      <w:b/>
    </w:rPr>
  </w:style>
  <w:style w:type="paragraph" w:customStyle="1" w:styleId="68">
    <w:name w:val="表题"/>
    <w:basedOn w:val="4"/>
    <w:qFormat/>
    <w:uiPriority w:val="0"/>
    <w:pPr>
      <w:spacing w:before="50" w:line="480" w:lineRule="exact"/>
      <w:jc w:val="center"/>
    </w:pPr>
    <w:rPr>
      <w:rFonts w:eastAsia="黑体"/>
      <w:sz w:val="28"/>
      <w:szCs w:val="20"/>
    </w:rPr>
  </w:style>
  <w:style w:type="table" w:customStyle="1" w:styleId="69">
    <w:name w:val="标准表格"/>
    <w:basedOn w:val="26"/>
    <w:qFormat/>
    <w:uiPriority w:val="99"/>
    <w:pPr>
      <w:spacing w:before="74"/>
      <w:jc w:val="center"/>
    </w:pPr>
    <w:rPr>
      <w:sz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FFFFFF"/>
      <w:vAlign w:val="center"/>
    </w:tcPr>
    <w:tblStylePr w:type="firstRow">
      <w:pPr>
        <w:wordWrap/>
        <w:spacing w:before="100" w:beforeLines="0" w:beforeAutospacing="1" w:after="100" w:afterLines="0" w:afterAutospacing="1" w:line="240" w:lineRule="auto"/>
        <w:ind w:left="0" w:leftChars="0" w:right="0" w:rightChars="0" w:firstLine="0" w:firstLineChars="0"/>
        <w:jc w:val="center"/>
      </w:pPr>
      <w:rPr>
        <w:rFonts w:hint="default" w:ascii="Times New Roman" w:hAnsi="Times New Roman" w:eastAsia="宋体" w:cs="Times New Roman"/>
        <w:sz w:val="18"/>
        <w:szCs w:val="18"/>
      </w:rPr>
    </w:tblStylePr>
    <w:tblStylePr w:type="firstCol">
      <w:pPr>
        <w:jc w:val="center"/>
      </w:pPr>
    </w:tblStylePr>
  </w:style>
  <w:style w:type="paragraph" w:customStyle="1" w:styleId="70">
    <w:name w:val="5-正文"/>
    <w:basedOn w:val="1"/>
    <w:qFormat/>
    <w:uiPriority w:val="0"/>
    <w:pPr>
      <w:spacing w:line="360" w:lineRule="auto"/>
      <w:ind w:firstLine="200" w:firstLineChars="200"/>
    </w:pPr>
    <w:rPr>
      <w:sz w:val="28"/>
    </w:rPr>
  </w:style>
  <w:style w:type="paragraph" w:customStyle="1" w:styleId="71">
    <w:name w:val="啊啊"/>
    <w:basedOn w:val="1"/>
    <w:qFormat/>
    <w:uiPriority w:val="0"/>
    <w:pPr>
      <w:spacing w:line="360" w:lineRule="auto"/>
      <w:ind w:firstLine="200" w:firstLineChars="200"/>
    </w:pPr>
    <w:rPr>
      <w:sz w:val="28"/>
      <w:szCs w:val="28"/>
    </w:rPr>
  </w:style>
  <w:style w:type="character" w:customStyle="1" w:styleId="72">
    <w:name w:val="font01"/>
    <w:basedOn w:val="28"/>
    <w:qFormat/>
    <w:uiPriority w:val="0"/>
    <w:rPr>
      <w:rFonts w:hint="default" w:ascii="Times New Roman" w:hAnsi="Times New Roman" w:cs="Times New Roman"/>
      <w:color w:val="FF0000"/>
      <w:sz w:val="21"/>
      <w:szCs w:val="21"/>
      <w:u w:val="none"/>
    </w:rPr>
  </w:style>
  <w:style w:type="character" w:customStyle="1" w:styleId="73">
    <w:name w:val="font51"/>
    <w:basedOn w:val="28"/>
    <w:qFormat/>
    <w:uiPriority w:val="0"/>
    <w:rPr>
      <w:rFonts w:hint="eastAsia" w:ascii="宋体" w:hAnsi="宋体" w:eastAsia="宋体" w:cs="宋体"/>
      <w:color w:val="FF0000"/>
      <w:sz w:val="21"/>
      <w:szCs w:val="21"/>
      <w:u w:val="none"/>
      <w:vertAlign w:val="superscript"/>
    </w:rPr>
  </w:style>
  <w:style w:type="character" w:customStyle="1" w:styleId="74">
    <w:name w:val="font61"/>
    <w:basedOn w:val="28"/>
    <w:qFormat/>
    <w:uiPriority w:val="0"/>
    <w:rPr>
      <w:rFonts w:hint="default" w:ascii="Times New Roman" w:hAnsi="Times New Roman" w:cs="Times New Roman"/>
      <w:color w:val="FF0000"/>
      <w:sz w:val="21"/>
      <w:szCs w:val="21"/>
      <w:u w:val="none"/>
      <w:vertAlign w:val="subscript"/>
    </w:rPr>
  </w:style>
  <w:style w:type="character" w:customStyle="1" w:styleId="75">
    <w:name w:val="font41"/>
    <w:basedOn w:val="28"/>
    <w:qFormat/>
    <w:uiPriority w:val="0"/>
    <w:rPr>
      <w:rFonts w:ascii="Arial" w:hAnsi="Arial" w:cs="Arial"/>
      <w:color w:val="FF0000"/>
      <w:sz w:val="21"/>
      <w:szCs w:val="21"/>
      <w:u w:val="none"/>
    </w:rPr>
  </w:style>
  <w:style w:type="character" w:customStyle="1" w:styleId="76">
    <w:name w:val="font21"/>
    <w:basedOn w:val="28"/>
    <w:qFormat/>
    <w:uiPriority w:val="0"/>
    <w:rPr>
      <w:rFonts w:hint="default" w:ascii="Times New Roman" w:hAnsi="Times New Roman" w:cs="Times New Roman"/>
      <w:color w:val="FF0000"/>
      <w:sz w:val="21"/>
      <w:szCs w:val="21"/>
      <w:u w:val="none"/>
      <w:vertAlign w:val="superscript"/>
    </w:rPr>
  </w:style>
  <w:style w:type="paragraph" w:customStyle="1" w:styleId="77">
    <w:name w:val="样式 首行缩进:  2 字符"/>
    <w:basedOn w:val="1"/>
    <w:qFormat/>
    <w:uiPriority w:val="0"/>
    <w:pPr>
      <w:spacing w:line="520" w:lineRule="exact"/>
      <w:ind w:firstLine="196" w:firstLineChars="196"/>
    </w:pPr>
    <w:rPr>
      <w:rFonts w:ascii="宋体"/>
      <w:kern w:val="0"/>
      <w:sz w:val="24"/>
    </w:rPr>
  </w:style>
  <w:style w:type="paragraph" w:customStyle="1" w:styleId="78">
    <w:name w:val="龙DS-正文"/>
    <w:basedOn w:val="1"/>
    <w:qFormat/>
    <w:uiPriority w:val="0"/>
    <w:pPr>
      <w:adjustRightInd w:val="0"/>
      <w:snapToGrid w:val="0"/>
      <w:spacing w:line="360" w:lineRule="auto"/>
      <w:ind w:firstLine="200" w:firstLineChars="200"/>
      <w:jc w:val="left"/>
    </w:pPr>
    <w:rPr>
      <w:rFonts w:ascii="Times New Roman" w:hAnsi="Times New Roman"/>
      <w:color w:val="000000"/>
      <w:kern w:val="0"/>
      <w:sz w:val="24"/>
      <w:szCs w:val="20"/>
    </w:rPr>
  </w:style>
  <w:style w:type="paragraph" w:customStyle="1" w:styleId="79">
    <w:name w:val="小四 行距1.5倍"/>
    <w:basedOn w:val="1"/>
    <w:qFormat/>
    <w:uiPriority w:val="0"/>
    <w:pPr>
      <w:spacing w:line="360" w:lineRule="auto"/>
      <w:ind w:firstLine="200" w:firstLineChars="200"/>
      <w:jc w:val="left"/>
    </w:pPr>
  </w:style>
  <w:style w:type="paragraph" w:customStyle="1" w:styleId="80">
    <w:name w:val="表格新"/>
    <w:basedOn w:val="1"/>
    <w:qFormat/>
    <w:uiPriority w:val="0"/>
    <w:pPr>
      <w:autoSpaceDE w:val="0"/>
      <w:spacing w:line="360" w:lineRule="exact"/>
      <w:jc w:val="center"/>
    </w:pPr>
    <w:rPr>
      <w:rFonts w:ascii="Times New Roman" w:hAnsi="Times New Roman" w:cs="Times New Roman"/>
      <w:szCs w:val="21"/>
    </w:rPr>
  </w:style>
  <w:style w:type="paragraph" w:customStyle="1" w:styleId="81">
    <w:name w:val="文章正文"/>
    <w:basedOn w:val="1"/>
    <w:qFormat/>
    <w:uiPriority w:val="0"/>
    <w:pPr>
      <w:spacing w:line="440" w:lineRule="exact"/>
      <w:ind w:firstLine="600" w:firstLineChars="200"/>
    </w:pPr>
    <w:rPr>
      <w:kern w:val="0"/>
      <w:sz w:val="24"/>
    </w:rPr>
  </w:style>
  <w:style w:type="paragraph" w:customStyle="1" w:styleId="82">
    <w:name w:val="正文(首行缩进)"/>
    <w:basedOn w:val="1"/>
    <w:qFormat/>
    <w:uiPriority w:val="0"/>
    <w:pPr>
      <w:adjustRightInd w:val="0"/>
      <w:snapToGrid w:val="0"/>
      <w:spacing w:line="360" w:lineRule="auto"/>
      <w:ind w:firstLine="200" w:firstLineChars="200"/>
    </w:pPr>
    <w:rPr>
      <w:rFonts w:eastAsia="宋体"/>
      <w:snapToGrid w:val="0"/>
      <w:sz w:val="24"/>
    </w:rPr>
  </w:style>
  <w:style w:type="paragraph" w:customStyle="1" w:styleId="83">
    <w:name w:val="p0"/>
    <w:basedOn w:val="1"/>
    <w:qFormat/>
    <w:uiPriority w:val="0"/>
    <w:pPr>
      <w:widowControl/>
      <w:jc w:val="left"/>
    </w:pPr>
    <w:rPr>
      <w:kern w:val="0"/>
      <w:szCs w:val="21"/>
    </w:rPr>
  </w:style>
  <w:style w:type="paragraph" w:customStyle="1" w:styleId="84">
    <w:name w:val="标准正文"/>
    <w:basedOn w:val="1"/>
    <w:qFormat/>
    <w:uiPriority w:val="0"/>
    <w:pPr>
      <w:adjustRightInd w:val="0"/>
      <w:spacing w:line="460" w:lineRule="atLeast"/>
      <w:ind w:firstLine="567"/>
      <w:jc w:val="left"/>
    </w:pPr>
    <w:rPr>
      <w:kern w:val="28"/>
      <w:sz w:val="28"/>
      <w:szCs w:val="20"/>
    </w:rPr>
  </w:style>
  <w:style w:type="paragraph" w:customStyle="1" w:styleId="85">
    <w:name w:val="表中"/>
    <w:qFormat/>
    <w:uiPriority w:val="0"/>
    <w:pPr>
      <w:spacing w:line="280" w:lineRule="exact"/>
      <w:jc w:val="center"/>
    </w:pPr>
    <w:rPr>
      <w:rFonts w:ascii="Times New Roman" w:hAnsi="Times New Roman" w:eastAsia="宋体" w:cs="Times New Roman"/>
      <w:color w:val="000000"/>
      <w:kern w:val="44"/>
      <w:sz w:val="18"/>
      <w:lang w:val="en-US" w:eastAsia="zh-CN" w:bidi="ar-SA"/>
    </w:rPr>
  </w:style>
  <w:style w:type="paragraph" w:customStyle="1" w:styleId="86">
    <w:name w:val="！正文"/>
    <w:basedOn w:val="1"/>
    <w:qFormat/>
    <w:uiPriority w:val="0"/>
    <w:pPr>
      <w:spacing w:line="360" w:lineRule="auto"/>
      <w:ind w:firstLine="200" w:firstLineChars="200"/>
    </w:pPr>
    <w:rPr>
      <w:sz w:val="24"/>
    </w:rPr>
  </w:style>
  <w:style w:type="character" w:customStyle="1" w:styleId="87">
    <w:name w:val="批注文字 字符"/>
    <w:basedOn w:val="28"/>
    <w:link w:val="13"/>
    <w:qFormat/>
    <w:uiPriority w:val="0"/>
    <w:rPr>
      <w:rFonts w:asciiTheme="minorHAnsi" w:hAnsiTheme="minorHAnsi" w:eastAsiaTheme="minorEastAsia" w:cstheme="minorBidi"/>
      <w:kern w:val="2"/>
      <w:sz w:val="21"/>
      <w:szCs w:val="24"/>
    </w:rPr>
  </w:style>
  <w:style w:type="character" w:customStyle="1" w:styleId="88">
    <w:name w:val="批注主题 字符"/>
    <w:basedOn w:val="87"/>
    <w:link w:val="25"/>
    <w:qFormat/>
    <w:uiPriority w:val="0"/>
    <w:rPr>
      <w:rFonts w:asciiTheme="minorHAnsi" w:hAnsiTheme="minorHAnsi" w:eastAsiaTheme="minorEastAsia" w:cstheme="minorBidi"/>
      <w:b/>
      <w:bCs/>
      <w:kern w:val="2"/>
      <w:sz w:val="21"/>
      <w:szCs w:val="24"/>
    </w:rPr>
  </w:style>
  <w:style w:type="character" w:customStyle="1" w:styleId="89">
    <w:name w:val="批注框文本 字符"/>
    <w:basedOn w:val="28"/>
    <w:link w:val="18"/>
    <w:qFormat/>
    <w:uiPriority w:val="0"/>
    <w:rPr>
      <w:rFonts w:asciiTheme="minorHAnsi" w:hAnsiTheme="minorHAnsi" w:eastAsiaTheme="minorEastAsia" w:cstheme="minorBidi"/>
      <w:kern w:val="2"/>
      <w:sz w:val="18"/>
      <w:szCs w:val="18"/>
    </w:rPr>
  </w:style>
  <w:style w:type="paragraph" w:customStyle="1" w:styleId="90">
    <w:name w:val="1正文"/>
    <w:basedOn w:val="1"/>
    <w:qFormat/>
    <w:uiPriority w:val="0"/>
    <w:pPr>
      <w:spacing w:line="360" w:lineRule="auto"/>
      <w:ind w:firstLine="198" w:firstLineChars="200"/>
    </w:pPr>
    <w:rPr>
      <w:sz w:val="24"/>
    </w:rPr>
  </w:style>
  <w:style w:type="paragraph" w:customStyle="1" w:styleId="91">
    <w:name w:val="HP 表格内容"/>
    <w:basedOn w:val="1"/>
    <w:qFormat/>
    <w:uiPriority w:val="0"/>
    <w:pPr>
      <w:widowControl/>
      <w:jc w:val="center"/>
    </w:pPr>
    <w:rPr>
      <w:rFonts w:ascii="Times New Roman" w:hAnsi="Times New Roman" w:cs="Times New Roman"/>
      <w:kern w:val="0"/>
      <w:szCs w:val="21"/>
    </w:rPr>
  </w:style>
  <w:style w:type="paragraph" w:customStyle="1" w:styleId="92">
    <w:name w:val="样式 正文wjh + 首行缩进:  0.99 厘米 段前: 18 磅"/>
    <w:qFormat/>
    <w:uiPriority w:val="0"/>
    <w:pPr>
      <w:widowControl w:val="0"/>
      <w:spacing w:line="360" w:lineRule="auto"/>
      <w:ind w:firstLine="561"/>
    </w:pPr>
    <w:rPr>
      <w:rFonts w:ascii="Calibri" w:hAnsi="Calibri" w:eastAsia="宋体" w:cs="宋体"/>
      <w:kern w:val="2"/>
      <w:sz w:val="24"/>
      <w:lang w:val="en-US" w:eastAsia="zh-CN" w:bidi="ar-SA"/>
    </w:rPr>
  </w:style>
  <w:style w:type="paragraph" w:customStyle="1" w:styleId="93">
    <w:name w:val="表格内文字"/>
    <w:basedOn w:val="1"/>
    <w:qFormat/>
    <w:uiPriority w:val="99"/>
    <w:pPr>
      <w:spacing w:before="100" w:after="100" w:line="320" w:lineRule="exact"/>
      <w:jc w:val="center"/>
    </w:pPr>
    <w:rPr>
      <w:rFonts w:ascii="Calibri" w:hAnsi="Calibri"/>
      <w:spacing w:val="10"/>
      <w:sz w:val="24"/>
    </w:rPr>
  </w:style>
  <w:style w:type="character" w:customStyle="1" w:styleId="94">
    <w:name w:val="15"/>
    <w:basedOn w:val="28"/>
    <w:qFormat/>
    <w:uiPriority w:val="0"/>
    <w:rPr>
      <w:rFonts w:hint="default" w:ascii="Times New Roman" w:hAnsi="Times New Roman" w:cs="Times New Roman"/>
    </w:rPr>
  </w:style>
  <w:style w:type="paragraph" w:customStyle="1" w:styleId="95">
    <w:name w:val="正文文本1"/>
    <w:qFormat/>
    <w:uiPriority w:val="0"/>
    <w:pPr>
      <w:widowControl w:val="0"/>
      <w:shd w:val="clear" w:color="auto" w:fill="FFFFFF"/>
      <w:spacing w:line="480" w:lineRule="exact"/>
      <w:jc w:val="distribute"/>
    </w:pPr>
    <w:rPr>
      <w:rFonts w:ascii="MingLiU" w:hAnsi="MingLiU" w:eastAsia="MingLiU" w:cs="MingLiU"/>
      <w:kern w:val="2"/>
      <w:sz w:val="21"/>
      <w:szCs w:val="21"/>
      <w:lang w:val="en-US" w:eastAsia="zh-CN" w:bidi="ar-SA"/>
    </w:rPr>
  </w:style>
  <w:style w:type="character" w:customStyle="1" w:styleId="96">
    <w:name w:val="正文文本 + Batang"/>
    <w:qFormat/>
    <w:uiPriority w:val="0"/>
    <w:rPr>
      <w:rFonts w:ascii="Batang" w:hAnsi="Batang" w:eastAsia="Batang" w:cs="Batang"/>
      <w:b/>
      <w:color w:val="000000"/>
      <w:spacing w:val="0"/>
      <w:w w:val="100"/>
      <w:position w:val="0"/>
      <w:sz w:val="21"/>
      <w:szCs w:val="21"/>
      <w:u w:val="none"/>
      <w:lang w:val="en-US" w:eastAsia="zh-CN" w:bidi="ar-SA"/>
    </w:rPr>
  </w:style>
  <w:style w:type="paragraph" w:customStyle="1" w:styleId="97">
    <w:name w:val="正文26-5.21"/>
    <w:basedOn w:val="1"/>
    <w:qFormat/>
    <w:uiPriority w:val="0"/>
    <w:pPr>
      <w:adjustRightInd w:val="0"/>
      <w:snapToGrid w:val="0"/>
      <w:spacing w:line="520" w:lineRule="exact"/>
      <w:ind w:firstLine="480" w:firstLineChars="200"/>
      <w:textAlignment w:val="baseline"/>
    </w:pPr>
    <w:rPr>
      <w:rFonts w:cs="宋体"/>
      <w:snapToGrid w:val="0"/>
      <w:sz w:val="24"/>
    </w:rPr>
  </w:style>
  <w:style w:type="paragraph" w:customStyle="1" w:styleId="98">
    <w:name w:val="List Paragraph"/>
    <w:basedOn w:val="1"/>
    <w:qFormat/>
    <w:uiPriority w:val="0"/>
    <w:pPr>
      <w:keepNext w:val="0"/>
      <w:keepLines w:val="0"/>
      <w:widowControl w:val="0"/>
      <w:suppressLineNumbers w:val="0"/>
      <w:autoSpaceDE w:val="0"/>
      <w:autoSpaceDN w:val="0"/>
      <w:spacing w:before="0" w:beforeAutospacing="0" w:after="0" w:afterAutospacing="0"/>
      <w:ind w:left="1015" w:right="0" w:hanging="775"/>
      <w:jc w:val="left"/>
    </w:pPr>
    <w:rPr>
      <w:rFonts w:hint="eastAsia" w:ascii="宋体" w:hAnsi="宋体" w:eastAsia="宋体" w:cs="宋体"/>
      <w:kern w:val="0"/>
      <w:sz w:val="22"/>
      <w:szCs w:val="22"/>
      <w:lang w:val="en-US" w:eastAsia="zh-CN" w:bidi="ar"/>
    </w:rPr>
  </w:style>
  <w:style w:type="paragraph" w:customStyle="1" w:styleId="99">
    <w:name w:val="文字"/>
    <w:basedOn w:val="1"/>
    <w:qFormat/>
    <w:uiPriority w:val="0"/>
    <w:pPr>
      <w:ind w:firstLine="200" w:firstLineChars="200"/>
      <w:textAlignment w:val="baseline"/>
    </w:pPr>
  </w:style>
</w:styles>
</file>

<file path=word/_rels/comments.xml.rels><?xml version="1.0" encoding="UTF-8" standalone="yes"?>
<Relationships xmlns="http://schemas.openxmlformats.org/package/2006/relationships"><Relationship Id="rId1" Type="http://schemas.openxmlformats.org/officeDocument/2006/relationships/image" Target="media/image1.png"/></Relationship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6" Type="http://schemas.microsoft.com/office/2011/relationships/people" Target="people.xml"/><Relationship Id="rId75" Type="http://schemas.openxmlformats.org/officeDocument/2006/relationships/fontTable" Target="fontTable.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jpe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jpeg"/><Relationship Id="rId40" Type="http://schemas.openxmlformats.org/officeDocument/2006/relationships/image" Target="media/image23.jpeg"/><Relationship Id="rId4" Type="http://schemas.microsoft.com/office/2011/relationships/commentsExtended" Target="commentsExtended.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comments" Target="comments.xml"/><Relationship Id="rId29" Type="http://schemas.openxmlformats.org/officeDocument/2006/relationships/image" Target="media/image12.wmf"/><Relationship Id="rId28" Type="http://schemas.openxmlformats.org/officeDocument/2006/relationships/oleObject" Target="embeddings/oleObject8.bin"/><Relationship Id="rId27" Type="http://schemas.openxmlformats.org/officeDocument/2006/relationships/image" Target="media/image11.wmf"/><Relationship Id="rId26" Type="http://schemas.openxmlformats.org/officeDocument/2006/relationships/image" Target="media/image10.wmf"/><Relationship Id="rId25" Type="http://schemas.openxmlformats.org/officeDocument/2006/relationships/oleObject" Target="embeddings/oleObject7.bin"/><Relationship Id="rId24" Type="http://schemas.openxmlformats.org/officeDocument/2006/relationships/image" Target="media/image9.wmf"/><Relationship Id="rId23" Type="http://schemas.openxmlformats.org/officeDocument/2006/relationships/oleObject" Target="embeddings/oleObject6.bin"/><Relationship Id="rId22" Type="http://schemas.openxmlformats.org/officeDocument/2006/relationships/image" Target="media/image8.wmf"/><Relationship Id="rId21" Type="http://schemas.openxmlformats.org/officeDocument/2006/relationships/oleObject" Target="embeddings/oleObject5.bin"/><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6.wmf"/><Relationship Id="rId17" Type="http://schemas.openxmlformats.org/officeDocument/2006/relationships/oleObject" Target="embeddings/oleObject3.bin"/><Relationship Id="rId16" Type="http://schemas.openxmlformats.org/officeDocument/2006/relationships/image" Target="media/image5.wmf"/><Relationship Id="rId15" Type="http://schemas.openxmlformats.org/officeDocument/2006/relationships/oleObject" Target="embeddings/oleObject2.bin"/><Relationship Id="rId14" Type="http://schemas.openxmlformats.org/officeDocument/2006/relationships/image" Target="media/image4.emf"/><Relationship Id="rId13" Type="http://schemas.openxmlformats.org/officeDocument/2006/relationships/oleObject" Target="embeddings/oleObject1.bin"/><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103</Pages>
  <Words>6028</Words>
  <Characters>6248</Characters>
  <Lines>1</Lines>
  <Paragraphs>1</Paragraphs>
  <TotalTime>35</TotalTime>
  <ScaleCrop>false</ScaleCrop>
  <LinksUpToDate>false</LinksUpToDate>
  <CharactersWithSpaces>6346</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2021-03-18T01:30:00Z</dcterms:created>
  <dc:creator>旭昶</dc:creator>
  <cp:lastModifiedBy>乌拉特中旗大数据中心</cp:lastModifiedBy>
  <dcterms:modified xsi:type="dcterms:W3CDTF">2025-08-14T07:14:16Z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6858C653A440461C964FE70288FCCA40_13</vt:lpwstr>
  </property>
  <property fmtid="{D5CDD505-2E9C-101B-9397-08002B2CF9AE}" pid="4" name="KSOTemplateDocerSaveRecord">
    <vt:lpwstr>eyJoZGlkIjoiYWQ2ZmZlZDdkNzJhOWY2Nzg5MDY2ZGRiNDZiNWVmMTgiLCJ1c2VySWQiOiIzMjc2NDI0MTYifQ==</vt:lpwstr>
  </property>
</Properties>
</file>