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62EA499">
      <w:pPr>
        <w:rPr>
          <w:rFonts w:ascii="仿宋_GB2312" w:hAnsi="仿宋_GB2312" w:eastAsia="仿宋_GB2312" w:cs="仿宋_GB2312"/>
          <w:sz w:val="36"/>
          <w:szCs w:val="36"/>
        </w:rPr>
      </w:pPr>
    </w:p>
    <w:p w14:paraId="42130FFB">
      <w:pPr>
        <w:rPr>
          <w:rFonts w:ascii="仿宋_GB2312" w:hAnsi="仿宋_GB2312" w:eastAsia="仿宋_GB2312" w:cs="仿宋_GB2312"/>
          <w:sz w:val="36"/>
          <w:szCs w:val="36"/>
        </w:rPr>
      </w:pPr>
    </w:p>
    <w:p w14:paraId="69BA3C4B">
      <w:pPr>
        <w:rPr>
          <w:rFonts w:ascii="仿宋_GB2312" w:hAnsi="仿宋_GB2312" w:eastAsia="仿宋_GB2312" w:cs="仿宋_GB2312"/>
          <w:sz w:val="36"/>
          <w:szCs w:val="36"/>
        </w:rPr>
      </w:pPr>
    </w:p>
    <w:p w14:paraId="45CEECBE">
      <w:pPr>
        <w:rPr>
          <w:rFonts w:hint="eastAsia" w:ascii="仿宋_GB2312" w:hAnsi="仿宋_GB2312" w:eastAsia="仿宋_GB2312" w:cs="仿宋_GB2312"/>
          <w:sz w:val="36"/>
          <w:szCs w:val="36"/>
        </w:rPr>
      </w:pPr>
    </w:p>
    <w:p w14:paraId="06D43CEB">
      <w:pPr>
        <w:adjustRightInd w:val="0"/>
        <w:snapToGrid w:val="0"/>
        <w:jc w:val="center"/>
        <w:outlineLvl w:val="0"/>
        <w:rPr>
          <w:rFonts w:hint="eastAsia" w:ascii="方正小标宋_GBK" w:eastAsia="方正小标宋_GBK"/>
          <w:bCs/>
          <w:sz w:val="72"/>
          <w:szCs w:val="72"/>
        </w:rPr>
      </w:pPr>
      <w:r>
        <w:rPr>
          <w:rFonts w:hint="eastAsia" w:ascii="方正小标宋_GBK" w:eastAsia="方正小标宋_GBK"/>
          <w:bCs/>
          <w:sz w:val="72"/>
          <w:szCs w:val="72"/>
        </w:rPr>
        <w:t>建设项目环境影响报告表</w:t>
      </w:r>
    </w:p>
    <w:p w14:paraId="71FA495E">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14:paraId="43427607">
      <w:pPr>
        <w:pStyle w:val="33"/>
        <w:bidi w:val="0"/>
      </w:pPr>
    </w:p>
    <w:p w14:paraId="1170E21C">
      <w:pPr>
        <w:jc w:val="center"/>
        <w:rPr>
          <w:rFonts w:eastAsia="仿宋"/>
          <w:sz w:val="52"/>
          <w:szCs w:val="52"/>
        </w:rPr>
      </w:pPr>
    </w:p>
    <w:p w14:paraId="4E3DCB84">
      <w:pPr>
        <w:ind w:firstLine="1040"/>
        <w:rPr>
          <w:rFonts w:eastAsia="仿宋"/>
          <w:sz w:val="44"/>
          <w:szCs w:val="44"/>
        </w:rPr>
      </w:pPr>
    </w:p>
    <w:p w14:paraId="37313D4A">
      <w:pPr>
        <w:ind w:firstLine="1040"/>
        <w:rPr>
          <w:rFonts w:eastAsia="仿宋"/>
          <w:sz w:val="44"/>
          <w:szCs w:val="44"/>
        </w:rPr>
      </w:pPr>
    </w:p>
    <w:p w14:paraId="56353D04">
      <w:pPr>
        <w:pStyle w:val="32"/>
        <w:rPr>
          <w:rFonts w:eastAsia="仿宋"/>
          <w:sz w:val="44"/>
          <w:szCs w:val="44"/>
        </w:rPr>
      </w:pPr>
    </w:p>
    <w:p w14:paraId="556766E5">
      <w:pPr>
        <w:pStyle w:val="32"/>
        <w:rPr>
          <w:rFonts w:eastAsia="仿宋"/>
          <w:sz w:val="44"/>
          <w:szCs w:val="44"/>
        </w:rPr>
      </w:pPr>
    </w:p>
    <w:p w14:paraId="4678477F">
      <w:pPr>
        <w:ind w:firstLine="1040"/>
        <w:rPr>
          <w:rFonts w:eastAsia="仿宋"/>
          <w:sz w:val="44"/>
          <w:szCs w:val="44"/>
        </w:rPr>
      </w:pPr>
    </w:p>
    <w:p w14:paraId="2B8E7515">
      <w:pPr>
        <w:keepNext w:val="0"/>
        <w:keepLines w:val="0"/>
        <w:pageBreakBefore w:val="0"/>
        <w:widowControl w:val="0"/>
        <w:kinsoku/>
        <w:wordWrap/>
        <w:overflowPunct/>
        <w:topLinePunct w:val="0"/>
        <w:autoSpaceDE/>
        <w:autoSpaceDN/>
        <w:bidi w:val="0"/>
        <w:adjustRightInd w:val="0"/>
        <w:snapToGrid w:val="0"/>
        <w:spacing w:line="336" w:lineRule="auto"/>
        <w:ind w:left="2683" w:leftChars="495" w:hanging="1644" w:hangingChars="514"/>
        <w:textAlignment w:val="auto"/>
        <w:rPr>
          <w:rFonts w:hint="default" w:ascii="仿宋_GB2312" w:eastAsia="仿宋_GB2312"/>
          <w:sz w:val="32"/>
          <w:szCs w:val="32"/>
          <w:lang w:val="en-US" w:eastAsia="zh-CN"/>
        </w:rPr>
      </w:pPr>
      <w:r>
        <w:rPr>
          <w:rFonts w:hint="eastAsia" w:ascii="仿宋_GB2312" w:eastAsia="仿宋_GB2312"/>
          <w:sz w:val="32"/>
          <w:szCs w:val="32"/>
        </w:rPr>
        <w:t>项目名称：</w:t>
      </w:r>
      <w:r>
        <w:rPr>
          <w:rFonts w:hint="eastAsia" w:ascii="仿宋_GB2312" w:eastAsia="仿宋_GB2312"/>
          <w:sz w:val="32"/>
          <w:szCs w:val="32"/>
          <w:u w:val="single"/>
          <w:lang w:val="en-US" w:eastAsia="zh-CN"/>
        </w:rPr>
        <w:t>乌拉特中旗炜景环保材料有限公司德岭镇四义堂村混凝土拌合站项目</w:t>
      </w:r>
    </w:p>
    <w:p w14:paraId="07C90CA1">
      <w:pPr>
        <w:keepNext w:val="0"/>
        <w:keepLines w:val="0"/>
        <w:pageBreakBefore w:val="0"/>
        <w:widowControl w:val="0"/>
        <w:kinsoku/>
        <w:wordWrap/>
        <w:overflowPunct/>
        <w:topLinePunct w:val="0"/>
        <w:autoSpaceDE/>
        <w:autoSpaceDN/>
        <w:bidi w:val="0"/>
        <w:adjustRightInd w:val="0"/>
        <w:snapToGrid w:val="0"/>
        <w:spacing w:line="336" w:lineRule="auto"/>
        <w:ind w:left="2840" w:leftChars="0" w:hanging="1800" w:firstLineChars="0"/>
        <w:textAlignment w:val="auto"/>
        <w:rPr>
          <w:rFonts w:hint="eastAsia" w:ascii="仿宋_GB2312" w:eastAsia="仿宋_GB2312"/>
          <w:sz w:val="32"/>
          <w:szCs w:val="32"/>
          <w:u w:val="single"/>
          <w:lang w:val="en-US" w:eastAsia="zh-CN"/>
        </w:rPr>
      </w:pPr>
      <w:r>
        <w:rPr>
          <w:rFonts w:hint="eastAsia" w:ascii="仿宋_GB2312" w:eastAsia="仿宋_GB2312"/>
          <w:sz w:val="32"/>
          <w:szCs w:val="32"/>
        </w:rPr>
        <w:t>建设单位（盖章）：</w:t>
      </w:r>
      <w:r>
        <w:rPr>
          <w:rFonts w:hint="eastAsia" w:ascii="仿宋_GB2312" w:eastAsia="仿宋_GB2312"/>
          <w:sz w:val="32"/>
          <w:szCs w:val="32"/>
          <w:u w:val="single"/>
          <w:lang w:val="en-US" w:eastAsia="zh-CN"/>
        </w:rPr>
        <w:t>乌拉特中旗炜景环保材料有限公司</w:t>
      </w:r>
    </w:p>
    <w:p w14:paraId="48FD4B27">
      <w:pPr>
        <w:keepNext w:val="0"/>
        <w:keepLines w:val="0"/>
        <w:pageBreakBefore w:val="0"/>
        <w:widowControl w:val="0"/>
        <w:kinsoku/>
        <w:wordWrap/>
        <w:overflowPunct/>
        <w:topLinePunct w:val="0"/>
        <w:autoSpaceDE/>
        <w:autoSpaceDN/>
        <w:bidi w:val="0"/>
        <w:adjustRightInd w:val="0"/>
        <w:snapToGrid w:val="0"/>
        <w:spacing w:line="336" w:lineRule="auto"/>
        <w:ind w:firstLine="1040"/>
        <w:textAlignment w:val="auto"/>
        <w:rPr>
          <w:rFonts w:hint="eastAsia" w:ascii="仿宋_GB2312" w:eastAsia="仿宋_GB2312"/>
          <w:sz w:val="36"/>
          <w:szCs w:val="36"/>
          <w:u w:val="single"/>
        </w:rPr>
      </w:pPr>
      <w:r>
        <w:rPr>
          <w:rFonts w:hint="eastAsia" w:ascii="仿宋_GB2312" w:eastAsia="仿宋_GB2312"/>
          <w:sz w:val="32"/>
          <w:szCs w:val="32"/>
        </w:rPr>
        <w:t>编制日期：</w:t>
      </w:r>
      <w:r>
        <w:rPr>
          <w:rFonts w:hint="eastAsia" w:ascii="仿宋_GB2312" w:eastAsia="仿宋_GB2312"/>
          <w:sz w:val="32"/>
          <w:szCs w:val="32"/>
          <w:u w:val="single"/>
        </w:rPr>
        <w:t xml:space="preserve"> </w:t>
      </w:r>
      <w:r>
        <w:rPr>
          <w:rFonts w:ascii="仿宋_GB2312" w:eastAsia="仿宋_GB2312"/>
          <w:sz w:val="32"/>
          <w:szCs w:val="32"/>
          <w:u w:val="single"/>
        </w:rPr>
        <w:t xml:space="preserve">     </w:t>
      </w:r>
      <w:r>
        <w:rPr>
          <w:rFonts w:hint="eastAsia" w:ascii="仿宋_GB2312" w:eastAsia="仿宋_GB2312"/>
          <w:sz w:val="32"/>
          <w:szCs w:val="32"/>
          <w:u w:val="single"/>
          <w:lang w:val="en-US" w:eastAsia="zh-CN"/>
        </w:rPr>
        <w:t xml:space="preserve"> </w:t>
      </w:r>
      <w:r>
        <w:rPr>
          <w:rFonts w:ascii="仿宋_GB2312" w:eastAsia="仿宋_GB2312"/>
          <w:sz w:val="32"/>
          <w:szCs w:val="32"/>
          <w:u w:val="single"/>
        </w:rPr>
        <w:t xml:space="preserve"> </w:t>
      </w:r>
      <w:r>
        <w:rPr>
          <w:rFonts w:hint="eastAsia" w:ascii="仿宋_GB2312" w:eastAsia="仿宋_GB2312"/>
          <w:sz w:val="32"/>
          <w:szCs w:val="32"/>
          <w:u w:val="single"/>
          <w:lang w:val="en-US" w:eastAsia="zh-CN"/>
        </w:rPr>
        <w:t xml:space="preserve">  </w:t>
      </w:r>
      <w:r>
        <w:rPr>
          <w:rFonts w:ascii="仿宋_GB2312" w:eastAsia="仿宋_GB2312"/>
          <w:sz w:val="32"/>
          <w:szCs w:val="32"/>
          <w:u w:val="single"/>
        </w:rPr>
        <w:t xml:space="preserve">  </w:t>
      </w:r>
      <w:r>
        <w:rPr>
          <w:rFonts w:hint="eastAsia" w:ascii="仿宋_GB2312" w:eastAsia="仿宋_GB2312"/>
          <w:sz w:val="32"/>
          <w:szCs w:val="32"/>
          <w:u w:val="single"/>
          <w:lang w:val="en-US" w:eastAsia="zh-CN"/>
        </w:rPr>
        <w:t>2026年1月</w:t>
      </w:r>
      <w:r>
        <w:rPr>
          <w:rFonts w:ascii="仿宋_GB2312" w:eastAsia="仿宋_GB2312"/>
          <w:sz w:val="32"/>
          <w:szCs w:val="32"/>
          <w:u w:val="single"/>
        </w:rPr>
        <w:t xml:space="preserve"> </w:t>
      </w:r>
      <w:r>
        <w:rPr>
          <w:rFonts w:hint="eastAsia" w:ascii="仿宋_GB2312" w:eastAsia="仿宋_GB2312"/>
          <w:sz w:val="32"/>
          <w:szCs w:val="32"/>
          <w:u w:val="single"/>
          <w:lang w:val="en-US" w:eastAsia="zh-CN"/>
        </w:rPr>
        <w:t xml:space="preserve"> </w:t>
      </w:r>
      <w:r>
        <w:rPr>
          <w:rFonts w:ascii="仿宋_GB2312" w:eastAsia="仿宋_GB2312"/>
          <w:sz w:val="32"/>
          <w:szCs w:val="32"/>
          <w:u w:val="single"/>
        </w:rPr>
        <w:t xml:space="preserve">        </w:t>
      </w:r>
      <w:r>
        <w:rPr>
          <w:rFonts w:hint="eastAsia" w:ascii="仿宋_GB2312" w:eastAsia="仿宋_GB2312"/>
          <w:sz w:val="32"/>
          <w:szCs w:val="32"/>
          <w:u w:val="single"/>
          <w:lang w:val="en-US" w:eastAsia="zh-CN"/>
        </w:rPr>
        <w:t xml:space="preserve">   </w:t>
      </w:r>
      <w:r>
        <w:rPr>
          <w:rFonts w:ascii="仿宋_GB2312" w:eastAsia="仿宋_GB2312"/>
          <w:sz w:val="32"/>
          <w:szCs w:val="32"/>
          <w:u w:val="single"/>
        </w:rPr>
        <w:t xml:space="preserve">  </w:t>
      </w:r>
    </w:p>
    <w:p w14:paraId="3C1B7F52">
      <w:pPr>
        <w:adjustRightInd w:val="0"/>
        <w:snapToGrid w:val="0"/>
        <w:spacing w:line="288" w:lineRule="auto"/>
        <w:ind w:firstLine="1040"/>
        <w:rPr>
          <w:rFonts w:ascii="仿宋_GB2312" w:eastAsia="仿宋_GB2312"/>
          <w:sz w:val="36"/>
          <w:szCs w:val="36"/>
          <w:u w:val="single"/>
        </w:rPr>
      </w:pPr>
      <w:bookmarkStart w:id="0" w:name="_Hlk57884087"/>
    </w:p>
    <w:p w14:paraId="3DC2B6A4">
      <w:pPr>
        <w:adjustRightInd w:val="0"/>
        <w:snapToGrid w:val="0"/>
        <w:spacing w:line="288" w:lineRule="auto"/>
        <w:ind w:firstLine="1040"/>
        <w:rPr>
          <w:rFonts w:hint="eastAsia" w:ascii="仿宋_GB2312" w:eastAsia="仿宋_GB2312"/>
          <w:sz w:val="36"/>
          <w:szCs w:val="36"/>
        </w:rPr>
      </w:pPr>
    </w:p>
    <w:bookmarkEnd w:id="0"/>
    <w:p w14:paraId="76308D18">
      <w:pPr>
        <w:adjustRightInd w:val="0"/>
        <w:snapToGrid w:val="0"/>
        <w:spacing w:line="288" w:lineRule="auto"/>
        <w:jc w:val="center"/>
        <w:rPr>
          <w:rFonts w:hint="eastAsia" w:ascii="楷体_GB2312" w:eastAsia="楷体_GB2312"/>
          <w:sz w:val="36"/>
          <w:szCs w:val="36"/>
        </w:rPr>
      </w:pPr>
    </w:p>
    <w:p w14:paraId="30865333">
      <w:pPr>
        <w:adjustRightInd w:val="0"/>
        <w:snapToGrid w:val="0"/>
        <w:spacing w:line="288" w:lineRule="auto"/>
        <w:jc w:val="center"/>
        <w:rPr>
          <w:rFonts w:hint="eastAsia" w:ascii="楷体_GB2312" w:eastAsia="楷体_GB2312"/>
          <w:sz w:val="36"/>
          <w:szCs w:val="36"/>
        </w:rPr>
        <w:sectPr>
          <w:headerReference r:id="rId3" w:type="default"/>
          <w:footerReference r:id="rId4" w:type="default"/>
          <w:footerReference r:id="rId5" w:type="even"/>
          <w:pgSz w:w="11906" w:h="16838"/>
          <w:pgMar w:top="1701" w:right="1531" w:bottom="1701" w:left="1531" w:header="851" w:footer="1077" w:gutter="0"/>
          <w:pgBorders>
            <w:top w:val="none" w:sz="0" w:space="0"/>
            <w:left w:val="none" w:sz="0" w:space="0"/>
            <w:bottom w:val="none" w:sz="0" w:space="0"/>
            <w:right w:val="none" w:sz="0" w:space="0"/>
          </w:pgBorders>
          <w:pgNumType w:fmt="decimal" w:start="3"/>
          <w:cols w:space="720" w:num="1"/>
          <w:docGrid w:linePitch="312" w:charSpace="0"/>
        </w:sectPr>
      </w:pPr>
      <w:r>
        <w:rPr>
          <w:rFonts w:hint="eastAsia" w:ascii="楷体_GB2312" w:eastAsia="楷体_GB2312"/>
          <w:sz w:val="36"/>
          <w:szCs w:val="36"/>
        </w:rPr>
        <w:t>中华人民共和国生态环境部</w:t>
      </w:r>
    </w:p>
    <w:p w14:paraId="429BE7A8">
      <w:pPr>
        <w:pStyle w:val="13"/>
        <w:jc w:val="center"/>
        <w:outlineLvl w:val="0"/>
        <w:rPr>
          <w:rFonts w:hint="eastAsia" w:ascii="黑体" w:hAnsi="黑体" w:eastAsia="黑体"/>
          <w:snapToGrid w:val="0"/>
          <w:sz w:val="30"/>
          <w:szCs w:val="30"/>
        </w:rPr>
      </w:pPr>
      <w:bookmarkStart w:id="3" w:name="_GoBack"/>
      <w:bookmarkEnd w:id="3"/>
      <w:r>
        <w:rPr>
          <w:rFonts w:hint="eastAsia" w:ascii="黑体" w:hAnsi="黑体" w:eastAsia="黑体"/>
          <w:snapToGrid w:val="0"/>
          <w:sz w:val="30"/>
          <w:szCs w:val="30"/>
        </w:rPr>
        <w:t>一、建设项目基本情况</w:t>
      </w:r>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945"/>
        <w:gridCol w:w="3067"/>
        <w:gridCol w:w="2123"/>
        <w:gridCol w:w="2735"/>
      </w:tblGrid>
      <w:tr w14:paraId="2AE6CE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6A94D993">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建设项目名称</w:t>
            </w:r>
          </w:p>
        </w:tc>
        <w:tc>
          <w:tcPr>
            <w:tcW w:w="7870" w:type="dxa"/>
            <w:gridSpan w:val="3"/>
            <w:noWrap w:val="0"/>
            <w:vAlign w:val="center"/>
          </w:tcPr>
          <w:p w14:paraId="77B7CCA2">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乌拉特中旗炜景环保材料有限公司德岭镇四义堂村混凝土拌合站项目</w:t>
            </w:r>
          </w:p>
        </w:tc>
      </w:tr>
      <w:tr w14:paraId="2C0E6B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5FAD9A5B">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项目代码</w:t>
            </w:r>
          </w:p>
        </w:tc>
        <w:tc>
          <w:tcPr>
            <w:tcW w:w="7870" w:type="dxa"/>
            <w:gridSpan w:val="3"/>
            <w:noWrap w:val="0"/>
            <w:vAlign w:val="center"/>
          </w:tcPr>
          <w:p w14:paraId="7364B9ED">
            <w:pPr>
              <w:adjustRightInd w:val="0"/>
              <w:snapToGrid w:val="0"/>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2506-150824-04-01-988652</w:t>
            </w:r>
          </w:p>
        </w:tc>
      </w:tr>
      <w:tr w14:paraId="2B6FC3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7989DC35">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建设单位联系人</w:t>
            </w:r>
          </w:p>
        </w:tc>
        <w:tc>
          <w:tcPr>
            <w:tcW w:w="3067" w:type="dxa"/>
            <w:noWrap w:val="0"/>
            <w:vAlign w:val="center"/>
          </w:tcPr>
          <w:p w14:paraId="21AA12F0">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关旭</w:t>
            </w:r>
          </w:p>
        </w:tc>
        <w:tc>
          <w:tcPr>
            <w:tcW w:w="2125" w:type="dxa"/>
            <w:noWrap w:val="0"/>
            <w:vAlign w:val="center"/>
          </w:tcPr>
          <w:p w14:paraId="69ECD683">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联系方式</w:t>
            </w:r>
          </w:p>
        </w:tc>
        <w:tc>
          <w:tcPr>
            <w:tcW w:w="2678" w:type="dxa"/>
            <w:noWrap w:val="0"/>
            <w:vAlign w:val="center"/>
          </w:tcPr>
          <w:p w14:paraId="347425FC">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18247856955</w:t>
            </w:r>
          </w:p>
        </w:tc>
      </w:tr>
      <w:tr w14:paraId="63D8FD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794D4DFA">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建设地点</w:t>
            </w:r>
          </w:p>
        </w:tc>
        <w:tc>
          <w:tcPr>
            <w:tcW w:w="7870" w:type="dxa"/>
            <w:gridSpan w:val="3"/>
            <w:noWrap w:val="0"/>
            <w:vAlign w:val="center"/>
          </w:tcPr>
          <w:p w14:paraId="6A23A66F">
            <w:pPr>
              <w:adjustRightInd w:val="0"/>
              <w:snapToGrid w:val="0"/>
              <w:jc w:val="center"/>
              <w:rPr>
                <w:rFonts w:hint="default" w:ascii="Times New Roman" w:hAnsi="Times New Roman" w:eastAsia="宋体" w:cs="Times New Roman"/>
                <w:sz w:val="24"/>
                <w:szCs w:val="24"/>
                <w:u w:val="none"/>
                <w:lang w:val="en-US" w:eastAsia="zh-CN"/>
              </w:rPr>
            </w:pPr>
            <w:r>
              <w:rPr>
                <w:rFonts w:hint="eastAsia" w:cs="Times New Roman"/>
                <w:sz w:val="24"/>
                <w:szCs w:val="24"/>
                <w:lang w:val="en-US" w:eastAsia="zh-CN"/>
              </w:rPr>
              <w:t>内蒙古自治区巴彦淖尔市乌拉特中旗德岭山镇四义堂村金诺公司西侧</w:t>
            </w:r>
          </w:p>
        </w:tc>
      </w:tr>
      <w:tr w14:paraId="080B2F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38036536">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地理坐标</w:t>
            </w:r>
          </w:p>
        </w:tc>
        <w:tc>
          <w:tcPr>
            <w:tcW w:w="7870" w:type="dxa"/>
            <w:gridSpan w:val="3"/>
            <w:noWrap w:val="0"/>
            <w:vAlign w:val="center"/>
          </w:tcPr>
          <w:p w14:paraId="123202E1">
            <w:pPr>
              <w:jc w:val="center"/>
              <w:rPr>
                <w:rFonts w:hint="default" w:ascii="Times New Roman" w:hAnsi="Times New Roman" w:cs="Times New Roman"/>
                <w:sz w:val="24"/>
                <w:szCs w:val="24"/>
              </w:rPr>
            </w:pPr>
            <w:r>
              <w:rPr>
                <w:rFonts w:hint="default" w:ascii="Times New Roman" w:hAnsi="Times New Roman" w:cs="Times New Roman"/>
                <w:sz w:val="24"/>
                <w:szCs w:val="24"/>
              </w:rPr>
              <w:t>（</w:t>
            </w:r>
            <w:r>
              <w:rPr>
                <w:rFonts w:hint="eastAsia" w:ascii="Times New Roman" w:hAnsi="Times New Roman" w:cs="Times New Roman"/>
                <w:sz w:val="24"/>
                <w:szCs w:val="24"/>
                <w:lang w:val="en-US" w:eastAsia="zh-CN"/>
              </w:rPr>
              <w:t>E</w:t>
            </w:r>
            <w:r>
              <w:rPr>
                <w:rFonts w:hint="default" w:ascii="Times New Roman" w:hAnsi="Times New Roman" w:cs="Times New Roman"/>
                <w:sz w:val="24"/>
                <w:szCs w:val="24"/>
                <w:u w:val="single"/>
              </w:rPr>
              <w:t xml:space="preserve"> </w:t>
            </w:r>
            <w:r>
              <w:rPr>
                <w:rFonts w:hint="eastAsia" w:cs="Times New Roman"/>
                <w:sz w:val="24"/>
                <w:szCs w:val="24"/>
                <w:u w:val="single"/>
                <w:lang w:val="en-US" w:eastAsia="zh-CN"/>
              </w:rPr>
              <w:t>108</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eastAsia" w:cs="Times New Roman"/>
                <w:sz w:val="24"/>
                <w:szCs w:val="24"/>
                <w:u w:val="single"/>
                <w:lang w:val="en-US" w:eastAsia="zh-CN"/>
              </w:rPr>
              <w:t>27</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w:t>
            </w:r>
            <w:r>
              <w:rPr>
                <w:rFonts w:hint="eastAsia" w:cs="Times New Roman"/>
                <w:sz w:val="24"/>
                <w:szCs w:val="24"/>
                <w:u w:val="single"/>
                <w:lang w:val="en-US" w:eastAsia="zh-CN"/>
              </w:rPr>
              <w:t>51</w:t>
            </w:r>
            <w:r>
              <w:rPr>
                <w:rFonts w:hint="eastAsia" w:ascii="Times New Roman" w:hAnsi="Times New Roman" w:cs="Times New Roman"/>
                <w:sz w:val="24"/>
                <w:szCs w:val="24"/>
                <w:u w:val="single"/>
                <w:lang w:val="en-US" w:eastAsia="zh-CN"/>
              </w:rPr>
              <w:t>.</w:t>
            </w:r>
            <w:r>
              <w:rPr>
                <w:rFonts w:hint="eastAsia" w:cs="Times New Roman"/>
                <w:sz w:val="24"/>
                <w:szCs w:val="24"/>
                <w:u w:val="single"/>
                <w:lang w:val="en-US" w:eastAsia="zh-CN"/>
              </w:rPr>
              <w:t>441</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r>
              <w:rPr>
                <w:rFonts w:hint="eastAsia" w:ascii="Times New Roman" w:hAnsi="Times New Roman" w:cs="Times New Roman"/>
                <w:sz w:val="24"/>
                <w:szCs w:val="24"/>
                <w:lang w:val="en-US" w:eastAsia="zh-CN"/>
              </w:rPr>
              <w:t>N</w:t>
            </w:r>
            <w:r>
              <w:rPr>
                <w:rFonts w:hint="default" w:ascii="Times New Roman" w:hAnsi="Times New Roman" w:cs="Times New Roman"/>
                <w:sz w:val="24"/>
                <w:szCs w:val="24"/>
                <w:u w:val="single"/>
              </w:rPr>
              <w:t xml:space="preserve"> </w:t>
            </w:r>
            <w:r>
              <w:rPr>
                <w:rFonts w:hint="eastAsia" w:cs="Times New Roman"/>
                <w:sz w:val="24"/>
                <w:szCs w:val="24"/>
                <w:u w:val="single"/>
                <w:lang w:val="en-US" w:eastAsia="zh-CN"/>
              </w:rPr>
              <w:t>41</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度</w:t>
            </w:r>
            <w:r>
              <w:rPr>
                <w:rFonts w:hint="default" w:ascii="Times New Roman" w:hAnsi="Times New Roman" w:cs="Times New Roman"/>
                <w:sz w:val="24"/>
                <w:szCs w:val="24"/>
                <w:u w:val="single"/>
              </w:rPr>
              <w:t xml:space="preserve"> </w:t>
            </w:r>
            <w:r>
              <w:rPr>
                <w:rFonts w:hint="eastAsia" w:cs="Times New Roman"/>
                <w:sz w:val="24"/>
                <w:szCs w:val="24"/>
                <w:u w:val="single"/>
                <w:lang w:val="en-US" w:eastAsia="zh-CN"/>
              </w:rPr>
              <w:t>18</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分</w:t>
            </w:r>
            <w:r>
              <w:rPr>
                <w:rFonts w:hint="default" w:ascii="Times New Roman" w:hAnsi="Times New Roman" w:cs="Times New Roman"/>
                <w:sz w:val="24"/>
                <w:szCs w:val="24"/>
                <w:u w:val="single"/>
              </w:rPr>
              <w:t xml:space="preserve"> </w:t>
            </w:r>
            <w:r>
              <w:rPr>
                <w:rFonts w:hint="eastAsia" w:cs="Times New Roman"/>
                <w:sz w:val="24"/>
                <w:szCs w:val="24"/>
                <w:u w:val="single"/>
                <w:lang w:val="en-US" w:eastAsia="zh-CN"/>
              </w:rPr>
              <w:t>19</w:t>
            </w:r>
            <w:r>
              <w:rPr>
                <w:rFonts w:hint="eastAsia" w:ascii="Times New Roman" w:hAnsi="Times New Roman" w:cs="Times New Roman"/>
                <w:sz w:val="24"/>
                <w:szCs w:val="24"/>
                <w:u w:val="single"/>
                <w:lang w:val="en-US" w:eastAsia="zh-CN"/>
              </w:rPr>
              <w:t>.</w:t>
            </w:r>
            <w:r>
              <w:rPr>
                <w:rFonts w:hint="eastAsia" w:cs="Times New Roman"/>
                <w:sz w:val="24"/>
                <w:szCs w:val="24"/>
                <w:u w:val="single"/>
                <w:lang w:val="en-US" w:eastAsia="zh-CN"/>
              </w:rPr>
              <w:t>811</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秒）</w:t>
            </w:r>
          </w:p>
        </w:tc>
      </w:tr>
      <w:tr w14:paraId="07327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450DB082">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国民经济行业类别</w:t>
            </w:r>
          </w:p>
        </w:tc>
        <w:tc>
          <w:tcPr>
            <w:tcW w:w="3067" w:type="dxa"/>
            <w:noWrap w:val="0"/>
            <w:vAlign w:val="center"/>
          </w:tcPr>
          <w:p w14:paraId="754CD9CD">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C3021水泥制品制造</w:t>
            </w:r>
          </w:p>
        </w:tc>
        <w:tc>
          <w:tcPr>
            <w:tcW w:w="2125" w:type="dxa"/>
            <w:noWrap w:val="0"/>
            <w:vAlign w:val="center"/>
          </w:tcPr>
          <w:p w14:paraId="2F79E639">
            <w:pPr>
              <w:adjustRightInd w:val="0"/>
              <w:snapToGrid w:val="0"/>
              <w:jc w:val="center"/>
              <w:rPr>
                <w:rFonts w:hint="default" w:ascii="Times New Roman" w:hAnsi="Times New Roman" w:cs="Times New Roman"/>
                <w:sz w:val="24"/>
                <w:szCs w:val="24"/>
              </w:rPr>
            </w:pPr>
            <w:bookmarkStart w:id="1" w:name="_Hlk49843745"/>
            <w:r>
              <w:rPr>
                <w:rFonts w:hint="default" w:ascii="Times New Roman" w:hAnsi="Times New Roman" w:cs="Times New Roman"/>
                <w:sz w:val="24"/>
                <w:szCs w:val="24"/>
              </w:rPr>
              <w:t>建设项目</w:t>
            </w:r>
          </w:p>
          <w:p w14:paraId="1F0BEB37">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行业类别</w:t>
            </w:r>
            <w:bookmarkEnd w:id="1"/>
          </w:p>
        </w:tc>
        <w:tc>
          <w:tcPr>
            <w:tcW w:w="2678" w:type="dxa"/>
            <w:noWrap w:val="0"/>
            <w:vAlign w:val="center"/>
          </w:tcPr>
          <w:p w14:paraId="4CD281F2">
            <w:pPr>
              <w:adjustRightInd w:val="0"/>
              <w:snapToGrid w:val="0"/>
              <w:rPr>
                <w:rFonts w:hint="default" w:ascii="Times New Roman" w:hAnsi="Times New Roman" w:cs="Times New Roman"/>
                <w:sz w:val="24"/>
                <w:szCs w:val="24"/>
              </w:rPr>
            </w:pPr>
            <w:r>
              <w:rPr>
                <w:rFonts w:hint="default" w:ascii="Times New Roman" w:hAnsi="Times New Roman" w:cs="Times New Roman"/>
                <w:sz w:val="24"/>
                <w:szCs w:val="24"/>
              </w:rPr>
              <w:t>二十七、非金属矿物制品业30；55石膏、水泥制品及类似制品制造302</w:t>
            </w:r>
          </w:p>
        </w:tc>
      </w:tr>
      <w:tr w14:paraId="3EF8FD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3C14D247">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建设性质</w:t>
            </w:r>
          </w:p>
        </w:tc>
        <w:tc>
          <w:tcPr>
            <w:tcW w:w="3067" w:type="dxa"/>
            <w:noWrap w:val="0"/>
            <w:vAlign w:val="center"/>
          </w:tcPr>
          <w:p w14:paraId="3C4A2473">
            <w:pPr>
              <w:jc w:val="left"/>
              <w:rPr>
                <w:rFonts w:hint="default" w:ascii="Times New Roman" w:hAnsi="Times New Roman" w:cs="Times New Roman"/>
                <w:sz w:val="24"/>
                <w:szCs w:val="24"/>
              </w:rPr>
            </w:pPr>
            <w:r>
              <w:rPr>
                <w:rFonts w:hint="default" w:ascii="Times New Roman" w:hAnsi="Times New Roman" w:cs="Times New Roman"/>
                <w:sz w:val="24"/>
                <w:szCs w:val="24"/>
                <w:lang w:eastAsia="zh-CN"/>
              </w:rPr>
              <w:t>☑</w:t>
            </w:r>
            <w:r>
              <w:rPr>
                <w:rFonts w:hint="default" w:ascii="Times New Roman" w:hAnsi="Times New Roman" w:cs="Times New Roman"/>
                <w:sz w:val="24"/>
                <w:szCs w:val="24"/>
              </w:rPr>
              <w:t>新建（迁建）</w:t>
            </w:r>
          </w:p>
          <w:p w14:paraId="634276AC">
            <w:pPr>
              <w:jc w:val="left"/>
              <w:rPr>
                <w:rFonts w:hint="default" w:ascii="Times New Roman" w:hAnsi="Times New Roman" w:cs="Times New Roman"/>
                <w:sz w:val="24"/>
                <w:szCs w:val="24"/>
              </w:rPr>
            </w:pPr>
            <w:r>
              <w:rPr>
                <w:rFonts w:hint="eastAsia" w:ascii="Times New Roman" w:hAnsi="Times New Roman" w:cs="Times New Roman"/>
                <w:sz w:val="24"/>
                <w:szCs w:val="24"/>
                <w:lang w:eastAsia="zh-CN"/>
              </w:rPr>
              <w:t>□</w:t>
            </w:r>
            <w:r>
              <w:rPr>
                <w:rFonts w:hint="default" w:ascii="Times New Roman" w:hAnsi="Times New Roman" w:cs="Times New Roman"/>
                <w:sz w:val="24"/>
                <w:szCs w:val="24"/>
              </w:rPr>
              <w:t>改建</w:t>
            </w:r>
          </w:p>
          <w:p w14:paraId="29A0ED83">
            <w:pPr>
              <w:jc w:val="left"/>
              <w:rPr>
                <w:rFonts w:hint="default" w:ascii="Times New Roman" w:hAnsi="Times New Roman" w:cs="Times New Roman"/>
                <w:sz w:val="24"/>
                <w:szCs w:val="24"/>
              </w:rPr>
            </w:pPr>
            <w:r>
              <w:rPr>
                <w:rFonts w:hint="eastAsia" w:ascii="Times New Roman" w:hAnsi="Times New Roman" w:cs="Times New Roman"/>
                <w:sz w:val="24"/>
                <w:szCs w:val="24"/>
                <w:lang w:eastAsia="zh-CN"/>
              </w:rPr>
              <w:t>□</w:t>
            </w:r>
            <w:r>
              <w:rPr>
                <w:rFonts w:hint="default" w:ascii="Times New Roman" w:hAnsi="Times New Roman" w:cs="Times New Roman"/>
                <w:sz w:val="24"/>
                <w:szCs w:val="24"/>
              </w:rPr>
              <w:t>扩建</w:t>
            </w:r>
          </w:p>
          <w:p w14:paraId="0AAA63DA">
            <w:pPr>
              <w:jc w:val="left"/>
              <w:rPr>
                <w:rFonts w:hint="default" w:ascii="Times New Roman" w:hAnsi="Times New Roman" w:cs="Times New Roman"/>
                <w:sz w:val="24"/>
                <w:szCs w:val="24"/>
              </w:rPr>
            </w:pPr>
            <w:r>
              <w:rPr>
                <w:rFonts w:hint="eastAsia" w:ascii="Times New Roman" w:hAnsi="Times New Roman" w:cs="Times New Roman"/>
                <w:sz w:val="24"/>
                <w:szCs w:val="24"/>
                <w:lang w:eastAsia="zh-CN"/>
              </w:rPr>
              <w:t>□</w:t>
            </w:r>
            <w:r>
              <w:rPr>
                <w:rFonts w:hint="default" w:ascii="Times New Roman" w:hAnsi="Times New Roman" w:cs="Times New Roman"/>
                <w:sz w:val="24"/>
                <w:szCs w:val="24"/>
              </w:rPr>
              <w:t>技术改造</w:t>
            </w:r>
          </w:p>
        </w:tc>
        <w:tc>
          <w:tcPr>
            <w:tcW w:w="2125" w:type="dxa"/>
            <w:noWrap w:val="0"/>
            <w:vAlign w:val="center"/>
          </w:tcPr>
          <w:p w14:paraId="4E0EEE22">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建设项目</w:t>
            </w:r>
          </w:p>
          <w:p w14:paraId="600F6972">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申报情形</w:t>
            </w:r>
          </w:p>
        </w:tc>
        <w:tc>
          <w:tcPr>
            <w:tcW w:w="2678" w:type="dxa"/>
            <w:noWrap w:val="0"/>
            <w:vAlign w:val="center"/>
          </w:tcPr>
          <w:p w14:paraId="061F692B">
            <w:pPr>
              <w:jc w:val="left"/>
              <w:rPr>
                <w:rFonts w:hint="default" w:ascii="Times New Roman" w:hAnsi="Times New Roman" w:cs="Times New Roman"/>
                <w:sz w:val="24"/>
                <w:szCs w:val="24"/>
              </w:rPr>
            </w:pPr>
            <w:r>
              <w:rPr>
                <w:rFonts w:hint="default" w:ascii="Times New Roman" w:hAnsi="Times New Roman" w:cs="Times New Roman"/>
                <w:sz w:val="24"/>
                <w:szCs w:val="24"/>
                <w:lang w:eastAsia="zh-CN"/>
              </w:rPr>
              <w:t>☑</w:t>
            </w:r>
            <w:r>
              <w:rPr>
                <w:rFonts w:hint="default" w:ascii="Times New Roman" w:hAnsi="Times New Roman" w:cs="Times New Roman"/>
                <w:sz w:val="24"/>
                <w:szCs w:val="24"/>
              </w:rPr>
              <w:t xml:space="preserve">首次申报项目             </w:t>
            </w:r>
          </w:p>
          <w:p w14:paraId="38AB1E42">
            <w:pPr>
              <w:jc w:val="left"/>
              <w:rPr>
                <w:rFonts w:hint="default" w:ascii="Times New Roman" w:hAnsi="Times New Roman" w:cs="Times New Roman"/>
                <w:sz w:val="24"/>
                <w:szCs w:val="24"/>
              </w:rPr>
            </w:pPr>
            <w:r>
              <w:rPr>
                <w:rFonts w:hint="eastAsia" w:ascii="Times New Roman" w:hAnsi="Times New Roman" w:cs="Times New Roman"/>
                <w:sz w:val="24"/>
                <w:szCs w:val="24"/>
                <w:lang w:eastAsia="zh-CN"/>
              </w:rPr>
              <w:t>□</w:t>
            </w:r>
            <w:r>
              <w:rPr>
                <w:rFonts w:hint="default" w:ascii="Times New Roman" w:hAnsi="Times New Roman" w:cs="Times New Roman"/>
                <w:sz w:val="24"/>
                <w:szCs w:val="24"/>
              </w:rPr>
              <w:t>不予批准后再次申报项目</w:t>
            </w:r>
          </w:p>
          <w:p w14:paraId="34A38FD6">
            <w:pPr>
              <w:jc w:val="left"/>
              <w:rPr>
                <w:rFonts w:hint="default" w:ascii="Times New Roman" w:hAnsi="Times New Roman" w:cs="Times New Roman"/>
                <w:sz w:val="24"/>
                <w:szCs w:val="24"/>
              </w:rPr>
            </w:pPr>
            <w:r>
              <w:rPr>
                <w:rFonts w:hint="default" w:ascii="Times New Roman" w:hAnsi="Times New Roman" w:cs="Times New Roman"/>
                <w:sz w:val="24"/>
                <w:szCs w:val="24"/>
              </w:rPr>
              <w:sym w:font="Wingdings 2" w:char="00A3"/>
            </w:r>
            <w:r>
              <w:rPr>
                <w:rFonts w:hint="default" w:ascii="Times New Roman" w:hAnsi="Times New Roman" w:cs="Times New Roman"/>
                <w:sz w:val="24"/>
                <w:szCs w:val="24"/>
              </w:rPr>
              <w:t xml:space="preserve">超五年重新审核项目     </w:t>
            </w:r>
          </w:p>
          <w:p w14:paraId="3A2D1408">
            <w:pPr>
              <w:jc w:val="left"/>
              <w:rPr>
                <w:rFonts w:hint="default" w:ascii="Times New Roman" w:hAnsi="Times New Roman" w:cs="Times New Roman"/>
                <w:sz w:val="24"/>
                <w:szCs w:val="24"/>
              </w:rPr>
            </w:pPr>
            <w:r>
              <w:rPr>
                <w:rFonts w:hint="eastAsia" w:ascii="Times New Roman" w:hAnsi="Times New Roman" w:cs="Times New Roman"/>
                <w:sz w:val="24"/>
                <w:szCs w:val="24"/>
                <w:lang w:eastAsia="zh-CN"/>
              </w:rPr>
              <w:t>□</w:t>
            </w:r>
            <w:r>
              <w:rPr>
                <w:rFonts w:hint="default" w:ascii="Times New Roman" w:hAnsi="Times New Roman" w:cs="Times New Roman"/>
                <w:sz w:val="24"/>
                <w:szCs w:val="24"/>
              </w:rPr>
              <w:t>重大变动重新报批项目</w:t>
            </w:r>
          </w:p>
        </w:tc>
      </w:tr>
      <w:tr w14:paraId="0F111E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303A95B7">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项目审批（核准/备案）部门（选填）</w:t>
            </w:r>
          </w:p>
        </w:tc>
        <w:tc>
          <w:tcPr>
            <w:tcW w:w="3067" w:type="dxa"/>
            <w:noWrap w:val="0"/>
            <w:vAlign w:val="center"/>
          </w:tcPr>
          <w:p w14:paraId="5AB61EF6">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乌拉特中旗发展和改革委员会</w:t>
            </w:r>
          </w:p>
        </w:tc>
        <w:tc>
          <w:tcPr>
            <w:tcW w:w="2125" w:type="dxa"/>
            <w:noWrap w:val="0"/>
            <w:vAlign w:val="center"/>
          </w:tcPr>
          <w:p w14:paraId="07410FA1">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项目审批（核准/</w:t>
            </w:r>
          </w:p>
          <w:p w14:paraId="0F03BFDD">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备案）文号（选填）</w:t>
            </w:r>
          </w:p>
        </w:tc>
        <w:tc>
          <w:tcPr>
            <w:tcW w:w="2678" w:type="dxa"/>
            <w:noWrap w:val="0"/>
            <w:vAlign w:val="center"/>
          </w:tcPr>
          <w:p w14:paraId="4B33BC09">
            <w:pPr>
              <w:adjustRightInd w:val="0"/>
              <w:snapToGrid w:val="0"/>
              <w:jc w:val="center"/>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2506-150824-04-01-988652</w:t>
            </w:r>
          </w:p>
        </w:tc>
      </w:tr>
      <w:tr w14:paraId="2C267F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712508C4">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总投资</w:t>
            </w:r>
          </w:p>
          <w:p w14:paraId="314B3E92">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（万元）</w:t>
            </w:r>
          </w:p>
        </w:tc>
        <w:tc>
          <w:tcPr>
            <w:tcW w:w="3067" w:type="dxa"/>
            <w:noWrap w:val="0"/>
            <w:vAlign w:val="center"/>
          </w:tcPr>
          <w:p w14:paraId="211B7B48">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1000</w:t>
            </w:r>
          </w:p>
        </w:tc>
        <w:tc>
          <w:tcPr>
            <w:tcW w:w="2125" w:type="dxa"/>
            <w:noWrap w:val="0"/>
            <w:tcMar>
              <w:top w:w="16" w:type="dxa"/>
              <w:left w:w="16" w:type="dxa"/>
              <w:right w:w="16" w:type="dxa"/>
            </w:tcMar>
            <w:vAlign w:val="center"/>
          </w:tcPr>
          <w:p w14:paraId="1DAB1805">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环保投资（万元）</w:t>
            </w:r>
          </w:p>
        </w:tc>
        <w:tc>
          <w:tcPr>
            <w:tcW w:w="2678" w:type="dxa"/>
            <w:noWrap w:val="0"/>
            <w:vAlign w:val="center"/>
          </w:tcPr>
          <w:p w14:paraId="2D872B96">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109.1</w:t>
            </w:r>
          </w:p>
        </w:tc>
      </w:tr>
      <w:tr w14:paraId="1913F8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674DD888">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环保投资占比（%）</w:t>
            </w:r>
          </w:p>
        </w:tc>
        <w:tc>
          <w:tcPr>
            <w:tcW w:w="3067" w:type="dxa"/>
            <w:noWrap w:val="0"/>
            <w:vAlign w:val="center"/>
          </w:tcPr>
          <w:p w14:paraId="19C003D1">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10.91</w:t>
            </w:r>
          </w:p>
        </w:tc>
        <w:tc>
          <w:tcPr>
            <w:tcW w:w="2125" w:type="dxa"/>
            <w:noWrap w:val="0"/>
            <w:tcMar>
              <w:top w:w="16" w:type="dxa"/>
              <w:left w:w="16" w:type="dxa"/>
              <w:right w:w="16" w:type="dxa"/>
            </w:tcMar>
            <w:vAlign w:val="center"/>
          </w:tcPr>
          <w:p w14:paraId="12036508">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施工工期</w:t>
            </w:r>
          </w:p>
        </w:tc>
        <w:tc>
          <w:tcPr>
            <w:tcW w:w="2678" w:type="dxa"/>
            <w:noWrap w:val="0"/>
            <w:vAlign w:val="center"/>
          </w:tcPr>
          <w:p w14:paraId="2D8F1DB7">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2个月</w:t>
            </w:r>
          </w:p>
        </w:tc>
      </w:tr>
      <w:tr w14:paraId="2171BF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1000" w:type="dxa"/>
            <w:noWrap w:val="0"/>
            <w:tcMar>
              <w:top w:w="16" w:type="dxa"/>
              <w:left w:w="16" w:type="dxa"/>
              <w:right w:w="16" w:type="dxa"/>
            </w:tcMar>
            <w:vAlign w:val="center"/>
          </w:tcPr>
          <w:p w14:paraId="5EF48AD5">
            <w:pPr>
              <w:adjustRightInd w:val="0"/>
              <w:snapToGrid w:val="0"/>
              <w:jc w:val="center"/>
              <w:rPr>
                <w:rFonts w:hint="default" w:ascii="Times New Roman" w:hAnsi="Times New Roman" w:cs="Times New Roman"/>
                <w:sz w:val="24"/>
                <w:szCs w:val="24"/>
              </w:rPr>
            </w:pPr>
            <w:r>
              <w:rPr>
                <w:rFonts w:hint="default" w:ascii="Times New Roman" w:hAnsi="Times New Roman" w:cs="Times New Roman"/>
                <w:sz w:val="24"/>
                <w:szCs w:val="24"/>
              </w:rPr>
              <w:t>是否开工建设</w:t>
            </w:r>
          </w:p>
        </w:tc>
        <w:tc>
          <w:tcPr>
            <w:tcW w:w="3067" w:type="dxa"/>
            <w:noWrap w:val="0"/>
            <w:vAlign w:val="center"/>
          </w:tcPr>
          <w:p w14:paraId="75583178">
            <w:pPr>
              <w:adjustRightInd w:val="0"/>
              <w:snapToGrid w:val="0"/>
              <w:rPr>
                <w:rFonts w:hint="default" w:ascii="Times New Roman" w:hAnsi="Times New Roman" w:cs="Times New Roman"/>
                <w:sz w:val="24"/>
                <w:szCs w:val="24"/>
              </w:rPr>
            </w:pPr>
            <w:r>
              <w:rPr>
                <w:rFonts w:hint="default" w:ascii="Times New Roman" w:hAnsi="Times New Roman" w:cs="Times New Roman"/>
                <w:sz w:val="24"/>
                <w:szCs w:val="24"/>
              </w:rPr>
              <w:sym w:font="Wingdings 2" w:char="00A3"/>
            </w:r>
            <w:r>
              <w:rPr>
                <w:rFonts w:hint="default" w:ascii="Times New Roman" w:hAnsi="Times New Roman" w:cs="Times New Roman"/>
                <w:sz w:val="24"/>
                <w:szCs w:val="24"/>
              </w:rPr>
              <w:t>否</w:t>
            </w:r>
          </w:p>
          <w:p w14:paraId="7BB8F259">
            <w:pPr>
              <w:adjustRightInd w:val="0"/>
              <w:snapToGrid w:val="0"/>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rPr>
              <w:sym w:font="Wingdings 2" w:char="0052"/>
            </w:r>
            <w:r>
              <w:rPr>
                <w:rFonts w:hint="default" w:ascii="Times New Roman" w:hAnsi="Times New Roman" w:cs="Times New Roman"/>
                <w:sz w:val="24"/>
                <w:szCs w:val="24"/>
              </w:rPr>
              <w:t>是：</w:t>
            </w:r>
            <w:r>
              <w:rPr>
                <w:rFonts w:hint="eastAsia" w:cs="Times New Roman"/>
                <w:sz w:val="24"/>
                <w:szCs w:val="24"/>
                <w:u w:val="single"/>
                <w:lang w:val="en-US" w:eastAsia="zh-CN"/>
              </w:rPr>
              <w:t>2025年4月前，本项目已建成1座办公生活区、1座地磅房、1座门房、1座拌合车间、2个密闭水泥筒仓以及相关计量、输送设施等。2025年5月，巴彦淖尔市生态环境局出具了《巴彦淖尔市生态环境局行政处罚事先告知书》对本项目未批先建的违法行为进行了处罚，建设单位按规定缴纳了罚款，缴纳罚款证明见附件10。</w:t>
            </w:r>
          </w:p>
        </w:tc>
        <w:tc>
          <w:tcPr>
            <w:tcW w:w="2125" w:type="dxa"/>
            <w:noWrap w:val="0"/>
            <w:tcMar>
              <w:top w:w="16" w:type="dxa"/>
              <w:left w:w="16" w:type="dxa"/>
              <w:right w:w="16" w:type="dxa"/>
            </w:tcMar>
            <w:vAlign w:val="center"/>
          </w:tcPr>
          <w:p w14:paraId="6A4E63B3">
            <w:pPr>
              <w:adjustRightInd w:val="0"/>
              <w:snapToGrid w:val="0"/>
              <w:jc w:val="center"/>
              <w:rPr>
                <w:rFonts w:hint="default" w:ascii="Times New Roman" w:hAnsi="Times New Roman" w:cs="Times New Roman"/>
                <w:spacing w:val="-6"/>
                <w:sz w:val="24"/>
                <w:szCs w:val="24"/>
              </w:rPr>
            </w:pPr>
            <w:r>
              <w:rPr>
                <w:rFonts w:hint="default" w:ascii="Times New Roman" w:hAnsi="Times New Roman" w:cs="Times New Roman"/>
                <w:spacing w:val="-6"/>
                <w:sz w:val="24"/>
                <w:szCs w:val="24"/>
              </w:rPr>
              <w:t>用地（用海）</w:t>
            </w:r>
          </w:p>
          <w:p w14:paraId="01A4FD28">
            <w:pPr>
              <w:adjustRightInd w:val="0"/>
              <w:snapToGrid w:val="0"/>
              <w:jc w:val="center"/>
              <w:rPr>
                <w:rFonts w:hint="default" w:ascii="Times New Roman" w:hAnsi="Times New Roman" w:cs="Times New Roman"/>
                <w:sz w:val="24"/>
                <w:szCs w:val="24"/>
              </w:rPr>
            </w:pPr>
            <w:r>
              <w:rPr>
                <w:rFonts w:hint="default" w:ascii="Times New Roman" w:hAnsi="Times New Roman" w:cs="Times New Roman"/>
                <w:spacing w:val="-6"/>
                <w:sz w:val="24"/>
                <w:szCs w:val="24"/>
              </w:rPr>
              <w:t>面积（m</w:t>
            </w:r>
            <w:r>
              <w:rPr>
                <w:rFonts w:hint="default" w:ascii="Times New Roman" w:hAnsi="Times New Roman" w:cs="Times New Roman"/>
                <w:spacing w:val="-6"/>
                <w:sz w:val="24"/>
                <w:szCs w:val="24"/>
                <w:vertAlign w:val="superscript"/>
              </w:rPr>
              <w:t>2</w:t>
            </w:r>
            <w:r>
              <w:rPr>
                <w:rFonts w:hint="default" w:ascii="Times New Roman" w:hAnsi="Times New Roman" w:cs="Times New Roman"/>
                <w:spacing w:val="-6"/>
                <w:sz w:val="24"/>
                <w:szCs w:val="24"/>
              </w:rPr>
              <w:t>）</w:t>
            </w:r>
          </w:p>
        </w:tc>
        <w:tc>
          <w:tcPr>
            <w:tcW w:w="2678" w:type="dxa"/>
            <w:noWrap w:val="0"/>
            <w:vAlign w:val="center"/>
          </w:tcPr>
          <w:p w14:paraId="46004ECE">
            <w:pPr>
              <w:adjustRightInd w:val="0"/>
              <w:snapToGrid w:val="0"/>
              <w:jc w:val="center"/>
              <w:rPr>
                <w:rFonts w:hint="default" w:ascii="Times New Roman" w:hAnsi="Times New Roman" w:eastAsia="宋体" w:cs="Times New Roman"/>
                <w:sz w:val="24"/>
                <w:szCs w:val="24"/>
                <w:lang w:val="en-US" w:eastAsia="zh-CN"/>
              </w:rPr>
            </w:pPr>
            <w:r>
              <w:rPr>
                <w:rFonts w:hint="eastAsia" w:cs="Times New Roman"/>
                <w:sz w:val="24"/>
                <w:szCs w:val="24"/>
                <w:lang w:val="en-US" w:eastAsia="zh-CN"/>
              </w:rPr>
              <w:t>26666.7</w:t>
            </w:r>
          </w:p>
        </w:tc>
      </w:tr>
      <w:tr w14:paraId="613418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00" w:type="dxa"/>
            <w:noWrap w:val="0"/>
            <w:vAlign w:val="center"/>
          </w:tcPr>
          <w:p w14:paraId="2E679ED9">
            <w:pPr>
              <w:autoSpaceDE w:val="0"/>
              <w:autoSpaceDN w:val="0"/>
              <w:adjustRightInd w:val="0"/>
              <w:snapToGrid w:val="0"/>
              <w:jc w:val="center"/>
              <w:rPr>
                <w:rFonts w:hint="default" w:ascii="Times New Roman" w:hAnsi="Times New Roman" w:cs="Times New Roman"/>
                <w:kern w:val="0"/>
                <w:sz w:val="24"/>
                <w:szCs w:val="24"/>
              </w:rPr>
            </w:pPr>
            <w:r>
              <w:rPr>
                <w:rFonts w:hint="default" w:ascii="Times New Roman" w:hAnsi="Times New Roman" w:cs="Times New Roman"/>
                <w:kern w:val="0"/>
                <w:sz w:val="24"/>
                <w:szCs w:val="24"/>
              </w:rPr>
              <w:t>专项评价设置情况</w:t>
            </w:r>
          </w:p>
        </w:tc>
        <w:tc>
          <w:tcPr>
            <w:tcW w:w="7870" w:type="dxa"/>
            <w:gridSpan w:val="3"/>
            <w:noWrap w:val="0"/>
            <w:vAlign w:val="center"/>
          </w:tcPr>
          <w:p w14:paraId="5987E9FC">
            <w:pPr>
              <w:pStyle w:val="54"/>
              <w:bidi w:val="0"/>
              <w:rPr>
                <w:rFonts w:hint="default" w:ascii="Times New Roman" w:hAnsi="Times New Roman" w:cs="Times New Roman"/>
                <w:kern w:val="0"/>
                <w:szCs w:val="24"/>
                <w:lang w:val="en-US" w:eastAsia="zh-CN"/>
              </w:rPr>
            </w:pPr>
            <w:r>
              <w:rPr>
                <w:rFonts w:hint="default"/>
                <w:lang w:val="en-US" w:eastAsia="zh-CN"/>
              </w:rPr>
              <w:t>根据《建设项目环境影响报告表编制技术指南（污染影响类）》（试行）中的有关要求，对本项目的专项评价设置情况进行判定，本项目不设置专项评价，具体分析</w:t>
            </w:r>
            <w:r>
              <w:rPr>
                <w:rFonts w:hint="eastAsia"/>
                <w:lang w:val="en-US" w:eastAsia="zh-CN"/>
              </w:rPr>
              <w:t>见</w:t>
            </w:r>
            <w:r>
              <w:rPr>
                <w:rFonts w:hint="default"/>
                <w:lang w:val="en-US" w:eastAsia="zh-CN"/>
              </w:rPr>
              <w:t>表1。</w:t>
            </w:r>
          </w:p>
          <w:p w14:paraId="6EC1DFE5">
            <w:pPr>
              <w:pStyle w:val="33"/>
              <w:bidi w:val="0"/>
              <w:rPr>
                <w:rFonts w:hint="default" w:ascii="Times New Roman" w:hAnsi="Times New Roman" w:cs="Times New Roman"/>
                <w:b/>
                <w:bCs/>
                <w:kern w:val="0"/>
                <w:szCs w:val="24"/>
                <w:lang w:val="en-US" w:eastAsia="zh-CN"/>
              </w:rPr>
            </w:pPr>
            <w:r>
              <w:rPr>
                <w:rFonts w:hint="default"/>
                <w:lang w:val="en-US" w:eastAsia="zh-CN"/>
              </w:rPr>
              <w:t>表</w:t>
            </w:r>
            <w:r>
              <w:rPr>
                <w:rFonts w:hint="eastAsia"/>
                <w:lang w:val="en-US" w:eastAsia="zh-CN"/>
              </w:rPr>
              <w:t xml:space="preserve">1    </w:t>
            </w:r>
            <w:r>
              <w:rPr>
                <w:rFonts w:hint="default"/>
                <w:lang w:val="en-US" w:eastAsia="zh-CN"/>
              </w:rPr>
              <w:t>专项评价设置判定</w:t>
            </w:r>
          </w:p>
          <w:tbl>
            <w:tblPr>
              <w:tblStyle w:val="18"/>
              <w:tblW w:w="7640"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3311"/>
              <w:gridCol w:w="3230"/>
            </w:tblGrid>
            <w:tr w14:paraId="778DD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tcBorders>
                    <w:tl2br w:val="nil"/>
                    <w:tr2bl w:val="nil"/>
                  </w:tcBorders>
                  <w:noWrap w:val="0"/>
                  <w:vAlign w:val="center"/>
                </w:tcPr>
                <w:p w14:paraId="2273EBEE">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专项评价的类别</w:t>
                  </w:r>
                </w:p>
              </w:tc>
              <w:tc>
                <w:tcPr>
                  <w:tcW w:w="3311" w:type="dxa"/>
                  <w:tcBorders>
                    <w:tl2br w:val="nil"/>
                    <w:tr2bl w:val="nil"/>
                  </w:tcBorders>
                  <w:noWrap w:val="0"/>
                  <w:vAlign w:val="center"/>
                </w:tcPr>
                <w:p w14:paraId="5099A572">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设置原则</w:t>
                  </w:r>
                </w:p>
              </w:tc>
              <w:tc>
                <w:tcPr>
                  <w:tcW w:w="3230" w:type="dxa"/>
                  <w:tcBorders>
                    <w:tl2br w:val="nil"/>
                    <w:tr2bl w:val="nil"/>
                  </w:tcBorders>
                  <w:noWrap w:val="0"/>
                  <w:vAlign w:val="center"/>
                </w:tcPr>
                <w:p w14:paraId="6880D95E">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本项目情况</w:t>
                  </w:r>
                </w:p>
              </w:tc>
            </w:tr>
            <w:tr w14:paraId="4CF16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tcBorders>
                    <w:tl2br w:val="nil"/>
                    <w:tr2bl w:val="nil"/>
                  </w:tcBorders>
                  <w:noWrap w:val="0"/>
                  <w:vAlign w:val="center"/>
                </w:tcPr>
                <w:p w14:paraId="09F37FB9">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大气</w:t>
                  </w:r>
                </w:p>
              </w:tc>
              <w:tc>
                <w:tcPr>
                  <w:tcW w:w="3311" w:type="dxa"/>
                  <w:tcBorders>
                    <w:tl2br w:val="nil"/>
                    <w:tr2bl w:val="nil"/>
                  </w:tcBorders>
                  <w:noWrap w:val="0"/>
                  <w:vAlign w:val="center"/>
                </w:tcPr>
                <w:p w14:paraId="3FD53BF5">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排放废气含有毒有害污染物</w:t>
                  </w:r>
                  <w:r>
                    <w:rPr>
                      <w:rFonts w:hint="eastAsia" w:ascii="Times New Roman" w:hAnsi="Times New Roman" w:cs="Times New Roman"/>
                      <w:sz w:val="21"/>
                      <w:szCs w:val="21"/>
                      <w:vertAlign w:val="superscript"/>
                      <w:lang w:val="en-US" w:eastAsia="zh-CN"/>
                    </w:rPr>
                    <w:t>1</w:t>
                  </w:r>
                  <w:r>
                    <w:rPr>
                      <w:rFonts w:hint="default" w:ascii="Times New Roman" w:hAnsi="Times New Roman" w:cs="Times New Roman"/>
                      <w:sz w:val="21"/>
                      <w:szCs w:val="21"/>
                      <w:lang w:val="en-US" w:eastAsia="zh-CN"/>
                    </w:rPr>
                    <w:t>、二噁英、苯并[a]芘、氰化物、氯气且厂界外500米范围内有环境空气保护目标</w:t>
                  </w:r>
                  <w:r>
                    <w:rPr>
                      <w:rFonts w:hint="eastAsia" w:ascii="Times New Roman" w:hAnsi="Times New Roman" w:cs="Times New Roman"/>
                      <w:sz w:val="21"/>
                      <w:szCs w:val="21"/>
                      <w:vertAlign w:val="superscript"/>
                      <w:lang w:val="en-US" w:eastAsia="zh-CN"/>
                    </w:rPr>
                    <w:t>2</w:t>
                  </w:r>
                  <w:r>
                    <w:rPr>
                      <w:rFonts w:hint="default" w:ascii="Times New Roman" w:hAnsi="Times New Roman" w:cs="Times New Roman"/>
                      <w:sz w:val="21"/>
                      <w:szCs w:val="21"/>
                      <w:lang w:val="en-US" w:eastAsia="zh-CN"/>
                    </w:rPr>
                    <w:t>的建设项目</w:t>
                  </w:r>
                </w:p>
              </w:tc>
              <w:tc>
                <w:tcPr>
                  <w:tcW w:w="3230" w:type="dxa"/>
                  <w:tcBorders>
                    <w:tl2br w:val="nil"/>
                    <w:tr2bl w:val="nil"/>
                  </w:tcBorders>
                  <w:noWrap w:val="0"/>
                  <w:vAlign w:val="center"/>
                </w:tcPr>
                <w:p w14:paraId="41EE9762">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本项目废气污染物无《有毒有害大气污染物名录》中有关污染物、二噁英、苯并[a]芘、氰化物和氯气，故不设置大气专项评价。</w:t>
                  </w:r>
                </w:p>
              </w:tc>
            </w:tr>
            <w:tr w14:paraId="006AF3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99" w:type="dxa"/>
                  <w:tcBorders>
                    <w:tl2br w:val="nil"/>
                    <w:tr2bl w:val="nil"/>
                  </w:tcBorders>
                  <w:noWrap w:val="0"/>
                  <w:vAlign w:val="center"/>
                </w:tcPr>
                <w:p w14:paraId="7D3F1211">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地表水</w:t>
                  </w:r>
                </w:p>
              </w:tc>
              <w:tc>
                <w:tcPr>
                  <w:tcW w:w="3311" w:type="dxa"/>
                  <w:tcBorders>
                    <w:tl2br w:val="nil"/>
                    <w:tr2bl w:val="nil"/>
                  </w:tcBorders>
                  <w:noWrap w:val="0"/>
                  <w:vAlign w:val="center"/>
                </w:tcPr>
                <w:p w14:paraId="5293721D">
                  <w:pPr>
                    <w:pStyle w:val="38"/>
                    <w:bidi w:val="0"/>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新增工业废水直排建设项目（槽罐车外送污水处理厂的除外）；新增废水直排的污水集中处理厂</w:t>
                  </w:r>
                </w:p>
              </w:tc>
              <w:tc>
                <w:tcPr>
                  <w:tcW w:w="3230" w:type="dxa"/>
                  <w:tcBorders>
                    <w:tl2br w:val="nil"/>
                    <w:tr2bl w:val="nil"/>
                  </w:tcBorders>
                  <w:noWrap w:val="0"/>
                  <w:vAlign w:val="center"/>
                </w:tcPr>
                <w:p w14:paraId="320CDCC1">
                  <w:pPr>
                    <w:pStyle w:val="38"/>
                    <w:bidi w:val="0"/>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本项目生产废水全部回用，不外排；生活污水经化粪池预处理后，定期拉运至甘其毛都口岸加工园区污水处理厂。</w:t>
                  </w:r>
                </w:p>
              </w:tc>
            </w:tr>
            <w:tr w14:paraId="3489CE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tcBorders>
                    <w:tl2br w:val="nil"/>
                    <w:tr2bl w:val="nil"/>
                  </w:tcBorders>
                  <w:noWrap w:val="0"/>
                  <w:vAlign w:val="center"/>
                </w:tcPr>
                <w:p w14:paraId="39E5B9FD">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环境风险</w:t>
                  </w:r>
                </w:p>
              </w:tc>
              <w:tc>
                <w:tcPr>
                  <w:tcW w:w="3311" w:type="dxa"/>
                  <w:tcBorders>
                    <w:tl2br w:val="nil"/>
                    <w:tr2bl w:val="nil"/>
                  </w:tcBorders>
                  <w:noWrap w:val="0"/>
                  <w:vAlign w:val="center"/>
                </w:tcPr>
                <w:p w14:paraId="37E6FC8E">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有毒有害和易燃易爆危险物质存储量超过临界量</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lang w:val="en-US" w:eastAsia="zh-CN"/>
                    </w:rPr>
                    <w:t>的建设项目</w:t>
                  </w:r>
                </w:p>
              </w:tc>
              <w:tc>
                <w:tcPr>
                  <w:tcW w:w="3230" w:type="dxa"/>
                  <w:tcBorders>
                    <w:tl2br w:val="nil"/>
                    <w:tr2bl w:val="nil"/>
                  </w:tcBorders>
                  <w:noWrap w:val="0"/>
                  <w:vAlign w:val="center"/>
                </w:tcPr>
                <w:p w14:paraId="584695F6">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本项目有毒有害和易燃易爆危险物质存储量未超过临界量。</w:t>
                  </w:r>
                </w:p>
              </w:tc>
            </w:tr>
            <w:tr w14:paraId="2A5253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tcBorders>
                    <w:tl2br w:val="nil"/>
                    <w:tr2bl w:val="nil"/>
                  </w:tcBorders>
                  <w:noWrap w:val="0"/>
                  <w:vAlign w:val="center"/>
                </w:tcPr>
                <w:p w14:paraId="48797014">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生态</w:t>
                  </w:r>
                </w:p>
              </w:tc>
              <w:tc>
                <w:tcPr>
                  <w:tcW w:w="3311" w:type="dxa"/>
                  <w:tcBorders>
                    <w:tl2br w:val="nil"/>
                    <w:tr2bl w:val="nil"/>
                  </w:tcBorders>
                  <w:noWrap w:val="0"/>
                  <w:vAlign w:val="center"/>
                </w:tcPr>
                <w:p w14:paraId="14F92AC3">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取水口下游500米范围内有重要水生生物的自然产卵场、索饵场、越冬场和洄游通道的新增河道取水的污染类建设项目</w:t>
                  </w:r>
                </w:p>
              </w:tc>
              <w:tc>
                <w:tcPr>
                  <w:tcW w:w="3230" w:type="dxa"/>
                  <w:tcBorders>
                    <w:tl2br w:val="nil"/>
                    <w:tr2bl w:val="nil"/>
                  </w:tcBorders>
                  <w:noWrap w:val="0"/>
                  <w:vAlign w:val="center"/>
                </w:tcPr>
                <w:p w14:paraId="69D44E4A">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本项目不新增河道取水，故不设置生态专项评价。</w:t>
                  </w:r>
                </w:p>
              </w:tc>
            </w:tr>
            <w:tr w14:paraId="0FAEA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99" w:type="dxa"/>
                  <w:tcBorders>
                    <w:tl2br w:val="nil"/>
                    <w:tr2bl w:val="nil"/>
                  </w:tcBorders>
                  <w:noWrap w:val="0"/>
                  <w:vAlign w:val="center"/>
                </w:tcPr>
                <w:p w14:paraId="2BACD3AF">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海洋</w:t>
                  </w:r>
                </w:p>
              </w:tc>
              <w:tc>
                <w:tcPr>
                  <w:tcW w:w="3311" w:type="dxa"/>
                  <w:tcBorders>
                    <w:tl2br w:val="nil"/>
                    <w:tr2bl w:val="nil"/>
                  </w:tcBorders>
                  <w:noWrap w:val="0"/>
                  <w:vAlign w:val="center"/>
                </w:tcPr>
                <w:p w14:paraId="3CAAB7F0">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直接向海排放污染物的海洋工程建设项目</w:t>
                  </w:r>
                </w:p>
              </w:tc>
              <w:tc>
                <w:tcPr>
                  <w:tcW w:w="3230" w:type="dxa"/>
                  <w:tcBorders>
                    <w:tl2br w:val="nil"/>
                    <w:tr2bl w:val="nil"/>
                  </w:tcBorders>
                  <w:noWrap w:val="0"/>
                  <w:vAlign w:val="center"/>
                </w:tcPr>
                <w:p w14:paraId="0F151A8A">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本项目非海洋工程</w:t>
                  </w:r>
                  <w:r>
                    <w:rPr>
                      <w:rFonts w:hint="eastAsia" w:ascii="Times New Roman" w:hAnsi="Times New Roman" w:cs="Times New Roman"/>
                      <w:sz w:val="21"/>
                      <w:szCs w:val="21"/>
                      <w:lang w:val="en-US" w:eastAsia="zh-CN"/>
                    </w:rPr>
                    <w:t>建设项目</w:t>
                  </w:r>
                  <w:r>
                    <w:rPr>
                      <w:rFonts w:hint="default" w:ascii="Times New Roman" w:hAnsi="Times New Roman" w:cs="Times New Roman"/>
                      <w:sz w:val="21"/>
                      <w:szCs w:val="21"/>
                      <w:lang w:val="en-US" w:eastAsia="zh-CN"/>
                    </w:rPr>
                    <w:t>，故不设置海洋专项评价。</w:t>
                  </w:r>
                </w:p>
              </w:tc>
            </w:tr>
            <w:tr w14:paraId="38527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40" w:type="dxa"/>
                  <w:gridSpan w:val="3"/>
                  <w:tcBorders>
                    <w:tl2br w:val="nil"/>
                    <w:tr2bl w:val="nil"/>
                  </w:tcBorders>
                  <w:noWrap w:val="0"/>
                  <w:vAlign w:val="center"/>
                </w:tcPr>
                <w:p w14:paraId="60B0D618">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注</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lang w:val="en-US" w:eastAsia="zh-CN"/>
                    </w:rPr>
                    <w:t>1.废气中有毒有害污染物指纳入《有毒有害大气污染物名录》的污染物（不包括无排放标准的污染物）。</w:t>
                  </w:r>
                </w:p>
                <w:p w14:paraId="7B952C2B">
                  <w:pPr>
                    <w:pStyle w:val="38"/>
                    <w:bidi w:val="0"/>
                    <w:ind w:firstLine="420" w:firstLineChars="20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2.环境空气保护目标指自然保护区、风景名胜区、居住区、文化区和农村地区中人群较集中的区域。</w:t>
                  </w:r>
                </w:p>
                <w:p w14:paraId="62768EF3">
                  <w:pPr>
                    <w:pStyle w:val="38"/>
                    <w:bidi w:val="0"/>
                    <w:ind w:firstLine="420" w:firstLineChars="20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3.临界量及其计算方法可参考《建设项目环境风险评价技术导则》（HJ169）附录B、附录C。</w:t>
                  </w:r>
                </w:p>
              </w:tc>
            </w:tr>
          </w:tbl>
          <w:p w14:paraId="6BD65F6F">
            <w:pPr>
              <w:autoSpaceDE w:val="0"/>
              <w:autoSpaceDN w:val="0"/>
              <w:adjustRightInd w:val="0"/>
              <w:snapToGrid w:val="0"/>
              <w:spacing w:line="360" w:lineRule="auto"/>
              <w:jc w:val="center"/>
              <w:rPr>
                <w:rFonts w:hint="default" w:ascii="Times New Roman" w:hAnsi="Times New Roman" w:eastAsia="宋体" w:cs="Times New Roman"/>
                <w:kern w:val="0"/>
                <w:sz w:val="24"/>
                <w:szCs w:val="24"/>
                <w:lang w:val="en-US" w:eastAsia="zh-CN"/>
              </w:rPr>
            </w:pPr>
          </w:p>
        </w:tc>
      </w:tr>
      <w:tr w14:paraId="5B216E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00" w:type="dxa"/>
            <w:noWrap w:val="0"/>
            <w:vAlign w:val="center"/>
          </w:tcPr>
          <w:p w14:paraId="6BC985A2">
            <w:pPr>
              <w:autoSpaceDE w:val="0"/>
              <w:autoSpaceDN w:val="0"/>
              <w:adjustRightInd w:val="0"/>
              <w:snapToGrid w:val="0"/>
              <w:jc w:val="center"/>
              <w:rPr>
                <w:rFonts w:hint="default" w:ascii="Times New Roman" w:hAnsi="Times New Roman" w:cs="Times New Roman"/>
                <w:kern w:val="0"/>
                <w:sz w:val="24"/>
                <w:szCs w:val="24"/>
              </w:rPr>
            </w:pPr>
            <w:r>
              <w:rPr>
                <w:rFonts w:hint="default" w:ascii="Times New Roman" w:hAnsi="Times New Roman" w:cs="Times New Roman"/>
                <w:sz w:val="24"/>
                <w:szCs w:val="24"/>
              </w:rPr>
              <w:t>规划情况</w:t>
            </w:r>
          </w:p>
        </w:tc>
        <w:tc>
          <w:tcPr>
            <w:tcW w:w="7870" w:type="dxa"/>
            <w:gridSpan w:val="3"/>
            <w:noWrap w:val="0"/>
            <w:vAlign w:val="center"/>
          </w:tcPr>
          <w:p w14:paraId="61C60E66">
            <w:pPr>
              <w:pStyle w:val="54"/>
              <w:bidi w:val="0"/>
              <w:ind w:left="0" w:leftChars="0" w:firstLine="0" w:firstLineChars="0"/>
              <w:jc w:val="center"/>
              <w:rPr>
                <w:rFonts w:hint="default"/>
                <w:lang w:val="en-US" w:eastAsia="zh-CN"/>
              </w:rPr>
            </w:pPr>
            <w:r>
              <w:rPr>
                <w:rFonts w:hint="eastAsia"/>
                <w:lang w:val="en-US" w:eastAsia="zh-CN"/>
              </w:rPr>
              <w:t>无</w:t>
            </w:r>
          </w:p>
        </w:tc>
      </w:tr>
      <w:tr w14:paraId="5414A6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00" w:type="dxa"/>
            <w:noWrap w:val="0"/>
            <w:vAlign w:val="center"/>
          </w:tcPr>
          <w:p w14:paraId="381CC403">
            <w:pPr>
              <w:adjustRightInd w:val="0"/>
              <w:snapToGrid w:val="0"/>
              <w:jc w:val="center"/>
              <w:rPr>
                <w:rFonts w:hint="default" w:ascii="Times New Roman" w:hAnsi="Times New Roman" w:cs="Times New Roman"/>
                <w:kern w:val="0"/>
                <w:sz w:val="24"/>
                <w:szCs w:val="24"/>
              </w:rPr>
            </w:pPr>
            <w:r>
              <w:rPr>
                <w:rFonts w:hint="default" w:ascii="Times New Roman" w:hAnsi="Times New Roman" w:cs="Times New Roman"/>
                <w:sz w:val="24"/>
                <w:szCs w:val="24"/>
              </w:rPr>
              <w:t>规划环境影响评价情况</w:t>
            </w:r>
          </w:p>
        </w:tc>
        <w:tc>
          <w:tcPr>
            <w:tcW w:w="7870" w:type="dxa"/>
            <w:gridSpan w:val="3"/>
            <w:noWrap w:val="0"/>
            <w:vAlign w:val="center"/>
          </w:tcPr>
          <w:p w14:paraId="4B2EE8C9">
            <w:pPr>
              <w:pStyle w:val="54"/>
              <w:bidi w:val="0"/>
              <w:ind w:left="0" w:leftChars="0" w:firstLine="0" w:firstLineChars="0"/>
              <w:jc w:val="center"/>
              <w:rPr>
                <w:rFonts w:hint="default"/>
                <w:lang w:val="en-US" w:eastAsia="zh-CN"/>
              </w:rPr>
            </w:pPr>
            <w:r>
              <w:rPr>
                <w:rFonts w:hint="eastAsia"/>
                <w:lang w:val="en-US" w:eastAsia="zh-CN"/>
              </w:rPr>
              <w:t>无</w:t>
            </w:r>
          </w:p>
        </w:tc>
      </w:tr>
      <w:tr w14:paraId="2F8C6E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00" w:type="dxa"/>
            <w:noWrap w:val="0"/>
            <w:vAlign w:val="center"/>
          </w:tcPr>
          <w:p w14:paraId="3F6A5B60">
            <w:pPr>
              <w:autoSpaceDE w:val="0"/>
              <w:autoSpaceDN w:val="0"/>
              <w:adjustRightInd w:val="0"/>
              <w:snapToGrid w:val="0"/>
              <w:jc w:val="center"/>
              <w:rPr>
                <w:rFonts w:hint="default" w:ascii="Times New Roman" w:hAnsi="Times New Roman" w:cs="Times New Roman"/>
                <w:kern w:val="0"/>
                <w:sz w:val="24"/>
                <w:szCs w:val="24"/>
              </w:rPr>
            </w:pPr>
            <w:r>
              <w:rPr>
                <w:rFonts w:hint="default" w:ascii="Times New Roman" w:hAnsi="Times New Roman" w:cs="Times New Roman"/>
                <w:kern w:val="0"/>
                <w:sz w:val="24"/>
                <w:szCs w:val="24"/>
              </w:rPr>
              <w:t>规划及规划环境影响评价符合性分析</w:t>
            </w:r>
          </w:p>
        </w:tc>
        <w:tc>
          <w:tcPr>
            <w:tcW w:w="7870" w:type="dxa"/>
            <w:gridSpan w:val="3"/>
            <w:noWrap w:val="0"/>
            <w:vAlign w:val="center"/>
          </w:tcPr>
          <w:p w14:paraId="65CD9ACD">
            <w:pPr>
              <w:pStyle w:val="54"/>
              <w:bidi w:val="0"/>
              <w:ind w:left="0" w:leftChars="0" w:firstLine="0" w:firstLineChars="0"/>
              <w:jc w:val="center"/>
              <w:rPr>
                <w:rFonts w:hint="default" w:ascii="Times New Roman" w:hAnsi="Times New Roman" w:eastAsia="宋体" w:cs="Times New Roman"/>
                <w:kern w:val="0"/>
                <w:szCs w:val="24"/>
                <w:lang w:val="en-US" w:eastAsia="zh-CN"/>
              </w:rPr>
            </w:pPr>
            <w:r>
              <w:rPr>
                <w:rFonts w:hint="eastAsia" w:cs="Times New Roman"/>
                <w:kern w:val="0"/>
                <w:szCs w:val="24"/>
                <w:lang w:val="en-US" w:eastAsia="zh-CN"/>
              </w:rPr>
              <w:t>无</w:t>
            </w:r>
          </w:p>
        </w:tc>
      </w:tr>
      <w:tr w14:paraId="61F4A9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000" w:type="dxa"/>
            <w:noWrap w:val="0"/>
            <w:vAlign w:val="center"/>
          </w:tcPr>
          <w:p w14:paraId="37F6DAF9">
            <w:pPr>
              <w:autoSpaceDE w:val="0"/>
              <w:autoSpaceDN w:val="0"/>
              <w:adjustRightInd w:val="0"/>
              <w:snapToGrid w:val="0"/>
              <w:jc w:val="center"/>
              <w:rPr>
                <w:rFonts w:hint="default" w:ascii="Times New Roman" w:hAnsi="Times New Roman" w:cs="Times New Roman"/>
                <w:kern w:val="0"/>
                <w:sz w:val="24"/>
                <w:szCs w:val="24"/>
              </w:rPr>
            </w:pPr>
            <w:r>
              <w:rPr>
                <w:rFonts w:hint="default" w:ascii="Times New Roman" w:hAnsi="Times New Roman" w:cs="Times New Roman"/>
                <w:kern w:val="0"/>
                <w:sz w:val="24"/>
                <w:szCs w:val="24"/>
              </w:rPr>
              <w:t>其他符合性分析</w:t>
            </w:r>
          </w:p>
        </w:tc>
        <w:tc>
          <w:tcPr>
            <w:tcW w:w="7870" w:type="dxa"/>
            <w:gridSpan w:val="3"/>
            <w:noWrap w:val="0"/>
            <w:vAlign w:val="center"/>
          </w:tcPr>
          <w:p w14:paraId="01EF7806">
            <w:pPr>
              <w:pStyle w:val="54"/>
              <w:bidi w:val="0"/>
              <w:rPr>
                <w:rFonts w:hint="eastAsia"/>
                <w:lang w:val="en-US" w:eastAsia="zh-CN"/>
              </w:rPr>
            </w:pPr>
            <w:r>
              <w:rPr>
                <w:rFonts w:hint="eastAsia"/>
                <w:b/>
                <w:bCs/>
                <w:lang w:val="en-US" w:eastAsia="zh-CN"/>
              </w:rPr>
              <w:t>1、产业政策符合性分析</w:t>
            </w:r>
          </w:p>
          <w:p w14:paraId="120D67FD">
            <w:pPr>
              <w:pStyle w:val="54"/>
              <w:bidi w:val="0"/>
              <w:rPr>
                <w:rFonts w:hint="eastAsia"/>
                <w:lang w:val="en-US" w:eastAsia="zh-CN"/>
              </w:rPr>
            </w:pPr>
            <w:r>
              <w:rPr>
                <w:rFonts w:hint="eastAsia"/>
                <w:lang w:val="en-US" w:eastAsia="zh-CN"/>
              </w:rPr>
              <w:t>本项目属于C3021水泥制品制造业，查阅《产业结构调整指导目录（2024年本）》（国家发展和改革委员会令第7号），本项目不属于鼓励类、限制类以及淘汰类项目，属于政策允许建设项目。</w:t>
            </w:r>
          </w:p>
          <w:p w14:paraId="4D8AD5A1">
            <w:pPr>
              <w:pStyle w:val="54"/>
              <w:bidi w:val="0"/>
              <w:rPr>
                <w:rFonts w:hint="eastAsia"/>
                <w:lang w:val="en-US" w:eastAsia="zh-CN"/>
              </w:rPr>
            </w:pPr>
            <w:r>
              <w:rPr>
                <w:rFonts w:hint="eastAsia"/>
                <w:lang w:val="en-US" w:eastAsia="zh-CN"/>
              </w:rPr>
              <w:t>本项目于2025年11月4日取得了乌拉特中旗发展和改革委员会出具的《项目备案告知书》，项目代码为：2506-150824-04-01-988652。</w:t>
            </w:r>
          </w:p>
          <w:p w14:paraId="5489C321">
            <w:pPr>
              <w:pStyle w:val="54"/>
              <w:bidi w:val="0"/>
              <w:rPr>
                <w:rFonts w:hint="eastAsia"/>
                <w:color w:val="FF0000"/>
                <w:lang w:val="en-US" w:eastAsia="zh-CN"/>
              </w:rPr>
            </w:pPr>
            <w:r>
              <w:rPr>
                <w:rFonts w:hint="eastAsia"/>
                <w:lang w:val="en-US" w:eastAsia="zh-CN"/>
              </w:rPr>
              <w:t>综上，本项目符合国家产业政策。</w:t>
            </w:r>
          </w:p>
          <w:p w14:paraId="69EAEDB1">
            <w:pPr>
              <w:pStyle w:val="54"/>
              <w:bidi w:val="0"/>
              <w:rPr>
                <w:rFonts w:hint="default"/>
                <w:lang w:val="en-US" w:eastAsia="zh-CN"/>
              </w:rPr>
            </w:pPr>
            <w:r>
              <w:rPr>
                <w:rFonts w:hint="eastAsia"/>
                <w:b/>
                <w:bCs/>
                <w:lang w:val="en-US" w:eastAsia="zh-CN"/>
              </w:rPr>
              <w:t>2、选址合理性分析</w:t>
            </w:r>
          </w:p>
          <w:p w14:paraId="707FC73D">
            <w:pPr>
              <w:pStyle w:val="54"/>
              <w:bidi w:val="0"/>
              <w:rPr>
                <w:rFonts w:hint="default"/>
                <w:color w:val="auto"/>
                <w:lang w:val="en-US" w:eastAsia="zh-CN"/>
              </w:rPr>
            </w:pPr>
            <w:r>
              <w:rPr>
                <w:rFonts w:hint="eastAsia"/>
                <w:color w:val="auto"/>
                <w:lang w:val="en-US" w:eastAsia="zh-CN"/>
              </w:rPr>
              <w:t>本项目位于内蒙古自治区巴彦淖尔市乌拉特中旗德岭山镇四义堂村金诺公司西侧，不在甘其毛都口岸加工园区规划范围内，但本项目由甘其毛都口岸加工园区进行统一管理。项目总占地面积为26666.7m</w:t>
            </w:r>
            <w:r>
              <w:rPr>
                <w:rFonts w:hint="eastAsia"/>
                <w:color w:val="auto"/>
                <w:vertAlign w:val="superscript"/>
                <w:lang w:val="en-US" w:eastAsia="zh-CN"/>
              </w:rPr>
              <w:t>2</w:t>
            </w:r>
            <w:r>
              <w:rPr>
                <w:rFonts w:hint="eastAsia"/>
                <w:color w:val="auto"/>
                <w:lang w:val="en-US" w:eastAsia="zh-CN"/>
              </w:rPr>
              <w:t>，已与乌拉特中旗德岭山镇四义堂村村民委员会签约土地租赁合同。项目所在厂区东侧为内蒙古乌拉特中旗金诺化工有限责任公司，南侧为S215，西侧和北侧均为空地。评价范围内无自然保护区、文物古迹、景观、自然保护区、水源地保护区等环境敏感点。</w:t>
            </w:r>
          </w:p>
          <w:p w14:paraId="7E8E18E7">
            <w:pPr>
              <w:pStyle w:val="54"/>
              <w:bidi w:val="0"/>
              <w:rPr>
                <w:rFonts w:hint="default" w:ascii="Times New Roman" w:hAnsi="Times New Roman" w:eastAsia="宋体" w:cs="Times New Roman"/>
                <w:color w:val="auto"/>
                <w:lang w:val="en-US" w:eastAsia="zh-CN"/>
              </w:rPr>
            </w:pPr>
            <w:r>
              <w:rPr>
                <w:rFonts w:hint="eastAsia"/>
                <w:color w:val="auto"/>
                <w:lang w:val="en-US" w:eastAsia="zh-CN"/>
              </w:rPr>
              <w:t>根据乌拉特中旗林业和草原局2023年3月2日出具的《关于核查乌拉特中旗人民政府实施村镇规划2023年第一批次建设用地（3号地）不涉及占用各级自然保护区和林地占用其他草地的复函》，本项目占地范围不涉及占用各级自然保护区和林地，占用德岭山镇天然牧草地。根据内蒙古自治区人民政府2024年4月12日出具的《关于乌拉特中旗人民政府实施村镇规划2023年</w:t>
            </w:r>
            <w:r>
              <w:rPr>
                <w:rFonts w:hint="default" w:ascii="Times New Roman" w:hAnsi="Times New Roman" w:cs="Times New Roman"/>
                <w:color w:val="auto"/>
                <w:lang w:val="en-US" w:eastAsia="zh-CN"/>
              </w:rPr>
              <w:t>度第一批次建设用地的批复》（内政土发[2024]337号</w:t>
            </w:r>
            <w:r>
              <w:rPr>
                <w:rFonts w:hint="eastAsia" w:ascii="Times New Roman" w:hAnsi="Times New Roman" w:cs="Times New Roman"/>
                <w:color w:val="auto"/>
                <w:lang w:val="en-US" w:eastAsia="zh-CN"/>
              </w:rPr>
              <w:t>，见附件11</w:t>
            </w:r>
            <w:r>
              <w:rPr>
                <w:rFonts w:hint="default" w:ascii="Times New Roman" w:hAnsi="Times New Roman" w:cs="Times New Roman"/>
                <w:color w:val="auto"/>
                <w:lang w:val="en-US" w:eastAsia="zh-CN"/>
              </w:rPr>
              <w:t>）</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德岭山镇四义堂村集体农用地27.5810公顷（草地27.1269公顷、其他农用地0.4541公顷）、未利用地0.1427公顷转为建设用地，</w:t>
            </w:r>
            <w:r>
              <w:rPr>
                <w:rFonts w:hint="eastAsia" w:ascii="Times New Roman" w:hAnsi="Times New Roman" w:eastAsia="宋体" w:cs="Times New Roman"/>
                <w:color w:val="auto"/>
                <w:lang w:val="en-US" w:eastAsia="zh-CN"/>
              </w:rPr>
              <w:t>本项目选址位于批复建设用地内，故本项目选址可行</w:t>
            </w:r>
            <w:r>
              <w:rPr>
                <w:rFonts w:hint="default" w:ascii="Times New Roman" w:hAnsi="Times New Roman" w:eastAsia="宋体" w:cs="Times New Roman"/>
                <w:color w:val="auto"/>
                <w:lang w:val="en-US" w:eastAsia="zh-CN"/>
              </w:rPr>
              <w:t>。</w:t>
            </w:r>
          </w:p>
          <w:p w14:paraId="102F3055">
            <w:pPr>
              <w:pStyle w:val="54"/>
              <w:bidi w:val="0"/>
              <w:rPr>
                <w:rFonts w:hint="eastAsia"/>
                <w:color w:val="auto"/>
                <w:lang w:val="en-US" w:eastAsia="zh-CN"/>
              </w:rPr>
            </w:pPr>
            <w:r>
              <w:rPr>
                <w:rFonts w:hint="eastAsia"/>
                <w:color w:val="auto"/>
                <w:lang w:val="en-US" w:eastAsia="zh-CN"/>
              </w:rPr>
              <w:t>根据乌拉特中旗水利局出具的《&lt;关于申请核查乌拉特中旗实施村镇规划2023年第一批次（3号地）建设用地项目是否占用水源地保护区的函&gt;的复函》，本项目占地范围不在水源地保护区内且未压覆大型水利设施、堤坝。</w:t>
            </w:r>
          </w:p>
          <w:p w14:paraId="55F2445D">
            <w:pPr>
              <w:pStyle w:val="54"/>
              <w:bidi w:val="0"/>
              <w:rPr>
                <w:rFonts w:hint="default"/>
                <w:color w:val="auto"/>
                <w:lang w:val="en-US" w:eastAsia="zh-CN"/>
              </w:rPr>
            </w:pPr>
            <w:r>
              <w:rPr>
                <w:rFonts w:hint="eastAsia"/>
                <w:color w:val="auto"/>
                <w:lang w:val="en-US" w:eastAsia="zh-CN"/>
              </w:rPr>
              <w:t>根据乌拉特中旗文体旅游广电局出具的《关于乌拉特中旗实施村镇规划2023年第一批次（3号地）建设用地项目内文物情况的复函》，本项目占地范围无文物保护区及文物保护单位。</w:t>
            </w:r>
          </w:p>
          <w:p w14:paraId="5E83CAD4">
            <w:pPr>
              <w:pStyle w:val="54"/>
              <w:bidi w:val="0"/>
              <w:rPr>
                <w:rFonts w:hint="default"/>
                <w:color w:val="auto"/>
                <w:lang w:val="en-US" w:eastAsia="zh-CN"/>
              </w:rPr>
            </w:pPr>
            <w:r>
              <w:rPr>
                <w:rFonts w:hint="eastAsia"/>
                <w:color w:val="auto"/>
                <w:lang w:val="en-US" w:eastAsia="zh-CN"/>
              </w:rPr>
              <w:t>根据乌拉特中旗自然资源局出具的《关于乌拉特中旗炜景环保材料有限公司预制场建设项目生态保护红线的核查说明》，本项目不在生态保护红线内。</w:t>
            </w:r>
          </w:p>
          <w:p w14:paraId="4AE4A094">
            <w:pPr>
              <w:pStyle w:val="54"/>
              <w:bidi w:val="0"/>
              <w:rPr>
                <w:rFonts w:hint="default"/>
                <w:color w:val="auto"/>
                <w:lang w:val="en-US" w:eastAsia="zh-CN"/>
              </w:rPr>
            </w:pPr>
            <w:r>
              <w:rPr>
                <w:rFonts w:hint="default"/>
                <w:color w:val="auto"/>
                <w:lang w:val="en-US" w:eastAsia="zh-CN"/>
              </w:rPr>
              <w:t>本项目运营期产生的废气经处理后可以达标排放；生活污水经化粪池预处理后，定期拉运至甘其毛都口岸加工园区污水处理厂；搅拌机清洗废水和混凝土运输车清洗废水经沉淀池沉淀后回用，不外排；厂界四周噪声贡献值满足标准限值；产生的固废全部妥善处置，不外排，本项目运营期各污染物对周围环境影响较小。</w:t>
            </w:r>
          </w:p>
          <w:p w14:paraId="34F009B0">
            <w:pPr>
              <w:pStyle w:val="54"/>
              <w:bidi w:val="0"/>
              <w:rPr>
                <w:rFonts w:hint="default"/>
                <w:color w:val="auto"/>
                <w:lang w:val="en-US" w:eastAsia="zh-CN"/>
              </w:rPr>
            </w:pPr>
            <w:r>
              <w:rPr>
                <w:rFonts w:hint="default"/>
                <w:color w:val="auto"/>
                <w:lang w:val="en-US" w:eastAsia="zh-CN"/>
              </w:rPr>
              <w:t>综上，从环保角度，项目选址合理。</w:t>
            </w:r>
          </w:p>
          <w:p w14:paraId="0B352F2A">
            <w:pPr>
              <w:pStyle w:val="54"/>
              <w:bidi w:val="0"/>
              <w:rPr>
                <w:rFonts w:hint="eastAsia"/>
                <w:lang w:val="en-US" w:eastAsia="zh-CN"/>
              </w:rPr>
            </w:pPr>
            <w:r>
              <w:rPr>
                <w:rFonts w:hint="eastAsia"/>
                <w:b/>
                <w:bCs/>
                <w:lang w:val="en-US" w:eastAsia="zh-CN"/>
              </w:rPr>
              <w:t>3、生态环境分区管控的符合性分析</w:t>
            </w:r>
          </w:p>
          <w:p w14:paraId="3F88BCA5">
            <w:pPr>
              <w:pStyle w:val="54"/>
              <w:bidi w:val="0"/>
              <w:rPr>
                <w:rFonts w:hint="default"/>
                <w:lang w:val="en-US" w:eastAsia="zh-CN"/>
              </w:rPr>
            </w:pPr>
            <w:r>
              <w:rPr>
                <w:rFonts w:hint="eastAsia"/>
                <w:lang w:val="en-US" w:eastAsia="zh-CN"/>
              </w:rPr>
              <w:t>1）生态保护红线</w:t>
            </w:r>
          </w:p>
          <w:p w14:paraId="3FF4485E">
            <w:pPr>
              <w:pStyle w:val="54"/>
              <w:bidi w:val="0"/>
              <w:rPr>
                <w:rFonts w:hint="eastAsia"/>
                <w:lang w:val="en-US" w:eastAsia="zh-CN"/>
              </w:rPr>
            </w:pPr>
            <w:r>
              <w:rPr>
                <w:rFonts w:hint="eastAsia"/>
                <w:lang w:val="en-US" w:eastAsia="zh-CN"/>
              </w:rPr>
              <w:t>根据《巴彦淖尔市人民政府办公室关于巴彦淖尔市2023年生态环境分区管控成果动态更新的通知》（巴政办字[2023]106号），巴彦淖尔市全市共划定环境管控单元256个，包括优先保护单元、重点管控单元、一般管控单元三类，实施分类管控。</w:t>
            </w:r>
          </w:p>
          <w:p w14:paraId="4EAC01DD">
            <w:pPr>
              <w:pStyle w:val="54"/>
              <w:bidi w:val="0"/>
              <w:rPr>
                <w:rFonts w:hint="eastAsia"/>
                <w:color w:val="auto"/>
                <w:lang w:val="en-US" w:eastAsia="zh-CN"/>
              </w:rPr>
            </w:pPr>
            <w:r>
              <w:rPr>
                <w:rFonts w:hint="eastAsia"/>
                <w:color w:val="auto"/>
                <w:lang w:val="en-US" w:eastAsia="zh-CN"/>
              </w:rPr>
              <w:t>本项目评价范围内无饮用水水源地、自然保护区、风景名胜区等特殊环境敏感区。项目所在区域属于巴彦淖尔甘其毛都口岸加工园区重点管控单元，项目采取完善的污染防治措施，可确保污染物达标排放。根据乌拉特中旗自然资源局出具的《关于乌拉特中旗炜景环保材料有限公司预制场建设项目生态保护红线的核查说明》，本项目不涉及巴彦淖尔市生态保护红线范围。</w:t>
            </w:r>
          </w:p>
          <w:p w14:paraId="25F2CA23">
            <w:pPr>
              <w:pStyle w:val="54"/>
              <w:bidi w:val="0"/>
              <w:rPr>
                <w:rFonts w:hint="default"/>
                <w:lang w:val="en-US" w:eastAsia="zh-CN"/>
              </w:rPr>
            </w:pPr>
            <w:r>
              <w:rPr>
                <w:rFonts w:hint="eastAsia"/>
                <w:lang w:val="en-US" w:eastAsia="zh-CN"/>
              </w:rPr>
              <w:t>2）环境质量底线</w:t>
            </w:r>
          </w:p>
          <w:p w14:paraId="597DD19F">
            <w:pPr>
              <w:pStyle w:val="54"/>
              <w:bidi w:val="0"/>
              <w:rPr>
                <w:rFonts w:hint="eastAsia"/>
                <w:color w:val="auto"/>
                <w:lang w:val="en-US" w:eastAsia="zh-CN"/>
              </w:rPr>
            </w:pPr>
            <w:r>
              <w:rPr>
                <w:rFonts w:hint="eastAsia"/>
                <w:lang w:val="en-US" w:eastAsia="zh-CN"/>
              </w:rPr>
              <w:t>根据巴彦淖尔市生态环境局于2025年7月发布的《2024年巴彦淖尔市环境质量状况公报》，本项目所在地海流图镇大气环境中六项污染物PM</w:t>
            </w:r>
            <w:r>
              <w:rPr>
                <w:rFonts w:hint="eastAsia"/>
                <w:vertAlign w:val="subscript"/>
                <w:lang w:val="en-US" w:eastAsia="zh-CN"/>
              </w:rPr>
              <w:t>2.5</w:t>
            </w:r>
            <w:r>
              <w:rPr>
                <w:rFonts w:hint="eastAsia"/>
                <w:lang w:val="en-US" w:eastAsia="zh-CN"/>
              </w:rPr>
              <w:t>、PM</w:t>
            </w:r>
            <w:r>
              <w:rPr>
                <w:rFonts w:hint="eastAsia"/>
                <w:vertAlign w:val="subscript"/>
                <w:lang w:val="en-US" w:eastAsia="zh-CN"/>
              </w:rPr>
              <w:t>10</w:t>
            </w:r>
            <w:r>
              <w:rPr>
                <w:rFonts w:hint="eastAsia"/>
                <w:lang w:val="en-US" w:eastAsia="zh-CN"/>
              </w:rPr>
              <w:t>、SO</w:t>
            </w:r>
            <w:r>
              <w:rPr>
                <w:rFonts w:hint="eastAsia"/>
                <w:vertAlign w:val="subscript"/>
                <w:lang w:val="en-US" w:eastAsia="zh-CN"/>
              </w:rPr>
              <w:t>2</w:t>
            </w:r>
            <w:r>
              <w:rPr>
                <w:rFonts w:hint="eastAsia"/>
                <w:lang w:val="en-US" w:eastAsia="zh-CN"/>
              </w:rPr>
              <w:t>、NO</w:t>
            </w:r>
            <w:r>
              <w:rPr>
                <w:rFonts w:hint="eastAsia"/>
                <w:vertAlign w:val="subscript"/>
                <w:lang w:val="en-US" w:eastAsia="zh-CN"/>
              </w:rPr>
              <w:t>2</w:t>
            </w:r>
            <w:r>
              <w:rPr>
                <w:rFonts w:hint="eastAsia"/>
                <w:lang w:val="en-US" w:eastAsia="zh-CN"/>
              </w:rPr>
              <w:t>、CO和O</w:t>
            </w:r>
            <w:r>
              <w:rPr>
                <w:rFonts w:hint="eastAsia"/>
                <w:vertAlign w:val="subscript"/>
                <w:lang w:val="en-US" w:eastAsia="zh-CN"/>
              </w:rPr>
              <w:t>3</w:t>
            </w:r>
            <w:r>
              <w:rPr>
                <w:rFonts w:hint="eastAsia"/>
                <w:lang w:val="en-US" w:eastAsia="zh-CN"/>
              </w:rPr>
              <w:t>质量浓度均符合《环境空气质量标准》（GB3095-2012）二级标准限值，因此乌拉特中旗属于空</w:t>
            </w:r>
            <w:r>
              <w:rPr>
                <w:rFonts w:hint="eastAsia"/>
                <w:color w:val="auto"/>
                <w:lang w:val="en-US" w:eastAsia="zh-CN"/>
              </w:rPr>
              <w:t>气质量达标区。根据引用监测数据可知，其他污染物（TSP）24小时平均浓度满足《环境空气质量标准》（GB3095-2012）二级标准限值要求。</w:t>
            </w:r>
          </w:p>
          <w:p w14:paraId="37F0B4C3">
            <w:pPr>
              <w:pStyle w:val="54"/>
              <w:bidi w:val="0"/>
              <w:rPr>
                <w:rFonts w:hint="eastAsia"/>
                <w:lang w:val="en-US" w:eastAsia="zh-CN"/>
              </w:rPr>
            </w:pPr>
            <w:r>
              <w:rPr>
                <w:rFonts w:hint="eastAsia"/>
                <w:lang w:val="en-US" w:eastAsia="zh-CN"/>
              </w:rPr>
              <w:t>本项目运营后会产生一定的污染物，但在采取相应的污染防治措施后可以达标排放，各类污染物的排放对周边环境的影响处于可接受水平，不会改变区域环境功能区质量要求，满足环境质量底线要求。</w:t>
            </w:r>
          </w:p>
          <w:p w14:paraId="4925B766">
            <w:pPr>
              <w:pStyle w:val="54"/>
              <w:bidi w:val="0"/>
              <w:rPr>
                <w:rFonts w:hint="eastAsia"/>
                <w:lang w:val="en-US" w:eastAsia="zh-CN"/>
              </w:rPr>
            </w:pPr>
            <w:r>
              <w:rPr>
                <w:rFonts w:hint="eastAsia"/>
                <w:lang w:val="en-US" w:eastAsia="zh-CN"/>
              </w:rPr>
              <w:t>3）资源利用上线</w:t>
            </w:r>
          </w:p>
          <w:p w14:paraId="19FA76FF">
            <w:pPr>
              <w:pStyle w:val="54"/>
              <w:bidi w:val="0"/>
              <w:rPr>
                <w:rFonts w:hint="eastAsia"/>
                <w:lang w:val="en-US" w:eastAsia="zh-CN"/>
              </w:rPr>
            </w:pPr>
            <w:r>
              <w:rPr>
                <w:rFonts w:hint="eastAsia"/>
                <w:lang w:val="en-US" w:eastAsia="zh-CN"/>
              </w:rPr>
              <w:t>本项目运行过程中消耗一定量水资源、电能，运行过程中通过加强管理、废水综合利用、污染治理等多方面采取可行的防治措施，以“节能、降耗、减污”为目标，可有效的节约资源，符合资源利用上线要求。</w:t>
            </w:r>
          </w:p>
          <w:p w14:paraId="241D4B39">
            <w:pPr>
              <w:pStyle w:val="54"/>
              <w:bidi w:val="0"/>
              <w:rPr>
                <w:rFonts w:hint="eastAsia"/>
                <w:lang w:val="en-US" w:eastAsia="zh-CN"/>
              </w:rPr>
            </w:pPr>
            <w:r>
              <w:rPr>
                <w:rFonts w:hint="eastAsia"/>
                <w:lang w:val="en-US" w:eastAsia="zh-CN"/>
              </w:rPr>
              <w:t>4）生态环境准入清单</w:t>
            </w:r>
          </w:p>
          <w:p w14:paraId="5649B0B7">
            <w:pPr>
              <w:pStyle w:val="54"/>
              <w:bidi w:val="0"/>
              <w:rPr>
                <w:rFonts w:hint="eastAsia"/>
                <w:lang w:val="en-US" w:eastAsia="zh-CN"/>
              </w:rPr>
            </w:pPr>
            <w:r>
              <w:rPr>
                <w:rFonts w:hint="eastAsia"/>
                <w:lang w:val="en-US" w:eastAsia="zh-CN"/>
              </w:rPr>
              <w:t>本项目位于内蒙古自治区巴彦淖尔市乌拉特中旗德岭山镇四义堂村金诺公司西侧，</w:t>
            </w:r>
            <w:r>
              <w:rPr>
                <w:rFonts w:hint="eastAsia"/>
                <w:color w:val="auto"/>
                <w:lang w:val="en-US" w:eastAsia="zh-CN"/>
              </w:rPr>
              <w:t>不在甘其毛都口岸加工园区规划范围内，但本项目由甘其毛都口岸加工园区进行统一管理，按照巴彦淖尔甘其毛都口岸加工园区重点管控单元进行管控。</w:t>
            </w:r>
            <w:r>
              <w:rPr>
                <w:rFonts w:hint="eastAsia"/>
                <w:lang w:val="en-US" w:eastAsia="zh-CN"/>
              </w:rPr>
              <w:t>根据内蒙古自治区“三线一单”公众端应用平台查询结果，项目区属于《巴彦淖尔市生态环境准入清单（2023年）》中的巴彦淖尔甘其毛都口岸加工园区管控单元，环境管控单元编码ZH15082420001，属于重点管控单元。本项目与《巴彦淖尔市生态环境准入清单（2023年）》符合性分析见表3。</w:t>
            </w:r>
          </w:p>
          <w:p w14:paraId="058F3FB5">
            <w:pPr>
              <w:pStyle w:val="54"/>
              <w:bidi w:val="0"/>
              <w:ind w:left="0" w:leftChars="0" w:firstLine="0" w:firstLineChars="0"/>
              <w:jc w:val="center"/>
              <w:rPr>
                <w:rFonts w:hint="eastAsia"/>
                <w:lang w:val="en-US" w:eastAsia="zh-CN"/>
              </w:rPr>
            </w:pPr>
            <w:r>
              <w:rPr>
                <w:color w:val="auto"/>
              </w:rPr>
              <mc:AlternateContent>
                <mc:Choice Requires="wps">
                  <w:drawing>
                    <wp:anchor distT="0" distB="0" distL="114300" distR="114300" simplePos="0" relativeHeight="251663360" behindDoc="0" locked="0" layoutInCell="1" allowOverlap="1">
                      <wp:simplePos x="0" y="0"/>
                      <wp:positionH relativeFrom="column">
                        <wp:posOffset>2700655</wp:posOffset>
                      </wp:positionH>
                      <wp:positionV relativeFrom="paragraph">
                        <wp:posOffset>1193165</wp:posOffset>
                      </wp:positionV>
                      <wp:extent cx="687705" cy="243205"/>
                      <wp:effectExtent l="4445" t="4445" r="12700" b="419100"/>
                      <wp:wrapNone/>
                      <wp:docPr id="1" name="矩形标注 40"/>
                      <wp:cNvGraphicFramePr/>
                      <a:graphic xmlns:a="http://schemas.openxmlformats.org/drawingml/2006/main">
                        <a:graphicData uri="http://schemas.microsoft.com/office/word/2010/wordprocessingShape">
                          <wps:wsp>
                            <wps:cNvSpPr/>
                            <wps:spPr>
                              <a:xfrm>
                                <a:off x="2994025" y="7221855"/>
                                <a:ext cx="687705" cy="243205"/>
                              </a:xfrm>
                              <a:prstGeom prst="wedgeRectCallout">
                                <a:avLst>
                                  <a:gd name="adj1" fmla="val -43167"/>
                                  <a:gd name="adj2" fmla="val 209773"/>
                                </a:avLst>
                              </a:prstGeom>
                              <a:solidFill>
                                <a:srgbClr val="FFFFFF"/>
                              </a:solidFill>
                              <a:ln w="9525" cap="flat" cmpd="sng">
                                <a:solidFill>
                                  <a:srgbClr val="000000"/>
                                </a:solidFill>
                                <a:prstDash val="solid"/>
                                <a:miter/>
                                <a:headEnd type="none" w="med" len="med"/>
                                <a:tailEnd type="none" w="med" len="med"/>
                              </a:ln>
                              <a:effectLst/>
                            </wps:spPr>
                            <wps:txbx>
                              <w:txbxContent>
                                <w:p w14:paraId="46619144">
                                  <w:pPr>
                                    <w:jc w:val="center"/>
                                    <w:rPr>
                                      <w:sz w:val="18"/>
                                      <w:szCs w:val="18"/>
                                    </w:rPr>
                                  </w:pPr>
                                  <w:r>
                                    <w:rPr>
                                      <w:rFonts w:hint="eastAsia"/>
                                      <w:sz w:val="18"/>
                                      <w:szCs w:val="18"/>
                                    </w:rPr>
                                    <w:t>项目位置</w:t>
                                  </w:r>
                                </w:p>
                              </w:txbxContent>
                            </wps:txbx>
                            <wps:bodyPr wrap="square" upright="1"/>
                          </wps:wsp>
                        </a:graphicData>
                      </a:graphic>
                    </wp:anchor>
                  </w:drawing>
                </mc:Choice>
                <mc:Fallback>
                  <w:pict>
                    <v:shape id="矩形标注 40" o:spid="_x0000_s1026" o:spt="61" type="#_x0000_t61" style="position:absolute;left:0pt;margin-left:212.65pt;margin-top:93.95pt;height:19.15pt;width:54.15pt;z-index:251663360;mso-width-relative:page;mso-height-relative:page;" fillcolor="#FFFFFF" filled="t" stroked="t" coordsize="21600,21600" o:gfxdata="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EN68FNgAAAAL&#10;AQAADwAAAAAAAAABACAAAAAiAAAAZHJzL2Rvd25yZXYueG1sUEsBAhQAFAAAAAgAh07iQHZA52ZV&#10;AgAAtgQAAA4AAAAAAAAAAQAgAAAAJwEAAGRycy9lMm9Eb2MueG1sUEsFBgAAAAAGAAYAWQEAAO4F&#10;AAAAAA==&#10;" adj="1476,56111">
                      <v:fill on="t" focussize="0,0"/>
                      <v:stroke color="#000000" joinstyle="miter"/>
                      <v:imagedata o:title=""/>
                      <o:lock v:ext="edit" aspectratio="f"/>
                      <v:textbox>
                        <w:txbxContent>
                          <w:p w14:paraId="46619144">
                            <w:pPr>
                              <w:jc w:val="center"/>
                              <w:rPr>
                                <w:sz w:val="18"/>
                                <w:szCs w:val="18"/>
                              </w:rPr>
                            </w:pPr>
                            <w:r>
                              <w:rPr>
                                <w:rFonts w:hint="eastAsia"/>
                                <w:sz w:val="18"/>
                                <w:szCs w:val="18"/>
                              </w:rPr>
                              <w:t>项目位置</w:t>
                            </w:r>
                          </w:p>
                        </w:txbxContent>
                      </v:textbox>
                    </v:shape>
                  </w:pict>
                </mc:Fallback>
              </mc:AlternateContent>
            </w:r>
            <w:r>
              <w:drawing>
                <wp:inline distT="0" distB="0" distL="114300" distR="114300">
                  <wp:extent cx="4161790" cy="2914015"/>
                  <wp:effectExtent l="0" t="0" r="10160" b="635"/>
                  <wp:docPr id="8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8"/>
                          <pic:cNvPicPr>
                            <a:picLocks noChangeAspect="1"/>
                          </pic:cNvPicPr>
                        </pic:nvPicPr>
                        <pic:blipFill>
                          <a:blip r:embed="rId11"/>
                          <a:stretch>
                            <a:fillRect/>
                          </a:stretch>
                        </pic:blipFill>
                        <pic:spPr>
                          <a:xfrm>
                            <a:off x="0" y="0"/>
                            <a:ext cx="4161790" cy="2914015"/>
                          </a:xfrm>
                          <a:prstGeom prst="rect">
                            <a:avLst/>
                          </a:prstGeom>
                          <a:noFill/>
                          <a:ln>
                            <a:noFill/>
                          </a:ln>
                        </pic:spPr>
                      </pic:pic>
                    </a:graphicData>
                  </a:graphic>
                </wp:inline>
              </w:drawing>
            </w:r>
          </w:p>
          <w:p w14:paraId="10224CF7">
            <w:pPr>
              <w:pStyle w:val="33"/>
              <w:bidi w:val="0"/>
              <w:rPr>
                <w:rFonts w:hint="eastAsia" w:eastAsia="宋体"/>
                <w:lang w:val="en-US" w:eastAsia="zh-CN"/>
              </w:rPr>
            </w:pPr>
            <w:r>
              <w:rPr>
                <w:color w:val="auto"/>
              </w:rPr>
              <mc:AlternateContent>
                <mc:Choice Requires="wps">
                  <w:drawing>
                    <wp:anchor distT="0" distB="0" distL="114300" distR="114300" simplePos="0" relativeHeight="251664384" behindDoc="0" locked="0" layoutInCell="1" allowOverlap="1">
                      <wp:simplePos x="0" y="0"/>
                      <wp:positionH relativeFrom="column">
                        <wp:posOffset>996315</wp:posOffset>
                      </wp:positionH>
                      <wp:positionV relativeFrom="paragraph">
                        <wp:posOffset>1607185</wp:posOffset>
                      </wp:positionV>
                      <wp:extent cx="687705" cy="243205"/>
                      <wp:effectExtent l="4445" t="4445" r="12700" b="419100"/>
                      <wp:wrapNone/>
                      <wp:docPr id="25" name="矩形标注 25"/>
                      <wp:cNvGraphicFramePr/>
                      <a:graphic xmlns:a="http://schemas.openxmlformats.org/drawingml/2006/main">
                        <a:graphicData uri="http://schemas.microsoft.com/office/word/2010/wordprocessingShape">
                          <wps:wsp>
                            <wps:cNvSpPr/>
                            <wps:spPr>
                              <a:xfrm>
                                <a:off x="0" y="0"/>
                                <a:ext cx="687705" cy="243205"/>
                              </a:xfrm>
                              <a:prstGeom prst="wedgeRectCallout">
                                <a:avLst>
                                  <a:gd name="adj1" fmla="val -43167"/>
                                  <a:gd name="adj2" fmla="val 209773"/>
                                </a:avLst>
                              </a:prstGeom>
                              <a:solidFill>
                                <a:srgbClr val="FFFFFF"/>
                              </a:solidFill>
                              <a:ln w="9525" cap="flat" cmpd="sng">
                                <a:solidFill>
                                  <a:srgbClr val="000000"/>
                                </a:solidFill>
                                <a:prstDash val="solid"/>
                                <a:miter/>
                                <a:headEnd type="none" w="med" len="med"/>
                                <a:tailEnd type="none" w="med" len="med"/>
                              </a:ln>
                              <a:effectLst/>
                            </wps:spPr>
                            <wps:txbx>
                              <w:txbxContent>
                                <w:p w14:paraId="142DCA6A">
                                  <w:pPr>
                                    <w:jc w:val="center"/>
                                    <w:rPr>
                                      <w:sz w:val="18"/>
                                      <w:szCs w:val="18"/>
                                    </w:rPr>
                                  </w:pPr>
                                  <w:r>
                                    <w:rPr>
                                      <w:rFonts w:hint="eastAsia"/>
                                      <w:sz w:val="18"/>
                                      <w:szCs w:val="18"/>
                                    </w:rPr>
                                    <w:t>项目位置</w:t>
                                  </w:r>
                                </w:p>
                              </w:txbxContent>
                            </wps:txbx>
                            <wps:bodyPr wrap="square" upright="1"/>
                          </wps:wsp>
                        </a:graphicData>
                      </a:graphic>
                    </wp:anchor>
                  </w:drawing>
                </mc:Choice>
                <mc:Fallback>
                  <w:pict>
                    <v:shape id="_x0000_s1026" o:spid="_x0000_s1026" o:spt="61" type="#_x0000_t61" style="position:absolute;left:0pt;margin-left:78.45pt;margin-top:126.55pt;height:19.15pt;width:54.15pt;z-index:251664384;mso-width-relative:page;mso-height-relative:page;" fillcolor="#FFFFFF" filled="t" stroked="t" coordsize="21600,21600" o:gfxdata="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ZYjzzYAAAACwEAAA8AAAAAAAAA&#10;AQAgAAAAIgAAAGRycy9kb3ducmV2LnhtbFBLAQIUABQAAAAIAIdO4kBuDD+ZSgIAAKsEAAAOAAAA&#10;AAAAAAEAIAAAACcBAABkcnMvZTJvRG9jLnhtbFBLBQYAAAAABgAGAFkBAADjBQAAAAA=&#10;" adj="1476,56111">
                      <v:fill on="t" focussize="0,0"/>
                      <v:stroke color="#000000" joinstyle="miter"/>
                      <v:imagedata o:title=""/>
                      <o:lock v:ext="edit" aspectratio="f"/>
                      <v:textbox>
                        <w:txbxContent>
                          <w:p w14:paraId="142DCA6A">
                            <w:pPr>
                              <w:jc w:val="center"/>
                              <w:rPr>
                                <w:sz w:val="18"/>
                                <w:szCs w:val="18"/>
                              </w:rPr>
                            </w:pPr>
                            <w:r>
                              <w:rPr>
                                <w:rFonts w:hint="eastAsia"/>
                                <w:sz w:val="18"/>
                                <w:szCs w:val="18"/>
                              </w:rPr>
                              <w:t>项目位置</w:t>
                            </w:r>
                          </w:p>
                        </w:txbxContent>
                      </v:textbox>
                    </v:shape>
                  </w:pict>
                </mc:Fallback>
              </mc:AlternateContent>
            </w:r>
            <w:r>
              <w:rPr>
                <w:rFonts w:hint="eastAsia"/>
                <w:lang w:val="en-US" w:eastAsia="zh-CN"/>
              </w:rPr>
              <w:t>图1    巴彦淖尔市环境管控单元图</w:t>
            </w:r>
            <w:r>
              <w:rPr>
                <w:rFonts w:hint="eastAsia" w:eastAsia="宋体"/>
                <w:lang w:val="en-US" w:eastAsia="zh-CN"/>
              </w:rPr>
              <w:drawing>
                <wp:inline distT="0" distB="0" distL="114300" distR="114300">
                  <wp:extent cx="4730750" cy="3191510"/>
                  <wp:effectExtent l="0" t="0" r="12700" b="8890"/>
                  <wp:docPr id="4" name="图片 4" descr="屏幕截图 2025-05-23 15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屏幕截图 2025-05-23 151032"/>
                          <pic:cNvPicPr>
                            <a:picLocks noChangeAspect="1"/>
                          </pic:cNvPicPr>
                        </pic:nvPicPr>
                        <pic:blipFill>
                          <a:blip r:embed="rId12"/>
                          <a:stretch>
                            <a:fillRect/>
                          </a:stretch>
                        </pic:blipFill>
                        <pic:spPr>
                          <a:xfrm>
                            <a:off x="0" y="0"/>
                            <a:ext cx="4730750" cy="3191510"/>
                          </a:xfrm>
                          <a:prstGeom prst="rect">
                            <a:avLst/>
                          </a:prstGeom>
                        </pic:spPr>
                      </pic:pic>
                    </a:graphicData>
                  </a:graphic>
                </wp:inline>
              </w:drawing>
            </w:r>
          </w:p>
          <w:p w14:paraId="38E33C69">
            <w:pPr>
              <w:pStyle w:val="33"/>
              <w:bidi w:val="0"/>
              <w:rPr>
                <w:rFonts w:hint="eastAsia"/>
                <w:lang w:val="en-US" w:eastAsia="zh-CN"/>
              </w:rPr>
            </w:pPr>
            <w:r>
              <w:rPr>
                <w:rFonts w:hint="eastAsia"/>
                <w:lang w:val="en-US" w:eastAsia="zh-CN"/>
              </w:rPr>
              <w:t>图2    管控单元查询结果</w:t>
            </w:r>
          </w:p>
          <w:p w14:paraId="52AC5F98">
            <w:pPr>
              <w:pStyle w:val="33"/>
              <w:bidi w:val="0"/>
              <w:rPr>
                <w:rFonts w:hint="eastAsia"/>
                <w:lang w:val="en-US" w:eastAsia="zh-CN"/>
              </w:rPr>
            </w:pPr>
            <w:r>
              <w:rPr>
                <w:rFonts w:hint="eastAsia"/>
                <w:lang w:val="en-US" w:eastAsia="zh-CN"/>
              </w:rPr>
              <w:t>表2  本项目与巴彦淖尔市总体准入要求符合性分析</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72"/>
              <w:gridCol w:w="2209"/>
              <w:gridCol w:w="725"/>
            </w:tblGrid>
            <w:tr w14:paraId="12D6A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95" w:type="pct"/>
                  <w:tcBorders>
                    <w:tl2br w:val="nil"/>
                    <w:tr2bl w:val="nil"/>
                  </w:tcBorders>
                  <w:noWrap w:val="0"/>
                  <w:vAlign w:val="center"/>
                </w:tcPr>
                <w:p w14:paraId="14281EC6">
                  <w:pPr>
                    <w:pStyle w:val="38"/>
                    <w:spacing w:before="24" w:after="24"/>
                    <w:jc w:val="center"/>
                    <w:rPr>
                      <w:rFonts w:hint="default" w:ascii="Times New Roman" w:hAnsi="Times New Roman" w:cs="Times New Roman"/>
                      <w:lang w:val="en-US" w:eastAsia="zh-CN"/>
                    </w:rPr>
                  </w:pPr>
                  <w:r>
                    <w:rPr>
                      <w:rFonts w:hint="default" w:ascii="Times New Roman" w:hAnsi="Times New Roman" w:cs="Times New Roman"/>
                      <w:lang w:val="en-US" w:eastAsia="zh-CN"/>
                    </w:rPr>
                    <w:t>管控要求</w:t>
                  </w:r>
                </w:p>
              </w:tc>
              <w:tc>
                <w:tcPr>
                  <w:tcW w:w="1433" w:type="pct"/>
                  <w:tcBorders>
                    <w:tl2br w:val="nil"/>
                    <w:tr2bl w:val="nil"/>
                  </w:tcBorders>
                  <w:noWrap w:val="0"/>
                  <w:vAlign w:val="center"/>
                </w:tcPr>
                <w:p w14:paraId="14358CF4">
                  <w:pPr>
                    <w:pStyle w:val="38"/>
                    <w:spacing w:before="24" w:after="24"/>
                    <w:rPr>
                      <w:rFonts w:hint="default" w:ascii="Times New Roman" w:hAnsi="Times New Roman" w:cs="Times New Roman"/>
                      <w:lang w:val="en-US" w:eastAsia="zh-CN"/>
                    </w:rPr>
                  </w:pPr>
                  <w:r>
                    <w:rPr>
                      <w:rFonts w:hint="default" w:ascii="Times New Roman" w:hAnsi="Times New Roman" w:cs="Times New Roman"/>
                      <w:lang w:val="en-US" w:eastAsia="zh-CN"/>
                    </w:rPr>
                    <w:t>本项目</w:t>
                  </w:r>
                  <w:r>
                    <w:rPr>
                      <w:rFonts w:hint="eastAsia" w:ascii="Times New Roman" w:cs="Times New Roman"/>
                      <w:lang w:val="en-US" w:eastAsia="zh-CN"/>
                    </w:rPr>
                    <w:t>情况</w:t>
                  </w:r>
                </w:p>
              </w:tc>
              <w:tc>
                <w:tcPr>
                  <w:tcW w:w="470" w:type="pct"/>
                  <w:tcBorders>
                    <w:tl2br w:val="nil"/>
                    <w:tr2bl w:val="nil"/>
                  </w:tcBorders>
                  <w:noWrap w:val="0"/>
                  <w:vAlign w:val="center"/>
                </w:tcPr>
                <w:p w14:paraId="2A68BDA2">
                  <w:pPr>
                    <w:pStyle w:val="38"/>
                    <w:spacing w:before="24" w:after="24"/>
                    <w:rPr>
                      <w:rFonts w:hint="default" w:ascii="Times New Roman" w:hAnsi="Times New Roman" w:cs="Times New Roman"/>
                      <w:lang w:val="en-US" w:eastAsia="zh-CN"/>
                    </w:rPr>
                  </w:pPr>
                  <w:r>
                    <w:rPr>
                      <w:rFonts w:hint="default" w:ascii="Times New Roman" w:hAnsi="Times New Roman" w:cs="Times New Roman"/>
                      <w:lang w:val="en-US" w:eastAsia="zh-CN"/>
                    </w:rPr>
                    <w:t>符合性</w:t>
                  </w:r>
                </w:p>
              </w:tc>
            </w:tr>
            <w:tr w14:paraId="01F707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95" w:type="pct"/>
                  <w:tcBorders>
                    <w:tl2br w:val="nil"/>
                    <w:tr2bl w:val="nil"/>
                  </w:tcBorders>
                  <w:noWrap w:val="0"/>
                  <w:vAlign w:val="center"/>
                </w:tcPr>
                <w:p w14:paraId="053AD94A">
                  <w:pPr>
                    <w:pStyle w:val="38"/>
                    <w:bidi w:val="0"/>
                    <w:jc w:val="both"/>
                    <w:rPr>
                      <w:rFonts w:hint="default" w:ascii="Times New Roman" w:hAnsi="Times New Roman" w:cs="Times New Roman"/>
                      <w:lang w:val="en-US" w:eastAsia="zh-CN"/>
                    </w:rPr>
                  </w:pPr>
                  <w:r>
                    <w:rPr>
                      <w:rFonts w:hint="default" w:ascii="Times New Roman" w:hAnsi="Times New Roman" w:cs="Times New Roman"/>
                      <w:lang w:val="en-US" w:eastAsia="zh-CN"/>
                    </w:rPr>
                    <w:t>1、根据《内蒙古自治区进一步规范化工行业项目建设的若干规定》，现有园区扩大面积的，要与黄河中上游流域巴彦淖尔段及主要支流岸线至少保持1公里距离。</w:t>
                  </w:r>
                </w:p>
              </w:tc>
              <w:tc>
                <w:tcPr>
                  <w:tcW w:w="1433" w:type="pct"/>
                  <w:tcBorders>
                    <w:tl2br w:val="nil"/>
                    <w:tr2bl w:val="nil"/>
                  </w:tcBorders>
                  <w:noWrap w:val="0"/>
                  <w:vAlign w:val="center"/>
                </w:tcPr>
                <w:p w14:paraId="6A2B71D7">
                  <w:pPr>
                    <w:pStyle w:val="38"/>
                    <w:bidi w:val="0"/>
                    <w:jc w:val="both"/>
                    <w:rPr>
                      <w:rFonts w:hint="default" w:ascii="Times New Roman" w:hAnsi="Times New Roman" w:cs="Times New Roman"/>
                      <w:lang w:val="en-US" w:eastAsia="zh-CN"/>
                    </w:rPr>
                  </w:pPr>
                  <w:r>
                    <w:rPr>
                      <w:rFonts w:hint="eastAsia" w:ascii="Times New Roman" w:cs="Times New Roman"/>
                      <w:lang w:val="en-US" w:eastAsia="zh-CN"/>
                    </w:rPr>
                    <w:t>本项目为新建拌合站项目，不涉及新化工园区的布局和现有园区面积的扩大。</w:t>
                  </w:r>
                </w:p>
              </w:tc>
              <w:tc>
                <w:tcPr>
                  <w:tcW w:w="470" w:type="pct"/>
                  <w:tcBorders>
                    <w:tl2br w:val="nil"/>
                    <w:tr2bl w:val="nil"/>
                  </w:tcBorders>
                  <w:noWrap w:val="0"/>
                  <w:vAlign w:val="center"/>
                </w:tcPr>
                <w:p w14:paraId="2F1CAF55">
                  <w:pPr>
                    <w:pStyle w:val="38"/>
                    <w:bidi w:val="0"/>
                    <w:rPr>
                      <w:rFonts w:hint="default" w:ascii="Times New Roman" w:hAnsi="Times New Roman" w:cs="Times New Roman"/>
                      <w:lang w:val="en-US" w:eastAsia="zh-CN"/>
                    </w:rPr>
                  </w:pPr>
                  <w:r>
                    <w:rPr>
                      <w:rFonts w:hint="eastAsia" w:ascii="Times New Roman" w:cs="Times New Roman"/>
                      <w:lang w:val="en-US" w:eastAsia="zh-CN"/>
                    </w:rPr>
                    <w:t>符合</w:t>
                  </w:r>
                </w:p>
              </w:tc>
            </w:tr>
            <w:tr w14:paraId="265EF7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95" w:type="pct"/>
                  <w:tcBorders>
                    <w:tl2br w:val="nil"/>
                    <w:tr2bl w:val="nil"/>
                  </w:tcBorders>
                  <w:noWrap w:val="0"/>
                  <w:vAlign w:val="center"/>
                </w:tcPr>
                <w:p w14:paraId="07F02FBB">
                  <w:pPr>
                    <w:pStyle w:val="38"/>
                    <w:bidi w:val="0"/>
                    <w:jc w:val="both"/>
                    <w:rPr>
                      <w:rFonts w:hint="default" w:ascii="Times New Roman" w:hAnsi="Times New Roman" w:cs="Times New Roman"/>
                      <w:lang w:val="en-US" w:eastAsia="zh-CN"/>
                    </w:rPr>
                  </w:pPr>
                  <w:r>
                    <w:rPr>
                      <w:rFonts w:hint="default" w:ascii="Times New Roman" w:hAnsi="Times New Roman" w:cs="Times New Roman"/>
                      <w:lang w:val="en-US" w:eastAsia="zh-CN"/>
                    </w:rPr>
                    <w:t>2、新建、改建、扩建</w:t>
                  </w:r>
                  <w:r>
                    <w:rPr>
                      <w:rFonts w:hint="eastAsia" w:ascii="Times New Roman" w:cs="Times New Roman"/>
                      <w:lang w:val="en-US" w:eastAsia="zh-CN"/>
                    </w:rPr>
                    <w:t>“</w:t>
                  </w:r>
                  <w:r>
                    <w:rPr>
                      <w:rFonts w:hint="default" w:ascii="Times New Roman" w:hAnsi="Times New Roman" w:cs="Times New Roman"/>
                      <w:lang w:val="en-US" w:eastAsia="zh-CN"/>
                    </w:rPr>
                    <w:t>两高</w:t>
                  </w:r>
                  <w:r>
                    <w:rPr>
                      <w:rFonts w:hint="eastAsia" w:ascii="Times New Roman" w:cs="Times New Roman"/>
                      <w:lang w:val="en-US" w:eastAsia="zh-CN"/>
                    </w:rPr>
                    <w:t>”</w:t>
                  </w:r>
                  <w:r>
                    <w:rPr>
                      <w:rFonts w:hint="default" w:ascii="Times New Roman" w:hAnsi="Times New Roman" w:cs="Times New Roman"/>
                      <w:lang w:val="en-US" w:eastAsia="zh-CN"/>
                    </w:rPr>
                    <w:t>项目须符合生态环境保护法律法规和相关法定规划，满足重点污染物排放总量控制、碳排放达峰目标、生态环境准入清单、相关规划环评和相应行业建设项目环境准入条件、环评文件审批要求。新建、扩建石化、化工、焦化、有色金属冶炼、平板玻璃项目应布设在依法合规设立并经规划环评的产业园区。化工园区（集中区）外已认定为化工重点监控点的企业，在项目审批、建设和管理方面参照化工园区内企业执行。企业可按照化工项目建设管理有关规定，依法依规在厂区内或紧邻厂区新建、改扩建现有装备同类产品、产业链延链补链、循环经济利用、安全环保节能项目，但原则上不能新建上游产业。</w:t>
                  </w:r>
                </w:p>
              </w:tc>
              <w:tc>
                <w:tcPr>
                  <w:tcW w:w="1433" w:type="pct"/>
                  <w:tcBorders>
                    <w:tl2br w:val="nil"/>
                    <w:tr2bl w:val="nil"/>
                  </w:tcBorders>
                  <w:noWrap w:val="0"/>
                  <w:vAlign w:val="center"/>
                </w:tcPr>
                <w:p w14:paraId="5481C409">
                  <w:pPr>
                    <w:rPr>
                      <w:rFonts w:hint="default"/>
                      <w:lang w:val="en-US" w:eastAsia="zh-CN"/>
                    </w:rPr>
                  </w:pPr>
                  <w:r>
                    <w:rPr>
                      <w:rFonts w:hint="default"/>
                      <w:lang w:val="en-US" w:eastAsia="zh-CN"/>
                    </w:rPr>
                    <w:t>本项目不属于</w:t>
                  </w:r>
                  <w:r>
                    <w:rPr>
                      <w:rFonts w:hint="eastAsia"/>
                      <w:lang w:val="en-US" w:eastAsia="zh-CN"/>
                    </w:rPr>
                    <w:t>“</w:t>
                  </w:r>
                  <w:r>
                    <w:rPr>
                      <w:rFonts w:hint="default"/>
                      <w:lang w:val="en-US" w:eastAsia="zh-CN"/>
                    </w:rPr>
                    <w:t>两高</w:t>
                  </w:r>
                  <w:r>
                    <w:rPr>
                      <w:rFonts w:hint="eastAsia"/>
                      <w:lang w:val="en-US" w:eastAsia="zh-CN"/>
                    </w:rPr>
                    <w:t>”</w:t>
                  </w:r>
                  <w:r>
                    <w:rPr>
                      <w:rFonts w:hint="default"/>
                      <w:lang w:val="en-US" w:eastAsia="zh-CN"/>
                    </w:rPr>
                    <w:t>项目；不属于石化、化工、焦化、有色金属冶炼、平板玻璃项目。</w:t>
                  </w:r>
                </w:p>
              </w:tc>
              <w:tc>
                <w:tcPr>
                  <w:tcW w:w="470" w:type="pct"/>
                  <w:tcBorders>
                    <w:tl2br w:val="nil"/>
                    <w:tr2bl w:val="nil"/>
                  </w:tcBorders>
                  <w:noWrap w:val="0"/>
                  <w:vAlign w:val="center"/>
                </w:tcPr>
                <w:p w14:paraId="447A4543">
                  <w:pPr>
                    <w:pStyle w:val="38"/>
                    <w:bidi w:val="0"/>
                    <w:rPr>
                      <w:rFonts w:hint="default" w:ascii="Times New Roman" w:hAnsi="Times New Roman" w:cs="Times New Roman"/>
                      <w:lang w:val="en-US" w:eastAsia="zh-CN"/>
                    </w:rPr>
                  </w:pPr>
                  <w:r>
                    <w:rPr>
                      <w:rFonts w:hint="eastAsia" w:ascii="Times New Roman" w:cs="Times New Roman"/>
                      <w:lang w:val="en-US" w:eastAsia="zh-CN"/>
                    </w:rPr>
                    <w:t>符合</w:t>
                  </w:r>
                </w:p>
              </w:tc>
            </w:tr>
            <w:tr w14:paraId="68F59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95" w:type="pct"/>
                  <w:tcBorders>
                    <w:tl2br w:val="nil"/>
                    <w:tr2bl w:val="nil"/>
                  </w:tcBorders>
                  <w:noWrap w:val="0"/>
                  <w:vAlign w:val="center"/>
                </w:tcPr>
                <w:p w14:paraId="1A5B88F4">
                  <w:pPr>
                    <w:pStyle w:val="38"/>
                    <w:bidi w:val="0"/>
                    <w:jc w:val="both"/>
                    <w:rPr>
                      <w:rFonts w:hint="default" w:ascii="Times New Roman" w:hAnsi="Times New Roman" w:cs="Times New Roman"/>
                      <w:lang w:val="en-US" w:eastAsia="zh-CN"/>
                    </w:rPr>
                  </w:pPr>
                  <w:r>
                    <w:rPr>
                      <w:rFonts w:hint="default" w:ascii="Times New Roman" w:hAnsi="Times New Roman" w:cs="Times New Roman"/>
                      <w:lang w:val="en-US" w:eastAsia="zh-CN"/>
                    </w:rPr>
                    <w:t>3、为改善区域环境质量，严格控制</w:t>
                  </w:r>
                  <w:r>
                    <w:rPr>
                      <w:rFonts w:hint="eastAsia" w:ascii="Times New Roman" w:cs="Times New Roman"/>
                      <w:lang w:val="en-US" w:eastAsia="zh-CN"/>
                    </w:rPr>
                    <w:t>“</w:t>
                  </w:r>
                  <w:r>
                    <w:rPr>
                      <w:rFonts w:hint="default" w:ascii="Times New Roman" w:hAnsi="Times New Roman" w:cs="Times New Roman"/>
                      <w:lang w:val="en-US" w:eastAsia="zh-CN"/>
                    </w:rPr>
                    <w:t>两高</w:t>
                  </w:r>
                  <w:r>
                    <w:rPr>
                      <w:rFonts w:hint="eastAsia" w:ascii="Times New Roman" w:cs="Times New Roman"/>
                      <w:lang w:val="en-US" w:eastAsia="zh-CN"/>
                    </w:rPr>
                    <w:t>”</w:t>
                  </w:r>
                  <w:r>
                    <w:rPr>
                      <w:rFonts w:hint="default" w:ascii="Times New Roman" w:hAnsi="Times New Roman" w:cs="Times New Roman"/>
                      <w:lang w:val="en-US" w:eastAsia="zh-CN"/>
                    </w:rPr>
                    <w:t>项目新增主要污染物排放，确保环境影响报告书及其批复文件要求的主要污染物排放量区域削减措施落实到位。建设项目应满足区域、流域控制单元环境质量改善目标管理要求。所在区域、流域控制单元环境质量未达到国家或者地方环境质量标准的，建设项目应提出有效的区域削减方案，主要污染物实行区域倍量削减，确保项目投产后区域环境质量有改善。所在区域、流域控制单元环境质量达到国家或者地方环境质量标准的，原则上建设项目主要污染物实行区域等量削减，确保项目投产后区域环境质量不恶化。</w:t>
                  </w:r>
                </w:p>
              </w:tc>
              <w:tc>
                <w:tcPr>
                  <w:tcW w:w="1433" w:type="pct"/>
                  <w:tcBorders>
                    <w:tl2br w:val="nil"/>
                    <w:tr2bl w:val="nil"/>
                  </w:tcBorders>
                  <w:noWrap w:val="0"/>
                  <w:vAlign w:val="center"/>
                </w:tcPr>
                <w:p w14:paraId="07C6EE59">
                  <w:pPr>
                    <w:rPr>
                      <w:rFonts w:hint="default" w:ascii="Times New Roman" w:cs="Times New Roman"/>
                      <w:lang w:val="en-US" w:eastAsia="zh-CN"/>
                    </w:rPr>
                  </w:pPr>
                  <w:r>
                    <w:rPr>
                      <w:rFonts w:hint="default" w:ascii="Times New Roman" w:cs="Times New Roman"/>
                      <w:lang w:val="en-US" w:eastAsia="zh-CN"/>
                    </w:rPr>
                    <w:t>本项目所在地巴彦淖尔市乌拉特中旗属于达标区；项目各污染物排放量较小，采取相应污染防治措施后，各污染物均可达标排放，不会造成区域环境质量恶化。</w:t>
                  </w:r>
                </w:p>
              </w:tc>
              <w:tc>
                <w:tcPr>
                  <w:tcW w:w="470" w:type="pct"/>
                  <w:tcBorders>
                    <w:tl2br w:val="nil"/>
                    <w:tr2bl w:val="nil"/>
                  </w:tcBorders>
                  <w:noWrap w:val="0"/>
                  <w:vAlign w:val="center"/>
                </w:tcPr>
                <w:p w14:paraId="5672E40B">
                  <w:pPr>
                    <w:pStyle w:val="38"/>
                    <w:bidi w:val="0"/>
                    <w:rPr>
                      <w:rFonts w:hint="default" w:ascii="Times New Roman" w:hAnsi="Times New Roman" w:cs="Times New Roman"/>
                      <w:lang w:val="en-US" w:eastAsia="zh-CN"/>
                    </w:rPr>
                  </w:pPr>
                  <w:r>
                    <w:rPr>
                      <w:rFonts w:hint="eastAsia" w:ascii="Times New Roman" w:cs="Times New Roman"/>
                      <w:lang w:val="en-US" w:eastAsia="zh-CN"/>
                    </w:rPr>
                    <w:t>符合</w:t>
                  </w:r>
                </w:p>
              </w:tc>
            </w:tr>
            <w:tr w14:paraId="3A92A6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95" w:type="pct"/>
                  <w:tcBorders>
                    <w:tl2br w:val="nil"/>
                    <w:tr2bl w:val="nil"/>
                  </w:tcBorders>
                  <w:noWrap w:val="0"/>
                  <w:vAlign w:val="center"/>
                </w:tcPr>
                <w:p w14:paraId="2F1538A8">
                  <w:pPr>
                    <w:pStyle w:val="38"/>
                    <w:bidi w:val="0"/>
                    <w:jc w:val="both"/>
                    <w:rPr>
                      <w:rFonts w:hint="default" w:ascii="Times New Roman" w:hAnsi="Times New Roman" w:cs="Times New Roman"/>
                      <w:lang w:val="en-US" w:eastAsia="zh-CN"/>
                    </w:rPr>
                  </w:pPr>
                  <w:r>
                    <w:rPr>
                      <w:rFonts w:hint="default" w:ascii="Times New Roman" w:hAnsi="Times New Roman" w:cs="Times New Roman"/>
                      <w:lang w:val="en-US" w:eastAsia="zh-CN"/>
                    </w:rPr>
                    <w:t>4、各类园区及建设项目选址应当符合当地国土空间规划。</w:t>
                  </w:r>
                </w:p>
              </w:tc>
              <w:tc>
                <w:tcPr>
                  <w:tcW w:w="1433" w:type="pct"/>
                  <w:tcBorders>
                    <w:tl2br w:val="nil"/>
                    <w:tr2bl w:val="nil"/>
                  </w:tcBorders>
                  <w:noWrap w:val="0"/>
                  <w:vAlign w:val="center"/>
                </w:tcPr>
                <w:p w14:paraId="6B989DC6">
                  <w:pPr>
                    <w:pStyle w:val="38"/>
                    <w:bidi w:val="0"/>
                    <w:jc w:val="both"/>
                    <w:rPr>
                      <w:rFonts w:hint="default" w:ascii="Times New Roman" w:hAnsi="Times New Roman" w:cs="Times New Roman"/>
                      <w:lang w:val="en-US" w:eastAsia="zh-CN"/>
                    </w:rPr>
                  </w:pPr>
                  <w:r>
                    <w:rPr>
                      <w:rFonts w:hint="eastAsia" w:ascii="Times New Roman" w:cs="Times New Roman"/>
                      <w:lang w:val="en-US" w:eastAsia="zh-CN"/>
                    </w:rPr>
                    <w:t>本项目用地</w:t>
                  </w:r>
                  <w:r>
                    <w:rPr>
                      <w:rFonts w:hint="default" w:ascii="Times New Roman" w:hAnsi="Times New Roman" w:cs="Times New Roman"/>
                      <w:lang w:val="en-US" w:eastAsia="zh-CN"/>
                    </w:rPr>
                    <w:t>已签约土地租赁合同</w:t>
                  </w:r>
                  <w:r>
                    <w:rPr>
                      <w:rFonts w:hint="eastAsia" w:ascii="Times New Roman" w:cs="Times New Roman"/>
                      <w:lang w:val="en-US" w:eastAsia="zh-CN"/>
                    </w:rPr>
                    <w:t>，符合当地国土空间规划。</w:t>
                  </w:r>
                </w:p>
              </w:tc>
              <w:tc>
                <w:tcPr>
                  <w:tcW w:w="470" w:type="pct"/>
                  <w:tcBorders>
                    <w:tl2br w:val="nil"/>
                    <w:tr2bl w:val="nil"/>
                  </w:tcBorders>
                  <w:noWrap w:val="0"/>
                  <w:vAlign w:val="center"/>
                </w:tcPr>
                <w:p w14:paraId="1C7D8898">
                  <w:pPr>
                    <w:pStyle w:val="38"/>
                    <w:bidi w:val="0"/>
                    <w:rPr>
                      <w:rFonts w:hint="default" w:ascii="Times New Roman" w:hAnsi="Times New Roman" w:cs="Times New Roman"/>
                      <w:lang w:val="en-US" w:eastAsia="zh-CN"/>
                    </w:rPr>
                  </w:pPr>
                  <w:r>
                    <w:rPr>
                      <w:rFonts w:hint="eastAsia" w:ascii="Times New Roman" w:cs="Times New Roman"/>
                      <w:lang w:val="en-US" w:eastAsia="zh-CN"/>
                    </w:rPr>
                    <w:t>符合</w:t>
                  </w:r>
                </w:p>
              </w:tc>
            </w:tr>
            <w:tr w14:paraId="7B2302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95" w:type="pct"/>
                  <w:tcBorders>
                    <w:tl2br w:val="nil"/>
                    <w:tr2bl w:val="nil"/>
                  </w:tcBorders>
                  <w:noWrap w:val="0"/>
                  <w:vAlign w:val="center"/>
                </w:tcPr>
                <w:p w14:paraId="59586CF4">
                  <w:pPr>
                    <w:pStyle w:val="38"/>
                    <w:bidi w:val="0"/>
                    <w:jc w:val="both"/>
                    <w:rPr>
                      <w:rFonts w:hint="default" w:ascii="Times New Roman" w:hAnsi="Times New Roman" w:cs="Times New Roman"/>
                      <w:lang w:val="en-US" w:eastAsia="zh-CN"/>
                    </w:rPr>
                  </w:pPr>
                  <w:r>
                    <w:rPr>
                      <w:rFonts w:hint="default" w:ascii="Times New Roman" w:hAnsi="Times New Roman" w:cs="Times New Roman"/>
                      <w:lang w:val="en-US" w:eastAsia="zh-CN"/>
                    </w:rPr>
                    <w:t>5、畜禽养殖禁养区内不得新建、扩建和改建各类畜禽养殖场，限养区内严格限制新建和扩建各类规模化畜禽养殖场。适养区内现有的各类畜禽养殖场必须落实污染防治措施，对污水、废渣和恶臭应进行定期监测，确保排放的污染物达到《畜禽养殖业污染物排放标准》（GB18596）的限值要求，并符合污染物排放总量控制要求。禁养区范围内的已建成的畜禽养殖场（小区）和养殖专业户，由所在地人民政府负责责令限期搬迁、关闭或取缔。</w:t>
                  </w:r>
                </w:p>
              </w:tc>
              <w:tc>
                <w:tcPr>
                  <w:tcW w:w="1433" w:type="pct"/>
                  <w:tcBorders>
                    <w:tl2br w:val="nil"/>
                    <w:tr2bl w:val="nil"/>
                  </w:tcBorders>
                  <w:noWrap w:val="0"/>
                  <w:vAlign w:val="center"/>
                </w:tcPr>
                <w:p w14:paraId="1BC47D91">
                  <w:pPr>
                    <w:pStyle w:val="38"/>
                    <w:bidi w:val="0"/>
                    <w:jc w:val="both"/>
                    <w:rPr>
                      <w:rFonts w:hint="default" w:ascii="Times New Roman" w:hAnsi="Times New Roman" w:cs="Times New Roman"/>
                      <w:lang w:val="en-US" w:eastAsia="zh-CN"/>
                    </w:rPr>
                  </w:pPr>
                  <w:r>
                    <w:rPr>
                      <w:rFonts w:hint="default" w:ascii="Times New Roman" w:hAnsi="Times New Roman" w:cs="Times New Roman"/>
                      <w:lang w:val="en-US" w:eastAsia="zh-CN"/>
                    </w:rPr>
                    <w:t>本项目不属于畜禽养殖项目。</w:t>
                  </w:r>
                </w:p>
              </w:tc>
              <w:tc>
                <w:tcPr>
                  <w:tcW w:w="470" w:type="pct"/>
                  <w:tcBorders>
                    <w:tl2br w:val="nil"/>
                    <w:tr2bl w:val="nil"/>
                  </w:tcBorders>
                  <w:noWrap w:val="0"/>
                  <w:vAlign w:val="center"/>
                </w:tcPr>
                <w:p w14:paraId="1A4E68C2">
                  <w:pPr>
                    <w:pStyle w:val="38"/>
                    <w:bidi w:val="0"/>
                    <w:rPr>
                      <w:rFonts w:hint="default" w:ascii="Times New Roman" w:hAnsi="Times New Roman" w:cs="Times New Roman"/>
                      <w:lang w:val="en-US" w:eastAsia="zh-CN"/>
                    </w:rPr>
                  </w:pPr>
                  <w:r>
                    <w:rPr>
                      <w:rFonts w:hint="eastAsia" w:ascii="Times New Roman" w:cs="Times New Roman"/>
                      <w:lang w:val="en-US" w:eastAsia="zh-CN"/>
                    </w:rPr>
                    <w:t>符合</w:t>
                  </w:r>
                </w:p>
              </w:tc>
            </w:tr>
            <w:tr w14:paraId="6240F7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95" w:type="pct"/>
                  <w:tcBorders>
                    <w:tl2br w:val="nil"/>
                    <w:tr2bl w:val="nil"/>
                  </w:tcBorders>
                  <w:noWrap w:val="0"/>
                  <w:vAlign w:val="center"/>
                </w:tcPr>
                <w:p w14:paraId="3492A564">
                  <w:pPr>
                    <w:pStyle w:val="38"/>
                    <w:bidi w:val="0"/>
                    <w:jc w:val="both"/>
                    <w:rPr>
                      <w:rFonts w:hint="default" w:ascii="Times New Roman" w:hAnsi="Times New Roman" w:cs="Times New Roman"/>
                      <w:lang w:val="en-US" w:eastAsia="zh-CN"/>
                    </w:rPr>
                  </w:pPr>
                  <w:r>
                    <w:rPr>
                      <w:rFonts w:hint="default" w:ascii="Times New Roman" w:hAnsi="Times New Roman" w:cs="Times New Roman"/>
                      <w:lang w:val="en-US" w:eastAsia="zh-CN"/>
                    </w:rPr>
                    <w:t>6、建设对环境有影响的项目，建设单位应当根据国家关于建设项目环境保护分类管理的规定，按照对环境造成影响的程度，组织编制环境影响报告书、环境影响报告表或者填写环境影响登记表。严格落实排污许可管理要求，加强排污许可证实施监管，督促企业采取有效措施控制污染物排放，达到排污许可证规定的许可排放量要求。</w:t>
                  </w:r>
                </w:p>
              </w:tc>
              <w:tc>
                <w:tcPr>
                  <w:tcW w:w="1433" w:type="pct"/>
                  <w:tcBorders>
                    <w:tl2br w:val="nil"/>
                    <w:tr2bl w:val="nil"/>
                  </w:tcBorders>
                  <w:noWrap w:val="0"/>
                  <w:vAlign w:val="center"/>
                </w:tcPr>
                <w:p w14:paraId="6E6B6A38">
                  <w:pPr>
                    <w:pStyle w:val="38"/>
                    <w:bidi w:val="0"/>
                    <w:jc w:val="both"/>
                    <w:rPr>
                      <w:rFonts w:hint="default" w:ascii="Times New Roman" w:hAnsi="Times New Roman" w:cs="Times New Roman"/>
                      <w:lang w:val="en-US" w:eastAsia="zh-CN"/>
                    </w:rPr>
                  </w:pPr>
                  <w:r>
                    <w:rPr>
                      <w:rFonts w:hint="default" w:ascii="Times New Roman" w:hAnsi="Times New Roman" w:cs="Times New Roman"/>
                      <w:lang w:val="en-US" w:eastAsia="zh-CN"/>
                    </w:rPr>
                    <w:t>根据《建设项目环境影响评价分类管理名录》（2021年版），本项目应编制环境影响报告表，项目已开展环评影响评价。项目建成正式排污前，将按要求申请排污许可证，按排污许可证要求排污。</w:t>
                  </w:r>
                </w:p>
              </w:tc>
              <w:tc>
                <w:tcPr>
                  <w:tcW w:w="470" w:type="pct"/>
                  <w:tcBorders>
                    <w:tl2br w:val="nil"/>
                    <w:tr2bl w:val="nil"/>
                  </w:tcBorders>
                  <w:noWrap w:val="0"/>
                  <w:vAlign w:val="center"/>
                </w:tcPr>
                <w:p w14:paraId="0771F85A">
                  <w:pPr>
                    <w:pStyle w:val="38"/>
                    <w:bidi w:val="0"/>
                    <w:rPr>
                      <w:rFonts w:hint="default" w:ascii="Times New Roman" w:hAnsi="Times New Roman" w:cs="Times New Roman"/>
                      <w:lang w:val="en-US" w:eastAsia="zh-CN"/>
                    </w:rPr>
                  </w:pPr>
                  <w:r>
                    <w:rPr>
                      <w:rFonts w:hint="eastAsia" w:ascii="Times New Roman" w:cs="Times New Roman"/>
                      <w:lang w:val="en-US" w:eastAsia="zh-CN"/>
                    </w:rPr>
                    <w:t>符合</w:t>
                  </w:r>
                </w:p>
              </w:tc>
            </w:tr>
            <w:tr w14:paraId="0AC588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95" w:type="pct"/>
                  <w:tcBorders>
                    <w:tl2br w:val="nil"/>
                    <w:tr2bl w:val="nil"/>
                  </w:tcBorders>
                  <w:noWrap w:val="0"/>
                  <w:vAlign w:val="center"/>
                </w:tcPr>
                <w:p w14:paraId="5B32D3EE">
                  <w:pPr>
                    <w:pStyle w:val="38"/>
                    <w:bidi w:val="0"/>
                    <w:jc w:val="both"/>
                    <w:rPr>
                      <w:rFonts w:hint="default" w:ascii="Times New Roman" w:hAnsi="Times New Roman" w:cs="Times New Roman"/>
                      <w:lang w:val="en-US" w:eastAsia="zh-CN"/>
                    </w:rPr>
                  </w:pPr>
                  <w:r>
                    <w:rPr>
                      <w:rFonts w:hint="default" w:ascii="Times New Roman" w:hAnsi="Times New Roman" w:cs="Times New Roman"/>
                      <w:lang w:val="en-US" w:eastAsia="zh-CN"/>
                    </w:rPr>
                    <w:t>7、入园项目需符合园区产业定位、布局、规划环评等；根据《内蒙古自治区“十四五”危险废物集中处置设施建设规划》，原则上限制新建、扩建危险废物焚烧、填埋、水泥窑协同等集中处置设施。</w:t>
                  </w:r>
                </w:p>
              </w:tc>
              <w:tc>
                <w:tcPr>
                  <w:tcW w:w="1433" w:type="pct"/>
                  <w:tcBorders>
                    <w:tl2br w:val="nil"/>
                    <w:tr2bl w:val="nil"/>
                  </w:tcBorders>
                  <w:noWrap w:val="0"/>
                  <w:vAlign w:val="center"/>
                </w:tcPr>
                <w:p w14:paraId="646EB334">
                  <w:pPr>
                    <w:pStyle w:val="38"/>
                    <w:bidi w:val="0"/>
                    <w:jc w:val="both"/>
                    <w:rPr>
                      <w:rFonts w:hint="default" w:ascii="Times New Roman" w:hAnsi="Times New Roman" w:cs="Times New Roman"/>
                      <w:lang w:val="en-US" w:eastAsia="zh-CN"/>
                    </w:rPr>
                  </w:pPr>
                  <w:r>
                    <w:rPr>
                      <w:rFonts w:hint="eastAsia" w:ascii="Times New Roman" w:cs="Times New Roman"/>
                      <w:lang w:val="en-US" w:eastAsia="zh-CN"/>
                    </w:rPr>
                    <w:t>本项目</w:t>
                  </w:r>
                  <w:r>
                    <w:rPr>
                      <w:rFonts w:hint="default" w:ascii="Times New Roman" w:hAnsi="Times New Roman" w:cs="Times New Roman"/>
                      <w:lang w:val="en-US" w:eastAsia="zh-CN"/>
                    </w:rPr>
                    <w:t>不在工业园区内</w:t>
                  </w:r>
                  <w:r>
                    <w:rPr>
                      <w:rFonts w:hint="eastAsia" w:ascii="Times New Roman" w:cs="Times New Roman"/>
                      <w:lang w:val="en-US" w:eastAsia="zh-CN"/>
                    </w:rPr>
                    <w:t>，不涉及危险废物焚烧、填埋、水泥窑协同等集中处置设施</w:t>
                  </w:r>
                  <w:r>
                    <w:rPr>
                      <w:rFonts w:hint="default" w:ascii="Times New Roman" w:hAnsi="Times New Roman" w:cs="Times New Roman"/>
                      <w:lang w:val="en-US" w:eastAsia="zh-CN"/>
                    </w:rPr>
                    <w:t>。</w:t>
                  </w:r>
                </w:p>
              </w:tc>
              <w:tc>
                <w:tcPr>
                  <w:tcW w:w="470" w:type="pct"/>
                  <w:tcBorders>
                    <w:tl2br w:val="nil"/>
                    <w:tr2bl w:val="nil"/>
                  </w:tcBorders>
                  <w:noWrap w:val="0"/>
                  <w:vAlign w:val="center"/>
                </w:tcPr>
                <w:p w14:paraId="4D9C6D60">
                  <w:pPr>
                    <w:pStyle w:val="38"/>
                    <w:bidi w:val="0"/>
                    <w:rPr>
                      <w:rFonts w:hint="default" w:ascii="Times New Roman" w:hAnsi="Times New Roman" w:cs="Times New Roman"/>
                      <w:lang w:val="en-US" w:eastAsia="zh-CN"/>
                    </w:rPr>
                  </w:pPr>
                  <w:r>
                    <w:rPr>
                      <w:rFonts w:hint="eastAsia" w:ascii="Times New Roman" w:cs="Times New Roman"/>
                      <w:lang w:val="en-US" w:eastAsia="zh-CN"/>
                    </w:rPr>
                    <w:t>符合</w:t>
                  </w:r>
                </w:p>
              </w:tc>
            </w:tr>
          </w:tbl>
          <w:p w14:paraId="2FF74F2D">
            <w:pPr>
              <w:pStyle w:val="33"/>
              <w:bidi w:val="0"/>
              <w:rPr>
                <w:rFonts w:hint="eastAsia"/>
                <w:lang w:val="en-US" w:eastAsia="zh-CN"/>
              </w:rPr>
            </w:pPr>
            <w:r>
              <w:rPr>
                <w:rFonts w:hint="eastAsia"/>
                <w:lang w:val="en-US" w:eastAsia="zh-CN"/>
              </w:rPr>
              <w:t>表3    本项目与巴彦淖尔甘其毛都口岸加工园区（编码ZH15082420001）管控要求符合性分析</w:t>
            </w:r>
          </w:p>
          <w:tbl>
            <w:tblPr>
              <w:tblStyle w:val="18"/>
              <w:tblW w:w="77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3"/>
              <w:gridCol w:w="693"/>
              <w:gridCol w:w="3024"/>
              <w:gridCol w:w="2422"/>
              <w:gridCol w:w="658"/>
            </w:tblGrid>
            <w:tr w14:paraId="71491C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3" w:type="dxa"/>
                  <w:tcBorders>
                    <w:tl2br w:val="nil"/>
                    <w:tr2bl w:val="nil"/>
                  </w:tcBorders>
                  <w:vAlign w:val="center"/>
                </w:tcPr>
                <w:p w14:paraId="4BD34B22">
                  <w:pPr>
                    <w:pStyle w:val="53"/>
                    <w:bidi w:val="0"/>
                    <w:rPr>
                      <w:rFonts w:hint="eastAsia"/>
                      <w:lang w:val="en-US" w:eastAsia="zh-CN"/>
                    </w:rPr>
                  </w:pPr>
                  <w:r>
                    <w:rPr>
                      <w:rFonts w:hint="eastAsia"/>
                      <w:lang w:val="en-US" w:eastAsia="zh-CN"/>
                    </w:rPr>
                    <w:t>环境管控单元名称</w:t>
                  </w:r>
                </w:p>
              </w:tc>
              <w:tc>
                <w:tcPr>
                  <w:tcW w:w="3717" w:type="dxa"/>
                  <w:gridSpan w:val="2"/>
                  <w:tcBorders>
                    <w:tl2br w:val="nil"/>
                    <w:tr2bl w:val="nil"/>
                  </w:tcBorders>
                  <w:vAlign w:val="center"/>
                </w:tcPr>
                <w:p w14:paraId="52E303D7">
                  <w:pPr>
                    <w:pStyle w:val="53"/>
                    <w:bidi w:val="0"/>
                    <w:rPr>
                      <w:rFonts w:hint="eastAsia"/>
                      <w:lang w:val="en-US" w:eastAsia="zh-CN"/>
                    </w:rPr>
                  </w:pPr>
                  <w:r>
                    <w:rPr>
                      <w:rFonts w:hint="eastAsia"/>
                      <w:lang w:val="en-US" w:eastAsia="zh-CN"/>
                    </w:rPr>
                    <w:t>管控要求</w:t>
                  </w:r>
                </w:p>
              </w:tc>
              <w:tc>
                <w:tcPr>
                  <w:tcW w:w="2422" w:type="dxa"/>
                  <w:tcBorders>
                    <w:tl2br w:val="nil"/>
                    <w:tr2bl w:val="nil"/>
                  </w:tcBorders>
                  <w:vAlign w:val="center"/>
                </w:tcPr>
                <w:p w14:paraId="07714624">
                  <w:pPr>
                    <w:pStyle w:val="53"/>
                    <w:bidi w:val="0"/>
                    <w:rPr>
                      <w:rFonts w:hint="default"/>
                      <w:lang w:val="en-US" w:eastAsia="zh-CN"/>
                    </w:rPr>
                  </w:pPr>
                  <w:r>
                    <w:rPr>
                      <w:rFonts w:hint="eastAsia"/>
                      <w:lang w:val="en-US" w:eastAsia="zh-CN"/>
                    </w:rPr>
                    <w:t>本项目情况</w:t>
                  </w:r>
                </w:p>
              </w:tc>
              <w:tc>
                <w:tcPr>
                  <w:tcW w:w="658" w:type="dxa"/>
                  <w:tcBorders>
                    <w:tl2br w:val="nil"/>
                    <w:tr2bl w:val="nil"/>
                  </w:tcBorders>
                  <w:vAlign w:val="center"/>
                </w:tcPr>
                <w:p w14:paraId="4C63AA48">
                  <w:pPr>
                    <w:pStyle w:val="53"/>
                    <w:bidi w:val="0"/>
                    <w:rPr>
                      <w:rFonts w:hint="default"/>
                      <w:lang w:val="en-US" w:eastAsia="zh-CN"/>
                    </w:rPr>
                  </w:pPr>
                  <w:r>
                    <w:rPr>
                      <w:rFonts w:hint="eastAsia"/>
                      <w:lang w:val="en-US" w:eastAsia="zh-CN"/>
                    </w:rPr>
                    <w:t>符合性</w:t>
                  </w:r>
                </w:p>
              </w:tc>
            </w:tr>
            <w:tr w14:paraId="59BB75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3" w:type="dxa"/>
                  <w:vMerge w:val="restart"/>
                  <w:tcBorders>
                    <w:tl2br w:val="nil"/>
                    <w:tr2bl w:val="nil"/>
                  </w:tcBorders>
                  <w:vAlign w:val="center"/>
                </w:tcPr>
                <w:p w14:paraId="1168F04E">
                  <w:pPr>
                    <w:pStyle w:val="53"/>
                    <w:bidi w:val="0"/>
                    <w:rPr>
                      <w:rFonts w:hint="eastAsia"/>
                      <w:lang w:val="en-US" w:eastAsia="zh-CN"/>
                    </w:rPr>
                  </w:pPr>
                  <w:r>
                    <w:rPr>
                      <w:rFonts w:hint="eastAsia"/>
                      <w:lang w:val="en-US" w:eastAsia="zh-CN"/>
                    </w:rPr>
                    <w:t>巴彦淖尔甘其毛都口岸加工园区</w:t>
                  </w:r>
                </w:p>
              </w:tc>
              <w:tc>
                <w:tcPr>
                  <w:tcW w:w="693" w:type="dxa"/>
                  <w:tcBorders>
                    <w:tl2br w:val="nil"/>
                    <w:tr2bl w:val="nil"/>
                  </w:tcBorders>
                  <w:vAlign w:val="center"/>
                </w:tcPr>
                <w:p w14:paraId="114FEF02">
                  <w:pPr>
                    <w:pStyle w:val="53"/>
                    <w:bidi w:val="0"/>
                    <w:rPr>
                      <w:rFonts w:hint="eastAsia"/>
                      <w:lang w:val="en-US" w:eastAsia="zh-CN"/>
                    </w:rPr>
                  </w:pPr>
                  <w:r>
                    <w:rPr>
                      <w:rFonts w:hint="eastAsia"/>
                      <w:lang w:val="en-US" w:eastAsia="zh-CN"/>
                    </w:rPr>
                    <w:t>空间布局约束</w:t>
                  </w:r>
                </w:p>
              </w:tc>
              <w:tc>
                <w:tcPr>
                  <w:tcW w:w="3024" w:type="dxa"/>
                  <w:tcBorders>
                    <w:tl2br w:val="nil"/>
                    <w:tr2bl w:val="nil"/>
                  </w:tcBorders>
                  <w:vAlign w:val="center"/>
                </w:tcPr>
                <w:p w14:paraId="4E0933EE">
                  <w:pPr>
                    <w:pStyle w:val="53"/>
                    <w:bidi w:val="0"/>
                    <w:jc w:val="both"/>
                    <w:rPr>
                      <w:rFonts w:hint="eastAsia"/>
                      <w:lang w:val="en-US" w:eastAsia="zh-CN"/>
                    </w:rPr>
                  </w:pPr>
                  <w:r>
                    <w:rPr>
                      <w:rFonts w:hint="eastAsia"/>
                      <w:lang w:val="en-US" w:eastAsia="zh-CN"/>
                    </w:rPr>
                    <w:t>1、严格执行环境准入门槛，依法落实园区规划环评。对不符合园区产业定位、布局、规划环评等的项目一律不予批准。</w:t>
                  </w:r>
                </w:p>
                <w:p w14:paraId="5F30EC2C">
                  <w:pPr>
                    <w:pStyle w:val="53"/>
                    <w:bidi w:val="0"/>
                    <w:jc w:val="both"/>
                    <w:rPr>
                      <w:rFonts w:hint="eastAsia"/>
                      <w:lang w:val="en-US" w:eastAsia="zh-CN"/>
                    </w:rPr>
                  </w:pPr>
                  <w:r>
                    <w:rPr>
                      <w:rFonts w:hint="eastAsia"/>
                      <w:lang w:val="en-US" w:eastAsia="zh-CN"/>
                    </w:rPr>
                    <w:t>2、新建、改建、扩建项目，必须符合国家和自治区产业指导目录要求、行业技术标准以及规模、投资强度。</w:t>
                  </w:r>
                </w:p>
                <w:p w14:paraId="71D5FF5A">
                  <w:pPr>
                    <w:pStyle w:val="53"/>
                    <w:bidi w:val="0"/>
                    <w:jc w:val="both"/>
                    <w:rPr>
                      <w:rFonts w:hint="eastAsia"/>
                      <w:lang w:val="en-US" w:eastAsia="zh-CN"/>
                    </w:rPr>
                  </w:pPr>
                  <w:r>
                    <w:rPr>
                      <w:rFonts w:hint="eastAsia"/>
                      <w:lang w:val="en-US" w:eastAsia="zh-CN"/>
                    </w:rPr>
                    <w:t>3、新建、改建、扩建“两高”项目须符合生态环境保护法律法规和相关法定规划，满足重点污染物排放总量控制、碳达峰、碳中和目标、生态环境准入清单、相关规划环评和相应行业建设项目环境准入条件、环评文件审批原则要求。</w:t>
                  </w:r>
                </w:p>
                <w:p w14:paraId="3EF1C6B1">
                  <w:pPr>
                    <w:pStyle w:val="53"/>
                    <w:bidi w:val="0"/>
                    <w:jc w:val="both"/>
                    <w:rPr>
                      <w:rFonts w:hint="eastAsia"/>
                      <w:lang w:val="en-US" w:eastAsia="zh-CN"/>
                    </w:rPr>
                  </w:pPr>
                  <w:r>
                    <w:rPr>
                      <w:rFonts w:hint="eastAsia"/>
                      <w:lang w:val="en-US" w:eastAsia="zh-CN"/>
                    </w:rPr>
                    <w:t>4、积极推进“两高”项目环评开展试点工作，衔接落实有关区域和行业碳达峰、碳中和行动方案、清洁能源替代、清洁运输、煤炭消费总量控制等政策要求。</w:t>
                  </w:r>
                </w:p>
                <w:p w14:paraId="20E1398B">
                  <w:pPr>
                    <w:pStyle w:val="53"/>
                    <w:bidi w:val="0"/>
                    <w:jc w:val="both"/>
                    <w:rPr>
                      <w:rFonts w:hint="eastAsia"/>
                      <w:lang w:val="en-US" w:eastAsia="zh-CN"/>
                    </w:rPr>
                  </w:pPr>
                  <w:r>
                    <w:rPr>
                      <w:rFonts w:hint="eastAsia"/>
                      <w:lang w:val="en-US" w:eastAsia="zh-CN"/>
                    </w:rPr>
                    <w:t>5、控制高耗能行业产能规模。确有必要建设的，须在区内实施产能和能耗减量置换。除国家规划布局和自治区延链补链的现代煤化工项目外，“十四五”期间，原则上不再审批新的现代煤化工项目。合理有序控制数据中心建设规模，严禁新建虚拟货币挖矿项目。</w:t>
                  </w:r>
                </w:p>
                <w:p w14:paraId="4A0A5B18">
                  <w:pPr>
                    <w:pStyle w:val="53"/>
                    <w:bidi w:val="0"/>
                    <w:jc w:val="both"/>
                    <w:rPr>
                      <w:rFonts w:hint="eastAsia"/>
                      <w:lang w:val="en-US" w:eastAsia="zh-CN"/>
                    </w:rPr>
                  </w:pPr>
                  <w:r>
                    <w:rPr>
                      <w:rFonts w:hint="eastAsia"/>
                      <w:lang w:val="en-US" w:eastAsia="zh-CN"/>
                    </w:rPr>
                    <w:t>6、严格执行《内蒙古自治区饮用水水源保护条例》、《巴彦淖尔市集中式饮用水水源保护条例》中要求。</w:t>
                  </w:r>
                </w:p>
                <w:p w14:paraId="05AD1F69">
                  <w:pPr>
                    <w:pStyle w:val="53"/>
                    <w:bidi w:val="0"/>
                    <w:jc w:val="both"/>
                    <w:rPr>
                      <w:rFonts w:hint="eastAsia"/>
                      <w:lang w:val="en-US" w:eastAsia="zh-CN"/>
                    </w:rPr>
                  </w:pPr>
                  <w:r>
                    <w:rPr>
                      <w:rFonts w:hint="eastAsia"/>
                      <w:lang w:val="en-US" w:eastAsia="zh-CN"/>
                    </w:rPr>
                    <w:t>7、新建、改建、扩建“两高一低”项目，须符合《内蒙古自治区发展和改革委员会生态环境厅工业和信息化厅能源局关于印发&lt;内蒙古自治区坚决遏制“两高一低”项目盲目发展管控目录（2023年修订版）&gt;的通知》（内发改环资字[2023]1080号）相关要求。</w:t>
                  </w:r>
                </w:p>
              </w:tc>
              <w:tc>
                <w:tcPr>
                  <w:tcW w:w="2422" w:type="dxa"/>
                  <w:tcBorders>
                    <w:tl2br w:val="nil"/>
                    <w:tr2bl w:val="nil"/>
                  </w:tcBorders>
                  <w:vAlign w:val="center"/>
                </w:tcPr>
                <w:p w14:paraId="0D07A109">
                  <w:pPr>
                    <w:pStyle w:val="53"/>
                    <w:bidi w:val="0"/>
                    <w:jc w:val="both"/>
                    <w:rPr>
                      <w:rFonts w:hint="eastAsia"/>
                      <w:lang w:val="en-US" w:eastAsia="zh-CN"/>
                    </w:rPr>
                  </w:pPr>
                  <w:r>
                    <w:rPr>
                      <w:rFonts w:hint="eastAsia"/>
                      <w:lang w:val="en-US" w:eastAsia="zh-CN"/>
                    </w:rPr>
                    <w:t>1、本项目不在巴彦淖尔甘其毛都口岸加工园区内。</w:t>
                  </w:r>
                </w:p>
                <w:p w14:paraId="0467C241">
                  <w:pPr>
                    <w:pStyle w:val="53"/>
                    <w:bidi w:val="0"/>
                    <w:jc w:val="both"/>
                    <w:rPr>
                      <w:rFonts w:hint="eastAsia"/>
                      <w:lang w:val="en-US" w:eastAsia="zh-CN"/>
                    </w:rPr>
                  </w:pPr>
                  <w:r>
                    <w:rPr>
                      <w:rFonts w:hint="eastAsia"/>
                      <w:lang w:val="en-US" w:eastAsia="zh-CN"/>
                    </w:rPr>
                    <w:t>2、本项目为新建拌合站项目，年产20万m</w:t>
                  </w:r>
                  <w:r>
                    <w:rPr>
                      <w:rFonts w:hint="eastAsia"/>
                      <w:vertAlign w:val="superscript"/>
                      <w:lang w:val="en-US" w:eastAsia="zh-CN"/>
                    </w:rPr>
                    <w:t>3</w:t>
                  </w:r>
                  <w:r>
                    <w:rPr>
                      <w:rFonts w:hint="eastAsia"/>
                      <w:lang w:val="en-US" w:eastAsia="zh-CN"/>
                    </w:rPr>
                    <w:t>混凝土。根据《产业结构调整指导目录（2024年本）》，本项目不属于鼓励类、限制类以及淘汰类项目，属于政策允许建设项目。</w:t>
                  </w:r>
                </w:p>
                <w:p w14:paraId="1E93DC32">
                  <w:pPr>
                    <w:pStyle w:val="53"/>
                    <w:bidi w:val="0"/>
                    <w:jc w:val="both"/>
                    <w:rPr>
                      <w:rFonts w:hint="default"/>
                      <w:lang w:val="en-US" w:eastAsia="zh-CN"/>
                    </w:rPr>
                  </w:pPr>
                  <w:r>
                    <w:rPr>
                      <w:rFonts w:hint="eastAsia"/>
                      <w:lang w:val="en-US" w:eastAsia="zh-CN"/>
                    </w:rPr>
                    <w:t>3、本项目不属于“两高”项目。</w:t>
                  </w:r>
                </w:p>
                <w:p w14:paraId="4E38A985">
                  <w:pPr>
                    <w:pStyle w:val="53"/>
                    <w:bidi w:val="0"/>
                    <w:jc w:val="both"/>
                    <w:rPr>
                      <w:rFonts w:hint="eastAsia"/>
                      <w:lang w:val="en-US" w:eastAsia="zh-CN"/>
                    </w:rPr>
                  </w:pPr>
                  <w:r>
                    <w:rPr>
                      <w:rFonts w:hint="eastAsia"/>
                      <w:lang w:val="en-US" w:eastAsia="zh-CN"/>
                    </w:rPr>
                    <w:t>4、本项目不属于“两高”项目。</w:t>
                  </w:r>
                </w:p>
                <w:p w14:paraId="6A416D77">
                  <w:pPr>
                    <w:pStyle w:val="53"/>
                    <w:bidi w:val="0"/>
                    <w:jc w:val="both"/>
                    <w:rPr>
                      <w:rFonts w:hint="default"/>
                      <w:lang w:val="en-US" w:eastAsia="zh-CN"/>
                    </w:rPr>
                  </w:pPr>
                  <w:r>
                    <w:rPr>
                      <w:rFonts w:hint="eastAsia"/>
                      <w:lang w:val="en-US" w:eastAsia="zh-CN"/>
                    </w:rPr>
                    <w:t>5、本项目不属于煤化工项目。</w:t>
                  </w:r>
                </w:p>
                <w:p w14:paraId="68220ADC">
                  <w:pPr>
                    <w:pStyle w:val="53"/>
                    <w:bidi w:val="0"/>
                    <w:jc w:val="both"/>
                    <w:rPr>
                      <w:rFonts w:hint="eastAsia"/>
                      <w:lang w:val="en-US" w:eastAsia="zh-CN"/>
                    </w:rPr>
                  </w:pPr>
                  <w:r>
                    <w:rPr>
                      <w:rFonts w:hint="eastAsia"/>
                      <w:lang w:val="en-US" w:eastAsia="zh-CN"/>
                    </w:rPr>
                    <w:t>6、本项目严格按照《内蒙古自治区饮用水水源保护条例》、《巴彦淖尔市集中式饮用水水源保护条例》中要求执行。</w:t>
                  </w:r>
                </w:p>
                <w:p w14:paraId="7930786B">
                  <w:pPr>
                    <w:pStyle w:val="53"/>
                    <w:bidi w:val="0"/>
                    <w:jc w:val="both"/>
                    <w:rPr>
                      <w:rFonts w:hint="default"/>
                      <w:lang w:val="en-US" w:eastAsia="zh-CN"/>
                    </w:rPr>
                  </w:pPr>
                  <w:r>
                    <w:rPr>
                      <w:rFonts w:hint="eastAsia"/>
                      <w:lang w:val="en-US" w:eastAsia="zh-CN"/>
                    </w:rPr>
                    <w:t>7、本项目不属于《内蒙古自治区坚决遏制“两高”项目低水平盲目发展管控目录》中建设项目。</w:t>
                  </w:r>
                </w:p>
              </w:tc>
              <w:tc>
                <w:tcPr>
                  <w:tcW w:w="658" w:type="dxa"/>
                  <w:tcBorders>
                    <w:tl2br w:val="nil"/>
                    <w:tr2bl w:val="nil"/>
                  </w:tcBorders>
                  <w:vAlign w:val="center"/>
                </w:tcPr>
                <w:p w14:paraId="315F7D1C">
                  <w:pPr>
                    <w:pStyle w:val="53"/>
                    <w:bidi w:val="0"/>
                    <w:rPr>
                      <w:rFonts w:hint="default"/>
                      <w:lang w:val="en-US" w:eastAsia="zh-CN"/>
                    </w:rPr>
                  </w:pPr>
                  <w:r>
                    <w:rPr>
                      <w:rFonts w:hint="eastAsia"/>
                      <w:lang w:val="en-US" w:eastAsia="zh-CN"/>
                    </w:rPr>
                    <w:t>符合</w:t>
                  </w:r>
                </w:p>
              </w:tc>
            </w:tr>
            <w:tr w14:paraId="751873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3" w:type="dxa"/>
                  <w:vMerge w:val="continue"/>
                  <w:tcBorders>
                    <w:tl2br w:val="nil"/>
                    <w:tr2bl w:val="nil"/>
                  </w:tcBorders>
                  <w:vAlign w:val="center"/>
                </w:tcPr>
                <w:p w14:paraId="027F5E1B">
                  <w:pPr>
                    <w:pStyle w:val="53"/>
                    <w:bidi w:val="0"/>
                    <w:rPr>
                      <w:rFonts w:hint="eastAsia"/>
                      <w:lang w:val="en-US" w:eastAsia="zh-CN"/>
                    </w:rPr>
                  </w:pPr>
                </w:p>
              </w:tc>
              <w:tc>
                <w:tcPr>
                  <w:tcW w:w="693" w:type="dxa"/>
                  <w:tcBorders>
                    <w:tl2br w:val="nil"/>
                    <w:tr2bl w:val="nil"/>
                  </w:tcBorders>
                  <w:vAlign w:val="center"/>
                </w:tcPr>
                <w:p w14:paraId="610456D6">
                  <w:pPr>
                    <w:pStyle w:val="53"/>
                    <w:bidi w:val="0"/>
                    <w:rPr>
                      <w:rFonts w:hint="eastAsia"/>
                      <w:lang w:val="en-US" w:eastAsia="zh-CN"/>
                    </w:rPr>
                  </w:pPr>
                  <w:r>
                    <w:rPr>
                      <w:rFonts w:hint="eastAsia"/>
                      <w:lang w:val="en-US" w:eastAsia="zh-CN"/>
                    </w:rPr>
                    <w:t>污染物排放管控</w:t>
                  </w:r>
                </w:p>
              </w:tc>
              <w:tc>
                <w:tcPr>
                  <w:tcW w:w="3024" w:type="dxa"/>
                  <w:tcBorders>
                    <w:tl2br w:val="nil"/>
                    <w:tr2bl w:val="nil"/>
                  </w:tcBorders>
                  <w:vAlign w:val="center"/>
                </w:tcPr>
                <w:p w14:paraId="33A71E42">
                  <w:pPr>
                    <w:pStyle w:val="53"/>
                    <w:bidi w:val="0"/>
                    <w:jc w:val="both"/>
                    <w:rPr>
                      <w:rFonts w:hint="eastAsia"/>
                      <w:lang w:val="en-US" w:eastAsia="zh-CN"/>
                    </w:rPr>
                  </w:pPr>
                  <w:r>
                    <w:rPr>
                      <w:rFonts w:hint="eastAsia"/>
                      <w:lang w:val="en-US" w:eastAsia="zh-CN"/>
                    </w:rPr>
                    <w:t>1、粉状物料堆场必须进行全封闭，块状物料必须配套抑尘设施。</w:t>
                  </w:r>
                </w:p>
                <w:p w14:paraId="68973147">
                  <w:pPr>
                    <w:pStyle w:val="53"/>
                    <w:bidi w:val="0"/>
                    <w:jc w:val="both"/>
                    <w:rPr>
                      <w:rFonts w:hint="eastAsia"/>
                      <w:lang w:val="en-US" w:eastAsia="zh-CN"/>
                    </w:rPr>
                  </w:pPr>
                  <w:r>
                    <w:rPr>
                      <w:rFonts w:hint="eastAsia"/>
                      <w:lang w:val="en-US" w:eastAsia="zh-CN"/>
                    </w:rPr>
                    <w:t>2、禁止新建每小时35蒸吨以下燃煤锅炉，新建锅炉大气污染物排放要符合相关要求。</w:t>
                  </w:r>
                </w:p>
                <w:p w14:paraId="060B3968">
                  <w:pPr>
                    <w:pStyle w:val="53"/>
                    <w:bidi w:val="0"/>
                    <w:jc w:val="both"/>
                    <w:rPr>
                      <w:rFonts w:hint="eastAsia"/>
                      <w:lang w:val="en-US" w:eastAsia="zh-CN"/>
                    </w:rPr>
                  </w:pPr>
                  <w:r>
                    <w:rPr>
                      <w:rFonts w:hint="eastAsia"/>
                      <w:lang w:val="en-US" w:eastAsia="zh-CN"/>
                    </w:rPr>
                    <w:t>3、根据《化工园区建设标准和认定管理办法（试行）》（工信部联原[2021]220号）要求，化工园区应按照分类收集、分质处理的要求，配备专业化工生产废水集中处理设施（独立建设或依托骨干企业）及专管或明管输送的配套管网。工业园区的工业企业排放的废水应当按照国家有关规定进行预处理（或者委托具备处理能力的第三方进行集中处理），未达到工业园区集中处理设施（不含园区企业预处理一级集中处理设施）处理工艺要求的，不得排入工业园区污水集中处理设施。</w:t>
                  </w:r>
                </w:p>
                <w:p w14:paraId="12D77AA0">
                  <w:pPr>
                    <w:pStyle w:val="53"/>
                    <w:bidi w:val="0"/>
                    <w:jc w:val="both"/>
                    <w:rPr>
                      <w:rFonts w:hint="eastAsia"/>
                      <w:lang w:val="en-US" w:eastAsia="zh-CN"/>
                    </w:rPr>
                  </w:pPr>
                  <w:r>
                    <w:rPr>
                      <w:rFonts w:hint="eastAsia"/>
                      <w:lang w:val="en-US" w:eastAsia="zh-CN"/>
                    </w:rPr>
                    <w:t>4、新建“两高”项目应按照《关于加强重点行业建设项目区域削减措施监督管理的通知》要求，依据区域环境质量改善目标，制定配套区域污染物削减方案，采取有效的污染物区域削减措施，腾出足够的环境容量。现有“两高”项目应依法制定并严格落实防治土壤与地下水污染的措施。推进水泥、焦化等行业超低排放改造。以电力、焦化、冶炼、钢铁等行业为重点，有序推进现有企业开展全流程智能化、清洁化、循环化、低碳化改造，促进传统产业绿色转型级，逐步淘汰落后产能。</w:t>
                  </w:r>
                </w:p>
                <w:p w14:paraId="45D02B34">
                  <w:pPr>
                    <w:pStyle w:val="53"/>
                    <w:bidi w:val="0"/>
                    <w:jc w:val="both"/>
                    <w:rPr>
                      <w:rFonts w:hint="eastAsia"/>
                      <w:lang w:val="en-US" w:eastAsia="zh-CN"/>
                    </w:rPr>
                  </w:pPr>
                  <w:r>
                    <w:rPr>
                      <w:rFonts w:hint="eastAsia"/>
                      <w:lang w:val="en-US" w:eastAsia="zh-CN"/>
                    </w:rPr>
                    <w:t>5、加强对废气特别是有毒及恶臭气体的收集和处置，严格控制挥发性有机物（VOCs）排放。</w:t>
                  </w:r>
                </w:p>
                <w:p w14:paraId="042412D1">
                  <w:pPr>
                    <w:pStyle w:val="53"/>
                    <w:bidi w:val="0"/>
                    <w:jc w:val="both"/>
                    <w:rPr>
                      <w:rFonts w:hint="eastAsia"/>
                      <w:lang w:val="en-US" w:eastAsia="zh-CN"/>
                    </w:rPr>
                  </w:pPr>
                  <w:r>
                    <w:rPr>
                      <w:rFonts w:hint="eastAsia"/>
                      <w:lang w:val="en-US" w:eastAsia="zh-CN"/>
                    </w:rPr>
                    <w:t>6、以焦化制造、冶金等行业为重点，有序推进现有企业开展全流程智能化、清洁化、循环化、低碳化改造，促进传统产业绿色转型升级，逐步淘汰落后产能。推进焦化等行业超低排放改造。</w:t>
                  </w:r>
                </w:p>
                <w:p w14:paraId="0EF1CF3B">
                  <w:pPr>
                    <w:pStyle w:val="53"/>
                    <w:bidi w:val="0"/>
                    <w:jc w:val="both"/>
                    <w:rPr>
                      <w:rFonts w:hint="eastAsia"/>
                      <w:lang w:val="en-US" w:eastAsia="zh-CN"/>
                    </w:rPr>
                  </w:pPr>
                  <w:r>
                    <w:rPr>
                      <w:rFonts w:hint="eastAsia"/>
                      <w:lang w:val="en-US" w:eastAsia="zh-CN"/>
                    </w:rPr>
                    <w:t>7、固体废物产生量大的化工园区应配套建设固体废物处置设施同时提高综合利用率。</w:t>
                  </w:r>
                </w:p>
                <w:p w14:paraId="01D8D37C">
                  <w:pPr>
                    <w:pStyle w:val="53"/>
                    <w:bidi w:val="0"/>
                    <w:jc w:val="both"/>
                    <w:rPr>
                      <w:rFonts w:hint="eastAsia"/>
                      <w:lang w:val="en-US" w:eastAsia="zh-CN"/>
                    </w:rPr>
                  </w:pPr>
                  <w:r>
                    <w:rPr>
                      <w:rFonts w:hint="eastAsia"/>
                      <w:lang w:val="en-US" w:eastAsia="zh-CN"/>
                    </w:rPr>
                    <w:t>8、新建、改建、扩建重点行业建设项目遵循重点重金属污染物排放“等量替代”原则。建设单位在提交环境影响评价文件时应明确重点重金属污染物排放总量及来源。无明确具体总量来源的，各级生态环境部门不得批准相关环境影响评价文件。禁止新建用汞的电石法（聚）氯乙烯生产工艺项目。新建、扩建的重有色金属冶炼、电镀、制革企业优先布设在依法合规设立并经规划环评的产业园区。</w:t>
                  </w:r>
                </w:p>
              </w:tc>
              <w:tc>
                <w:tcPr>
                  <w:tcW w:w="2422" w:type="dxa"/>
                  <w:tcBorders>
                    <w:tl2br w:val="nil"/>
                    <w:tr2bl w:val="nil"/>
                  </w:tcBorders>
                  <w:vAlign w:val="center"/>
                </w:tcPr>
                <w:p w14:paraId="482C0615">
                  <w:pPr>
                    <w:pStyle w:val="53"/>
                    <w:bidi w:val="0"/>
                    <w:jc w:val="both"/>
                    <w:rPr>
                      <w:rFonts w:hint="eastAsia"/>
                      <w:lang w:val="en-US" w:eastAsia="zh-CN"/>
                    </w:rPr>
                  </w:pPr>
                  <w:r>
                    <w:rPr>
                      <w:rFonts w:hint="eastAsia"/>
                      <w:lang w:val="en-US" w:eastAsia="zh-CN"/>
                    </w:rPr>
                    <w:t>1、本项目原料石屑、碎石储存于全封闭骨料仓内，设置雾炮机抑尘；水泥储存于水泥筒仓内。</w:t>
                  </w:r>
                </w:p>
                <w:p w14:paraId="3B53D8BE">
                  <w:pPr>
                    <w:pStyle w:val="53"/>
                    <w:bidi w:val="0"/>
                    <w:jc w:val="both"/>
                    <w:rPr>
                      <w:rFonts w:hint="eastAsia"/>
                      <w:lang w:val="en-US" w:eastAsia="zh-CN"/>
                    </w:rPr>
                  </w:pPr>
                  <w:r>
                    <w:rPr>
                      <w:rFonts w:hint="eastAsia"/>
                      <w:lang w:val="en-US" w:eastAsia="zh-CN"/>
                    </w:rPr>
                    <w:t>2、本项目不新建锅炉。</w:t>
                  </w:r>
                </w:p>
                <w:p w14:paraId="2B3AFFD3">
                  <w:pPr>
                    <w:pStyle w:val="53"/>
                    <w:bidi w:val="0"/>
                    <w:jc w:val="both"/>
                    <w:rPr>
                      <w:rFonts w:hint="eastAsia"/>
                      <w:lang w:val="en-US" w:eastAsia="zh-CN"/>
                    </w:rPr>
                  </w:pPr>
                  <w:r>
                    <w:rPr>
                      <w:rFonts w:hint="eastAsia"/>
                      <w:lang w:val="en-US" w:eastAsia="zh-CN"/>
                    </w:rPr>
                    <w:t>3、生活污水经化粪池预处理后，定期拉运至甘其毛都口岸加工园区污水处理厂；搅拌机清洗废水和混凝土运输车清洗废水经沉淀池沉淀后回用。</w:t>
                  </w:r>
                </w:p>
                <w:p w14:paraId="15696A65">
                  <w:pPr>
                    <w:pStyle w:val="53"/>
                    <w:bidi w:val="0"/>
                    <w:jc w:val="both"/>
                    <w:rPr>
                      <w:rFonts w:hint="eastAsia"/>
                      <w:lang w:val="en-US" w:eastAsia="zh-CN"/>
                    </w:rPr>
                  </w:pPr>
                  <w:r>
                    <w:rPr>
                      <w:rFonts w:hint="eastAsia"/>
                      <w:lang w:val="en-US" w:eastAsia="zh-CN"/>
                    </w:rPr>
                    <w:t>4、本项目不属于《内蒙古自治区坚决遏制“两高”项目低水平盲目发展管控目录》中建设项目。</w:t>
                  </w:r>
                </w:p>
                <w:p w14:paraId="36B9E192">
                  <w:pPr>
                    <w:pStyle w:val="53"/>
                    <w:bidi w:val="0"/>
                    <w:jc w:val="both"/>
                    <w:rPr>
                      <w:rFonts w:hint="eastAsia"/>
                      <w:lang w:val="en-US" w:eastAsia="zh-CN"/>
                    </w:rPr>
                  </w:pPr>
                  <w:r>
                    <w:rPr>
                      <w:rFonts w:hint="eastAsia"/>
                      <w:lang w:val="en-US" w:eastAsia="zh-CN"/>
                    </w:rPr>
                    <w:t>5、本项目不涉及挥发性有机物、有毒、恶臭气体排放。</w:t>
                  </w:r>
                </w:p>
                <w:p w14:paraId="0C161D8C">
                  <w:pPr>
                    <w:pStyle w:val="53"/>
                    <w:bidi w:val="0"/>
                    <w:jc w:val="both"/>
                    <w:rPr>
                      <w:rFonts w:hint="eastAsia"/>
                      <w:lang w:val="en-US" w:eastAsia="zh-CN"/>
                    </w:rPr>
                  </w:pPr>
                  <w:r>
                    <w:rPr>
                      <w:rFonts w:hint="eastAsia"/>
                      <w:lang w:val="en-US" w:eastAsia="zh-CN"/>
                    </w:rPr>
                    <w:t>6、本项目不属于焦化制造、冶金等行业。</w:t>
                  </w:r>
                </w:p>
                <w:p w14:paraId="0B606844">
                  <w:pPr>
                    <w:pStyle w:val="53"/>
                    <w:bidi w:val="0"/>
                    <w:jc w:val="both"/>
                    <w:rPr>
                      <w:rFonts w:hint="eastAsia"/>
                      <w:lang w:val="en-US" w:eastAsia="zh-CN"/>
                    </w:rPr>
                  </w:pPr>
                  <w:r>
                    <w:rPr>
                      <w:rFonts w:hint="eastAsia"/>
                      <w:lang w:val="en-US" w:eastAsia="zh-CN"/>
                    </w:rPr>
                    <w:t>7、本项目位于内蒙古自治区巴彦淖尔市乌拉特中旗德岭山镇四义堂村金诺公司西侧，不在化工园区内。</w:t>
                  </w:r>
                </w:p>
                <w:p w14:paraId="27755F72">
                  <w:pPr>
                    <w:pStyle w:val="53"/>
                    <w:bidi w:val="0"/>
                    <w:jc w:val="both"/>
                    <w:rPr>
                      <w:rFonts w:hint="default"/>
                      <w:lang w:val="en-US" w:eastAsia="zh-CN"/>
                    </w:rPr>
                  </w:pPr>
                  <w:r>
                    <w:rPr>
                      <w:rFonts w:hint="eastAsia"/>
                      <w:lang w:val="en-US" w:eastAsia="zh-CN"/>
                    </w:rPr>
                    <w:t>8、本项目不涉及重金属污染物排放。</w:t>
                  </w:r>
                </w:p>
              </w:tc>
              <w:tc>
                <w:tcPr>
                  <w:tcW w:w="658" w:type="dxa"/>
                  <w:tcBorders>
                    <w:tl2br w:val="nil"/>
                    <w:tr2bl w:val="nil"/>
                  </w:tcBorders>
                  <w:vAlign w:val="center"/>
                </w:tcPr>
                <w:p w14:paraId="11427BE7">
                  <w:pPr>
                    <w:pStyle w:val="53"/>
                    <w:bidi w:val="0"/>
                    <w:rPr>
                      <w:rFonts w:hint="default"/>
                      <w:lang w:val="en-US" w:eastAsia="zh-CN"/>
                    </w:rPr>
                  </w:pPr>
                  <w:r>
                    <w:rPr>
                      <w:rFonts w:hint="eastAsia"/>
                      <w:lang w:val="en-US" w:eastAsia="zh-CN"/>
                    </w:rPr>
                    <w:t>符合</w:t>
                  </w:r>
                </w:p>
              </w:tc>
            </w:tr>
            <w:tr w14:paraId="1076E2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3" w:type="dxa"/>
                  <w:vMerge w:val="continue"/>
                  <w:tcBorders>
                    <w:tl2br w:val="nil"/>
                    <w:tr2bl w:val="nil"/>
                  </w:tcBorders>
                  <w:vAlign w:val="center"/>
                </w:tcPr>
                <w:p w14:paraId="53575A27">
                  <w:pPr>
                    <w:pStyle w:val="53"/>
                    <w:bidi w:val="0"/>
                    <w:rPr>
                      <w:rFonts w:hint="eastAsia"/>
                      <w:lang w:val="en-US" w:eastAsia="zh-CN"/>
                    </w:rPr>
                  </w:pPr>
                </w:p>
              </w:tc>
              <w:tc>
                <w:tcPr>
                  <w:tcW w:w="693" w:type="dxa"/>
                  <w:tcBorders>
                    <w:tl2br w:val="nil"/>
                    <w:tr2bl w:val="nil"/>
                  </w:tcBorders>
                  <w:vAlign w:val="center"/>
                </w:tcPr>
                <w:p w14:paraId="5C4E2320">
                  <w:pPr>
                    <w:pStyle w:val="53"/>
                    <w:bidi w:val="0"/>
                    <w:rPr>
                      <w:rFonts w:hint="eastAsia"/>
                      <w:lang w:val="en-US" w:eastAsia="zh-CN"/>
                    </w:rPr>
                  </w:pPr>
                  <w:r>
                    <w:rPr>
                      <w:rFonts w:hint="eastAsia"/>
                      <w:lang w:val="en-US" w:eastAsia="zh-CN"/>
                    </w:rPr>
                    <w:t>环境风险防控</w:t>
                  </w:r>
                </w:p>
              </w:tc>
              <w:tc>
                <w:tcPr>
                  <w:tcW w:w="3024" w:type="dxa"/>
                  <w:tcBorders>
                    <w:tl2br w:val="nil"/>
                    <w:tr2bl w:val="nil"/>
                  </w:tcBorders>
                  <w:vAlign w:val="center"/>
                </w:tcPr>
                <w:p w14:paraId="77D6CBDD">
                  <w:pPr>
                    <w:pStyle w:val="53"/>
                    <w:bidi w:val="0"/>
                    <w:jc w:val="both"/>
                    <w:rPr>
                      <w:rFonts w:hint="eastAsia"/>
                      <w:lang w:val="en-US" w:eastAsia="zh-CN"/>
                    </w:rPr>
                  </w:pPr>
                  <w:r>
                    <w:rPr>
                      <w:rFonts w:hint="eastAsia"/>
                      <w:lang w:val="en-US" w:eastAsia="zh-CN"/>
                    </w:rPr>
                    <w:t>1、加强园区及入园企业环境应急设施整合共享，形成园区应急物资联动资源库，建立有效的拦截、降污、导流、暂存等工程措施，防止泄漏物、消防废水等进入园区外环境。建立园区环境应急监测机制，强化园区风险防控。制定园区环境风险事故防范和应急预案并定期更新。化学工业加强重大环境风险源的风险管控，构建区域环境风险联防联控机制，建立突发环境事故状态下的应急监测与人员疏散联动机制。</w:t>
                  </w:r>
                </w:p>
                <w:p w14:paraId="398D6967">
                  <w:pPr>
                    <w:pStyle w:val="53"/>
                    <w:bidi w:val="0"/>
                    <w:jc w:val="both"/>
                    <w:rPr>
                      <w:rFonts w:hint="eastAsia"/>
                      <w:lang w:val="en-US" w:eastAsia="zh-CN"/>
                    </w:rPr>
                  </w:pPr>
                  <w:r>
                    <w:rPr>
                      <w:rFonts w:hint="eastAsia"/>
                      <w:lang w:val="en-US" w:eastAsia="zh-CN"/>
                    </w:rPr>
                    <w:t>2、依法严查向滩涂、坑塘、废弃矿井、渗坑渗井等非法排污的环境违法行为。</w:t>
                  </w:r>
                </w:p>
                <w:p w14:paraId="2E2E533C">
                  <w:pPr>
                    <w:pStyle w:val="53"/>
                    <w:bidi w:val="0"/>
                    <w:jc w:val="both"/>
                    <w:rPr>
                      <w:rFonts w:hint="eastAsia"/>
                      <w:lang w:val="en-US" w:eastAsia="zh-CN"/>
                    </w:rPr>
                  </w:pPr>
                  <w:r>
                    <w:rPr>
                      <w:rFonts w:hint="eastAsia"/>
                      <w:lang w:val="en-US" w:eastAsia="zh-CN"/>
                    </w:rPr>
                    <w:t>3、实行排污许可重点管理的排污单位，应当依法安装、使用、维护污染物排放自动监测设备，并与生态环境主管部门的监控设备联网。</w:t>
                  </w:r>
                </w:p>
                <w:p w14:paraId="0411F303">
                  <w:pPr>
                    <w:pStyle w:val="53"/>
                    <w:bidi w:val="0"/>
                    <w:jc w:val="both"/>
                    <w:rPr>
                      <w:rFonts w:hint="eastAsia"/>
                      <w:lang w:val="en-US" w:eastAsia="zh-CN"/>
                    </w:rPr>
                  </w:pPr>
                  <w:r>
                    <w:rPr>
                      <w:rFonts w:hint="eastAsia"/>
                      <w:lang w:val="en-US" w:eastAsia="zh-CN"/>
                    </w:rPr>
                    <w:t>4、规范项目台账，化工园区与城市建成区、人口密集区、重要设施等防护目标之间保持足够的安全防护距离，留有适当的缓冲带，加强日常环境风险监管。</w:t>
                  </w:r>
                </w:p>
              </w:tc>
              <w:tc>
                <w:tcPr>
                  <w:tcW w:w="2422" w:type="dxa"/>
                  <w:tcBorders>
                    <w:tl2br w:val="nil"/>
                    <w:tr2bl w:val="nil"/>
                  </w:tcBorders>
                  <w:vAlign w:val="center"/>
                </w:tcPr>
                <w:p w14:paraId="1CFF018D">
                  <w:pPr>
                    <w:pStyle w:val="53"/>
                    <w:bidi w:val="0"/>
                    <w:jc w:val="both"/>
                    <w:rPr>
                      <w:rFonts w:hint="default"/>
                      <w:lang w:val="en-US" w:eastAsia="zh-CN"/>
                    </w:rPr>
                  </w:pPr>
                  <w:r>
                    <w:rPr>
                      <w:rFonts w:hint="eastAsia"/>
                      <w:lang w:val="en-US" w:eastAsia="zh-CN"/>
                    </w:rPr>
                    <w:t>1、本项目按规定编制应急预案，并与周边企业联动。</w:t>
                  </w:r>
                </w:p>
                <w:p w14:paraId="57DD38E6">
                  <w:pPr>
                    <w:pStyle w:val="53"/>
                    <w:bidi w:val="0"/>
                    <w:jc w:val="both"/>
                    <w:rPr>
                      <w:rFonts w:hint="eastAsia"/>
                      <w:lang w:val="en-US" w:eastAsia="zh-CN"/>
                    </w:rPr>
                  </w:pPr>
                  <w:r>
                    <w:rPr>
                      <w:rFonts w:hint="eastAsia"/>
                      <w:lang w:val="en-US" w:eastAsia="zh-CN"/>
                    </w:rPr>
                    <w:t>2、本项目生活污水经化粪池预处理后，定期拉运至甘其毛都口岸加工园区污水处理厂；搅拌机清洗废水和混凝土运输车清洗废水经沉淀池沉淀后回用。项目固体废物可得到合理处置；不向滩涂、坑塘、废弃矿井、渗坑渗井等进行排污。</w:t>
                  </w:r>
                </w:p>
                <w:p w14:paraId="3745ED85">
                  <w:pPr>
                    <w:pStyle w:val="53"/>
                    <w:bidi w:val="0"/>
                    <w:jc w:val="both"/>
                    <w:rPr>
                      <w:rFonts w:hint="eastAsia"/>
                      <w:lang w:val="en-US" w:eastAsia="zh-CN"/>
                    </w:rPr>
                  </w:pPr>
                  <w:r>
                    <w:rPr>
                      <w:rFonts w:hint="eastAsia"/>
                      <w:lang w:val="en-US" w:eastAsia="zh-CN"/>
                    </w:rPr>
                    <w:t>3、本项目为新建拌合站项目，年产20万m</w:t>
                  </w:r>
                  <w:r>
                    <w:rPr>
                      <w:rFonts w:hint="eastAsia"/>
                      <w:vertAlign w:val="superscript"/>
                      <w:lang w:val="en-US" w:eastAsia="zh-CN"/>
                    </w:rPr>
                    <w:t>3</w:t>
                  </w:r>
                  <w:r>
                    <w:rPr>
                      <w:rFonts w:hint="eastAsia"/>
                      <w:lang w:val="en-US" w:eastAsia="zh-CN"/>
                    </w:rPr>
                    <w:t>混凝土。根据《固定污染源排污许可分类管理名录（2019年版）》，本项目为登记管理。</w:t>
                  </w:r>
                </w:p>
                <w:p w14:paraId="45E315C4">
                  <w:pPr>
                    <w:pStyle w:val="53"/>
                    <w:bidi w:val="0"/>
                    <w:jc w:val="both"/>
                    <w:rPr>
                      <w:rFonts w:hint="default"/>
                      <w:lang w:val="en-US" w:eastAsia="zh-CN"/>
                    </w:rPr>
                  </w:pPr>
                  <w:r>
                    <w:rPr>
                      <w:rFonts w:hint="eastAsia"/>
                      <w:lang w:val="en-US" w:eastAsia="zh-CN"/>
                    </w:rPr>
                    <w:t>4、本项目位于内蒙古自治区巴彦淖尔市乌拉特中旗德岭山镇四义堂村金诺公司西侧，不在化工园区内。</w:t>
                  </w:r>
                </w:p>
              </w:tc>
              <w:tc>
                <w:tcPr>
                  <w:tcW w:w="658" w:type="dxa"/>
                  <w:tcBorders>
                    <w:tl2br w:val="nil"/>
                    <w:tr2bl w:val="nil"/>
                  </w:tcBorders>
                  <w:vAlign w:val="center"/>
                </w:tcPr>
                <w:p w14:paraId="31E42827">
                  <w:pPr>
                    <w:pStyle w:val="53"/>
                    <w:bidi w:val="0"/>
                    <w:rPr>
                      <w:rFonts w:hint="default"/>
                      <w:lang w:val="en-US" w:eastAsia="zh-CN"/>
                    </w:rPr>
                  </w:pPr>
                  <w:r>
                    <w:rPr>
                      <w:rFonts w:hint="eastAsia"/>
                      <w:lang w:val="en-US" w:eastAsia="zh-CN"/>
                    </w:rPr>
                    <w:t>符合</w:t>
                  </w:r>
                </w:p>
              </w:tc>
            </w:tr>
            <w:tr w14:paraId="5F0D8E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3" w:type="dxa"/>
                  <w:vMerge w:val="continue"/>
                  <w:tcBorders>
                    <w:tl2br w:val="nil"/>
                    <w:tr2bl w:val="nil"/>
                  </w:tcBorders>
                  <w:vAlign w:val="center"/>
                </w:tcPr>
                <w:p w14:paraId="5A40A30B">
                  <w:pPr>
                    <w:pStyle w:val="53"/>
                    <w:bidi w:val="0"/>
                    <w:rPr>
                      <w:rFonts w:hint="eastAsia"/>
                      <w:lang w:val="en-US" w:eastAsia="zh-CN"/>
                    </w:rPr>
                  </w:pPr>
                </w:p>
              </w:tc>
              <w:tc>
                <w:tcPr>
                  <w:tcW w:w="693" w:type="dxa"/>
                  <w:tcBorders>
                    <w:tl2br w:val="nil"/>
                    <w:tr2bl w:val="nil"/>
                  </w:tcBorders>
                  <w:vAlign w:val="center"/>
                </w:tcPr>
                <w:p w14:paraId="500C6CBB">
                  <w:pPr>
                    <w:pStyle w:val="53"/>
                    <w:bidi w:val="0"/>
                    <w:rPr>
                      <w:rFonts w:hint="eastAsia"/>
                      <w:lang w:val="en-US" w:eastAsia="zh-CN"/>
                    </w:rPr>
                  </w:pPr>
                  <w:r>
                    <w:rPr>
                      <w:rFonts w:hint="eastAsia"/>
                      <w:lang w:val="en-US" w:eastAsia="zh-CN"/>
                    </w:rPr>
                    <w:t>资源利用效率要求</w:t>
                  </w:r>
                </w:p>
              </w:tc>
              <w:tc>
                <w:tcPr>
                  <w:tcW w:w="3024" w:type="dxa"/>
                  <w:tcBorders>
                    <w:tl2br w:val="nil"/>
                    <w:tr2bl w:val="nil"/>
                  </w:tcBorders>
                  <w:vAlign w:val="center"/>
                </w:tcPr>
                <w:p w14:paraId="1708AC3C">
                  <w:pPr>
                    <w:pStyle w:val="53"/>
                    <w:bidi w:val="0"/>
                    <w:jc w:val="both"/>
                    <w:rPr>
                      <w:rFonts w:hint="eastAsia"/>
                      <w:lang w:val="en-US" w:eastAsia="zh-CN"/>
                    </w:rPr>
                  </w:pPr>
                  <w:r>
                    <w:rPr>
                      <w:rFonts w:hint="eastAsia"/>
                      <w:lang w:val="en-US" w:eastAsia="zh-CN"/>
                    </w:rPr>
                    <w:t>1、新建、改建、扩建的工业项目，禁止擅自使用地下水；食品、制药等项目取用地下水，须经有管理权限的水行政主管部门批准；具备使用非常规水源条件的园区，限期关闭企业生产用地下水自备水井；工业企业的设备冷却水、空调冷却水、锅炉冷凝水应当循环使用或者回收利用，不得直接排放。</w:t>
                  </w:r>
                </w:p>
                <w:p w14:paraId="6A4C6AEC">
                  <w:pPr>
                    <w:pStyle w:val="53"/>
                    <w:bidi w:val="0"/>
                    <w:jc w:val="both"/>
                    <w:rPr>
                      <w:rFonts w:hint="eastAsia"/>
                      <w:lang w:val="en-US" w:eastAsia="zh-CN"/>
                    </w:rPr>
                  </w:pPr>
                  <w:r>
                    <w:rPr>
                      <w:rFonts w:hint="eastAsia"/>
                      <w:lang w:val="en-US" w:eastAsia="zh-CN"/>
                    </w:rPr>
                    <w:t>2、加强对已建成高污染、高耗水、高耗能项目的监管，有节能节水减排潜力的项目要升级改造，单位产品物耗、能耗、水耗等鼓励逐步达到清洁生产先进水平。节水设施应与主体工程同时设计、同时施工、同时投运。</w:t>
                  </w:r>
                </w:p>
              </w:tc>
              <w:tc>
                <w:tcPr>
                  <w:tcW w:w="2422" w:type="dxa"/>
                  <w:tcBorders>
                    <w:tl2br w:val="nil"/>
                    <w:tr2bl w:val="nil"/>
                  </w:tcBorders>
                  <w:vAlign w:val="center"/>
                </w:tcPr>
                <w:p w14:paraId="655DAC3D">
                  <w:pPr>
                    <w:pStyle w:val="53"/>
                    <w:bidi w:val="0"/>
                    <w:jc w:val="both"/>
                    <w:rPr>
                      <w:rFonts w:hint="eastAsia"/>
                      <w:lang w:val="en-US" w:eastAsia="zh-CN"/>
                    </w:rPr>
                  </w:pPr>
                  <w:r>
                    <w:rPr>
                      <w:rFonts w:hint="eastAsia"/>
                      <w:lang w:val="en-US" w:eastAsia="zh-CN"/>
                    </w:rPr>
                    <w:t>1、本项目生活用水购买桶装水，生产用水由罐车拉运甘其毛都口岸加工园区污水处理厂中水，不使用地下水资源。</w:t>
                  </w:r>
                </w:p>
                <w:p w14:paraId="4F5F97A2">
                  <w:pPr>
                    <w:pStyle w:val="53"/>
                    <w:bidi w:val="0"/>
                    <w:jc w:val="both"/>
                    <w:rPr>
                      <w:rFonts w:hint="default"/>
                      <w:lang w:val="en-US" w:eastAsia="zh-CN"/>
                    </w:rPr>
                  </w:pPr>
                  <w:r>
                    <w:rPr>
                      <w:rFonts w:hint="eastAsia"/>
                      <w:lang w:val="en-US" w:eastAsia="zh-CN"/>
                    </w:rPr>
                    <w:t>2、本项目不属于高污染、高耗水、高耗能项目，搅拌机清洗废水和混凝土运输车清洗废水经沉淀池沉淀后回用。</w:t>
                  </w:r>
                </w:p>
              </w:tc>
              <w:tc>
                <w:tcPr>
                  <w:tcW w:w="658" w:type="dxa"/>
                  <w:tcBorders>
                    <w:tl2br w:val="nil"/>
                    <w:tr2bl w:val="nil"/>
                  </w:tcBorders>
                  <w:vAlign w:val="center"/>
                </w:tcPr>
                <w:p w14:paraId="2B5FF7F2">
                  <w:pPr>
                    <w:pStyle w:val="53"/>
                    <w:bidi w:val="0"/>
                    <w:rPr>
                      <w:rFonts w:hint="default"/>
                      <w:lang w:val="en-US" w:eastAsia="zh-CN"/>
                    </w:rPr>
                  </w:pPr>
                  <w:r>
                    <w:rPr>
                      <w:rFonts w:hint="eastAsia"/>
                      <w:lang w:val="en-US" w:eastAsia="zh-CN"/>
                    </w:rPr>
                    <w:t>符合</w:t>
                  </w:r>
                </w:p>
              </w:tc>
            </w:tr>
          </w:tbl>
          <w:p w14:paraId="7C8CD030">
            <w:pPr>
              <w:pStyle w:val="54"/>
              <w:bidi w:val="0"/>
              <w:rPr>
                <w:rFonts w:hint="eastAsia"/>
                <w:lang w:val="en-US" w:eastAsia="zh-CN"/>
              </w:rPr>
            </w:pPr>
            <w:r>
              <w:rPr>
                <w:rFonts w:hint="eastAsia"/>
                <w:lang w:val="en-US" w:eastAsia="zh-CN"/>
              </w:rPr>
              <w:t>综上所述，从项目所在区域环境质量底线、生态红线、资源利用上线以及生态环境准入清单综合分析，本项目符合“三线一单”要求。</w:t>
            </w:r>
          </w:p>
          <w:p w14:paraId="38162C5E">
            <w:pPr>
              <w:pStyle w:val="54"/>
              <w:bidi w:val="0"/>
              <w:rPr>
                <w:rFonts w:hint="eastAsia"/>
                <w:lang w:val="en-US" w:eastAsia="zh-CN"/>
              </w:rPr>
            </w:pPr>
          </w:p>
          <w:p w14:paraId="4E7EFF2C">
            <w:pPr>
              <w:pStyle w:val="54"/>
              <w:bidi w:val="0"/>
              <w:rPr>
                <w:rFonts w:hint="eastAsia"/>
                <w:lang w:val="en-US" w:eastAsia="zh-CN"/>
              </w:rPr>
            </w:pPr>
          </w:p>
          <w:p w14:paraId="2124ED06">
            <w:pPr>
              <w:pStyle w:val="54"/>
              <w:bidi w:val="0"/>
              <w:rPr>
                <w:rFonts w:hint="eastAsia"/>
                <w:lang w:val="en-US" w:eastAsia="zh-CN"/>
              </w:rPr>
            </w:pPr>
          </w:p>
          <w:p w14:paraId="01D3FAF0">
            <w:pPr>
              <w:pStyle w:val="54"/>
              <w:bidi w:val="0"/>
              <w:rPr>
                <w:rFonts w:hint="eastAsia"/>
                <w:lang w:val="en-US" w:eastAsia="zh-CN"/>
              </w:rPr>
            </w:pPr>
          </w:p>
          <w:p w14:paraId="0F72E303">
            <w:pPr>
              <w:pStyle w:val="54"/>
              <w:bidi w:val="0"/>
              <w:rPr>
                <w:rFonts w:hint="eastAsia"/>
                <w:lang w:val="en-US" w:eastAsia="zh-CN"/>
              </w:rPr>
            </w:pPr>
          </w:p>
          <w:p w14:paraId="69130434">
            <w:pPr>
              <w:pStyle w:val="54"/>
              <w:bidi w:val="0"/>
              <w:rPr>
                <w:rFonts w:hint="eastAsia"/>
                <w:lang w:val="en-US" w:eastAsia="zh-CN"/>
              </w:rPr>
            </w:pPr>
          </w:p>
          <w:p w14:paraId="45FB5E6C">
            <w:pPr>
              <w:pStyle w:val="54"/>
              <w:bidi w:val="0"/>
              <w:rPr>
                <w:rFonts w:hint="eastAsia"/>
                <w:lang w:val="en-US" w:eastAsia="zh-CN"/>
              </w:rPr>
            </w:pPr>
          </w:p>
          <w:p w14:paraId="24A3D0ED">
            <w:pPr>
              <w:pStyle w:val="54"/>
              <w:bidi w:val="0"/>
              <w:rPr>
                <w:rFonts w:hint="eastAsia"/>
                <w:lang w:val="en-US" w:eastAsia="zh-CN"/>
              </w:rPr>
            </w:pPr>
          </w:p>
          <w:p w14:paraId="03A5677B">
            <w:pPr>
              <w:pStyle w:val="54"/>
              <w:bidi w:val="0"/>
              <w:rPr>
                <w:rFonts w:hint="eastAsia"/>
                <w:lang w:val="en-US" w:eastAsia="zh-CN"/>
              </w:rPr>
            </w:pPr>
          </w:p>
          <w:p w14:paraId="57158638">
            <w:pPr>
              <w:pStyle w:val="54"/>
              <w:bidi w:val="0"/>
              <w:rPr>
                <w:rFonts w:hint="eastAsia"/>
                <w:lang w:val="en-US" w:eastAsia="zh-CN"/>
              </w:rPr>
            </w:pPr>
          </w:p>
          <w:p w14:paraId="67D3CA27">
            <w:pPr>
              <w:pStyle w:val="54"/>
              <w:bidi w:val="0"/>
              <w:rPr>
                <w:rFonts w:hint="eastAsia"/>
                <w:lang w:val="en-US" w:eastAsia="zh-CN"/>
              </w:rPr>
            </w:pPr>
          </w:p>
          <w:p w14:paraId="7BC2BA63">
            <w:pPr>
              <w:pStyle w:val="54"/>
              <w:bidi w:val="0"/>
              <w:rPr>
                <w:rFonts w:hint="eastAsia"/>
                <w:lang w:val="en-US" w:eastAsia="zh-CN"/>
              </w:rPr>
            </w:pPr>
          </w:p>
          <w:p w14:paraId="044D60F3">
            <w:pPr>
              <w:pStyle w:val="54"/>
              <w:bidi w:val="0"/>
              <w:rPr>
                <w:rFonts w:hint="eastAsia"/>
                <w:lang w:val="en-US" w:eastAsia="zh-CN"/>
              </w:rPr>
            </w:pPr>
          </w:p>
          <w:p w14:paraId="2D25D2AD">
            <w:pPr>
              <w:pStyle w:val="54"/>
              <w:bidi w:val="0"/>
              <w:rPr>
                <w:rFonts w:hint="default"/>
                <w:lang w:val="en-US" w:eastAsia="zh-CN"/>
              </w:rPr>
            </w:pPr>
          </w:p>
          <w:p w14:paraId="71E7E8CA">
            <w:pPr>
              <w:pStyle w:val="54"/>
              <w:bidi w:val="0"/>
              <w:rPr>
                <w:rFonts w:hint="default"/>
                <w:lang w:val="en-US" w:eastAsia="zh-CN"/>
              </w:rPr>
            </w:pPr>
          </w:p>
          <w:p w14:paraId="7D16F0C8">
            <w:pPr>
              <w:pStyle w:val="54"/>
              <w:bidi w:val="0"/>
              <w:rPr>
                <w:rFonts w:hint="default"/>
                <w:lang w:val="en-US" w:eastAsia="zh-CN"/>
              </w:rPr>
            </w:pPr>
          </w:p>
          <w:p w14:paraId="72B29334">
            <w:pPr>
              <w:pStyle w:val="54"/>
              <w:bidi w:val="0"/>
              <w:rPr>
                <w:rFonts w:hint="default"/>
                <w:lang w:val="en-US" w:eastAsia="zh-CN"/>
              </w:rPr>
            </w:pPr>
          </w:p>
          <w:p w14:paraId="602F651E">
            <w:pPr>
              <w:pStyle w:val="54"/>
              <w:bidi w:val="0"/>
              <w:ind w:left="0" w:leftChars="0" w:firstLine="0" w:firstLineChars="0"/>
              <w:rPr>
                <w:rFonts w:hint="default"/>
                <w:lang w:val="en-US" w:eastAsia="zh-CN"/>
              </w:rPr>
            </w:pPr>
          </w:p>
        </w:tc>
      </w:tr>
    </w:tbl>
    <w:p w14:paraId="3B8EF9D4">
      <w:pPr>
        <w:spacing w:line="360" w:lineRule="auto"/>
        <w:outlineLvl w:val="0"/>
        <w:rPr>
          <w:rFonts w:eastAsia="黑体"/>
          <w:sz w:val="30"/>
        </w:rPr>
        <w:sectPr>
          <w:footerReference r:id="rId6" w:type="default"/>
          <w:pgSz w:w="11906" w:h="16838"/>
          <w:pgMar w:top="1701" w:right="1531" w:bottom="1701" w:left="1531" w:header="851" w:footer="1361" w:gutter="0"/>
          <w:pgBorders>
            <w:top w:val="none" w:sz="0" w:space="0"/>
            <w:left w:val="none" w:sz="0" w:space="0"/>
            <w:bottom w:val="none" w:sz="0" w:space="0"/>
            <w:right w:val="none" w:sz="0" w:space="0"/>
          </w:pgBorders>
          <w:pgNumType w:fmt="decimal" w:start="1"/>
          <w:cols w:space="720" w:num="1"/>
          <w:docGrid w:linePitch="312" w:charSpace="0"/>
        </w:sectPr>
      </w:pPr>
    </w:p>
    <w:p w14:paraId="0394E995">
      <w:pPr>
        <w:pStyle w:val="13"/>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347B9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39051B97">
            <w:pPr>
              <w:pStyle w:val="13"/>
              <w:adjustRightInd w:val="0"/>
              <w:snapToGrid w:val="0"/>
              <w:spacing w:before="0" w:beforeAutospacing="0" w:after="0" w:afterAutospacing="0"/>
              <w:jc w:val="center"/>
              <w:rPr>
                <w:rFonts w:cs="宋体"/>
                <w:sz w:val="24"/>
                <w:szCs w:val="24"/>
              </w:rPr>
            </w:pPr>
            <w:r>
              <w:rPr>
                <w:rFonts w:hint="eastAsia" w:cs="宋体"/>
                <w:sz w:val="24"/>
                <w:szCs w:val="24"/>
              </w:rPr>
              <w:t>建设内容</w:t>
            </w:r>
          </w:p>
        </w:tc>
        <w:tc>
          <w:tcPr>
            <w:tcW w:w="8161" w:type="dxa"/>
            <w:noWrap w:val="0"/>
            <w:vAlign w:val="top"/>
          </w:tcPr>
          <w:p w14:paraId="2B21DECE">
            <w:pPr>
              <w:pStyle w:val="54"/>
              <w:bidi w:val="0"/>
              <w:rPr>
                <w:rFonts w:hint="eastAsia"/>
                <w:lang w:val="en-US" w:eastAsia="zh-CN"/>
              </w:rPr>
            </w:pPr>
            <w:r>
              <w:rPr>
                <w:rFonts w:hint="eastAsia"/>
                <w:b/>
                <w:bCs/>
                <w:lang w:val="en-US" w:eastAsia="zh-CN"/>
              </w:rPr>
              <w:t>1、项目由来</w:t>
            </w:r>
          </w:p>
          <w:p w14:paraId="085288AE">
            <w:pPr>
              <w:pStyle w:val="54"/>
              <w:bidi w:val="0"/>
              <w:rPr>
                <w:rFonts w:hint="eastAsia"/>
                <w:lang w:val="en-US" w:eastAsia="zh-CN"/>
              </w:rPr>
            </w:pPr>
            <w:r>
              <w:rPr>
                <w:rFonts w:hint="eastAsia"/>
                <w:lang w:val="en-US" w:eastAsia="zh-CN"/>
              </w:rPr>
              <w:t>乌拉特中旗炜景环保材料有限公司建设1条年产20万m</w:t>
            </w:r>
            <w:r>
              <w:rPr>
                <w:rFonts w:hint="eastAsia"/>
                <w:vertAlign w:val="superscript"/>
                <w:lang w:val="en-US" w:eastAsia="zh-CN"/>
              </w:rPr>
              <w:t>3</w:t>
            </w:r>
            <w:r>
              <w:rPr>
                <w:rFonts w:hint="eastAsia"/>
                <w:lang w:val="en-US" w:eastAsia="zh-CN"/>
              </w:rPr>
              <w:t>商品混凝土生产线，用于乌拉特中旗德岭山镇周边区域外售。</w:t>
            </w:r>
          </w:p>
          <w:p w14:paraId="50FD6888">
            <w:pPr>
              <w:pStyle w:val="54"/>
              <w:bidi w:val="0"/>
              <w:rPr>
                <w:rFonts w:hint="default"/>
                <w:lang w:val="en-US" w:eastAsia="zh-CN"/>
              </w:rPr>
            </w:pPr>
            <w:r>
              <w:rPr>
                <w:rFonts w:hint="default"/>
                <w:lang w:val="en-US" w:eastAsia="zh-CN"/>
              </w:rPr>
              <w:t>根据《中华人民共和国环境保护法》、《中华人民共和国环境影响评价法》以及国务院令682号《建设项目环境保护管理条例》的有关规定，应对该建设项目进行环境影响评价。对照《建设项目环境影响评价分类管理名录》（2021年版），</w:t>
            </w:r>
            <w:r>
              <w:rPr>
                <w:rFonts w:hint="eastAsia"/>
                <w:lang w:val="en-US" w:eastAsia="zh-CN"/>
              </w:rPr>
              <w:t>“</w:t>
            </w:r>
            <w:r>
              <w:rPr>
                <w:rFonts w:hint="default"/>
                <w:lang w:val="en-US" w:eastAsia="zh-CN"/>
              </w:rPr>
              <w:t>二十七、非金属矿物制品业30-55、石膏、水泥制品及类似制品制造302-商品混凝土；砼结构构件制造；水泥制品制造</w:t>
            </w:r>
            <w:r>
              <w:rPr>
                <w:rFonts w:hint="eastAsia"/>
                <w:lang w:val="en-US" w:eastAsia="zh-CN"/>
              </w:rPr>
              <w:t>”</w:t>
            </w:r>
            <w:r>
              <w:rPr>
                <w:rFonts w:hint="default"/>
                <w:lang w:val="en-US" w:eastAsia="zh-CN"/>
              </w:rPr>
              <w:t>类项目，应编制环境影响报告表。2025年4月前，本项目已建成1座办公用房</w:t>
            </w:r>
            <w:r>
              <w:rPr>
                <w:rFonts w:hint="eastAsia"/>
                <w:lang w:val="en-US" w:eastAsia="zh-CN"/>
              </w:rPr>
              <w:t>、</w:t>
            </w:r>
            <w:r>
              <w:rPr>
                <w:rFonts w:hint="default"/>
                <w:lang w:val="en-US" w:eastAsia="zh-CN"/>
              </w:rPr>
              <w:t>1座宿舍、1座地磅房、1座门房、1座拌合</w:t>
            </w:r>
            <w:r>
              <w:rPr>
                <w:rFonts w:hint="eastAsia"/>
                <w:lang w:val="en-US" w:eastAsia="zh-CN"/>
              </w:rPr>
              <w:t>车间</w:t>
            </w:r>
            <w:r>
              <w:rPr>
                <w:rFonts w:hint="default"/>
                <w:lang w:val="en-US" w:eastAsia="zh-CN"/>
              </w:rPr>
              <w:t>、2个密闭水泥筒仓以及相关计量、输送设施等</w:t>
            </w:r>
            <w:r>
              <w:rPr>
                <w:rFonts w:hint="eastAsia"/>
                <w:lang w:val="en-US" w:eastAsia="zh-CN"/>
              </w:rPr>
              <w:t>，未建设全封闭骨料仓、环保设施等，项目现处于停产状态</w:t>
            </w:r>
            <w:r>
              <w:rPr>
                <w:rFonts w:hint="default"/>
                <w:lang w:val="en-US" w:eastAsia="zh-CN"/>
              </w:rPr>
              <w:t>。2025年5月，巴彦淖尔市生态环境局出具了《巴彦淖尔市生态环境局行政处罚事先告知书》对本项目未批先建的违法行为进行了处罚，建设单位按规定缴纳了罚款，缴纳罚款证明见附件10。</w:t>
            </w:r>
          </w:p>
          <w:p w14:paraId="77D4BC2E">
            <w:pPr>
              <w:pStyle w:val="54"/>
              <w:bidi w:val="0"/>
              <w:rPr>
                <w:rFonts w:hint="default"/>
                <w:lang w:val="en-US" w:eastAsia="zh-CN"/>
              </w:rPr>
            </w:pPr>
            <w:r>
              <w:rPr>
                <w:rFonts w:hint="default"/>
                <w:lang w:val="en-US" w:eastAsia="zh-CN"/>
              </w:rPr>
              <w:t>为此，受建设方委托，我公司承担了本项目的环境影响评价工作，接受委托后结合该工程的性质、特点以及该区域环境功能特征，通过现场勘察调研，以及查阅有关资料；在工程分析基础上，按照</w:t>
            </w:r>
            <w:r>
              <w:rPr>
                <w:rFonts w:hint="eastAsia"/>
                <w:lang w:val="en-US" w:eastAsia="zh-CN"/>
              </w:rPr>
              <w:t>《</w:t>
            </w:r>
            <w:r>
              <w:rPr>
                <w:rFonts w:hint="default"/>
                <w:lang w:val="en-US" w:eastAsia="zh-CN"/>
              </w:rPr>
              <w:t>建设项目环境影响报告表编制技术指南（污染影响类）（试行）</w:t>
            </w:r>
            <w:r>
              <w:rPr>
                <w:rFonts w:hint="eastAsia"/>
                <w:lang w:val="en-US" w:eastAsia="zh-CN"/>
              </w:rPr>
              <w:t>》、</w:t>
            </w:r>
            <w:r>
              <w:rPr>
                <w:rFonts w:hint="default"/>
                <w:lang w:val="en-US" w:eastAsia="zh-CN"/>
              </w:rPr>
              <w:t>相关导则和标准的要求，编制了本项目的环境影响报告表。</w:t>
            </w:r>
          </w:p>
          <w:p w14:paraId="52E72CE0">
            <w:pPr>
              <w:pStyle w:val="54"/>
              <w:bidi w:val="0"/>
              <w:rPr>
                <w:rFonts w:hint="default"/>
                <w:lang w:val="en-US" w:eastAsia="zh-CN"/>
              </w:rPr>
            </w:pPr>
            <w:r>
              <w:rPr>
                <w:rFonts w:hint="eastAsia"/>
                <w:b/>
                <w:bCs/>
                <w:lang w:val="en-US" w:eastAsia="zh-CN"/>
              </w:rPr>
              <w:t>2、本项目概况</w:t>
            </w:r>
          </w:p>
          <w:p w14:paraId="32F345F5">
            <w:pPr>
              <w:pStyle w:val="54"/>
              <w:bidi w:val="0"/>
              <w:rPr>
                <w:rFonts w:hint="default"/>
                <w:lang w:val="en-US" w:eastAsia="zh-CN"/>
              </w:rPr>
            </w:pPr>
            <w:r>
              <w:rPr>
                <w:rFonts w:hint="eastAsia"/>
                <w:lang w:val="en-US" w:eastAsia="zh-CN"/>
              </w:rPr>
              <w:t>项目名称：乌拉特中旗炜景环保材料有限公司德岭镇四义堂村混凝土拌合站项目</w:t>
            </w:r>
          </w:p>
          <w:p w14:paraId="20FC1CF1">
            <w:pPr>
              <w:pStyle w:val="54"/>
              <w:bidi w:val="0"/>
              <w:rPr>
                <w:rFonts w:hint="default"/>
                <w:lang w:val="en-US" w:eastAsia="zh-CN"/>
              </w:rPr>
            </w:pPr>
            <w:r>
              <w:rPr>
                <w:rFonts w:hint="eastAsia"/>
                <w:lang w:val="en-US" w:eastAsia="zh-CN"/>
              </w:rPr>
              <w:t>建设单位：乌拉特中旗炜景环保材料有限公司</w:t>
            </w:r>
          </w:p>
          <w:p w14:paraId="30C9D3B5">
            <w:pPr>
              <w:pStyle w:val="54"/>
              <w:bidi w:val="0"/>
              <w:rPr>
                <w:rFonts w:hint="default"/>
                <w:lang w:val="en-US" w:eastAsia="zh-CN"/>
              </w:rPr>
            </w:pPr>
            <w:r>
              <w:rPr>
                <w:rFonts w:hint="eastAsia"/>
                <w:lang w:val="en-US" w:eastAsia="zh-CN"/>
              </w:rPr>
              <w:t>建设性质：新建（未批先建）</w:t>
            </w:r>
          </w:p>
          <w:p w14:paraId="653F73C2">
            <w:pPr>
              <w:pStyle w:val="54"/>
              <w:bidi w:val="0"/>
              <w:rPr>
                <w:rFonts w:hint="default"/>
                <w:vertAlign w:val="baseline"/>
                <w:lang w:val="en-US" w:eastAsia="zh-CN"/>
              </w:rPr>
            </w:pPr>
            <w:r>
              <w:rPr>
                <w:rFonts w:hint="eastAsia"/>
                <w:lang w:val="en-US" w:eastAsia="zh-CN"/>
              </w:rPr>
              <w:t>占地面积：26666.7m</w:t>
            </w:r>
            <w:r>
              <w:rPr>
                <w:rFonts w:hint="eastAsia"/>
                <w:vertAlign w:val="superscript"/>
                <w:lang w:val="en-US" w:eastAsia="zh-CN"/>
              </w:rPr>
              <w:t>2</w:t>
            </w:r>
          </w:p>
          <w:p w14:paraId="47B11B63">
            <w:pPr>
              <w:pStyle w:val="54"/>
              <w:bidi w:val="0"/>
              <w:rPr>
                <w:rFonts w:hint="eastAsia"/>
                <w:color w:val="auto"/>
                <w:lang w:val="en-US" w:eastAsia="zh-CN"/>
              </w:rPr>
            </w:pPr>
            <w:r>
              <w:rPr>
                <w:rFonts w:hint="eastAsia"/>
                <w:color w:val="auto"/>
                <w:lang w:val="en-US" w:eastAsia="zh-CN"/>
              </w:rPr>
              <w:t>项目投资：项目总投资1000万元，其中环保投资109.1万元，占总投资比例的10.91%。</w:t>
            </w:r>
          </w:p>
          <w:p w14:paraId="684F8CA8">
            <w:pPr>
              <w:pStyle w:val="54"/>
              <w:bidi w:val="0"/>
              <w:rPr>
                <w:rFonts w:hint="default"/>
                <w:lang w:val="en-US" w:eastAsia="zh-CN"/>
              </w:rPr>
            </w:pPr>
            <w:r>
              <w:rPr>
                <w:rFonts w:hint="eastAsia"/>
                <w:lang w:val="en-US" w:eastAsia="zh-CN"/>
              </w:rPr>
              <w:t>建设地点：位于内蒙古自治区巴彦淖尔市乌拉特中旗德岭山镇四义堂村金诺公司西侧，中心地理坐标为E：108°27′51.441″，N：41°18′19.811″。项目地理位置见附图1。</w:t>
            </w:r>
          </w:p>
          <w:p w14:paraId="413ADAB0">
            <w:pPr>
              <w:pStyle w:val="54"/>
              <w:bidi w:val="0"/>
              <w:rPr>
                <w:rFonts w:hint="default"/>
                <w:lang w:val="en-US" w:eastAsia="zh-CN"/>
              </w:rPr>
            </w:pPr>
            <w:r>
              <w:rPr>
                <w:rFonts w:hint="eastAsia"/>
                <w:lang w:val="en-US" w:eastAsia="zh-CN"/>
              </w:rPr>
              <w:t>建设规模：本项目为混凝土拌合站项目，建设1条年产20万m</w:t>
            </w:r>
            <w:r>
              <w:rPr>
                <w:rFonts w:hint="eastAsia"/>
                <w:vertAlign w:val="superscript"/>
                <w:lang w:val="en-US" w:eastAsia="zh-CN"/>
              </w:rPr>
              <w:t>3</w:t>
            </w:r>
            <w:r>
              <w:rPr>
                <w:rFonts w:hint="eastAsia"/>
                <w:lang w:val="en-US" w:eastAsia="zh-CN"/>
              </w:rPr>
              <w:t>商品混凝土生产线。</w:t>
            </w:r>
          </w:p>
          <w:p w14:paraId="62CFF23E">
            <w:pPr>
              <w:pStyle w:val="54"/>
              <w:bidi w:val="0"/>
              <w:rPr>
                <w:rFonts w:hint="eastAsia"/>
                <w:color w:val="auto"/>
                <w:highlight w:val="none"/>
                <w:lang w:val="en-US" w:eastAsia="zh-CN"/>
              </w:rPr>
            </w:pPr>
            <w:r>
              <w:rPr>
                <w:rFonts w:hint="eastAsia"/>
                <w:color w:val="auto"/>
                <w:lang w:val="en-US" w:eastAsia="zh-CN"/>
              </w:rPr>
              <w:t>工作制度及劳动定员：本项目劳动定员8人，年工作210天，每天生产8小时。</w:t>
            </w:r>
          </w:p>
          <w:p w14:paraId="1348B6AA">
            <w:pPr>
              <w:pStyle w:val="54"/>
              <w:bidi w:val="0"/>
              <w:rPr>
                <w:rFonts w:hint="eastAsia"/>
                <w:b/>
                <w:bCs/>
                <w:color w:val="auto"/>
                <w:highlight w:val="none"/>
                <w:lang w:val="en-US" w:eastAsia="zh-CN"/>
              </w:rPr>
            </w:pPr>
            <w:r>
              <w:rPr>
                <w:rFonts w:hint="eastAsia"/>
                <w:b/>
                <w:bCs/>
                <w:color w:val="auto"/>
                <w:highlight w:val="none"/>
                <w:lang w:val="en-US" w:eastAsia="zh-CN"/>
              </w:rPr>
              <w:t>2、项目组成及建设内容</w:t>
            </w:r>
          </w:p>
          <w:p w14:paraId="7F252B29">
            <w:pPr>
              <w:pStyle w:val="54"/>
              <w:bidi w:val="0"/>
              <w:rPr>
                <w:rFonts w:hint="eastAsia"/>
                <w:lang w:val="en-US" w:eastAsia="zh-CN"/>
              </w:rPr>
            </w:pPr>
            <w:r>
              <w:rPr>
                <w:rFonts w:hint="eastAsia"/>
                <w:color w:val="auto"/>
                <w:highlight w:val="none"/>
                <w:lang w:val="en-US" w:eastAsia="zh-CN"/>
              </w:rPr>
              <w:t>本项目工程组成一览表见表4。</w:t>
            </w:r>
          </w:p>
          <w:p w14:paraId="43F82D98">
            <w:pPr>
              <w:pStyle w:val="33"/>
              <w:bidi w:val="0"/>
              <w:rPr>
                <w:rFonts w:hint="eastAsia"/>
                <w:lang w:val="en-US" w:eastAsia="zh-CN"/>
              </w:rPr>
            </w:pPr>
            <w:r>
              <w:rPr>
                <w:rFonts w:hint="eastAsia"/>
                <w:lang w:val="en-US" w:eastAsia="zh-CN"/>
              </w:rPr>
              <w:t>表4    项目组成及建设内容一览表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613"/>
              <w:gridCol w:w="773"/>
              <w:gridCol w:w="1270"/>
              <w:gridCol w:w="230"/>
              <w:gridCol w:w="1018"/>
              <w:gridCol w:w="3171"/>
              <w:gridCol w:w="870"/>
            </w:tblGrid>
            <w:tr w14:paraId="2C182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872" w:type="pct"/>
                  <w:gridSpan w:val="2"/>
                  <w:noWrap w:val="0"/>
                  <w:vAlign w:val="center"/>
                </w:tcPr>
                <w:p w14:paraId="29B2CC62">
                  <w:pPr>
                    <w:pStyle w:val="53"/>
                    <w:bidi w:val="0"/>
                  </w:pPr>
                  <w:r>
                    <w:rPr>
                      <w:rFonts w:hint="eastAsia"/>
                    </w:rPr>
                    <w:t>名称</w:t>
                  </w:r>
                </w:p>
              </w:tc>
              <w:tc>
                <w:tcPr>
                  <w:tcW w:w="3580" w:type="pct"/>
                  <w:gridSpan w:val="4"/>
                  <w:noWrap w:val="0"/>
                  <w:vAlign w:val="center"/>
                </w:tcPr>
                <w:p w14:paraId="2134680A">
                  <w:pPr>
                    <w:pStyle w:val="53"/>
                    <w:bidi w:val="0"/>
                  </w:pPr>
                  <w:r>
                    <w:rPr>
                      <w:rFonts w:hint="eastAsia"/>
                    </w:rPr>
                    <w:t>工程内容</w:t>
                  </w:r>
                </w:p>
              </w:tc>
              <w:tc>
                <w:tcPr>
                  <w:tcW w:w="547" w:type="pct"/>
                  <w:noWrap w:val="0"/>
                  <w:vAlign w:val="center"/>
                </w:tcPr>
                <w:p w14:paraId="5F62C723">
                  <w:pPr>
                    <w:pStyle w:val="53"/>
                    <w:bidi w:val="0"/>
                  </w:pPr>
                  <w:r>
                    <w:t>备注</w:t>
                  </w:r>
                </w:p>
              </w:tc>
            </w:tr>
            <w:tr w14:paraId="154E1E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noWrap w:val="0"/>
                  <w:vAlign w:val="center"/>
                </w:tcPr>
                <w:p w14:paraId="3D071FB7">
                  <w:pPr>
                    <w:pStyle w:val="53"/>
                    <w:bidi w:val="0"/>
                  </w:pPr>
                  <w:r>
                    <w:rPr>
                      <w:rFonts w:hint="eastAsia"/>
                    </w:rPr>
                    <w:t>主体工程</w:t>
                  </w:r>
                </w:p>
              </w:tc>
              <w:tc>
                <w:tcPr>
                  <w:tcW w:w="486" w:type="pct"/>
                  <w:noWrap w:val="0"/>
                  <w:vAlign w:val="center"/>
                </w:tcPr>
                <w:p w14:paraId="74A67C7A">
                  <w:pPr>
                    <w:pStyle w:val="53"/>
                    <w:bidi w:val="0"/>
                    <w:rPr>
                      <w:rFonts w:hint="default" w:eastAsia="宋体"/>
                      <w:lang w:val="en-US" w:eastAsia="zh-CN"/>
                    </w:rPr>
                  </w:pPr>
                  <w:r>
                    <w:rPr>
                      <w:rFonts w:hint="eastAsia"/>
                      <w:lang w:val="en-US" w:eastAsia="zh-CN"/>
                    </w:rPr>
                    <w:t>拌合车间</w:t>
                  </w:r>
                </w:p>
              </w:tc>
              <w:tc>
                <w:tcPr>
                  <w:tcW w:w="3580" w:type="pct"/>
                  <w:gridSpan w:val="4"/>
                  <w:noWrap w:val="0"/>
                  <w:vAlign w:val="center"/>
                </w:tcPr>
                <w:p w14:paraId="766DB9D0">
                  <w:pPr>
                    <w:pStyle w:val="53"/>
                    <w:bidi w:val="0"/>
                    <w:jc w:val="both"/>
                    <w:rPr>
                      <w:rFonts w:hint="default"/>
                      <w:lang w:val="en-US" w:eastAsia="zh-CN"/>
                    </w:rPr>
                  </w:pPr>
                  <w:r>
                    <w:rPr>
                      <w:rFonts w:hint="eastAsia"/>
                      <w:lang w:val="en-US" w:eastAsia="zh-CN"/>
                    </w:rPr>
                    <w:t>本项目在厂区北侧新建一座占地面积为500m</w:t>
                  </w:r>
                  <w:r>
                    <w:rPr>
                      <w:rFonts w:hint="eastAsia"/>
                      <w:vertAlign w:val="superscript"/>
                      <w:lang w:val="en-US" w:eastAsia="zh-CN"/>
                    </w:rPr>
                    <w:t>2</w:t>
                  </w:r>
                  <w:r>
                    <w:rPr>
                      <w:rFonts w:hint="eastAsia"/>
                      <w:vertAlign w:val="baseline"/>
                      <w:lang w:val="en-US" w:eastAsia="zh-CN"/>
                    </w:rPr>
                    <w:t>拌合车间</w:t>
                  </w:r>
                  <w:r>
                    <w:rPr>
                      <w:rFonts w:hint="eastAsia"/>
                      <w:lang w:val="en-US" w:eastAsia="zh-CN"/>
                    </w:rPr>
                    <w:t>，建设1条年产20万m</w:t>
                  </w:r>
                  <w:r>
                    <w:rPr>
                      <w:rFonts w:hint="eastAsia"/>
                      <w:vertAlign w:val="superscript"/>
                      <w:lang w:val="en-US" w:eastAsia="zh-CN"/>
                    </w:rPr>
                    <w:t>3</w:t>
                  </w:r>
                  <w:r>
                    <w:rPr>
                      <w:rFonts w:hint="eastAsia"/>
                      <w:lang w:val="en-US" w:eastAsia="zh-CN"/>
                    </w:rPr>
                    <w:t>商品混凝土生产线，内设全封闭搅拌机、空压机、输送机等。</w:t>
                  </w:r>
                </w:p>
              </w:tc>
              <w:tc>
                <w:tcPr>
                  <w:tcW w:w="547" w:type="pct"/>
                  <w:noWrap w:val="0"/>
                  <w:vAlign w:val="center"/>
                </w:tcPr>
                <w:p w14:paraId="1E9BC9BF">
                  <w:pPr>
                    <w:pStyle w:val="53"/>
                    <w:bidi w:val="0"/>
                    <w:rPr>
                      <w:rFonts w:hint="eastAsia" w:eastAsia="宋体"/>
                      <w:sz w:val="18"/>
                      <w:szCs w:val="18"/>
                      <w:lang w:eastAsia="zh-CN"/>
                    </w:rPr>
                  </w:pPr>
                  <w:r>
                    <w:rPr>
                      <w:rFonts w:hint="eastAsia"/>
                      <w:lang w:val="en-US" w:eastAsia="zh-CN"/>
                    </w:rPr>
                    <w:t>已建</w:t>
                  </w:r>
                </w:p>
              </w:tc>
            </w:tr>
            <w:tr w14:paraId="2F112A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restart"/>
                  <w:noWrap w:val="0"/>
                  <w:vAlign w:val="center"/>
                </w:tcPr>
                <w:p w14:paraId="45DCF8A7">
                  <w:pPr>
                    <w:pStyle w:val="53"/>
                    <w:bidi w:val="0"/>
                  </w:pPr>
                  <w:r>
                    <w:rPr>
                      <w:rFonts w:hint="eastAsia"/>
                    </w:rPr>
                    <w:t>储运工程</w:t>
                  </w:r>
                </w:p>
              </w:tc>
              <w:tc>
                <w:tcPr>
                  <w:tcW w:w="486" w:type="pct"/>
                  <w:noWrap w:val="0"/>
                  <w:vAlign w:val="center"/>
                </w:tcPr>
                <w:p w14:paraId="039F0332">
                  <w:pPr>
                    <w:pStyle w:val="53"/>
                    <w:bidi w:val="0"/>
                    <w:rPr>
                      <w:rFonts w:hint="default"/>
                      <w:color w:val="auto"/>
                      <w:lang w:val="en-US" w:eastAsia="zh-CN"/>
                    </w:rPr>
                  </w:pPr>
                  <w:r>
                    <w:rPr>
                      <w:rFonts w:hint="eastAsia"/>
                      <w:color w:val="auto"/>
                      <w:lang w:val="en-US" w:eastAsia="zh-CN"/>
                    </w:rPr>
                    <w:t>骨料仓</w:t>
                  </w:r>
                </w:p>
              </w:tc>
              <w:tc>
                <w:tcPr>
                  <w:tcW w:w="3580" w:type="pct"/>
                  <w:gridSpan w:val="4"/>
                  <w:noWrap w:val="0"/>
                  <w:vAlign w:val="center"/>
                </w:tcPr>
                <w:p w14:paraId="670975AC">
                  <w:pPr>
                    <w:pStyle w:val="53"/>
                    <w:bidi w:val="0"/>
                    <w:jc w:val="both"/>
                    <w:rPr>
                      <w:rFonts w:hint="eastAsia"/>
                      <w:color w:val="auto"/>
                      <w:lang w:val="en-US" w:eastAsia="zh-CN"/>
                    </w:rPr>
                  </w:pPr>
                  <w:r>
                    <w:rPr>
                      <w:rFonts w:hint="eastAsia"/>
                      <w:color w:val="auto"/>
                      <w:lang w:val="en-US" w:eastAsia="zh-CN"/>
                    </w:rPr>
                    <w:t>新建一座占地面积为720m</w:t>
                  </w:r>
                  <w:r>
                    <w:rPr>
                      <w:rFonts w:hint="eastAsia"/>
                      <w:color w:val="auto"/>
                      <w:vertAlign w:val="superscript"/>
                      <w:lang w:val="en-US" w:eastAsia="zh-CN"/>
                    </w:rPr>
                    <w:t>2</w:t>
                  </w:r>
                  <w:r>
                    <w:rPr>
                      <w:rFonts w:hint="eastAsia"/>
                      <w:color w:val="auto"/>
                      <w:lang w:val="en-US" w:eastAsia="zh-CN"/>
                    </w:rPr>
                    <w:t>全封闭骨料仓，内设骨料计量斗等配套设备，骨料仓内石料分区堆放，主要用于存放石粉砂料、0.5mm碎石、12mm碎石和30mm碎石。</w:t>
                  </w:r>
                </w:p>
                <w:p w14:paraId="34EA1711">
                  <w:pPr>
                    <w:pStyle w:val="53"/>
                    <w:bidi w:val="0"/>
                    <w:jc w:val="both"/>
                    <w:rPr>
                      <w:rFonts w:hint="default"/>
                      <w:color w:val="auto"/>
                      <w:lang w:val="en-US" w:eastAsia="zh-CN"/>
                    </w:rPr>
                  </w:pPr>
                  <w:r>
                    <w:rPr>
                      <w:rFonts w:hint="eastAsia"/>
                      <w:color w:val="auto"/>
                      <w:lang w:val="en-US" w:eastAsia="zh-CN"/>
                    </w:rPr>
                    <w:t>石屑（0-4.75mm）：储存周期为2天，储存量为1764t，堆高5m，占地面积245m</w:t>
                  </w:r>
                  <w:r>
                    <w:rPr>
                      <w:rFonts w:hint="eastAsia"/>
                      <w:color w:val="auto"/>
                      <w:vertAlign w:val="superscript"/>
                      <w:lang w:val="en-US" w:eastAsia="zh-CN"/>
                    </w:rPr>
                    <w:t>2</w:t>
                  </w:r>
                  <w:r>
                    <w:rPr>
                      <w:rFonts w:hint="eastAsia"/>
                      <w:color w:val="auto"/>
                      <w:lang w:val="en-US" w:eastAsia="zh-CN"/>
                    </w:rPr>
                    <w:t>。</w:t>
                  </w:r>
                </w:p>
                <w:p w14:paraId="58C72B91">
                  <w:pPr>
                    <w:pStyle w:val="53"/>
                    <w:bidi w:val="0"/>
                    <w:jc w:val="both"/>
                    <w:rPr>
                      <w:rFonts w:hint="default"/>
                      <w:color w:val="auto"/>
                      <w:lang w:val="en-US" w:eastAsia="zh-CN"/>
                    </w:rPr>
                  </w:pPr>
                  <w:r>
                    <w:rPr>
                      <w:rFonts w:hint="eastAsia"/>
                      <w:color w:val="auto"/>
                      <w:lang w:val="en-US" w:eastAsia="zh-CN"/>
                    </w:rPr>
                    <w:t>碎石（4.75-9.5mm）：储存周期为2天，储存量为662t，堆高5m，占地面积92m</w:t>
                  </w:r>
                  <w:r>
                    <w:rPr>
                      <w:rFonts w:hint="eastAsia"/>
                      <w:color w:val="auto"/>
                      <w:vertAlign w:val="superscript"/>
                      <w:lang w:val="en-US" w:eastAsia="zh-CN"/>
                    </w:rPr>
                    <w:t>2</w:t>
                  </w:r>
                  <w:r>
                    <w:rPr>
                      <w:rFonts w:hint="eastAsia"/>
                      <w:color w:val="auto"/>
                      <w:lang w:val="en-US" w:eastAsia="zh-CN"/>
                    </w:rPr>
                    <w:t>。</w:t>
                  </w:r>
                </w:p>
                <w:p w14:paraId="66DDC534">
                  <w:pPr>
                    <w:pStyle w:val="53"/>
                    <w:bidi w:val="0"/>
                    <w:jc w:val="both"/>
                    <w:rPr>
                      <w:rFonts w:hint="eastAsia"/>
                      <w:color w:val="auto"/>
                      <w:lang w:val="en-US" w:eastAsia="zh-CN"/>
                    </w:rPr>
                  </w:pPr>
                  <w:r>
                    <w:rPr>
                      <w:rFonts w:hint="eastAsia"/>
                      <w:color w:val="auto"/>
                      <w:lang w:val="en-US" w:eastAsia="zh-CN"/>
                    </w:rPr>
                    <w:t>碎石（9.5-19mm）：储存周期为2天，储存量为882t，堆高5m，占地面积122m</w:t>
                  </w:r>
                  <w:r>
                    <w:rPr>
                      <w:rFonts w:hint="eastAsia"/>
                      <w:color w:val="auto"/>
                      <w:vertAlign w:val="superscript"/>
                      <w:lang w:val="en-US" w:eastAsia="zh-CN"/>
                    </w:rPr>
                    <w:t>2</w:t>
                  </w:r>
                  <w:r>
                    <w:rPr>
                      <w:rFonts w:hint="eastAsia"/>
                      <w:color w:val="auto"/>
                      <w:lang w:val="en-US" w:eastAsia="zh-CN"/>
                    </w:rPr>
                    <w:t>。</w:t>
                  </w:r>
                </w:p>
                <w:p w14:paraId="489EA241">
                  <w:pPr>
                    <w:pStyle w:val="53"/>
                    <w:bidi w:val="0"/>
                    <w:jc w:val="both"/>
                    <w:rPr>
                      <w:rFonts w:hint="default"/>
                      <w:color w:val="auto"/>
                      <w:lang w:val="en-US" w:eastAsia="zh-CN"/>
                    </w:rPr>
                  </w:pPr>
                  <w:r>
                    <w:rPr>
                      <w:rFonts w:hint="eastAsia"/>
                      <w:color w:val="auto"/>
                      <w:lang w:val="en-US" w:eastAsia="zh-CN"/>
                    </w:rPr>
                    <w:t>碎石（19-31.5mm）：储存周期为2天，储存量为1103t，堆高5m，占地面积153m</w:t>
                  </w:r>
                  <w:r>
                    <w:rPr>
                      <w:rFonts w:hint="eastAsia"/>
                      <w:color w:val="auto"/>
                      <w:vertAlign w:val="superscript"/>
                      <w:lang w:val="en-US" w:eastAsia="zh-CN"/>
                    </w:rPr>
                    <w:t>2</w:t>
                  </w:r>
                  <w:r>
                    <w:rPr>
                      <w:rFonts w:hint="eastAsia"/>
                      <w:color w:val="auto"/>
                      <w:lang w:val="en-US" w:eastAsia="zh-CN"/>
                    </w:rPr>
                    <w:t>。</w:t>
                  </w:r>
                </w:p>
              </w:tc>
              <w:tc>
                <w:tcPr>
                  <w:tcW w:w="547" w:type="pct"/>
                  <w:noWrap w:val="0"/>
                  <w:vAlign w:val="center"/>
                </w:tcPr>
                <w:p w14:paraId="18E9AD0A">
                  <w:pPr>
                    <w:pStyle w:val="53"/>
                    <w:bidi w:val="0"/>
                    <w:rPr>
                      <w:rFonts w:hint="eastAsia" w:eastAsia="宋体"/>
                      <w:lang w:val="en-US" w:eastAsia="zh-CN"/>
                    </w:rPr>
                  </w:pPr>
                  <w:r>
                    <w:rPr>
                      <w:rFonts w:hint="eastAsia"/>
                      <w:lang w:val="en-US" w:eastAsia="zh-CN"/>
                    </w:rPr>
                    <w:t>新建</w:t>
                  </w:r>
                </w:p>
              </w:tc>
            </w:tr>
            <w:tr w14:paraId="39238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29F1DBB4">
                  <w:pPr>
                    <w:pStyle w:val="53"/>
                    <w:bidi w:val="0"/>
                  </w:pPr>
                </w:p>
              </w:tc>
              <w:tc>
                <w:tcPr>
                  <w:tcW w:w="486" w:type="pct"/>
                  <w:noWrap w:val="0"/>
                  <w:vAlign w:val="center"/>
                </w:tcPr>
                <w:p w14:paraId="3B1AA245">
                  <w:pPr>
                    <w:pStyle w:val="53"/>
                    <w:bidi w:val="0"/>
                    <w:rPr>
                      <w:rFonts w:hint="eastAsia" w:eastAsia="宋体"/>
                      <w:lang w:val="en-US" w:eastAsia="zh-CN"/>
                    </w:rPr>
                  </w:pPr>
                  <w:r>
                    <w:rPr>
                      <w:rFonts w:hint="eastAsia"/>
                      <w:lang w:val="en-US" w:eastAsia="zh-CN"/>
                    </w:rPr>
                    <w:t>水泥筒仓</w:t>
                  </w:r>
                </w:p>
              </w:tc>
              <w:tc>
                <w:tcPr>
                  <w:tcW w:w="3580" w:type="pct"/>
                  <w:gridSpan w:val="4"/>
                  <w:noWrap w:val="0"/>
                  <w:vAlign w:val="center"/>
                </w:tcPr>
                <w:p w14:paraId="6D5354D1">
                  <w:pPr>
                    <w:pStyle w:val="53"/>
                    <w:bidi w:val="0"/>
                    <w:jc w:val="both"/>
                    <w:rPr>
                      <w:rFonts w:hint="default" w:eastAsia="宋体"/>
                      <w:lang w:val="en-US" w:eastAsia="zh-CN"/>
                    </w:rPr>
                  </w:pPr>
                  <w:r>
                    <w:rPr>
                      <w:rFonts w:hint="eastAsia"/>
                      <w:color w:val="auto"/>
                      <w:lang w:val="en-US" w:eastAsia="zh-CN"/>
                    </w:rPr>
                    <w:t>本项目设置水泥筒仓2个，每个筒仓储量100t，用于储存水泥。</w:t>
                  </w:r>
                </w:p>
              </w:tc>
              <w:tc>
                <w:tcPr>
                  <w:tcW w:w="547" w:type="pct"/>
                  <w:noWrap w:val="0"/>
                  <w:vAlign w:val="center"/>
                </w:tcPr>
                <w:p w14:paraId="1E62C177">
                  <w:pPr>
                    <w:pStyle w:val="53"/>
                    <w:bidi w:val="0"/>
                  </w:pPr>
                  <w:r>
                    <w:rPr>
                      <w:rFonts w:hint="eastAsia"/>
                      <w:lang w:val="en-US" w:eastAsia="zh-CN"/>
                    </w:rPr>
                    <w:t>已建</w:t>
                  </w:r>
                </w:p>
              </w:tc>
            </w:tr>
            <w:tr w14:paraId="01F579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restart"/>
                  <w:noWrap w:val="0"/>
                  <w:vAlign w:val="center"/>
                </w:tcPr>
                <w:p w14:paraId="6315C204">
                  <w:pPr>
                    <w:pStyle w:val="53"/>
                    <w:bidi w:val="0"/>
                  </w:pPr>
                  <w:r>
                    <w:rPr>
                      <w:rFonts w:hint="eastAsia"/>
                    </w:rPr>
                    <w:t>辅助工程</w:t>
                  </w:r>
                </w:p>
              </w:tc>
              <w:tc>
                <w:tcPr>
                  <w:tcW w:w="486" w:type="pct"/>
                  <w:noWrap w:val="0"/>
                  <w:vAlign w:val="center"/>
                </w:tcPr>
                <w:p w14:paraId="14A7F452">
                  <w:pPr>
                    <w:pStyle w:val="53"/>
                    <w:bidi w:val="0"/>
                    <w:rPr>
                      <w:rFonts w:hint="default" w:eastAsia="宋体"/>
                      <w:color w:val="auto"/>
                      <w:lang w:val="en-US" w:eastAsia="zh-CN"/>
                    </w:rPr>
                  </w:pPr>
                  <w:r>
                    <w:rPr>
                      <w:rFonts w:hint="eastAsia"/>
                      <w:color w:val="auto"/>
                      <w:lang w:val="en-US" w:eastAsia="zh-CN"/>
                    </w:rPr>
                    <w:t>办公用房</w:t>
                  </w:r>
                </w:p>
              </w:tc>
              <w:tc>
                <w:tcPr>
                  <w:tcW w:w="3580" w:type="pct"/>
                  <w:gridSpan w:val="4"/>
                  <w:noWrap w:val="0"/>
                  <w:vAlign w:val="center"/>
                </w:tcPr>
                <w:p w14:paraId="68418B1C">
                  <w:pPr>
                    <w:pStyle w:val="53"/>
                    <w:bidi w:val="0"/>
                    <w:jc w:val="both"/>
                    <w:rPr>
                      <w:rFonts w:hint="default" w:eastAsia="宋体"/>
                      <w:color w:val="auto"/>
                      <w:lang w:val="en-US" w:eastAsia="zh-CN"/>
                    </w:rPr>
                  </w:pPr>
                  <w:r>
                    <w:rPr>
                      <w:rFonts w:hint="eastAsia"/>
                      <w:color w:val="auto"/>
                      <w:lang w:val="en-US" w:eastAsia="zh-CN"/>
                    </w:rPr>
                    <w:t>本项目在厂区南侧</w:t>
                  </w:r>
                  <w:r>
                    <w:rPr>
                      <w:rFonts w:hint="eastAsia" w:eastAsia="宋体"/>
                      <w:color w:val="auto"/>
                      <w:lang w:val="en-US" w:eastAsia="zh-CN"/>
                    </w:rPr>
                    <w:t>新建一座占地面积为</w:t>
                  </w:r>
                  <w:r>
                    <w:rPr>
                      <w:rFonts w:hint="eastAsia"/>
                      <w:color w:val="auto"/>
                      <w:lang w:val="en-US" w:eastAsia="zh-CN"/>
                    </w:rPr>
                    <w:t>200</w:t>
                  </w:r>
                  <w:r>
                    <w:rPr>
                      <w:rFonts w:hint="eastAsia" w:eastAsia="宋体"/>
                      <w:color w:val="auto"/>
                      <w:lang w:val="en-US" w:eastAsia="zh-CN"/>
                    </w:rPr>
                    <w:t>m</w:t>
                  </w:r>
                  <w:r>
                    <w:rPr>
                      <w:rFonts w:hint="eastAsia" w:eastAsia="宋体"/>
                      <w:color w:val="auto"/>
                      <w:vertAlign w:val="superscript"/>
                      <w:lang w:val="en-US" w:eastAsia="zh-CN"/>
                    </w:rPr>
                    <w:t>2</w:t>
                  </w:r>
                  <w:r>
                    <w:rPr>
                      <w:rFonts w:hint="eastAsia" w:eastAsia="宋体"/>
                      <w:color w:val="auto"/>
                      <w:lang w:val="en-US" w:eastAsia="zh-CN"/>
                    </w:rPr>
                    <w:t>办公用房，用于工作人员</w:t>
                  </w:r>
                  <w:r>
                    <w:rPr>
                      <w:rFonts w:hint="eastAsia"/>
                      <w:color w:val="auto"/>
                      <w:lang w:val="en-US" w:eastAsia="zh-CN"/>
                    </w:rPr>
                    <w:t>临时</w:t>
                  </w:r>
                  <w:r>
                    <w:rPr>
                      <w:rFonts w:hint="eastAsia" w:eastAsia="宋体"/>
                      <w:color w:val="auto"/>
                      <w:lang w:val="en-US" w:eastAsia="zh-CN"/>
                    </w:rPr>
                    <w:t>办公，为</w:t>
                  </w:r>
                  <w:r>
                    <w:rPr>
                      <w:rFonts w:hint="eastAsia"/>
                      <w:color w:val="auto"/>
                      <w:lang w:val="en-US" w:eastAsia="zh-CN"/>
                    </w:rPr>
                    <w:t>砖混</w:t>
                  </w:r>
                  <w:r>
                    <w:rPr>
                      <w:rFonts w:hint="eastAsia" w:eastAsia="宋体"/>
                      <w:color w:val="auto"/>
                      <w:lang w:val="en-US" w:eastAsia="zh-CN"/>
                    </w:rPr>
                    <w:t>结构。</w:t>
                  </w:r>
                </w:p>
              </w:tc>
              <w:tc>
                <w:tcPr>
                  <w:tcW w:w="547" w:type="pct"/>
                  <w:noWrap w:val="0"/>
                  <w:vAlign w:val="center"/>
                </w:tcPr>
                <w:p w14:paraId="6843D040">
                  <w:pPr>
                    <w:pStyle w:val="53"/>
                    <w:bidi w:val="0"/>
                    <w:rPr>
                      <w:rFonts w:hint="eastAsia"/>
                      <w:lang w:eastAsia="zh-CN"/>
                    </w:rPr>
                  </w:pPr>
                  <w:r>
                    <w:rPr>
                      <w:rFonts w:hint="eastAsia"/>
                      <w:lang w:val="en-US" w:eastAsia="zh-CN"/>
                    </w:rPr>
                    <w:t>已建</w:t>
                  </w:r>
                </w:p>
              </w:tc>
            </w:tr>
            <w:tr w14:paraId="214DD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58020E44">
                  <w:pPr>
                    <w:pStyle w:val="53"/>
                    <w:bidi w:val="0"/>
                    <w:rPr>
                      <w:rFonts w:hint="eastAsia"/>
                    </w:rPr>
                  </w:pPr>
                </w:p>
              </w:tc>
              <w:tc>
                <w:tcPr>
                  <w:tcW w:w="486" w:type="pct"/>
                  <w:noWrap w:val="0"/>
                  <w:vAlign w:val="center"/>
                </w:tcPr>
                <w:p w14:paraId="21EC7127">
                  <w:pPr>
                    <w:pStyle w:val="53"/>
                    <w:bidi w:val="0"/>
                    <w:rPr>
                      <w:rFonts w:hint="default"/>
                      <w:color w:val="auto"/>
                      <w:lang w:val="en-US" w:eastAsia="zh-CN"/>
                    </w:rPr>
                  </w:pPr>
                  <w:r>
                    <w:rPr>
                      <w:rFonts w:hint="eastAsia"/>
                      <w:color w:val="auto"/>
                      <w:lang w:val="en-US" w:eastAsia="zh-CN"/>
                    </w:rPr>
                    <w:t>宿舍</w:t>
                  </w:r>
                </w:p>
              </w:tc>
              <w:tc>
                <w:tcPr>
                  <w:tcW w:w="3580" w:type="pct"/>
                  <w:gridSpan w:val="4"/>
                  <w:noWrap w:val="0"/>
                  <w:vAlign w:val="center"/>
                </w:tcPr>
                <w:p w14:paraId="17077C7D">
                  <w:pPr>
                    <w:pStyle w:val="53"/>
                    <w:bidi w:val="0"/>
                    <w:jc w:val="both"/>
                    <w:rPr>
                      <w:rFonts w:hint="eastAsia"/>
                      <w:color w:val="auto"/>
                      <w:lang w:val="en-US" w:eastAsia="zh-CN"/>
                    </w:rPr>
                  </w:pPr>
                  <w:r>
                    <w:rPr>
                      <w:rFonts w:hint="eastAsia"/>
                      <w:color w:val="auto"/>
                      <w:lang w:val="en-US" w:eastAsia="zh-CN"/>
                    </w:rPr>
                    <w:t>本项目在厂区南侧</w:t>
                  </w:r>
                  <w:r>
                    <w:rPr>
                      <w:rFonts w:hint="eastAsia" w:eastAsia="宋体"/>
                      <w:color w:val="auto"/>
                      <w:lang w:val="en-US" w:eastAsia="zh-CN"/>
                    </w:rPr>
                    <w:t>新建一座占地面积为</w:t>
                  </w:r>
                  <w:r>
                    <w:rPr>
                      <w:rFonts w:hint="eastAsia"/>
                      <w:color w:val="auto"/>
                      <w:lang w:val="en-US" w:eastAsia="zh-CN"/>
                    </w:rPr>
                    <w:t>243</w:t>
                  </w:r>
                  <w:r>
                    <w:rPr>
                      <w:rFonts w:hint="eastAsia" w:eastAsia="宋体"/>
                      <w:color w:val="auto"/>
                      <w:lang w:val="en-US" w:eastAsia="zh-CN"/>
                    </w:rPr>
                    <w:t>m</w:t>
                  </w:r>
                  <w:r>
                    <w:rPr>
                      <w:rFonts w:hint="eastAsia" w:eastAsia="宋体"/>
                      <w:color w:val="auto"/>
                      <w:vertAlign w:val="superscript"/>
                      <w:lang w:val="en-US" w:eastAsia="zh-CN"/>
                    </w:rPr>
                    <w:t>2</w:t>
                  </w:r>
                  <w:r>
                    <w:rPr>
                      <w:rFonts w:hint="eastAsia" w:eastAsia="宋体"/>
                      <w:color w:val="auto"/>
                      <w:lang w:val="en-US" w:eastAsia="zh-CN"/>
                    </w:rPr>
                    <w:t>宿舍，用于工作人员</w:t>
                  </w:r>
                  <w:r>
                    <w:rPr>
                      <w:rFonts w:hint="eastAsia"/>
                      <w:color w:val="auto"/>
                      <w:lang w:val="en-US" w:eastAsia="zh-CN"/>
                    </w:rPr>
                    <w:t>临时</w:t>
                  </w:r>
                  <w:r>
                    <w:rPr>
                      <w:rFonts w:hint="eastAsia" w:eastAsia="宋体"/>
                      <w:color w:val="auto"/>
                      <w:lang w:val="en-US" w:eastAsia="zh-CN"/>
                    </w:rPr>
                    <w:t>休息，为</w:t>
                  </w:r>
                  <w:r>
                    <w:rPr>
                      <w:rFonts w:hint="eastAsia"/>
                      <w:color w:val="auto"/>
                      <w:lang w:val="en-US" w:eastAsia="zh-CN"/>
                    </w:rPr>
                    <w:t>砖混</w:t>
                  </w:r>
                  <w:r>
                    <w:rPr>
                      <w:rFonts w:hint="eastAsia" w:eastAsia="宋体"/>
                      <w:color w:val="auto"/>
                      <w:lang w:val="en-US" w:eastAsia="zh-CN"/>
                    </w:rPr>
                    <w:t>结构。</w:t>
                  </w:r>
                </w:p>
              </w:tc>
              <w:tc>
                <w:tcPr>
                  <w:tcW w:w="547" w:type="pct"/>
                  <w:noWrap w:val="0"/>
                  <w:vAlign w:val="center"/>
                </w:tcPr>
                <w:p w14:paraId="6FA110E6">
                  <w:pPr>
                    <w:pStyle w:val="53"/>
                    <w:bidi w:val="0"/>
                    <w:rPr>
                      <w:rFonts w:hint="eastAsia"/>
                    </w:rPr>
                  </w:pPr>
                  <w:r>
                    <w:rPr>
                      <w:rFonts w:hint="eastAsia"/>
                      <w:lang w:val="en-US" w:eastAsia="zh-CN"/>
                    </w:rPr>
                    <w:t>已建</w:t>
                  </w:r>
                </w:p>
              </w:tc>
            </w:tr>
            <w:tr w14:paraId="1919D5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0E77AE9C">
                  <w:pPr>
                    <w:pStyle w:val="53"/>
                    <w:bidi w:val="0"/>
                    <w:rPr>
                      <w:rFonts w:hint="eastAsia"/>
                    </w:rPr>
                  </w:pPr>
                </w:p>
              </w:tc>
              <w:tc>
                <w:tcPr>
                  <w:tcW w:w="486" w:type="pct"/>
                  <w:noWrap w:val="0"/>
                  <w:vAlign w:val="center"/>
                </w:tcPr>
                <w:p w14:paraId="05E6FA05">
                  <w:pPr>
                    <w:pStyle w:val="53"/>
                    <w:bidi w:val="0"/>
                    <w:rPr>
                      <w:rFonts w:hint="default"/>
                      <w:lang w:val="en-US" w:eastAsia="zh-CN"/>
                    </w:rPr>
                  </w:pPr>
                  <w:r>
                    <w:rPr>
                      <w:rFonts w:hint="eastAsia"/>
                      <w:lang w:val="en-US" w:eastAsia="zh-CN"/>
                    </w:rPr>
                    <w:t>磅房</w:t>
                  </w:r>
                </w:p>
              </w:tc>
              <w:tc>
                <w:tcPr>
                  <w:tcW w:w="3580" w:type="pct"/>
                  <w:gridSpan w:val="4"/>
                  <w:noWrap w:val="0"/>
                  <w:vAlign w:val="center"/>
                </w:tcPr>
                <w:p w14:paraId="0058DB64">
                  <w:pPr>
                    <w:pStyle w:val="53"/>
                    <w:bidi w:val="0"/>
                    <w:jc w:val="both"/>
                    <w:rPr>
                      <w:rFonts w:hint="default" w:eastAsia="宋体"/>
                      <w:lang w:val="en-US" w:eastAsia="zh-CN"/>
                    </w:rPr>
                  </w:pPr>
                  <w:r>
                    <w:rPr>
                      <w:rFonts w:hint="eastAsia"/>
                      <w:lang w:val="en-US" w:eastAsia="zh-CN"/>
                    </w:rPr>
                    <w:t>新建一座占地面积为35m</w:t>
                  </w:r>
                  <w:r>
                    <w:rPr>
                      <w:rFonts w:hint="eastAsia"/>
                      <w:vertAlign w:val="superscript"/>
                      <w:lang w:val="en-US" w:eastAsia="zh-CN"/>
                    </w:rPr>
                    <w:t>2</w:t>
                  </w:r>
                  <w:r>
                    <w:rPr>
                      <w:rFonts w:hint="eastAsia"/>
                      <w:lang w:val="en-US" w:eastAsia="zh-CN"/>
                    </w:rPr>
                    <w:t>磅房，用于称量进出物料车辆总重。</w:t>
                  </w:r>
                </w:p>
              </w:tc>
              <w:tc>
                <w:tcPr>
                  <w:tcW w:w="547" w:type="pct"/>
                  <w:noWrap w:val="0"/>
                  <w:vAlign w:val="center"/>
                </w:tcPr>
                <w:p w14:paraId="5BD71DF1">
                  <w:pPr>
                    <w:pStyle w:val="53"/>
                    <w:bidi w:val="0"/>
                    <w:rPr>
                      <w:rFonts w:hint="default"/>
                      <w:lang w:val="en-US" w:eastAsia="zh-CN"/>
                    </w:rPr>
                  </w:pPr>
                  <w:r>
                    <w:rPr>
                      <w:rFonts w:hint="eastAsia"/>
                      <w:lang w:val="en-US" w:eastAsia="zh-CN"/>
                    </w:rPr>
                    <w:t>已建</w:t>
                  </w:r>
                </w:p>
              </w:tc>
            </w:tr>
            <w:tr w14:paraId="554CB5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3C9A71A4">
                  <w:pPr>
                    <w:pStyle w:val="53"/>
                    <w:bidi w:val="0"/>
                    <w:rPr>
                      <w:rFonts w:hint="eastAsia"/>
                    </w:rPr>
                  </w:pPr>
                </w:p>
              </w:tc>
              <w:tc>
                <w:tcPr>
                  <w:tcW w:w="486" w:type="pct"/>
                  <w:noWrap w:val="0"/>
                  <w:vAlign w:val="center"/>
                </w:tcPr>
                <w:p w14:paraId="22F39591">
                  <w:pPr>
                    <w:pStyle w:val="53"/>
                    <w:bidi w:val="0"/>
                    <w:rPr>
                      <w:rFonts w:hint="default"/>
                      <w:lang w:val="en-US" w:eastAsia="zh-CN"/>
                    </w:rPr>
                  </w:pPr>
                  <w:r>
                    <w:rPr>
                      <w:rFonts w:hint="eastAsia"/>
                      <w:lang w:val="en-US" w:eastAsia="zh-CN"/>
                    </w:rPr>
                    <w:t>门房</w:t>
                  </w:r>
                </w:p>
              </w:tc>
              <w:tc>
                <w:tcPr>
                  <w:tcW w:w="3580" w:type="pct"/>
                  <w:gridSpan w:val="4"/>
                  <w:noWrap w:val="0"/>
                  <w:vAlign w:val="center"/>
                </w:tcPr>
                <w:p w14:paraId="068CAD29">
                  <w:pPr>
                    <w:pStyle w:val="53"/>
                    <w:bidi w:val="0"/>
                    <w:jc w:val="both"/>
                    <w:rPr>
                      <w:rFonts w:hint="eastAsia"/>
                      <w:lang w:val="en-US" w:eastAsia="zh-CN"/>
                    </w:rPr>
                  </w:pPr>
                  <w:r>
                    <w:rPr>
                      <w:rFonts w:hint="eastAsia"/>
                      <w:lang w:val="en-US" w:eastAsia="zh-CN"/>
                    </w:rPr>
                    <w:t>新建一座占地面积为35m</w:t>
                  </w:r>
                  <w:r>
                    <w:rPr>
                      <w:rFonts w:hint="eastAsia"/>
                      <w:vertAlign w:val="superscript"/>
                      <w:lang w:val="en-US" w:eastAsia="zh-CN"/>
                    </w:rPr>
                    <w:t>2</w:t>
                  </w:r>
                  <w:r>
                    <w:rPr>
                      <w:rFonts w:hint="eastAsia"/>
                      <w:vertAlign w:val="baseline"/>
                      <w:lang w:val="en-US" w:eastAsia="zh-CN"/>
                    </w:rPr>
                    <w:t>门房</w:t>
                  </w:r>
                  <w:r>
                    <w:rPr>
                      <w:rFonts w:hint="eastAsia"/>
                      <w:lang w:val="en-US" w:eastAsia="zh-CN"/>
                    </w:rPr>
                    <w:t>。</w:t>
                  </w:r>
                </w:p>
              </w:tc>
              <w:tc>
                <w:tcPr>
                  <w:tcW w:w="547" w:type="pct"/>
                  <w:noWrap w:val="0"/>
                  <w:vAlign w:val="center"/>
                </w:tcPr>
                <w:p w14:paraId="66D0FFC8">
                  <w:pPr>
                    <w:pStyle w:val="53"/>
                    <w:bidi w:val="0"/>
                    <w:rPr>
                      <w:rFonts w:hint="default"/>
                      <w:lang w:val="en-US" w:eastAsia="zh-CN"/>
                    </w:rPr>
                  </w:pPr>
                  <w:r>
                    <w:rPr>
                      <w:rFonts w:hint="eastAsia"/>
                      <w:lang w:val="en-US" w:eastAsia="zh-CN"/>
                    </w:rPr>
                    <w:t>已建</w:t>
                  </w:r>
                </w:p>
              </w:tc>
            </w:tr>
            <w:tr w14:paraId="32C50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restart"/>
                  <w:noWrap w:val="0"/>
                  <w:vAlign w:val="center"/>
                </w:tcPr>
                <w:p w14:paraId="559FB23F">
                  <w:pPr>
                    <w:pStyle w:val="53"/>
                    <w:bidi w:val="0"/>
                  </w:pPr>
                  <w:r>
                    <w:rPr>
                      <w:rFonts w:hint="eastAsia"/>
                    </w:rPr>
                    <w:t>公用工程</w:t>
                  </w:r>
                </w:p>
              </w:tc>
              <w:tc>
                <w:tcPr>
                  <w:tcW w:w="486" w:type="pct"/>
                  <w:noWrap w:val="0"/>
                  <w:vAlign w:val="center"/>
                </w:tcPr>
                <w:p w14:paraId="5D822D1B">
                  <w:pPr>
                    <w:pStyle w:val="53"/>
                    <w:bidi w:val="0"/>
                  </w:pPr>
                  <w:r>
                    <w:rPr>
                      <w:rFonts w:hint="eastAsia"/>
                    </w:rPr>
                    <w:t>给水</w:t>
                  </w:r>
                </w:p>
              </w:tc>
              <w:tc>
                <w:tcPr>
                  <w:tcW w:w="3580" w:type="pct"/>
                  <w:gridSpan w:val="4"/>
                  <w:noWrap w:val="0"/>
                  <w:vAlign w:val="center"/>
                </w:tcPr>
                <w:p w14:paraId="0FD61B61">
                  <w:pPr>
                    <w:pStyle w:val="53"/>
                    <w:bidi w:val="0"/>
                    <w:jc w:val="both"/>
                    <w:rPr>
                      <w:rFonts w:hint="default" w:eastAsia="宋体"/>
                      <w:highlight w:val="none"/>
                      <w:lang w:val="en-US" w:eastAsia="zh-CN"/>
                    </w:rPr>
                  </w:pPr>
                  <w:r>
                    <w:rPr>
                      <w:rFonts w:hint="eastAsia" w:eastAsia="宋体"/>
                      <w:highlight w:val="none"/>
                      <w:lang w:val="en-US" w:eastAsia="zh-CN"/>
                    </w:rPr>
                    <w:t>本项用水主要为生活用水和生产用水，生活用水购买桶装水，</w:t>
                  </w:r>
                  <w:r>
                    <w:rPr>
                      <w:rFonts w:hint="eastAsia"/>
                      <w:lang w:val="en-US" w:eastAsia="zh-CN"/>
                    </w:rPr>
                    <w:t>生产用水由罐车拉运甘其毛都口岸加工园区污水处理厂中水。</w:t>
                  </w:r>
                </w:p>
              </w:tc>
              <w:tc>
                <w:tcPr>
                  <w:tcW w:w="547" w:type="pct"/>
                  <w:noWrap w:val="0"/>
                  <w:vAlign w:val="center"/>
                </w:tcPr>
                <w:p w14:paraId="2673BF5C">
                  <w:pPr>
                    <w:pStyle w:val="53"/>
                    <w:bidi w:val="0"/>
                    <w:rPr>
                      <w:rFonts w:hint="eastAsia" w:eastAsia="宋体"/>
                      <w:lang w:eastAsia="zh-CN"/>
                    </w:rPr>
                  </w:pPr>
                  <w:r>
                    <w:rPr>
                      <w:rFonts w:hint="eastAsia"/>
                      <w:lang w:val="en-US" w:eastAsia="zh-CN"/>
                    </w:rPr>
                    <w:t>新建</w:t>
                  </w:r>
                </w:p>
              </w:tc>
            </w:tr>
            <w:tr w14:paraId="632CF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5D3D1072">
                  <w:pPr>
                    <w:pStyle w:val="53"/>
                    <w:bidi w:val="0"/>
                  </w:pPr>
                </w:p>
              </w:tc>
              <w:tc>
                <w:tcPr>
                  <w:tcW w:w="486" w:type="pct"/>
                  <w:noWrap w:val="0"/>
                  <w:vAlign w:val="center"/>
                </w:tcPr>
                <w:p w14:paraId="35A14786">
                  <w:pPr>
                    <w:pStyle w:val="53"/>
                    <w:bidi w:val="0"/>
                  </w:pPr>
                  <w:r>
                    <w:rPr>
                      <w:rFonts w:hint="eastAsia"/>
                    </w:rPr>
                    <w:t>供电</w:t>
                  </w:r>
                </w:p>
              </w:tc>
              <w:tc>
                <w:tcPr>
                  <w:tcW w:w="3580" w:type="pct"/>
                  <w:gridSpan w:val="4"/>
                  <w:noWrap w:val="0"/>
                  <w:vAlign w:val="center"/>
                </w:tcPr>
                <w:p w14:paraId="1601856E">
                  <w:pPr>
                    <w:pStyle w:val="53"/>
                    <w:bidi w:val="0"/>
                    <w:jc w:val="both"/>
                    <w:rPr>
                      <w:rFonts w:hint="eastAsia" w:eastAsia="宋体"/>
                      <w:highlight w:val="none"/>
                      <w:lang w:eastAsia="zh-CN"/>
                    </w:rPr>
                  </w:pPr>
                  <w:r>
                    <w:rPr>
                      <w:rFonts w:hint="eastAsia"/>
                      <w:color w:val="auto"/>
                      <w:highlight w:val="none"/>
                      <w:lang w:val="en-US" w:eastAsia="zh-CN"/>
                    </w:rPr>
                    <w:t>本项目供电接入现有10kV电路供电</w:t>
                  </w:r>
                  <w:r>
                    <w:rPr>
                      <w:rFonts w:hint="eastAsia"/>
                      <w:color w:val="auto"/>
                      <w:highlight w:val="none"/>
                      <w:lang w:eastAsia="zh-CN"/>
                    </w:rPr>
                    <w:t>。</w:t>
                  </w:r>
                </w:p>
              </w:tc>
              <w:tc>
                <w:tcPr>
                  <w:tcW w:w="547" w:type="pct"/>
                  <w:noWrap w:val="0"/>
                  <w:vAlign w:val="center"/>
                </w:tcPr>
                <w:p w14:paraId="74EEB38D">
                  <w:pPr>
                    <w:pStyle w:val="53"/>
                    <w:bidi w:val="0"/>
                    <w:rPr>
                      <w:rFonts w:hint="eastAsia" w:eastAsia="宋体"/>
                      <w:lang w:val="en-US" w:eastAsia="zh-CN"/>
                    </w:rPr>
                  </w:pPr>
                  <w:r>
                    <w:rPr>
                      <w:rFonts w:hint="eastAsia"/>
                      <w:lang w:val="en-US" w:eastAsia="zh-CN"/>
                    </w:rPr>
                    <w:t>已建</w:t>
                  </w:r>
                </w:p>
              </w:tc>
            </w:tr>
            <w:tr w14:paraId="23784D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2EB25995">
                  <w:pPr>
                    <w:pStyle w:val="53"/>
                    <w:bidi w:val="0"/>
                  </w:pPr>
                </w:p>
              </w:tc>
              <w:tc>
                <w:tcPr>
                  <w:tcW w:w="486" w:type="pct"/>
                  <w:noWrap w:val="0"/>
                  <w:vAlign w:val="center"/>
                </w:tcPr>
                <w:p w14:paraId="6AC2CDA7">
                  <w:pPr>
                    <w:pStyle w:val="53"/>
                    <w:bidi w:val="0"/>
                  </w:pPr>
                  <w:r>
                    <w:rPr>
                      <w:rFonts w:hint="eastAsia"/>
                    </w:rPr>
                    <w:t>供热</w:t>
                  </w:r>
                </w:p>
              </w:tc>
              <w:tc>
                <w:tcPr>
                  <w:tcW w:w="3580" w:type="pct"/>
                  <w:gridSpan w:val="4"/>
                  <w:noWrap w:val="0"/>
                  <w:vAlign w:val="center"/>
                </w:tcPr>
                <w:p w14:paraId="4949F9A0">
                  <w:pPr>
                    <w:pStyle w:val="53"/>
                    <w:bidi w:val="0"/>
                    <w:jc w:val="both"/>
                    <w:rPr>
                      <w:rFonts w:hint="eastAsia" w:eastAsia="宋体"/>
                      <w:highlight w:val="none"/>
                      <w:lang w:eastAsia="zh-CN"/>
                    </w:rPr>
                  </w:pPr>
                  <w:r>
                    <w:rPr>
                      <w:rFonts w:hint="eastAsia"/>
                      <w:highlight w:val="none"/>
                      <w:lang w:val="en-US" w:eastAsia="zh-CN"/>
                    </w:rPr>
                    <w:t>本项目冬季不生产。</w:t>
                  </w:r>
                </w:p>
              </w:tc>
              <w:tc>
                <w:tcPr>
                  <w:tcW w:w="547" w:type="pct"/>
                  <w:noWrap w:val="0"/>
                  <w:vAlign w:val="center"/>
                </w:tcPr>
                <w:p w14:paraId="2F2A1398">
                  <w:pPr>
                    <w:pStyle w:val="53"/>
                    <w:bidi w:val="0"/>
                    <w:rPr>
                      <w:rFonts w:hint="eastAsia" w:eastAsia="宋体"/>
                      <w:lang w:val="en-US" w:eastAsia="zh-CN"/>
                    </w:rPr>
                  </w:pPr>
                  <w:r>
                    <w:rPr>
                      <w:rFonts w:hint="eastAsia"/>
                      <w:lang w:val="en-US" w:eastAsia="zh-CN"/>
                    </w:rPr>
                    <w:t>/</w:t>
                  </w:r>
                </w:p>
              </w:tc>
            </w:tr>
            <w:tr w14:paraId="1E84BB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restart"/>
                  <w:noWrap w:val="0"/>
                  <w:vAlign w:val="center"/>
                </w:tcPr>
                <w:p w14:paraId="2726A01A">
                  <w:pPr>
                    <w:pStyle w:val="53"/>
                    <w:bidi w:val="0"/>
                  </w:pPr>
                  <w:r>
                    <w:rPr>
                      <w:rFonts w:hint="eastAsia"/>
                    </w:rPr>
                    <w:t>环保工程</w:t>
                  </w:r>
                </w:p>
              </w:tc>
              <w:tc>
                <w:tcPr>
                  <w:tcW w:w="486" w:type="pct"/>
                  <w:vMerge w:val="restart"/>
                  <w:noWrap w:val="0"/>
                  <w:vAlign w:val="center"/>
                </w:tcPr>
                <w:p w14:paraId="1E8C5E60">
                  <w:pPr>
                    <w:pStyle w:val="53"/>
                    <w:bidi w:val="0"/>
                  </w:pPr>
                  <w:r>
                    <w:rPr>
                      <w:rFonts w:hint="eastAsia"/>
                    </w:rPr>
                    <w:t>废气治理工程</w:t>
                  </w:r>
                </w:p>
              </w:tc>
              <w:tc>
                <w:tcPr>
                  <w:tcW w:w="943" w:type="pct"/>
                  <w:gridSpan w:val="2"/>
                  <w:vMerge w:val="restart"/>
                  <w:noWrap w:val="0"/>
                  <w:vAlign w:val="center"/>
                </w:tcPr>
                <w:p w14:paraId="32C2B8C7">
                  <w:pPr>
                    <w:pStyle w:val="53"/>
                    <w:bidi w:val="0"/>
                    <w:rPr>
                      <w:rFonts w:hint="eastAsia"/>
                      <w:color w:val="auto"/>
                    </w:rPr>
                  </w:pPr>
                  <w:r>
                    <w:rPr>
                      <w:rFonts w:hint="eastAsia"/>
                      <w:color w:val="auto"/>
                    </w:rPr>
                    <w:t>水泥筒仓呼</w:t>
                  </w:r>
                </w:p>
                <w:p w14:paraId="0582934B">
                  <w:pPr>
                    <w:pStyle w:val="53"/>
                    <w:bidi w:val="0"/>
                    <w:rPr>
                      <w:rFonts w:hint="eastAsia" w:eastAsia="宋体"/>
                      <w:color w:val="auto"/>
                      <w:lang w:val="en-US" w:eastAsia="zh-CN"/>
                    </w:rPr>
                  </w:pPr>
                  <w:r>
                    <w:rPr>
                      <w:rFonts w:hint="eastAsia"/>
                      <w:color w:val="auto"/>
                    </w:rPr>
                    <w:t>吸</w:t>
                  </w:r>
                  <w:r>
                    <w:rPr>
                      <w:rFonts w:hint="eastAsia"/>
                      <w:color w:val="auto"/>
                      <w:lang w:val="en-US" w:eastAsia="zh-CN"/>
                    </w:rPr>
                    <w:t>粉尘</w:t>
                  </w:r>
                </w:p>
              </w:tc>
              <w:tc>
                <w:tcPr>
                  <w:tcW w:w="2636" w:type="pct"/>
                  <w:gridSpan w:val="2"/>
                  <w:noWrap w:val="0"/>
                  <w:vAlign w:val="center"/>
                </w:tcPr>
                <w:p w14:paraId="77070376">
                  <w:pPr>
                    <w:pStyle w:val="53"/>
                    <w:bidi w:val="0"/>
                    <w:jc w:val="both"/>
                    <w:rPr>
                      <w:color w:val="auto"/>
                    </w:rPr>
                  </w:pPr>
                  <w:r>
                    <w:rPr>
                      <w:rFonts w:hint="eastAsia"/>
                      <w:color w:val="auto"/>
                      <w:lang w:val="en-US" w:eastAsia="zh-CN"/>
                    </w:rPr>
                    <w:t>1#</w:t>
                  </w:r>
                  <w:r>
                    <w:rPr>
                      <w:rFonts w:hint="eastAsia"/>
                      <w:color w:val="auto"/>
                    </w:rPr>
                    <w:t>水泥筒仓呼吸粉尘（G</w:t>
                  </w:r>
                  <w:r>
                    <w:rPr>
                      <w:rFonts w:hint="eastAsia"/>
                      <w:color w:val="auto"/>
                      <w:vertAlign w:val="subscript"/>
                    </w:rPr>
                    <w:t>1-1</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c>
                <w:tcPr>
                  <w:tcW w:w="547" w:type="pct"/>
                  <w:vMerge w:val="restart"/>
                  <w:noWrap w:val="0"/>
                  <w:vAlign w:val="center"/>
                </w:tcPr>
                <w:p w14:paraId="18AB93E9">
                  <w:pPr>
                    <w:pStyle w:val="53"/>
                    <w:bidi w:val="0"/>
                    <w:rPr>
                      <w:rFonts w:hint="eastAsia" w:eastAsia="宋体"/>
                      <w:lang w:eastAsia="zh-CN"/>
                    </w:rPr>
                  </w:pPr>
                  <w:r>
                    <w:rPr>
                      <w:rFonts w:hint="eastAsia"/>
                      <w:lang w:val="en-US" w:eastAsia="zh-CN"/>
                    </w:rPr>
                    <w:t>新建</w:t>
                  </w:r>
                </w:p>
              </w:tc>
            </w:tr>
            <w:tr w14:paraId="72CFB6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41AB465C">
                  <w:pPr>
                    <w:pStyle w:val="53"/>
                    <w:bidi w:val="0"/>
                    <w:jc w:val="both"/>
                  </w:pPr>
                </w:p>
              </w:tc>
              <w:tc>
                <w:tcPr>
                  <w:tcW w:w="486" w:type="pct"/>
                  <w:vMerge w:val="continue"/>
                  <w:noWrap w:val="0"/>
                  <w:vAlign w:val="center"/>
                </w:tcPr>
                <w:p w14:paraId="28D5D4BB">
                  <w:pPr>
                    <w:pStyle w:val="53"/>
                    <w:bidi w:val="0"/>
                    <w:jc w:val="both"/>
                  </w:pPr>
                </w:p>
              </w:tc>
              <w:tc>
                <w:tcPr>
                  <w:tcW w:w="943" w:type="pct"/>
                  <w:gridSpan w:val="2"/>
                  <w:vMerge w:val="continue"/>
                  <w:noWrap w:val="0"/>
                  <w:vAlign w:val="center"/>
                </w:tcPr>
                <w:p w14:paraId="4AEF8478">
                  <w:pPr>
                    <w:pStyle w:val="53"/>
                    <w:bidi w:val="0"/>
                    <w:jc w:val="both"/>
                  </w:pPr>
                </w:p>
              </w:tc>
              <w:tc>
                <w:tcPr>
                  <w:tcW w:w="2636" w:type="pct"/>
                  <w:gridSpan w:val="2"/>
                  <w:noWrap w:val="0"/>
                  <w:vAlign w:val="center"/>
                </w:tcPr>
                <w:p w14:paraId="767D69ED">
                  <w:pPr>
                    <w:pStyle w:val="53"/>
                    <w:bidi w:val="0"/>
                    <w:jc w:val="both"/>
                    <w:rPr>
                      <w:color w:val="auto"/>
                    </w:rPr>
                  </w:pPr>
                  <w:r>
                    <w:rPr>
                      <w:rFonts w:hint="eastAsia"/>
                      <w:color w:val="auto"/>
                      <w:lang w:val="en-US" w:eastAsia="zh-CN"/>
                    </w:rPr>
                    <w:t>2#</w:t>
                  </w:r>
                  <w:r>
                    <w:rPr>
                      <w:rFonts w:hint="eastAsia"/>
                      <w:color w:val="auto"/>
                    </w:rPr>
                    <w:t>水泥筒仓呼吸粉尘（G</w:t>
                  </w:r>
                  <w:r>
                    <w:rPr>
                      <w:rFonts w:hint="eastAsia"/>
                      <w:color w:val="auto"/>
                      <w:vertAlign w:val="subscript"/>
                    </w:rPr>
                    <w:t>1-</w:t>
                  </w:r>
                  <w:r>
                    <w:rPr>
                      <w:rFonts w:hint="eastAsia"/>
                      <w:color w:val="auto"/>
                      <w:vertAlign w:val="subscript"/>
                      <w:lang w:val="en-US" w:eastAsia="zh-CN"/>
                    </w:rPr>
                    <w:t>2</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c>
                <w:tcPr>
                  <w:tcW w:w="547" w:type="pct"/>
                  <w:vMerge w:val="continue"/>
                  <w:noWrap w:val="0"/>
                  <w:vAlign w:val="center"/>
                </w:tcPr>
                <w:p w14:paraId="366B980C">
                  <w:pPr>
                    <w:pStyle w:val="53"/>
                    <w:bidi w:val="0"/>
                    <w:jc w:val="both"/>
                    <w:rPr>
                      <w:color w:val="auto"/>
                    </w:rPr>
                  </w:pPr>
                </w:p>
              </w:tc>
            </w:tr>
            <w:tr w14:paraId="4AEBE2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38A1B278">
                  <w:pPr>
                    <w:pStyle w:val="53"/>
                    <w:bidi w:val="0"/>
                  </w:pPr>
                </w:p>
              </w:tc>
              <w:tc>
                <w:tcPr>
                  <w:tcW w:w="486" w:type="pct"/>
                  <w:vMerge w:val="continue"/>
                  <w:noWrap w:val="0"/>
                  <w:vAlign w:val="center"/>
                </w:tcPr>
                <w:p w14:paraId="6CFA8BA4">
                  <w:pPr>
                    <w:pStyle w:val="53"/>
                    <w:bidi w:val="0"/>
                  </w:pPr>
                </w:p>
              </w:tc>
              <w:tc>
                <w:tcPr>
                  <w:tcW w:w="943" w:type="pct"/>
                  <w:gridSpan w:val="2"/>
                  <w:noWrap w:val="0"/>
                  <w:vAlign w:val="center"/>
                </w:tcPr>
                <w:p w14:paraId="63CD0D4D">
                  <w:pPr>
                    <w:pStyle w:val="53"/>
                    <w:bidi w:val="0"/>
                    <w:rPr>
                      <w:color w:val="auto"/>
                    </w:rPr>
                  </w:pPr>
                  <w:r>
                    <w:rPr>
                      <w:rFonts w:hint="eastAsia"/>
                      <w:color w:val="auto"/>
                    </w:rPr>
                    <w:t>砂石料堆存和装卸料粉尘</w:t>
                  </w:r>
                </w:p>
              </w:tc>
              <w:tc>
                <w:tcPr>
                  <w:tcW w:w="2636" w:type="pct"/>
                  <w:gridSpan w:val="2"/>
                  <w:noWrap w:val="0"/>
                  <w:vAlign w:val="center"/>
                </w:tcPr>
                <w:p w14:paraId="4281C79C">
                  <w:pPr>
                    <w:pStyle w:val="53"/>
                    <w:bidi w:val="0"/>
                    <w:jc w:val="both"/>
                    <w:rPr>
                      <w:rFonts w:hint="default"/>
                    </w:rPr>
                  </w:pPr>
                  <w:r>
                    <w:rPr>
                      <w:rFonts w:hint="default"/>
                    </w:rPr>
                    <w:t>通过</w:t>
                  </w:r>
                  <w:r>
                    <w:rPr>
                      <w:rFonts w:hint="eastAsia"/>
                      <w:lang w:eastAsia="zh-CN"/>
                    </w:rPr>
                    <w:t>“</w:t>
                  </w:r>
                  <w:r>
                    <w:rPr>
                      <w:rFonts w:hint="default"/>
                    </w:rPr>
                    <w:t>全封闭骨料仓+在堆存和装卸过程使用雾炮机抑尘+</w:t>
                  </w:r>
                  <w:r>
                    <w:rPr>
                      <w:rFonts w:hint="eastAsia"/>
                      <w:color w:val="auto"/>
                    </w:rPr>
                    <w:t>厂区四周设置</w:t>
                  </w:r>
                  <w:r>
                    <w:rPr>
                      <w:rFonts w:hint="eastAsia"/>
                      <w:color w:val="auto"/>
                      <w:lang w:val="en-US" w:eastAsia="zh-CN"/>
                    </w:rPr>
                    <w:t>长655m、高5m的</w:t>
                  </w:r>
                  <w:r>
                    <w:rPr>
                      <w:rFonts w:hint="eastAsia"/>
                      <w:color w:val="auto"/>
                    </w:rPr>
                    <w:t>防风抑尘网</w:t>
                  </w:r>
                  <w:r>
                    <w:rPr>
                      <w:rFonts w:hint="eastAsia"/>
                      <w:lang w:eastAsia="zh-CN"/>
                    </w:rPr>
                    <w:t>”</w:t>
                  </w:r>
                  <w:r>
                    <w:rPr>
                      <w:rFonts w:hint="default"/>
                    </w:rPr>
                    <w:t>处理后以无组织形式排放。</w:t>
                  </w:r>
                </w:p>
              </w:tc>
              <w:tc>
                <w:tcPr>
                  <w:tcW w:w="547" w:type="pct"/>
                  <w:vMerge w:val="continue"/>
                  <w:noWrap w:val="0"/>
                  <w:vAlign w:val="center"/>
                </w:tcPr>
                <w:p w14:paraId="094BA41C">
                  <w:pPr>
                    <w:pStyle w:val="53"/>
                    <w:bidi w:val="0"/>
                  </w:pPr>
                </w:p>
              </w:tc>
            </w:tr>
            <w:tr w14:paraId="15EC7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168B8DCE">
                  <w:pPr>
                    <w:pStyle w:val="53"/>
                    <w:bidi w:val="0"/>
                  </w:pPr>
                </w:p>
              </w:tc>
              <w:tc>
                <w:tcPr>
                  <w:tcW w:w="486" w:type="pct"/>
                  <w:vMerge w:val="continue"/>
                  <w:noWrap w:val="0"/>
                  <w:vAlign w:val="center"/>
                </w:tcPr>
                <w:p w14:paraId="3C6A9CC0">
                  <w:pPr>
                    <w:pStyle w:val="53"/>
                    <w:bidi w:val="0"/>
                  </w:pPr>
                </w:p>
              </w:tc>
              <w:tc>
                <w:tcPr>
                  <w:tcW w:w="943" w:type="pct"/>
                  <w:gridSpan w:val="2"/>
                  <w:noWrap w:val="0"/>
                  <w:vAlign w:val="center"/>
                </w:tcPr>
                <w:p w14:paraId="2E75D6BC">
                  <w:pPr>
                    <w:pStyle w:val="53"/>
                    <w:bidi w:val="0"/>
                    <w:rPr>
                      <w:color w:val="auto"/>
                    </w:rPr>
                  </w:pPr>
                  <w:r>
                    <w:rPr>
                      <w:rFonts w:hint="eastAsia"/>
                      <w:color w:val="auto"/>
                    </w:rPr>
                    <w:t>砂石料投料、输送、计量粉尘</w:t>
                  </w:r>
                </w:p>
              </w:tc>
              <w:tc>
                <w:tcPr>
                  <w:tcW w:w="2636" w:type="pct"/>
                  <w:gridSpan w:val="2"/>
                  <w:noWrap w:val="0"/>
                  <w:vAlign w:val="center"/>
                </w:tcPr>
                <w:p w14:paraId="366C1F83">
                  <w:pPr>
                    <w:pStyle w:val="53"/>
                    <w:bidi w:val="0"/>
                    <w:jc w:val="both"/>
                    <w:rPr>
                      <w:color w:val="auto"/>
                    </w:rPr>
                  </w:pPr>
                  <w:r>
                    <w:rPr>
                      <w:rFonts w:hint="eastAsia"/>
                      <w:color w:val="auto"/>
                    </w:rPr>
                    <w:t>通过“全封闭骨料仓、</w:t>
                  </w:r>
                  <w:r>
                    <w:rPr>
                      <w:rFonts w:hint="eastAsia"/>
                      <w:color w:val="auto"/>
                      <w:lang w:val="en-US" w:eastAsia="zh-CN"/>
                    </w:rPr>
                    <w:t>全封闭</w:t>
                  </w:r>
                  <w:r>
                    <w:rPr>
                      <w:rFonts w:hint="eastAsia"/>
                      <w:color w:val="auto"/>
                    </w:rPr>
                    <w:t>输送带+在装载机投料过程中使用雾炮机抑尘+厂区四周设置</w:t>
                  </w:r>
                  <w:r>
                    <w:rPr>
                      <w:rFonts w:hint="eastAsia"/>
                      <w:color w:val="auto"/>
                      <w:lang w:val="en-US" w:eastAsia="zh-CN"/>
                    </w:rPr>
                    <w:t>长655m、高5m的</w:t>
                  </w:r>
                  <w:r>
                    <w:rPr>
                      <w:rFonts w:hint="eastAsia"/>
                      <w:color w:val="auto"/>
                    </w:rPr>
                    <w:t>防风抑尘网”处理后以无组织形式排放。</w:t>
                  </w:r>
                </w:p>
              </w:tc>
              <w:tc>
                <w:tcPr>
                  <w:tcW w:w="547" w:type="pct"/>
                  <w:vMerge w:val="continue"/>
                  <w:noWrap w:val="0"/>
                  <w:vAlign w:val="center"/>
                </w:tcPr>
                <w:p w14:paraId="170DFFF4">
                  <w:pPr>
                    <w:pStyle w:val="53"/>
                    <w:bidi w:val="0"/>
                  </w:pPr>
                </w:p>
              </w:tc>
            </w:tr>
            <w:tr w14:paraId="4A6C8E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772" w:hRule="atLeast"/>
              </w:trPr>
              <w:tc>
                <w:tcPr>
                  <w:tcW w:w="385" w:type="pct"/>
                  <w:vMerge w:val="continue"/>
                  <w:noWrap w:val="0"/>
                  <w:vAlign w:val="center"/>
                </w:tcPr>
                <w:p w14:paraId="0EF16AB9">
                  <w:pPr>
                    <w:pStyle w:val="53"/>
                    <w:bidi w:val="0"/>
                  </w:pPr>
                </w:p>
              </w:tc>
              <w:tc>
                <w:tcPr>
                  <w:tcW w:w="486" w:type="pct"/>
                  <w:vMerge w:val="continue"/>
                  <w:noWrap w:val="0"/>
                  <w:vAlign w:val="center"/>
                </w:tcPr>
                <w:p w14:paraId="59D8C3EE">
                  <w:pPr>
                    <w:pStyle w:val="53"/>
                    <w:bidi w:val="0"/>
                  </w:pPr>
                </w:p>
              </w:tc>
              <w:tc>
                <w:tcPr>
                  <w:tcW w:w="943" w:type="pct"/>
                  <w:gridSpan w:val="2"/>
                  <w:noWrap w:val="0"/>
                  <w:vAlign w:val="center"/>
                </w:tcPr>
                <w:p w14:paraId="38B3D017">
                  <w:pPr>
                    <w:pStyle w:val="53"/>
                    <w:bidi w:val="0"/>
                    <w:rPr>
                      <w:rFonts w:hint="default" w:eastAsia="宋体"/>
                      <w:color w:val="auto"/>
                      <w:lang w:val="en-US" w:eastAsia="zh-CN"/>
                    </w:rPr>
                  </w:pPr>
                  <w:r>
                    <w:rPr>
                      <w:rFonts w:hint="eastAsia" w:eastAsia="宋体"/>
                      <w:color w:val="auto"/>
                      <w:lang w:val="en-US" w:eastAsia="zh-CN"/>
                    </w:rPr>
                    <w:t>运输扬尘</w:t>
                  </w:r>
                </w:p>
              </w:tc>
              <w:tc>
                <w:tcPr>
                  <w:tcW w:w="2636" w:type="pct"/>
                  <w:gridSpan w:val="2"/>
                  <w:noWrap w:val="0"/>
                  <w:vAlign w:val="center"/>
                </w:tcPr>
                <w:p w14:paraId="39994A75">
                  <w:pPr>
                    <w:pStyle w:val="53"/>
                    <w:bidi w:val="0"/>
                    <w:jc w:val="both"/>
                    <w:rPr>
                      <w:rFonts w:hint="eastAsia"/>
                      <w:color w:val="auto"/>
                    </w:rPr>
                  </w:pPr>
                  <w:r>
                    <w:rPr>
                      <w:rFonts w:hint="eastAsia"/>
                      <w:color w:val="auto"/>
                    </w:rPr>
                    <w:t>通过</w:t>
                  </w:r>
                  <w:r>
                    <w:rPr>
                      <w:rFonts w:hint="eastAsia"/>
                      <w:color w:val="auto"/>
                      <w:lang w:val="en-US" w:eastAsia="zh-CN"/>
                    </w:rPr>
                    <w:t>洒水车</w:t>
                  </w:r>
                  <w:r>
                    <w:rPr>
                      <w:rFonts w:hint="eastAsia"/>
                      <w:color w:val="auto"/>
                    </w:rPr>
                    <w:t>洒水抑尘和清洗运输车辆措施减少粉尘排放。</w:t>
                  </w:r>
                </w:p>
              </w:tc>
              <w:tc>
                <w:tcPr>
                  <w:tcW w:w="547" w:type="pct"/>
                  <w:vMerge w:val="continue"/>
                  <w:noWrap w:val="0"/>
                  <w:vAlign w:val="center"/>
                </w:tcPr>
                <w:p w14:paraId="731E7EA0">
                  <w:pPr>
                    <w:pStyle w:val="53"/>
                    <w:bidi w:val="0"/>
                  </w:pPr>
                </w:p>
              </w:tc>
            </w:tr>
            <w:tr w14:paraId="10169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4F37F07E">
                  <w:pPr>
                    <w:pStyle w:val="53"/>
                    <w:bidi w:val="0"/>
                  </w:pPr>
                </w:p>
              </w:tc>
              <w:tc>
                <w:tcPr>
                  <w:tcW w:w="486" w:type="pct"/>
                  <w:vMerge w:val="restart"/>
                  <w:noWrap w:val="0"/>
                  <w:vAlign w:val="center"/>
                </w:tcPr>
                <w:p w14:paraId="4C863A18">
                  <w:pPr>
                    <w:pStyle w:val="53"/>
                    <w:bidi w:val="0"/>
                  </w:pPr>
                  <w:r>
                    <w:rPr>
                      <w:rFonts w:hint="eastAsia"/>
                    </w:rPr>
                    <w:t>废水污染防治工程</w:t>
                  </w:r>
                </w:p>
              </w:tc>
              <w:tc>
                <w:tcPr>
                  <w:tcW w:w="3580" w:type="pct"/>
                  <w:gridSpan w:val="4"/>
                  <w:noWrap w:val="0"/>
                  <w:vAlign w:val="center"/>
                </w:tcPr>
                <w:p w14:paraId="2EE67864">
                  <w:pPr>
                    <w:pStyle w:val="53"/>
                    <w:bidi w:val="0"/>
                    <w:jc w:val="both"/>
                    <w:rPr>
                      <w:rFonts w:hint="eastAsia" w:eastAsia="宋体"/>
                      <w:color w:val="auto"/>
                      <w:lang w:eastAsia="zh-CN"/>
                    </w:rPr>
                  </w:pPr>
                  <w:r>
                    <w:rPr>
                      <w:rFonts w:hint="eastAsia" w:eastAsia="宋体"/>
                      <w:color w:val="auto"/>
                      <w:lang w:eastAsia="zh-CN"/>
                    </w:rPr>
                    <w:fldChar w:fldCharType="begin"/>
                  </w:r>
                  <w:r>
                    <w:rPr>
                      <w:rFonts w:hint="eastAsia" w:eastAsia="宋体"/>
                      <w:color w:val="auto"/>
                      <w:lang w:eastAsia="zh-CN"/>
                    </w:rPr>
                    <w:instrText xml:space="preserve"> = 1 \* GB3 \* MERGEFORMAT </w:instrText>
                  </w:r>
                  <w:r>
                    <w:rPr>
                      <w:rFonts w:hint="eastAsia" w:eastAsia="宋体"/>
                      <w:color w:val="auto"/>
                      <w:lang w:eastAsia="zh-CN"/>
                    </w:rPr>
                    <w:fldChar w:fldCharType="separate"/>
                  </w:r>
                  <w:r>
                    <w:t>①</w:t>
                  </w:r>
                  <w:r>
                    <w:rPr>
                      <w:rFonts w:hint="eastAsia" w:eastAsia="宋体"/>
                      <w:color w:val="auto"/>
                      <w:lang w:eastAsia="zh-CN"/>
                    </w:rPr>
                    <w:fldChar w:fldCharType="end"/>
                  </w:r>
                  <w:r>
                    <w:rPr>
                      <w:rFonts w:hint="eastAsia" w:eastAsia="宋体"/>
                      <w:color w:val="auto"/>
                      <w:lang w:eastAsia="zh-CN"/>
                    </w:rPr>
                    <w:t>生活污水</w:t>
                  </w:r>
                </w:p>
                <w:p w14:paraId="1B9CF1FF">
                  <w:pPr>
                    <w:pStyle w:val="53"/>
                    <w:bidi w:val="0"/>
                    <w:jc w:val="both"/>
                    <w:rPr>
                      <w:rFonts w:hint="eastAsia" w:eastAsia="宋体"/>
                      <w:color w:val="auto"/>
                      <w:lang w:eastAsia="zh-CN"/>
                    </w:rPr>
                  </w:pPr>
                  <w:r>
                    <w:rPr>
                      <w:rFonts w:hint="default"/>
                    </w:rPr>
                    <w:t>经化粪池预处理后，定期拉运至甘其毛都口岸加工园区污水处理厂。</w:t>
                  </w:r>
                </w:p>
              </w:tc>
              <w:tc>
                <w:tcPr>
                  <w:tcW w:w="547" w:type="pct"/>
                  <w:noWrap w:val="0"/>
                  <w:vAlign w:val="center"/>
                </w:tcPr>
                <w:p w14:paraId="573DB2CD">
                  <w:pPr>
                    <w:pStyle w:val="53"/>
                    <w:bidi w:val="0"/>
                    <w:rPr>
                      <w:rFonts w:hint="default" w:eastAsia="宋体"/>
                      <w:lang w:val="en-US" w:eastAsia="zh-CN"/>
                    </w:rPr>
                  </w:pPr>
                  <w:r>
                    <w:rPr>
                      <w:rFonts w:hint="eastAsia"/>
                      <w:lang w:val="en-US" w:eastAsia="zh-CN"/>
                    </w:rPr>
                    <w:t>已建</w:t>
                  </w:r>
                </w:p>
              </w:tc>
            </w:tr>
            <w:tr w14:paraId="479CFA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350482F8">
                  <w:pPr>
                    <w:pStyle w:val="53"/>
                    <w:bidi w:val="0"/>
                  </w:pPr>
                </w:p>
              </w:tc>
              <w:tc>
                <w:tcPr>
                  <w:tcW w:w="486" w:type="pct"/>
                  <w:vMerge w:val="continue"/>
                  <w:noWrap w:val="0"/>
                  <w:vAlign w:val="center"/>
                </w:tcPr>
                <w:p w14:paraId="5A9B9623">
                  <w:pPr>
                    <w:pStyle w:val="53"/>
                    <w:bidi w:val="0"/>
                  </w:pPr>
                </w:p>
              </w:tc>
              <w:tc>
                <w:tcPr>
                  <w:tcW w:w="3580" w:type="pct"/>
                  <w:gridSpan w:val="4"/>
                  <w:noWrap w:val="0"/>
                  <w:vAlign w:val="center"/>
                </w:tcPr>
                <w:p w14:paraId="4A9BE9CE">
                  <w:pPr>
                    <w:pStyle w:val="53"/>
                    <w:bidi w:val="0"/>
                    <w:jc w:val="both"/>
                    <w:rPr>
                      <w:rFonts w:hint="eastAsia" w:eastAsia="宋体"/>
                      <w:color w:val="auto"/>
                      <w:lang w:eastAsia="zh-CN"/>
                    </w:rPr>
                  </w:pPr>
                  <w:r>
                    <w:rPr>
                      <w:rFonts w:hint="eastAsia" w:eastAsia="宋体"/>
                      <w:color w:val="auto"/>
                      <w:lang w:eastAsia="zh-CN"/>
                    </w:rPr>
                    <w:t>本项目设置1个10m</w:t>
                  </w:r>
                  <w:r>
                    <w:rPr>
                      <w:rFonts w:hint="eastAsia" w:eastAsia="宋体"/>
                      <w:color w:val="auto"/>
                      <w:vertAlign w:val="superscript"/>
                      <w:lang w:eastAsia="zh-CN"/>
                    </w:rPr>
                    <w:t>3</w:t>
                  </w:r>
                  <w:r>
                    <w:rPr>
                      <w:rFonts w:hint="eastAsia" w:eastAsia="宋体"/>
                      <w:color w:val="auto"/>
                      <w:lang w:eastAsia="zh-CN"/>
                    </w:rPr>
                    <w:t>沉淀池，为一般防渗区，沉淀池采用抗渗混凝土结构，抗渗等级不低于P6，混凝土强度等级不低于C25，厚度不小于200mm，K≤1.0×10</w:t>
                  </w:r>
                  <w:r>
                    <w:rPr>
                      <w:rFonts w:hint="eastAsia" w:eastAsia="宋体"/>
                      <w:color w:val="auto"/>
                      <w:vertAlign w:val="superscript"/>
                      <w:lang w:eastAsia="zh-CN"/>
                    </w:rPr>
                    <w:t>-7</w:t>
                  </w:r>
                  <w:r>
                    <w:rPr>
                      <w:rFonts w:hint="eastAsia" w:eastAsia="宋体"/>
                      <w:color w:val="auto"/>
                      <w:lang w:eastAsia="zh-CN"/>
                    </w:rPr>
                    <w:t>cm/s。</w:t>
                  </w:r>
                </w:p>
                <w:p w14:paraId="674AA66C">
                  <w:pPr>
                    <w:pStyle w:val="53"/>
                    <w:bidi w:val="0"/>
                    <w:jc w:val="both"/>
                    <w:rPr>
                      <w:rFonts w:hint="eastAsia" w:eastAsia="宋体"/>
                      <w:color w:val="auto"/>
                      <w:lang w:eastAsia="zh-CN"/>
                    </w:rPr>
                  </w:pPr>
                  <w:r>
                    <w:rPr>
                      <w:rFonts w:hint="eastAsia" w:eastAsia="宋体"/>
                      <w:color w:val="auto"/>
                      <w:lang w:eastAsia="zh-CN"/>
                    </w:rPr>
                    <w:fldChar w:fldCharType="begin"/>
                  </w:r>
                  <w:r>
                    <w:rPr>
                      <w:rFonts w:hint="eastAsia" w:eastAsia="宋体"/>
                      <w:color w:val="auto"/>
                      <w:lang w:eastAsia="zh-CN"/>
                    </w:rPr>
                    <w:instrText xml:space="preserve"> = 2 \* GB3 \* MERGEFORMAT </w:instrText>
                  </w:r>
                  <w:r>
                    <w:rPr>
                      <w:rFonts w:hint="eastAsia" w:eastAsia="宋体"/>
                      <w:color w:val="auto"/>
                      <w:lang w:eastAsia="zh-CN"/>
                    </w:rPr>
                    <w:fldChar w:fldCharType="separate"/>
                  </w:r>
                  <w:r>
                    <w:t>②</w:t>
                  </w:r>
                  <w:r>
                    <w:rPr>
                      <w:rFonts w:hint="eastAsia" w:eastAsia="宋体"/>
                      <w:color w:val="auto"/>
                      <w:lang w:eastAsia="zh-CN"/>
                    </w:rPr>
                    <w:fldChar w:fldCharType="end"/>
                  </w:r>
                  <w:r>
                    <w:rPr>
                      <w:rFonts w:hint="eastAsia" w:eastAsia="宋体"/>
                      <w:color w:val="auto"/>
                      <w:lang w:eastAsia="zh-CN"/>
                    </w:rPr>
                    <w:t>搅拌废水</w:t>
                  </w:r>
                </w:p>
                <w:p w14:paraId="48925C07">
                  <w:pPr>
                    <w:pStyle w:val="53"/>
                    <w:bidi w:val="0"/>
                    <w:jc w:val="both"/>
                    <w:rPr>
                      <w:rFonts w:hint="eastAsia" w:eastAsia="宋体"/>
                      <w:color w:val="auto"/>
                      <w:lang w:eastAsia="zh-CN"/>
                    </w:rPr>
                  </w:pPr>
                  <w:r>
                    <w:rPr>
                      <w:rFonts w:hint="eastAsia" w:eastAsia="宋体"/>
                      <w:color w:val="auto"/>
                      <w:lang w:eastAsia="zh-CN"/>
                    </w:rPr>
                    <w:t>全部进入产品中，无废水外排。</w:t>
                  </w:r>
                </w:p>
                <w:p w14:paraId="72F51B54">
                  <w:pPr>
                    <w:pStyle w:val="53"/>
                    <w:bidi w:val="0"/>
                    <w:jc w:val="both"/>
                    <w:rPr>
                      <w:rFonts w:hint="eastAsia" w:eastAsia="宋体"/>
                      <w:color w:val="auto"/>
                      <w:lang w:eastAsia="zh-CN"/>
                    </w:rPr>
                  </w:pPr>
                  <w:r>
                    <w:rPr>
                      <w:rFonts w:hint="eastAsia" w:eastAsia="宋体"/>
                      <w:color w:val="auto"/>
                      <w:lang w:eastAsia="zh-CN"/>
                    </w:rPr>
                    <w:fldChar w:fldCharType="begin"/>
                  </w:r>
                  <w:r>
                    <w:rPr>
                      <w:rFonts w:hint="eastAsia" w:eastAsia="宋体"/>
                      <w:color w:val="auto"/>
                      <w:lang w:eastAsia="zh-CN"/>
                    </w:rPr>
                    <w:instrText xml:space="preserve"> = 3 \* GB3 \* MERGEFORMAT </w:instrText>
                  </w:r>
                  <w:r>
                    <w:rPr>
                      <w:rFonts w:hint="eastAsia" w:eastAsia="宋体"/>
                      <w:color w:val="auto"/>
                      <w:lang w:eastAsia="zh-CN"/>
                    </w:rPr>
                    <w:fldChar w:fldCharType="separate"/>
                  </w:r>
                  <w:r>
                    <w:t>③</w:t>
                  </w:r>
                  <w:r>
                    <w:rPr>
                      <w:rFonts w:hint="eastAsia" w:eastAsia="宋体"/>
                      <w:color w:val="auto"/>
                      <w:lang w:eastAsia="zh-CN"/>
                    </w:rPr>
                    <w:fldChar w:fldCharType="end"/>
                  </w:r>
                  <w:r>
                    <w:rPr>
                      <w:rFonts w:hint="eastAsia"/>
                      <w:color w:val="auto"/>
                      <w:lang w:val="en-US" w:eastAsia="zh-CN"/>
                    </w:rPr>
                    <w:t>全封闭</w:t>
                  </w:r>
                  <w:r>
                    <w:rPr>
                      <w:rFonts w:hint="eastAsia" w:eastAsia="宋体"/>
                      <w:color w:val="auto"/>
                      <w:lang w:eastAsia="zh-CN"/>
                    </w:rPr>
                    <w:t>搅拌机清洗废水</w:t>
                  </w:r>
                </w:p>
                <w:p w14:paraId="3731500E">
                  <w:pPr>
                    <w:pStyle w:val="53"/>
                    <w:bidi w:val="0"/>
                    <w:jc w:val="both"/>
                    <w:rPr>
                      <w:rFonts w:hint="eastAsia" w:eastAsia="宋体"/>
                      <w:color w:val="auto"/>
                      <w:lang w:eastAsia="zh-CN"/>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p w14:paraId="6F2AEE6C">
                  <w:pPr>
                    <w:pStyle w:val="53"/>
                    <w:bidi w:val="0"/>
                    <w:jc w:val="both"/>
                    <w:rPr>
                      <w:rFonts w:hint="eastAsia" w:eastAsia="宋体"/>
                      <w:color w:val="auto"/>
                      <w:lang w:eastAsia="zh-CN"/>
                    </w:rPr>
                  </w:pPr>
                  <w:r>
                    <w:rPr>
                      <w:rFonts w:hint="eastAsia" w:eastAsia="宋体"/>
                      <w:color w:val="auto"/>
                      <w:lang w:eastAsia="zh-CN"/>
                    </w:rPr>
                    <w:fldChar w:fldCharType="begin"/>
                  </w:r>
                  <w:r>
                    <w:rPr>
                      <w:rFonts w:hint="eastAsia" w:eastAsia="宋体"/>
                      <w:color w:val="auto"/>
                      <w:lang w:eastAsia="zh-CN"/>
                    </w:rPr>
                    <w:instrText xml:space="preserve"> = 4 \* GB3 \* MERGEFORMAT </w:instrText>
                  </w:r>
                  <w:r>
                    <w:rPr>
                      <w:rFonts w:hint="eastAsia" w:eastAsia="宋体"/>
                      <w:color w:val="auto"/>
                      <w:lang w:eastAsia="zh-CN"/>
                    </w:rPr>
                    <w:fldChar w:fldCharType="separate"/>
                  </w:r>
                  <w:r>
                    <w:t>④</w:t>
                  </w:r>
                  <w:r>
                    <w:rPr>
                      <w:rFonts w:hint="eastAsia" w:eastAsia="宋体"/>
                      <w:color w:val="auto"/>
                      <w:lang w:eastAsia="zh-CN"/>
                    </w:rPr>
                    <w:fldChar w:fldCharType="end"/>
                  </w:r>
                  <w:r>
                    <w:rPr>
                      <w:rFonts w:hint="eastAsia" w:eastAsia="宋体"/>
                      <w:color w:val="auto"/>
                      <w:lang w:eastAsia="zh-CN"/>
                    </w:rPr>
                    <w:t>混凝土运输车清洗废水</w:t>
                  </w:r>
                </w:p>
                <w:p w14:paraId="110F71B4">
                  <w:pPr>
                    <w:pStyle w:val="53"/>
                    <w:bidi w:val="0"/>
                    <w:jc w:val="both"/>
                    <w:rPr>
                      <w:rFonts w:hint="eastAsia" w:eastAsia="宋体"/>
                      <w:color w:val="auto"/>
                      <w:lang w:eastAsia="zh-CN"/>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p w14:paraId="15587AC3">
                  <w:pPr>
                    <w:pStyle w:val="53"/>
                    <w:bidi w:val="0"/>
                    <w:jc w:val="both"/>
                    <w:rPr>
                      <w:rFonts w:hint="eastAsia" w:eastAsia="宋体"/>
                      <w:color w:val="auto"/>
                      <w:lang w:eastAsia="zh-CN"/>
                    </w:rPr>
                  </w:pPr>
                  <w:r>
                    <w:rPr>
                      <w:rFonts w:hint="eastAsia" w:eastAsia="宋体"/>
                      <w:color w:val="auto"/>
                      <w:lang w:eastAsia="zh-CN"/>
                    </w:rPr>
                    <w:fldChar w:fldCharType="begin"/>
                  </w:r>
                  <w:r>
                    <w:rPr>
                      <w:rFonts w:hint="eastAsia" w:eastAsia="宋体"/>
                      <w:color w:val="auto"/>
                      <w:lang w:eastAsia="zh-CN"/>
                    </w:rPr>
                    <w:instrText xml:space="preserve"> = 5 \* GB3 \* MERGEFORMAT </w:instrText>
                  </w:r>
                  <w:r>
                    <w:rPr>
                      <w:rFonts w:hint="eastAsia" w:eastAsia="宋体"/>
                      <w:color w:val="auto"/>
                      <w:lang w:eastAsia="zh-CN"/>
                    </w:rPr>
                    <w:fldChar w:fldCharType="separate"/>
                  </w:r>
                  <w:r>
                    <w:t>⑤</w:t>
                  </w:r>
                  <w:r>
                    <w:rPr>
                      <w:rFonts w:hint="eastAsia" w:eastAsia="宋体"/>
                      <w:color w:val="auto"/>
                      <w:lang w:eastAsia="zh-CN"/>
                    </w:rPr>
                    <w:fldChar w:fldCharType="end"/>
                  </w:r>
                  <w:r>
                    <w:rPr>
                      <w:rFonts w:hint="eastAsia" w:eastAsia="宋体"/>
                      <w:color w:val="auto"/>
                      <w:lang w:eastAsia="zh-CN"/>
                    </w:rPr>
                    <w:t>抑尘废水</w:t>
                  </w:r>
                </w:p>
                <w:p w14:paraId="331A3764">
                  <w:pPr>
                    <w:pStyle w:val="53"/>
                    <w:bidi w:val="0"/>
                    <w:jc w:val="both"/>
                  </w:pPr>
                  <w:r>
                    <w:rPr>
                      <w:rFonts w:hint="eastAsia" w:eastAsia="宋体"/>
                      <w:color w:val="auto"/>
                      <w:lang w:eastAsia="zh-CN"/>
                    </w:rPr>
                    <w:t>全部自然蒸发，无废水外排。</w:t>
                  </w:r>
                </w:p>
              </w:tc>
              <w:tc>
                <w:tcPr>
                  <w:tcW w:w="547" w:type="pct"/>
                  <w:noWrap w:val="0"/>
                  <w:vAlign w:val="center"/>
                </w:tcPr>
                <w:p w14:paraId="1B7BB705">
                  <w:pPr>
                    <w:pStyle w:val="53"/>
                    <w:bidi w:val="0"/>
                    <w:rPr>
                      <w:rFonts w:hint="eastAsia"/>
                      <w:lang w:val="en-US" w:eastAsia="zh-CN"/>
                    </w:rPr>
                  </w:pPr>
                  <w:r>
                    <w:rPr>
                      <w:rFonts w:hint="eastAsia"/>
                      <w:lang w:val="en-US" w:eastAsia="zh-CN"/>
                    </w:rPr>
                    <w:t>新建</w:t>
                  </w:r>
                </w:p>
              </w:tc>
            </w:tr>
            <w:tr w14:paraId="50F47F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1112" w:hRule="atLeast"/>
              </w:trPr>
              <w:tc>
                <w:tcPr>
                  <w:tcW w:w="385" w:type="pct"/>
                  <w:vMerge w:val="continue"/>
                  <w:noWrap w:val="0"/>
                  <w:vAlign w:val="center"/>
                </w:tcPr>
                <w:p w14:paraId="56AD65BA">
                  <w:pPr>
                    <w:pStyle w:val="53"/>
                    <w:bidi w:val="0"/>
                  </w:pPr>
                </w:p>
              </w:tc>
              <w:tc>
                <w:tcPr>
                  <w:tcW w:w="486" w:type="pct"/>
                  <w:noWrap w:val="0"/>
                  <w:vAlign w:val="center"/>
                </w:tcPr>
                <w:p w14:paraId="12C75675">
                  <w:pPr>
                    <w:pStyle w:val="53"/>
                    <w:bidi w:val="0"/>
                  </w:pPr>
                  <w:r>
                    <w:rPr>
                      <w:rFonts w:hint="eastAsia"/>
                    </w:rPr>
                    <w:t>噪声污染防治工程</w:t>
                  </w:r>
                </w:p>
              </w:tc>
              <w:tc>
                <w:tcPr>
                  <w:tcW w:w="3580" w:type="pct"/>
                  <w:gridSpan w:val="4"/>
                  <w:noWrap w:val="0"/>
                  <w:vAlign w:val="center"/>
                </w:tcPr>
                <w:p w14:paraId="5471B8BF">
                  <w:pPr>
                    <w:pStyle w:val="53"/>
                    <w:bidi w:val="0"/>
                    <w:jc w:val="both"/>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生产机械设备噪声</w:t>
                  </w:r>
                  <w:r>
                    <w:rPr>
                      <w:rFonts w:hint="eastAsia"/>
                      <w:lang w:eastAsia="zh-CN"/>
                    </w:rPr>
                    <w:t>：</w:t>
                  </w:r>
                  <w:r>
                    <w:rPr>
                      <w:rFonts w:hint="eastAsia"/>
                    </w:rPr>
                    <w:t>采购低噪声设备，基础减振、风机安装消声器、墙体隔声，合理布局，定期检查、维修设备，使设备处于良好的运行状态。</w:t>
                  </w:r>
                </w:p>
                <w:p w14:paraId="0B8106AD">
                  <w:pPr>
                    <w:pStyle w:val="53"/>
                    <w:bidi w:val="0"/>
                    <w:jc w:val="both"/>
                    <w:rPr>
                      <w:rFonts w:hint="default" w:eastAsia="宋体"/>
                      <w:lang w:val="en-US" w:eastAsia="zh-CN"/>
                    </w:rPr>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lang w:val="en-US" w:eastAsia="zh-CN"/>
                    </w:rPr>
                    <w:t>运输车辆噪声：加强对厂区内的交通管理，对进出厂区的线路进行规定，运输车辆限制车速、减少车辆鸣笛，设立禁鸣标志，确保交通能通畅和安静，严禁轰鸣。</w:t>
                  </w:r>
                </w:p>
              </w:tc>
              <w:tc>
                <w:tcPr>
                  <w:tcW w:w="547" w:type="pct"/>
                  <w:noWrap w:val="0"/>
                  <w:vAlign w:val="center"/>
                </w:tcPr>
                <w:p w14:paraId="73E238FC">
                  <w:pPr>
                    <w:pStyle w:val="53"/>
                    <w:bidi w:val="0"/>
                    <w:rPr>
                      <w:rFonts w:hint="eastAsia" w:eastAsia="宋体"/>
                      <w:lang w:val="en-US" w:eastAsia="zh-CN"/>
                    </w:rPr>
                  </w:pPr>
                  <w:r>
                    <w:rPr>
                      <w:rFonts w:hint="eastAsia"/>
                      <w:lang w:val="en-US" w:eastAsia="zh-CN"/>
                    </w:rPr>
                    <w:t>新建</w:t>
                  </w:r>
                </w:p>
              </w:tc>
            </w:tr>
            <w:tr w14:paraId="0E708E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240C06ED">
                  <w:pPr>
                    <w:pStyle w:val="53"/>
                    <w:bidi w:val="0"/>
                  </w:pPr>
                </w:p>
              </w:tc>
              <w:tc>
                <w:tcPr>
                  <w:tcW w:w="486" w:type="pct"/>
                  <w:noWrap w:val="0"/>
                  <w:vAlign w:val="center"/>
                </w:tcPr>
                <w:p w14:paraId="127E2712">
                  <w:pPr>
                    <w:pStyle w:val="53"/>
                    <w:bidi w:val="0"/>
                  </w:pPr>
                  <w:r>
                    <w:rPr>
                      <w:rFonts w:hint="eastAsia"/>
                    </w:rPr>
                    <w:t>固废污染防治工程</w:t>
                  </w:r>
                </w:p>
              </w:tc>
              <w:tc>
                <w:tcPr>
                  <w:tcW w:w="799" w:type="pct"/>
                  <w:noWrap w:val="0"/>
                  <w:vAlign w:val="center"/>
                </w:tcPr>
                <w:p w14:paraId="5608B605">
                  <w:pPr>
                    <w:pStyle w:val="53"/>
                    <w:bidi w:val="0"/>
                  </w:pPr>
                  <w:r>
                    <w:rPr>
                      <w:rFonts w:hint="eastAsia"/>
                    </w:rPr>
                    <w:t>一般固体废物</w:t>
                  </w:r>
                </w:p>
              </w:tc>
              <w:tc>
                <w:tcPr>
                  <w:tcW w:w="2780" w:type="pct"/>
                  <w:gridSpan w:val="3"/>
                  <w:noWrap w:val="0"/>
                  <w:vAlign w:val="center"/>
                </w:tcPr>
                <w:p w14:paraId="7C0153B2">
                  <w:pPr>
                    <w:pStyle w:val="53"/>
                    <w:bidi w:val="0"/>
                    <w:jc w:val="both"/>
                    <w:rPr>
                      <w:rFonts w:hint="default" w:eastAsia="宋体"/>
                      <w:lang w:val="en-US" w:eastAsia="zh-CN"/>
                    </w:rPr>
                  </w:pPr>
                  <w:r>
                    <w:rPr>
                      <w:rFonts w:hint="default" w:eastAsia="宋体"/>
                      <w:lang w:val="en-US" w:eastAsia="zh-CN"/>
                    </w:rPr>
                    <w:fldChar w:fldCharType="begin"/>
                  </w:r>
                  <w:r>
                    <w:rPr>
                      <w:rFonts w:hint="default" w:eastAsia="宋体"/>
                      <w:lang w:val="en-US" w:eastAsia="zh-CN"/>
                    </w:rPr>
                    <w:instrText xml:space="preserve"> = 1 \* GB3 \* MERGEFORMAT </w:instrText>
                  </w:r>
                  <w:r>
                    <w:rPr>
                      <w:rFonts w:hint="default" w:eastAsia="宋体"/>
                      <w:lang w:val="en-US" w:eastAsia="zh-CN"/>
                    </w:rPr>
                    <w:fldChar w:fldCharType="separate"/>
                  </w:r>
                  <w:r>
                    <w:t>①</w:t>
                  </w:r>
                  <w:r>
                    <w:rPr>
                      <w:rFonts w:hint="default" w:eastAsia="宋体"/>
                      <w:lang w:val="en-US" w:eastAsia="zh-CN"/>
                    </w:rPr>
                    <w:fldChar w:fldCharType="end"/>
                  </w:r>
                  <w:r>
                    <w:rPr>
                      <w:rFonts w:hint="default" w:eastAsia="宋体"/>
                      <w:lang w:val="en-US" w:eastAsia="zh-CN"/>
                    </w:rPr>
                    <w:t>生活垃圾</w:t>
                  </w:r>
                </w:p>
                <w:p w14:paraId="0DBFC52C">
                  <w:pPr>
                    <w:pStyle w:val="53"/>
                    <w:bidi w:val="0"/>
                    <w:jc w:val="both"/>
                    <w:rPr>
                      <w:rFonts w:hint="default" w:eastAsia="宋体"/>
                      <w:lang w:val="en-US" w:eastAsia="zh-CN"/>
                    </w:rPr>
                  </w:pPr>
                  <w:r>
                    <w:rPr>
                      <w:rFonts w:hint="default" w:eastAsia="宋体"/>
                      <w:lang w:val="en-US" w:eastAsia="zh-CN"/>
                    </w:rPr>
                    <w:t>经厂区设置垃圾桶集中收集后交由当地环卫部门处理。</w:t>
                  </w:r>
                </w:p>
                <w:p w14:paraId="3BA8254B">
                  <w:pPr>
                    <w:pStyle w:val="53"/>
                    <w:bidi w:val="0"/>
                    <w:jc w:val="both"/>
                    <w:rPr>
                      <w:rFonts w:hint="default" w:eastAsia="宋体"/>
                      <w:lang w:val="en-US" w:eastAsia="zh-CN"/>
                    </w:rPr>
                  </w:pPr>
                  <w:r>
                    <w:rPr>
                      <w:rFonts w:hint="default" w:eastAsia="宋体"/>
                      <w:lang w:val="en-US" w:eastAsia="zh-CN"/>
                    </w:rPr>
                    <w:fldChar w:fldCharType="begin"/>
                  </w:r>
                  <w:r>
                    <w:rPr>
                      <w:rFonts w:hint="default" w:eastAsia="宋体"/>
                      <w:lang w:val="en-US" w:eastAsia="zh-CN"/>
                    </w:rPr>
                    <w:instrText xml:space="preserve"> = 2 \* GB3 \* MERGEFORMAT </w:instrText>
                  </w:r>
                  <w:r>
                    <w:rPr>
                      <w:rFonts w:hint="default" w:eastAsia="宋体"/>
                      <w:lang w:val="en-US" w:eastAsia="zh-CN"/>
                    </w:rPr>
                    <w:fldChar w:fldCharType="separate"/>
                  </w:r>
                  <w:r>
                    <w:t>②</w:t>
                  </w:r>
                  <w:r>
                    <w:rPr>
                      <w:rFonts w:hint="default" w:eastAsia="宋体"/>
                      <w:lang w:val="en-US" w:eastAsia="zh-CN"/>
                    </w:rPr>
                    <w:fldChar w:fldCharType="end"/>
                  </w:r>
                  <w:r>
                    <w:rPr>
                      <w:rFonts w:hint="default" w:eastAsia="宋体"/>
                      <w:lang w:val="en-US" w:eastAsia="zh-CN"/>
                    </w:rPr>
                    <w:t>除尘灰</w:t>
                  </w:r>
                </w:p>
                <w:p w14:paraId="79C4B83F">
                  <w:pPr>
                    <w:pStyle w:val="53"/>
                    <w:bidi w:val="0"/>
                    <w:jc w:val="both"/>
                    <w:rPr>
                      <w:rFonts w:hint="default" w:eastAsia="宋体"/>
                      <w:lang w:val="en-US" w:eastAsia="zh-CN"/>
                    </w:rPr>
                  </w:pPr>
                  <w:r>
                    <w:rPr>
                      <w:rFonts w:hint="eastAsia" w:eastAsia="宋体"/>
                      <w:lang w:val="en-US" w:eastAsia="zh-CN"/>
                    </w:rPr>
                    <w:t>定期</w:t>
                  </w:r>
                  <w:r>
                    <w:rPr>
                      <w:rFonts w:hint="default" w:eastAsia="宋体"/>
                      <w:lang w:val="en-US" w:eastAsia="zh-CN"/>
                    </w:rPr>
                    <w:t>集中收集后</w:t>
                  </w:r>
                  <w:r>
                    <w:rPr>
                      <w:rFonts w:hint="eastAsia" w:eastAsia="宋体"/>
                      <w:lang w:val="en-US" w:eastAsia="zh-CN"/>
                    </w:rPr>
                    <w:t>，直接</w:t>
                  </w:r>
                  <w:r>
                    <w:rPr>
                      <w:rFonts w:hint="default" w:eastAsia="宋体"/>
                      <w:lang w:val="en-US" w:eastAsia="zh-CN"/>
                    </w:rPr>
                    <w:t>回用于搅拌工序。</w:t>
                  </w:r>
                </w:p>
                <w:p w14:paraId="7B71E737">
                  <w:pPr>
                    <w:pStyle w:val="53"/>
                    <w:bidi w:val="0"/>
                    <w:jc w:val="both"/>
                    <w:rPr>
                      <w:rFonts w:hint="default" w:eastAsia="宋体"/>
                      <w:lang w:val="en-US" w:eastAsia="zh-CN"/>
                    </w:rPr>
                  </w:pPr>
                  <w:r>
                    <w:rPr>
                      <w:rFonts w:hint="default" w:eastAsia="宋体"/>
                      <w:lang w:val="en-US" w:eastAsia="zh-CN"/>
                    </w:rPr>
                    <w:fldChar w:fldCharType="begin"/>
                  </w:r>
                  <w:r>
                    <w:rPr>
                      <w:rFonts w:hint="default" w:eastAsia="宋体"/>
                      <w:lang w:val="en-US" w:eastAsia="zh-CN"/>
                    </w:rPr>
                    <w:instrText xml:space="preserve"> = 3 \* GB3 \* MERGEFORMAT </w:instrText>
                  </w:r>
                  <w:r>
                    <w:rPr>
                      <w:rFonts w:hint="default" w:eastAsia="宋体"/>
                      <w:lang w:val="en-US" w:eastAsia="zh-CN"/>
                    </w:rPr>
                    <w:fldChar w:fldCharType="separate"/>
                  </w:r>
                  <w:r>
                    <w:t>③</w:t>
                  </w:r>
                  <w:r>
                    <w:rPr>
                      <w:rFonts w:hint="default" w:eastAsia="宋体"/>
                      <w:lang w:val="en-US" w:eastAsia="zh-CN"/>
                    </w:rPr>
                    <w:fldChar w:fldCharType="end"/>
                  </w:r>
                  <w:r>
                    <w:rPr>
                      <w:rFonts w:hint="default" w:eastAsia="宋体"/>
                      <w:lang w:val="en-US" w:eastAsia="zh-CN"/>
                    </w:rPr>
                    <w:t>沉淀池泥砂</w:t>
                  </w:r>
                </w:p>
                <w:p w14:paraId="3368FBD8">
                  <w:pPr>
                    <w:pStyle w:val="53"/>
                    <w:bidi w:val="0"/>
                    <w:jc w:val="both"/>
                    <w:rPr>
                      <w:rFonts w:hint="default" w:eastAsia="宋体"/>
                      <w:lang w:val="en-US" w:eastAsia="zh-CN"/>
                    </w:rPr>
                  </w:pPr>
                  <w:r>
                    <w:rPr>
                      <w:rFonts w:hint="eastAsia" w:eastAsia="宋体"/>
                      <w:lang w:val="en-US" w:eastAsia="zh-CN"/>
                    </w:rPr>
                    <w:t>定期</w:t>
                  </w:r>
                  <w:r>
                    <w:rPr>
                      <w:rFonts w:hint="default" w:eastAsia="宋体"/>
                      <w:lang w:val="en-US" w:eastAsia="zh-CN"/>
                    </w:rPr>
                    <w:t>集中收集后</w:t>
                  </w:r>
                  <w:r>
                    <w:rPr>
                      <w:rFonts w:hint="eastAsia" w:eastAsia="宋体"/>
                      <w:lang w:val="en-US" w:eastAsia="zh-CN"/>
                    </w:rPr>
                    <w:t>，直接</w:t>
                  </w:r>
                  <w:r>
                    <w:rPr>
                      <w:rFonts w:hint="default" w:eastAsia="宋体"/>
                      <w:lang w:val="en-US" w:eastAsia="zh-CN"/>
                    </w:rPr>
                    <w:t>回用于搅拌工序。</w:t>
                  </w:r>
                </w:p>
              </w:tc>
              <w:tc>
                <w:tcPr>
                  <w:tcW w:w="547" w:type="pct"/>
                  <w:noWrap w:val="0"/>
                  <w:vAlign w:val="center"/>
                </w:tcPr>
                <w:p w14:paraId="35B2509E">
                  <w:pPr>
                    <w:pStyle w:val="53"/>
                    <w:bidi w:val="0"/>
                    <w:rPr>
                      <w:rFonts w:hint="default" w:eastAsia="宋体"/>
                      <w:lang w:val="en-US" w:eastAsia="zh-CN"/>
                    </w:rPr>
                  </w:pPr>
                  <w:r>
                    <w:rPr>
                      <w:rFonts w:hint="eastAsia"/>
                      <w:lang w:val="en-US" w:eastAsia="zh-CN"/>
                    </w:rPr>
                    <w:t>新建</w:t>
                  </w:r>
                </w:p>
              </w:tc>
            </w:tr>
            <w:tr w14:paraId="79C47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5B503CA7">
                  <w:pPr>
                    <w:pStyle w:val="53"/>
                    <w:bidi w:val="0"/>
                  </w:pPr>
                </w:p>
              </w:tc>
              <w:tc>
                <w:tcPr>
                  <w:tcW w:w="486" w:type="pct"/>
                  <w:vMerge w:val="restart"/>
                  <w:noWrap w:val="0"/>
                  <w:vAlign w:val="center"/>
                </w:tcPr>
                <w:p w14:paraId="20E9CBC9">
                  <w:pPr>
                    <w:pStyle w:val="53"/>
                    <w:bidi w:val="0"/>
                  </w:pPr>
                  <w:r>
                    <w:rPr>
                      <w:rFonts w:hint="eastAsia"/>
                    </w:rPr>
                    <w:t>地下水污染防治工程</w:t>
                  </w:r>
                </w:p>
              </w:tc>
              <w:tc>
                <w:tcPr>
                  <w:tcW w:w="799" w:type="pct"/>
                  <w:noWrap w:val="0"/>
                  <w:vAlign w:val="center"/>
                </w:tcPr>
                <w:p w14:paraId="27B69966">
                  <w:pPr>
                    <w:pStyle w:val="53"/>
                    <w:bidi w:val="0"/>
                    <w:rPr>
                      <w:color w:val="auto"/>
                    </w:rPr>
                  </w:pPr>
                  <w:r>
                    <w:rPr>
                      <w:rFonts w:hint="eastAsia"/>
                      <w:color w:val="auto"/>
                    </w:rPr>
                    <w:t>一般防渗区</w:t>
                  </w:r>
                </w:p>
              </w:tc>
              <w:tc>
                <w:tcPr>
                  <w:tcW w:w="785" w:type="pct"/>
                  <w:gridSpan w:val="2"/>
                  <w:noWrap w:val="0"/>
                  <w:vAlign w:val="center"/>
                </w:tcPr>
                <w:p w14:paraId="3A6F5EEA">
                  <w:pPr>
                    <w:pStyle w:val="53"/>
                    <w:bidi w:val="0"/>
                    <w:rPr>
                      <w:rFonts w:hint="default" w:eastAsia="宋体"/>
                      <w:lang w:val="en-US" w:eastAsia="zh-CN"/>
                    </w:rPr>
                  </w:pPr>
                  <w:r>
                    <w:rPr>
                      <w:rFonts w:hint="eastAsia"/>
                    </w:rPr>
                    <w:t>沉淀池</w:t>
                  </w:r>
                  <w:r>
                    <w:rPr>
                      <w:rFonts w:hint="eastAsia"/>
                      <w:lang w:eastAsia="zh-CN"/>
                    </w:rPr>
                    <w:t>、</w:t>
                  </w:r>
                  <w:r>
                    <w:rPr>
                      <w:rFonts w:hint="eastAsia"/>
                      <w:lang w:val="en-US" w:eastAsia="zh-CN"/>
                    </w:rPr>
                    <w:t>化粪池</w:t>
                  </w:r>
                </w:p>
              </w:tc>
              <w:tc>
                <w:tcPr>
                  <w:tcW w:w="1995" w:type="pct"/>
                  <w:noWrap w:val="0"/>
                  <w:vAlign w:val="center"/>
                </w:tcPr>
                <w:p w14:paraId="4D4D7491">
                  <w:pPr>
                    <w:pStyle w:val="53"/>
                    <w:bidi w:val="0"/>
                    <w:ind w:firstLine="0" w:firstLineChars="0"/>
                    <w:jc w:val="both"/>
                    <w:rPr>
                      <w:rFonts w:hint="eastAsia" w:eastAsia="宋体"/>
                      <w:color w:val="FF0000"/>
                      <w:lang w:eastAsia="zh-CN"/>
                    </w:rPr>
                  </w:pPr>
                  <w:r>
                    <w:rPr>
                      <w:rFonts w:hint="eastAsia"/>
                    </w:rPr>
                    <w:t>等效黏土防渗层Mb≥1.5m，K≤1.0×10</w:t>
                  </w:r>
                  <w:r>
                    <w:rPr>
                      <w:rFonts w:hint="eastAsia"/>
                      <w:vertAlign w:val="superscript"/>
                    </w:rPr>
                    <w:t>-7</w:t>
                  </w:r>
                  <w:r>
                    <w:rPr>
                      <w:rFonts w:hint="eastAsia"/>
                    </w:rPr>
                    <w:t>cm/s；或参照GB16889执行</w:t>
                  </w:r>
                  <w:r>
                    <w:rPr>
                      <w:rFonts w:hint="eastAsia"/>
                      <w:lang w:eastAsia="zh-CN"/>
                    </w:rPr>
                    <w:t>。</w:t>
                  </w:r>
                </w:p>
              </w:tc>
              <w:tc>
                <w:tcPr>
                  <w:tcW w:w="547" w:type="pct"/>
                  <w:noWrap w:val="0"/>
                  <w:vAlign w:val="center"/>
                </w:tcPr>
                <w:p w14:paraId="10869004">
                  <w:pPr>
                    <w:pStyle w:val="53"/>
                    <w:bidi w:val="0"/>
                    <w:rPr>
                      <w:rFonts w:hint="eastAsia" w:eastAsia="宋体"/>
                      <w:lang w:val="en-US" w:eastAsia="zh-CN"/>
                    </w:rPr>
                  </w:pPr>
                  <w:r>
                    <w:rPr>
                      <w:rFonts w:hint="eastAsia"/>
                      <w:lang w:val="en-US" w:eastAsia="zh-CN"/>
                    </w:rPr>
                    <w:t>新建</w:t>
                  </w:r>
                </w:p>
              </w:tc>
            </w:tr>
            <w:tr w14:paraId="6EFEAF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385" w:type="pct"/>
                  <w:vMerge w:val="continue"/>
                  <w:noWrap w:val="0"/>
                  <w:vAlign w:val="center"/>
                </w:tcPr>
                <w:p w14:paraId="0FB6A17D">
                  <w:pPr>
                    <w:pStyle w:val="53"/>
                    <w:bidi w:val="0"/>
                  </w:pPr>
                </w:p>
              </w:tc>
              <w:tc>
                <w:tcPr>
                  <w:tcW w:w="486" w:type="pct"/>
                  <w:vMerge w:val="continue"/>
                  <w:noWrap w:val="0"/>
                  <w:vAlign w:val="center"/>
                </w:tcPr>
                <w:p w14:paraId="73BF14BE">
                  <w:pPr>
                    <w:pStyle w:val="53"/>
                    <w:bidi w:val="0"/>
                  </w:pPr>
                </w:p>
              </w:tc>
              <w:tc>
                <w:tcPr>
                  <w:tcW w:w="799" w:type="pct"/>
                  <w:noWrap w:val="0"/>
                  <w:vAlign w:val="center"/>
                </w:tcPr>
                <w:p w14:paraId="63FE28CD">
                  <w:pPr>
                    <w:pStyle w:val="53"/>
                    <w:bidi w:val="0"/>
                    <w:rPr>
                      <w:color w:val="auto"/>
                    </w:rPr>
                  </w:pPr>
                  <w:r>
                    <w:rPr>
                      <w:rFonts w:hint="eastAsia"/>
                      <w:color w:val="auto"/>
                    </w:rPr>
                    <w:t>简单防渗区</w:t>
                  </w:r>
                </w:p>
              </w:tc>
              <w:tc>
                <w:tcPr>
                  <w:tcW w:w="785" w:type="pct"/>
                  <w:gridSpan w:val="2"/>
                  <w:noWrap w:val="0"/>
                  <w:vAlign w:val="center"/>
                </w:tcPr>
                <w:p w14:paraId="3610324A">
                  <w:pPr>
                    <w:pStyle w:val="53"/>
                    <w:bidi w:val="0"/>
                    <w:rPr>
                      <w:rFonts w:hint="default" w:eastAsia="宋体"/>
                      <w:lang w:val="en-US" w:eastAsia="zh-CN"/>
                    </w:rPr>
                  </w:pPr>
                  <w:r>
                    <w:rPr>
                      <w:rFonts w:hint="eastAsia"/>
                      <w:lang w:val="en-US" w:eastAsia="zh-CN"/>
                    </w:rPr>
                    <w:t>厂区</w:t>
                  </w:r>
                </w:p>
              </w:tc>
              <w:tc>
                <w:tcPr>
                  <w:tcW w:w="1995" w:type="pct"/>
                  <w:noWrap w:val="0"/>
                  <w:vAlign w:val="center"/>
                </w:tcPr>
                <w:p w14:paraId="3D250B42">
                  <w:pPr>
                    <w:pStyle w:val="53"/>
                    <w:bidi w:val="0"/>
                    <w:ind w:firstLine="0" w:firstLineChars="0"/>
                    <w:rPr>
                      <w:color w:val="FF0000"/>
                    </w:rPr>
                  </w:pPr>
                  <w:r>
                    <w:rPr>
                      <w:rFonts w:hint="eastAsia"/>
                      <w:lang w:val="en-US" w:eastAsia="zh-CN"/>
                    </w:rPr>
                    <w:t>一般地面硬化</w:t>
                  </w:r>
                </w:p>
              </w:tc>
              <w:tc>
                <w:tcPr>
                  <w:tcW w:w="547" w:type="pct"/>
                  <w:noWrap w:val="0"/>
                  <w:vAlign w:val="center"/>
                </w:tcPr>
                <w:p w14:paraId="0C2CC3CF">
                  <w:pPr>
                    <w:pStyle w:val="53"/>
                    <w:bidi w:val="0"/>
                    <w:rPr>
                      <w:rFonts w:hint="eastAsia" w:eastAsia="宋体"/>
                      <w:lang w:val="en-US" w:eastAsia="zh-CN"/>
                    </w:rPr>
                  </w:pPr>
                  <w:r>
                    <w:rPr>
                      <w:rFonts w:hint="eastAsia"/>
                      <w:lang w:val="en-US" w:eastAsia="zh-CN"/>
                    </w:rPr>
                    <w:t>新建</w:t>
                  </w:r>
                </w:p>
              </w:tc>
            </w:tr>
          </w:tbl>
          <w:p w14:paraId="2289340B">
            <w:pPr>
              <w:pStyle w:val="54"/>
              <w:bidi w:val="0"/>
              <w:rPr>
                <w:rFonts w:hint="eastAsia"/>
                <w:lang w:val="en-US" w:eastAsia="zh-CN"/>
              </w:rPr>
            </w:pPr>
            <w:r>
              <w:rPr>
                <w:rFonts w:hint="eastAsia"/>
                <w:b/>
                <w:bCs/>
                <w:lang w:val="en-US" w:eastAsia="zh-CN"/>
              </w:rPr>
              <w:t>3、主要生产设备</w:t>
            </w:r>
          </w:p>
          <w:p w14:paraId="21A556FC">
            <w:pPr>
              <w:pStyle w:val="54"/>
              <w:bidi w:val="0"/>
              <w:rPr>
                <w:rFonts w:hint="eastAsia"/>
                <w:lang w:val="en-US" w:eastAsia="zh-CN"/>
              </w:rPr>
            </w:pPr>
            <w:r>
              <w:rPr>
                <w:rFonts w:hint="eastAsia"/>
                <w:lang w:val="en-US" w:eastAsia="zh-CN"/>
              </w:rPr>
              <w:t>本项目主要生产设备如下。</w:t>
            </w:r>
          </w:p>
          <w:p w14:paraId="29B5BBB9">
            <w:pPr>
              <w:pStyle w:val="33"/>
              <w:bidi w:val="0"/>
              <w:rPr>
                <w:rFonts w:hint="eastAsia"/>
                <w:lang w:val="en-US" w:eastAsia="zh-CN"/>
              </w:rPr>
            </w:pPr>
            <w:r>
              <w:rPr>
                <w:rFonts w:hint="eastAsia"/>
                <w:lang w:val="en-US" w:eastAsia="zh-CN"/>
              </w:rPr>
              <w:t>表5    主要生产设备一览表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806"/>
              <w:gridCol w:w="3103"/>
              <w:gridCol w:w="1799"/>
              <w:gridCol w:w="1590"/>
              <w:gridCol w:w="647"/>
            </w:tblGrid>
            <w:tr w14:paraId="3B4CAD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85" w:hRule="atLeast"/>
              </w:trPr>
              <w:tc>
                <w:tcPr>
                  <w:tcW w:w="507" w:type="pct"/>
                  <w:noWrap/>
                  <w:vAlign w:val="center"/>
                </w:tcPr>
                <w:p w14:paraId="608EDB7E">
                  <w:pPr>
                    <w:pStyle w:val="53"/>
                    <w:bidi w:val="0"/>
                    <w:rPr>
                      <w:color w:val="auto"/>
                    </w:rPr>
                  </w:pPr>
                  <w:r>
                    <w:rPr>
                      <w:rFonts w:hint="eastAsia"/>
                      <w:color w:val="auto"/>
                    </w:rPr>
                    <w:t>序号</w:t>
                  </w:r>
                </w:p>
              </w:tc>
              <w:tc>
                <w:tcPr>
                  <w:tcW w:w="1952" w:type="pct"/>
                  <w:noWrap/>
                  <w:vAlign w:val="center"/>
                </w:tcPr>
                <w:p w14:paraId="7C57C147">
                  <w:pPr>
                    <w:pStyle w:val="53"/>
                    <w:bidi w:val="0"/>
                    <w:rPr>
                      <w:color w:val="auto"/>
                    </w:rPr>
                  </w:pPr>
                  <w:r>
                    <w:rPr>
                      <w:rFonts w:hint="eastAsia"/>
                      <w:color w:val="auto"/>
                    </w:rPr>
                    <w:t>设备名称</w:t>
                  </w:r>
                </w:p>
              </w:tc>
              <w:tc>
                <w:tcPr>
                  <w:tcW w:w="1132" w:type="pct"/>
                  <w:noWrap/>
                  <w:vAlign w:val="center"/>
                </w:tcPr>
                <w:p w14:paraId="1E917A8A">
                  <w:pPr>
                    <w:pStyle w:val="53"/>
                    <w:bidi w:val="0"/>
                    <w:rPr>
                      <w:color w:val="auto"/>
                    </w:rPr>
                  </w:pPr>
                  <w:r>
                    <w:rPr>
                      <w:rFonts w:hint="eastAsia"/>
                      <w:color w:val="auto"/>
                    </w:rPr>
                    <w:t>型号、规格</w:t>
                  </w:r>
                </w:p>
              </w:tc>
              <w:tc>
                <w:tcPr>
                  <w:tcW w:w="1000" w:type="pct"/>
                  <w:noWrap/>
                  <w:vAlign w:val="center"/>
                </w:tcPr>
                <w:p w14:paraId="1110DEAF">
                  <w:pPr>
                    <w:pStyle w:val="53"/>
                    <w:bidi w:val="0"/>
                    <w:rPr>
                      <w:rFonts w:hint="eastAsia" w:eastAsia="宋体"/>
                      <w:color w:val="auto"/>
                      <w:lang w:eastAsia="zh-CN"/>
                    </w:rPr>
                  </w:pPr>
                  <w:r>
                    <w:rPr>
                      <w:rFonts w:hint="eastAsia"/>
                      <w:color w:val="auto"/>
                    </w:rPr>
                    <w:t>数量（台、套</w:t>
                  </w:r>
                  <w:r>
                    <w:rPr>
                      <w:rFonts w:hint="eastAsia"/>
                      <w:color w:val="auto"/>
                      <w:lang w:eastAsia="zh-CN"/>
                    </w:rPr>
                    <w:t>）</w:t>
                  </w:r>
                </w:p>
              </w:tc>
              <w:tc>
                <w:tcPr>
                  <w:tcW w:w="407" w:type="pct"/>
                  <w:noWrap/>
                  <w:vAlign w:val="center"/>
                </w:tcPr>
                <w:p w14:paraId="572B53A2">
                  <w:pPr>
                    <w:pStyle w:val="53"/>
                    <w:bidi w:val="0"/>
                    <w:rPr>
                      <w:color w:val="auto"/>
                    </w:rPr>
                  </w:pPr>
                  <w:r>
                    <w:rPr>
                      <w:rFonts w:hint="eastAsia"/>
                      <w:color w:val="auto"/>
                    </w:rPr>
                    <w:t>备注</w:t>
                  </w:r>
                </w:p>
              </w:tc>
            </w:tr>
            <w:tr w14:paraId="2CE35B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85" w:hRule="atLeast"/>
              </w:trPr>
              <w:tc>
                <w:tcPr>
                  <w:tcW w:w="507" w:type="pct"/>
                  <w:noWrap/>
                  <w:vAlign w:val="center"/>
                </w:tcPr>
                <w:p w14:paraId="37D34C3D">
                  <w:pPr>
                    <w:pStyle w:val="53"/>
                    <w:bidi w:val="0"/>
                    <w:rPr>
                      <w:color w:val="auto"/>
                    </w:rPr>
                  </w:pPr>
                  <w:r>
                    <w:rPr>
                      <w:rFonts w:hint="eastAsia"/>
                      <w:color w:val="auto"/>
                    </w:rPr>
                    <w:t>1</w:t>
                  </w:r>
                </w:p>
              </w:tc>
              <w:tc>
                <w:tcPr>
                  <w:tcW w:w="1952" w:type="pct"/>
                  <w:shd w:val="clear" w:color="auto" w:fill="auto"/>
                  <w:noWrap/>
                  <w:vAlign w:val="top"/>
                </w:tcPr>
                <w:p w14:paraId="52A44D6F">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皮带秤电机</w:t>
                  </w:r>
                </w:p>
              </w:tc>
              <w:tc>
                <w:tcPr>
                  <w:tcW w:w="1132" w:type="pct"/>
                  <w:shd w:val="clear" w:color="auto" w:fill="auto"/>
                  <w:noWrap/>
                  <w:vAlign w:val="top"/>
                </w:tcPr>
                <w:p w14:paraId="44640AA0">
                  <w:pPr>
                    <w:pStyle w:val="53"/>
                    <w:bidi w:val="0"/>
                    <w:ind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w:t>
                  </w:r>
                </w:p>
              </w:tc>
              <w:tc>
                <w:tcPr>
                  <w:tcW w:w="1000" w:type="pct"/>
                  <w:shd w:val="clear" w:color="auto" w:fill="auto"/>
                  <w:noWrap/>
                  <w:vAlign w:val="top"/>
                </w:tcPr>
                <w:p w14:paraId="06BC9C57">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407" w:type="pct"/>
                  <w:noWrap/>
                  <w:vAlign w:val="center"/>
                </w:tcPr>
                <w:p w14:paraId="6D42CF87">
                  <w:pPr>
                    <w:pStyle w:val="53"/>
                    <w:bidi w:val="0"/>
                    <w:rPr>
                      <w:color w:val="auto"/>
                    </w:rPr>
                  </w:pPr>
                </w:p>
              </w:tc>
            </w:tr>
            <w:tr w14:paraId="0D8D8E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85" w:hRule="atLeast"/>
              </w:trPr>
              <w:tc>
                <w:tcPr>
                  <w:tcW w:w="507" w:type="pct"/>
                  <w:noWrap/>
                  <w:vAlign w:val="center"/>
                </w:tcPr>
                <w:p w14:paraId="2FFB5E43">
                  <w:pPr>
                    <w:pStyle w:val="53"/>
                    <w:bidi w:val="0"/>
                    <w:rPr>
                      <w:color w:val="auto"/>
                    </w:rPr>
                  </w:pPr>
                  <w:r>
                    <w:rPr>
                      <w:rFonts w:hint="eastAsia"/>
                      <w:color w:val="auto"/>
                    </w:rPr>
                    <w:t>2</w:t>
                  </w:r>
                </w:p>
              </w:tc>
              <w:tc>
                <w:tcPr>
                  <w:tcW w:w="1952" w:type="pct"/>
                  <w:shd w:val="clear" w:color="auto" w:fill="auto"/>
                  <w:noWrap/>
                  <w:vAlign w:val="top"/>
                </w:tcPr>
                <w:p w14:paraId="7C77CE6D">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平皮带电机</w:t>
                  </w:r>
                </w:p>
              </w:tc>
              <w:tc>
                <w:tcPr>
                  <w:tcW w:w="1132" w:type="pct"/>
                  <w:shd w:val="clear" w:color="auto" w:fill="auto"/>
                  <w:noWrap/>
                  <w:vAlign w:val="top"/>
                </w:tcPr>
                <w:p w14:paraId="29A93C5A">
                  <w:pPr>
                    <w:pStyle w:val="53"/>
                    <w:bidi w:val="0"/>
                    <w:ind w:firstLine="0" w:firstLineChars="0"/>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w:t>
                  </w:r>
                </w:p>
              </w:tc>
              <w:tc>
                <w:tcPr>
                  <w:tcW w:w="1000" w:type="pct"/>
                  <w:shd w:val="clear" w:color="auto" w:fill="auto"/>
                  <w:noWrap/>
                  <w:vAlign w:val="top"/>
                </w:tcPr>
                <w:p w14:paraId="0D9E7A86">
                  <w:pPr>
                    <w:pStyle w:val="53"/>
                    <w:bidi w:val="0"/>
                    <w:ind w:firstLine="0" w:firstLineChars="0"/>
                    <w:rPr>
                      <w:rFonts w:ascii="Times New Roman" w:hAnsi="Times New Roman" w:eastAsia="宋体" w:cs="Times New Roman"/>
                      <w:color w:val="auto"/>
                      <w:kern w:val="2"/>
                      <w:sz w:val="21"/>
                      <w:szCs w:val="24"/>
                      <w:lang w:val="en-US" w:eastAsia="zh-CN" w:bidi="ar-SA"/>
                    </w:rPr>
                  </w:pPr>
                  <w:r>
                    <w:rPr>
                      <w:color w:val="auto"/>
                    </w:rPr>
                    <w:t>1</w:t>
                  </w:r>
                </w:p>
              </w:tc>
              <w:tc>
                <w:tcPr>
                  <w:tcW w:w="407" w:type="pct"/>
                  <w:noWrap/>
                  <w:vAlign w:val="center"/>
                </w:tcPr>
                <w:p w14:paraId="2595EE0F">
                  <w:pPr>
                    <w:pStyle w:val="53"/>
                    <w:bidi w:val="0"/>
                    <w:rPr>
                      <w:color w:val="auto"/>
                    </w:rPr>
                  </w:pPr>
                </w:p>
              </w:tc>
            </w:tr>
            <w:tr w14:paraId="4C994C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85" w:hRule="atLeast"/>
              </w:trPr>
              <w:tc>
                <w:tcPr>
                  <w:tcW w:w="507" w:type="pct"/>
                  <w:noWrap/>
                  <w:vAlign w:val="center"/>
                </w:tcPr>
                <w:p w14:paraId="53EB613E">
                  <w:pPr>
                    <w:pStyle w:val="53"/>
                    <w:bidi w:val="0"/>
                    <w:rPr>
                      <w:color w:val="auto"/>
                    </w:rPr>
                  </w:pPr>
                  <w:r>
                    <w:rPr>
                      <w:rFonts w:hint="eastAsia"/>
                      <w:color w:val="auto"/>
                    </w:rPr>
                    <w:t>3</w:t>
                  </w:r>
                </w:p>
              </w:tc>
              <w:tc>
                <w:tcPr>
                  <w:tcW w:w="1952" w:type="pct"/>
                  <w:shd w:val="clear" w:color="auto" w:fill="auto"/>
                  <w:noWrap/>
                  <w:vAlign w:val="top"/>
                </w:tcPr>
                <w:p w14:paraId="3B2424FB">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全封闭搅拌机</w:t>
                  </w:r>
                </w:p>
              </w:tc>
              <w:tc>
                <w:tcPr>
                  <w:tcW w:w="1132" w:type="pct"/>
                  <w:shd w:val="clear" w:color="auto" w:fill="auto"/>
                  <w:noWrap/>
                  <w:vAlign w:val="top"/>
                </w:tcPr>
                <w:p w14:paraId="6D1F2276">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w:t>
                  </w:r>
                </w:p>
              </w:tc>
              <w:tc>
                <w:tcPr>
                  <w:tcW w:w="1000" w:type="pct"/>
                  <w:shd w:val="clear" w:color="auto" w:fill="auto"/>
                  <w:noWrap/>
                  <w:vAlign w:val="top"/>
                </w:tcPr>
                <w:p w14:paraId="100006E0">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407" w:type="pct"/>
                  <w:noWrap/>
                  <w:vAlign w:val="center"/>
                </w:tcPr>
                <w:p w14:paraId="1D9BFA69">
                  <w:pPr>
                    <w:pStyle w:val="53"/>
                    <w:bidi w:val="0"/>
                    <w:rPr>
                      <w:color w:val="auto"/>
                    </w:rPr>
                  </w:pPr>
                </w:p>
              </w:tc>
            </w:tr>
            <w:tr w14:paraId="53858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85" w:hRule="atLeast"/>
              </w:trPr>
              <w:tc>
                <w:tcPr>
                  <w:tcW w:w="507" w:type="pct"/>
                  <w:noWrap/>
                  <w:vAlign w:val="center"/>
                </w:tcPr>
                <w:p w14:paraId="5E004968">
                  <w:pPr>
                    <w:pStyle w:val="53"/>
                    <w:bidi w:val="0"/>
                    <w:rPr>
                      <w:color w:val="auto"/>
                    </w:rPr>
                  </w:pPr>
                  <w:r>
                    <w:rPr>
                      <w:rFonts w:hint="eastAsia"/>
                      <w:color w:val="auto"/>
                    </w:rPr>
                    <w:t>4</w:t>
                  </w:r>
                </w:p>
              </w:tc>
              <w:tc>
                <w:tcPr>
                  <w:tcW w:w="1952" w:type="pct"/>
                  <w:shd w:val="clear" w:color="auto" w:fill="auto"/>
                  <w:noWrap/>
                  <w:vAlign w:val="top"/>
                </w:tcPr>
                <w:p w14:paraId="434FDE22">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斜皮带电机</w:t>
                  </w:r>
                </w:p>
              </w:tc>
              <w:tc>
                <w:tcPr>
                  <w:tcW w:w="1132" w:type="pct"/>
                  <w:shd w:val="clear" w:color="auto" w:fill="auto"/>
                  <w:noWrap/>
                  <w:vAlign w:val="top"/>
                </w:tcPr>
                <w:p w14:paraId="26C5AD52">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w:t>
                  </w:r>
                </w:p>
              </w:tc>
              <w:tc>
                <w:tcPr>
                  <w:tcW w:w="1000" w:type="pct"/>
                  <w:shd w:val="clear" w:color="auto" w:fill="auto"/>
                  <w:noWrap/>
                  <w:vAlign w:val="top"/>
                </w:tcPr>
                <w:p w14:paraId="0B5BF240">
                  <w:pPr>
                    <w:pStyle w:val="53"/>
                    <w:bidi w:val="0"/>
                    <w:ind w:firstLine="0" w:firstLineChars="0"/>
                    <w:rPr>
                      <w:rFonts w:ascii="Times New Roman" w:hAnsi="Times New Roman" w:eastAsia="宋体" w:cs="Times New Roman"/>
                      <w:color w:val="auto"/>
                      <w:kern w:val="2"/>
                      <w:sz w:val="21"/>
                      <w:szCs w:val="24"/>
                      <w:lang w:val="en-US" w:eastAsia="zh-CN" w:bidi="ar-SA"/>
                    </w:rPr>
                  </w:pPr>
                  <w:r>
                    <w:rPr>
                      <w:color w:val="auto"/>
                    </w:rPr>
                    <w:t>1</w:t>
                  </w:r>
                </w:p>
              </w:tc>
              <w:tc>
                <w:tcPr>
                  <w:tcW w:w="407" w:type="pct"/>
                  <w:noWrap/>
                  <w:vAlign w:val="center"/>
                </w:tcPr>
                <w:p w14:paraId="78D89B54">
                  <w:pPr>
                    <w:pStyle w:val="53"/>
                    <w:bidi w:val="0"/>
                    <w:rPr>
                      <w:color w:val="auto"/>
                    </w:rPr>
                  </w:pPr>
                </w:p>
              </w:tc>
            </w:tr>
            <w:tr w14:paraId="6B4146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85" w:hRule="atLeast"/>
              </w:trPr>
              <w:tc>
                <w:tcPr>
                  <w:tcW w:w="507" w:type="pct"/>
                  <w:noWrap/>
                  <w:vAlign w:val="center"/>
                </w:tcPr>
                <w:p w14:paraId="73F9D9E4">
                  <w:pPr>
                    <w:pStyle w:val="53"/>
                    <w:bidi w:val="0"/>
                    <w:rPr>
                      <w:color w:val="auto"/>
                    </w:rPr>
                  </w:pPr>
                  <w:r>
                    <w:rPr>
                      <w:rFonts w:hint="eastAsia"/>
                      <w:color w:val="auto"/>
                    </w:rPr>
                    <w:t>5</w:t>
                  </w:r>
                </w:p>
              </w:tc>
              <w:tc>
                <w:tcPr>
                  <w:tcW w:w="1952" w:type="pct"/>
                  <w:shd w:val="clear" w:color="auto" w:fill="auto"/>
                  <w:noWrap/>
                  <w:vAlign w:val="top"/>
                </w:tcPr>
                <w:p w14:paraId="383DE8E7">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空压机</w:t>
                  </w:r>
                </w:p>
              </w:tc>
              <w:tc>
                <w:tcPr>
                  <w:tcW w:w="1132" w:type="pct"/>
                  <w:shd w:val="clear" w:color="auto" w:fill="auto"/>
                  <w:noWrap/>
                  <w:vAlign w:val="top"/>
                </w:tcPr>
                <w:p w14:paraId="4DB80576">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w:t>
                  </w:r>
                </w:p>
              </w:tc>
              <w:tc>
                <w:tcPr>
                  <w:tcW w:w="1000" w:type="pct"/>
                  <w:shd w:val="clear" w:color="auto" w:fill="auto"/>
                  <w:noWrap/>
                  <w:vAlign w:val="top"/>
                </w:tcPr>
                <w:p w14:paraId="1B238514">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407" w:type="pct"/>
                  <w:noWrap/>
                  <w:vAlign w:val="center"/>
                </w:tcPr>
                <w:p w14:paraId="32996434">
                  <w:pPr>
                    <w:pStyle w:val="53"/>
                    <w:bidi w:val="0"/>
                    <w:rPr>
                      <w:color w:val="auto"/>
                    </w:rPr>
                  </w:pPr>
                </w:p>
              </w:tc>
            </w:tr>
            <w:tr w14:paraId="41061D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85" w:hRule="atLeast"/>
              </w:trPr>
              <w:tc>
                <w:tcPr>
                  <w:tcW w:w="507" w:type="pct"/>
                  <w:noWrap/>
                  <w:vAlign w:val="center"/>
                </w:tcPr>
                <w:p w14:paraId="77A30656">
                  <w:pPr>
                    <w:pStyle w:val="53"/>
                    <w:bidi w:val="0"/>
                    <w:rPr>
                      <w:color w:val="auto"/>
                    </w:rPr>
                  </w:pPr>
                  <w:r>
                    <w:rPr>
                      <w:rFonts w:hint="eastAsia"/>
                      <w:color w:val="auto"/>
                    </w:rPr>
                    <w:t>6</w:t>
                  </w:r>
                </w:p>
              </w:tc>
              <w:tc>
                <w:tcPr>
                  <w:tcW w:w="1952" w:type="pct"/>
                  <w:shd w:val="clear" w:color="auto" w:fill="auto"/>
                  <w:noWrap/>
                  <w:vAlign w:val="top"/>
                </w:tcPr>
                <w:p w14:paraId="7DA96EFA">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水泵</w:t>
                  </w:r>
                </w:p>
              </w:tc>
              <w:tc>
                <w:tcPr>
                  <w:tcW w:w="1132" w:type="pct"/>
                  <w:shd w:val="clear" w:color="auto" w:fill="auto"/>
                  <w:noWrap/>
                  <w:vAlign w:val="top"/>
                </w:tcPr>
                <w:p w14:paraId="40DE2071">
                  <w:pPr>
                    <w:pStyle w:val="53"/>
                    <w:bidi w:val="0"/>
                    <w:ind w:firstLine="0" w:firstLineChars="0"/>
                    <w:rPr>
                      <w:rFonts w:ascii="Times New Roman" w:hAnsi="Times New Roman" w:eastAsia="宋体" w:cs="Times New Roman"/>
                      <w:color w:val="auto"/>
                      <w:kern w:val="2"/>
                      <w:sz w:val="21"/>
                      <w:szCs w:val="24"/>
                      <w:lang w:val="en-US" w:eastAsia="zh-CN" w:bidi="ar-SA"/>
                    </w:rPr>
                  </w:pPr>
                  <w:r>
                    <w:rPr>
                      <w:color w:val="auto"/>
                    </w:rPr>
                    <w:t>/</w:t>
                  </w:r>
                </w:p>
              </w:tc>
              <w:tc>
                <w:tcPr>
                  <w:tcW w:w="1000" w:type="pct"/>
                  <w:shd w:val="clear" w:color="auto" w:fill="auto"/>
                  <w:noWrap/>
                  <w:vAlign w:val="top"/>
                </w:tcPr>
                <w:p w14:paraId="71D40365">
                  <w:pPr>
                    <w:pStyle w:val="53"/>
                    <w:bidi w:val="0"/>
                    <w:ind w:firstLine="0" w:firstLineChars="0"/>
                    <w:rPr>
                      <w:rFonts w:ascii="Times New Roman" w:hAnsi="Times New Roman" w:eastAsia="宋体" w:cs="Times New Roman"/>
                      <w:color w:val="auto"/>
                      <w:kern w:val="2"/>
                      <w:sz w:val="21"/>
                      <w:szCs w:val="24"/>
                      <w:lang w:val="en-US" w:eastAsia="zh-CN" w:bidi="ar-SA"/>
                    </w:rPr>
                  </w:pPr>
                  <w:r>
                    <w:rPr>
                      <w:color w:val="auto"/>
                    </w:rPr>
                    <w:t>1</w:t>
                  </w:r>
                </w:p>
              </w:tc>
              <w:tc>
                <w:tcPr>
                  <w:tcW w:w="407" w:type="pct"/>
                  <w:noWrap/>
                  <w:vAlign w:val="center"/>
                </w:tcPr>
                <w:p w14:paraId="19024B3C">
                  <w:pPr>
                    <w:pStyle w:val="53"/>
                    <w:bidi w:val="0"/>
                    <w:rPr>
                      <w:color w:val="auto"/>
                    </w:rPr>
                  </w:pPr>
                </w:p>
              </w:tc>
            </w:tr>
            <w:tr w14:paraId="00B76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85" w:hRule="atLeast"/>
              </w:trPr>
              <w:tc>
                <w:tcPr>
                  <w:tcW w:w="507" w:type="pct"/>
                  <w:noWrap/>
                  <w:vAlign w:val="center"/>
                </w:tcPr>
                <w:p w14:paraId="54B39127">
                  <w:pPr>
                    <w:pStyle w:val="53"/>
                    <w:bidi w:val="0"/>
                    <w:rPr>
                      <w:color w:val="auto"/>
                    </w:rPr>
                  </w:pPr>
                  <w:r>
                    <w:rPr>
                      <w:rFonts w:hint="eastAsia"/>
                      <w:color w:val="auto"/>
                    </w:rPr>
                    <w:t>7</w:t>
                  </w:r>
                </w:p>
              </w:tc>
              <w:tc>
                <w:tcPr>
                  <w:tcW w:w="1952" w:type="pct"/>
                  <w:shd w:val="clear" w:color="auto" w:fill="auto"/>
                  <w:noWrap/>
                  <w:vAlign w:val="top"/>
                </w:tcPr>
                <w:p w14:paraId="22B98564">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螺旋输送电机</w:t>
                  </w:r>
                </w:p>
              </w:tc>
              <w:tc>
                <w:tcPr>
                  <w:tcW w:w="1132" w:type="pct"/>
                  <w:shd w:val="clear" w:color="auto" w:fill="auto"/>
                  <w:noWrap w:val="0"/>
                  <w:vAlign w:val="top"/>
                </w:tcPr>
                <w:p w14:paraId="75F02008">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w:t>
                  </w:r>
                </w:p>
              </w:tc>
              <w:tc>
                <w:tcPr>
                  <w:tcW w:w="1000" w:type="pct"/>
                  <w:shd w:val="clear" w:color="auto" w:fill="auto"/>
                  <w:noWrap/>
                  <w:vAlign w:val="top"/>
                </w:tcPr>
                <w:p w14:paraId="716C11F8">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407" w:type="pct"/>
                  <w:noWrap/>
                  <w:vAlign w:val="center"/>
                </w:tcPr>
                <w:p w14:paraId="2663621A">
                  <w:pPr>
                    <w:pStyle w:val="53"/>
                    <w:bidi w:val="0"/>
                    <w:rPr>
                      <w:color w:val="auto"/>
                    </w:rPr>
                  </w:pPr>
                </w:p>
              </w:tc>
            </w:tr>
            <w:tr w14:paraId="23CF6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85" w:hRule="atLeast"/>
              </w:trPr>
              <w:tc>
                <w:tcPr>
                  <w:tcW w:w="507" w:type="pct"/>
                  <w:noWrap/>
                  <w:vAlign w:val="center"/>
                </w:tcPr>
                <w:p w14:paraId="1DA727C7">
                  <w:pPr>
                    <w:pStyle w:val="53"/>
                    <w:bidi w:val="0"/>
                    <w:rPr>
                      <w:color w:val="auto"/>
                    </w:rPr>
                  </w:pPr>
                  <w:r>
                    <w:rPr>
                      <w:rFonts w:hint="eastAsia"/>
                      <w:color w:val="auto"/>
                    </w:rPr>
                    <w:t>8</w:t>
                  </w:r>
                </w:p>
              </w:tc>
              <w:tc>
                <w:tcPr>
                  <w:tcW w:w="1952" w:type="pct"/>
                  <w:shd w:val="clear" w:color="auto" w:fill="auto"/>
                  <w:noWrap/>
                  <w:vAlign w:val="top"/>
                </w:tcPr>
                <w:p w14:paraId="0C35678A">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螺旋电子秤</w:t>
                  </w:r>
                </w:p>
              </w:tc>
              <w:tc>
                <w:tcPr>
                  <w:tcW w:w="1132" w:type="pct"/>
                  <w:shd w:val="clear" w:color="auto" w:fill="auto"/>
                  <w:noWrap w:val="0"/>
                  <w:vAlign w:val="top"/>
                </w:tcPr>
                <w:p w14:paraId="32D769B2">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w:t>
                  </w:r>
                </w:p>
              </w:tc>
              <w:tc>
                <w:tcPr>
                  <w:tcW w:w="1000" w:type="pct"/>
                  <w:shd w:val="clear" w:color="auto" w:fill="auto"/>
                  <w:noWrap/>
                  <w:vAlign w:val="top"/>
                </w:tcPr>
                <w:p w14:paraId="20D77DA4">
                  <w:pPr>
                    <w:pStyle w:val="53"/>
                    <w:bidi w:val="0"/>
                    <w:ind w:firstLine="0" w:firstLineChars="0"/>
                    <w:rPr>
                      <w:rFonts w:ascii="Times New Roman" w:hAnsi="Times New Roman" w:eastAsia="宋体" w:cs="Times New Roman"/>
                      <w:color w:val="auto"/>
                      <w:kern w:val="2"/>
                      <w:sz w:val="21"/>
                      <w:szCs w:val="24"/>
                      <w:lang w:val="en-US" w:eastAsia="zh-CN" w:bidi="ar-SA"/>
                    </w:rPr>
                  </w:pPr>
                  <w:r>
                    <w:rPr>
                      <w:rFonts w:hint="eastAsia"/>
                      <w:color w:val="auto"/>
                      <w:lang w:val="en-US" w:eastAsia="zh-CN"/>
                    </w:rPr>
                    <w:t>1</w:t>
                  </w:r>
                </w:p>
              </w:tc>
              <w:tc>
                <w:tcPr>
                  <w:tcW w:w="407" w:type="pct"/>
                  <w:noWrap/>
                  <w:vAlign w:val="center"/>
                </w:tcPr>
                <w:p w14:paraId="51C173C2">
                  <w:pPr>
                    <w:pStyle w:val="53"/>
                    <w:bidi w:val="0"/>
                    <w:rPr>
                      <w:color w:val="auto"/>
                    </w:rPr>
                  </w:pPr>
                </w:p>
              </w:tc>
            </w:tr>
          </w:tbl>
          <w:p w14:paraId="5A1740D6">
            <w:pPr>
              <w:pStyle w:val="54"/>
              <w:bidi w:val="0"/>
              <w:rPr>
                <w:rFonts w:hint="eastAsia"/>
                <w:lang w:val="en-US" w:eastAsia="zh-CN"/>
              </w:rPr>
            </w:pPr>
            <w:r>
              <w:rPr>
                <w:rFonts w:hint="eastAsia"/>
                <w:b/>
                <w:bCs/>
                <w:lang w:val="en-US" w:eastAsia="zh-CN"/>
              </w:rPr>
              <w:t>4、主要原辅材料</w:t>
            </w:r>
          </w:p>
          <w:p w14:paraId="51146E8B">
            <w:pPr>
              <w:pStyle w:val="54"/>
              <w:bidi w:val="0"/>
              <w:rPr>
                <w:rFonts w:hint="eastAsia"/>
                <w:lang w:val="en-US" w:eastAsia="zh-CN"/>
              </w:rPr>
            </w:pPr>
            <w:r>
              <w:rPr>
                <w:rFonts w:hint="eastAsia"/>
                <w:lang w:val="en-US" w:eastAsia="zh-CN"/>
              </w:rPr>
              <w:t>本项目主要原辅材料消耗情况见表6。</w:t>
            </w:r>
          </w:p>
          <w:p w14:paraId="5B320ADA">
            <w:pPr>
              <w:pStyle w:val="33"/>
              <w:bidi w:val="0"/>
              <w:jc w:val="center"/>
              <w:rPr>
                <w:rFonts w:hint="eastAsia"/>
                <w:lang w:val="en-US" w:eastAsia="zh-CN"/>
              </w:rPr>
            </w:pPr>
            <w:r>
              <w:rPr>
                <w:rFonts w:hint="eastAsia"/>
                <w:lang w:val="en-US" w:eastAsia="zh-CN"/>
              </w:rPr>
              <w:t>表6    项目原辅料消耗一览表</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7"/>
              <w:gridCol w:w="676"/>
              <w:gridCol w:w="1379"/>
              <w:gridCol w:w="5240"/>
            </w:tblGrid>
            <w:tr w14:paraId="13AE56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7" w:type="pct"/>
                  <w:tcBorders>
                    <w:tl2br w:val="nil"/>
                    <w:tr2bl w:val="nil"/>
                  </w:tcBorders>
                  <w:noWrap w:val="0"/>
                  <w:vAlign w:val="center"/>
                </w:tcPr>
                <w:p w14:paraId="349F1951">
                  <w:pPr>
                    <w:pStyle w:val="53"/>
                    <w:bidi w:val="0"/>
                    <w:jc w:val="center"/>
                    <w:rPr>
                      <w:rFonts w:hint="eastAsia"/>
                      <w:lang w:val="en-US" w:eastAsia="zh-CN"/>
                    </w:rPr>
                  </w:pPr>
                  <w:r>
                    <w:rPr>
                      <w:rFonts w:hint="eastAsia"/>
                      <w:lang w:val="en-US" w:eastAsia="zh-CN"/>
                    </w:rPr>
                    <w:t>序号</w:t>
                  </w:r>
                </w:p>
              </w:tc>
              <w:tc>
                <w:tcPr>
                  <w:tcW w:w="425" w:type="pct"/>
                  <w:tcBorders>
                    <w:tl2br w:val="nil"/>
                    <w:tr2bl w:val="nil"/>
                  </w:tcBorders>
                  <w:noWrap w:val="0"/>
                  <w:vAlign w:val="center"/>
                </w:tcPr>
                <w:p w14:paraId="419CA7E2">
                  <w:pPr>
                    <w:pStyle w:val="53"/>
                    <w:bidi w:val="0"/>
                    <w:jc w:val="center"/>
                    <w:rPr>
                      <w:rFonts w:hint="eastAsia"/>
                      <w:lang w:val="en-US" w:eastAsia="zh-CN"/>
                    </w:rPr>
                  </w:pPr>
                  <w:r>
                    <w:rPr>
                      <w:rFonts w:hint="eastAsia"/>
                      <w:lang w:val="en-US" w:eastAsia="zh-CN"/>
                    </w:rPr>
                    <w:t>名称</w:t>
                  </w:r>
                </w:p>
              </w:tc>
              <w:tc>
                <w:tcPr>
                  <w:tcW w:w="868" w:type="pct"/>
                  <w:tcBorders>
                    <w:tl2br w:val="nil"/>
                    <w:tr2bl w:val="nil"/>
                  </w:tcBorders>
                  <w:noWrap w:val="0"/>
                  <w:vAlign w:val="center"/>
                </w:tcPr>
                <w:p w14:paraId="6BF3D47F">
                  <w:pPr>
                    <w:pStyle w:val="53"/>
                    <w:bidi w:val="0"/>
                    <w:jc w:val="center"/>
                    <w:rPr>
                      <w:rFonts w:hint="eastAsia"/>
                      <w:lang w:val="en-US" w:eastAsia="zh-CN"/>
                    </w:rPr>
                  </w:pPr>
                  <w:r>
                    <w:rPr>
                      <w:rFonts w:hint="eastAsia"/>
                      <w:lang w:val="en-US" w:eastAsia="zh-CN"/>
                    </w:rPr>
                    <w:t>数量</w:t>
                  </w:r>
                </w:p>
              </w:tc>
              <w:tc>
                <w:tcPr>
                  <w:tcW w:w="3298" w:type="pct"/>
                  <w:tcBorders>
                    <w:tl2br w:val="nil"/>
                    <w:tr2bl w:val="nil"/>
                  </w:tcBorders>
                  <w:noWrap w:val="0"/>
                  <w:vAlign w:val="center"/>
                </w:tcPr>
                <w:p w14:paraId="1CD166A4">
                  <w:pPr>
                    <w:pStyle w:val="53"/>
                    <w:bidi w:val="0"/>
                    <w:jc w:val="center"/>
                    <w:rPr>
                      <w:rFonts w:hint="eastAsia"/>
                      <w:lang w:val="en-US" w:eastAsia="zh-CN"/>
                    </w:rPr>
                  </w:pPr>
                  <w:r>
                    <w:rPr>
                      <w:rFonts w:hint="eastAsia"/>
                      <w:lang w:val="en-US" w:eastAsia="zh-CN"/>
                    </w:rPr>
                    <w:t>备注</w:t>
                  </w:r>
                </w:p>
              </w:tc>
            </w:tr>
            <w:tr w14:paraId="6C20C6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7" w:type="pct"/>
                  <w:tcBorders>
                    <w:tl2br w:val="nil"/>
                    <w:tr2bl w:val="nil"/>
                  </w:tcBorders>
                  <w:noWrap w:val="0"/>
                  <w:vAlign w:val="center"/>
                </w:tcPr>
                <w:p w14:paraId="10DA33BA">
                  <w:pPr>
                    <w:pStyle w:val="53"/>
                    <w:bidi w:val="0"/>
                    <w:jc w:val="center"/>
                    <w:rPr>
                      <w:rFonts w:hint="default"/>
                      <w:lang w:val="en-US" w:eastAsia="zh-CN"/>
                    </w:rPr>
                  </w:pPr>
                  <w:r>
                    <w:rPr>
                      <w:rFonts w:hint="eastAsia"/>
                      <w:lang w:val="en-US" w:eastAsia="zh-CN"/>
                    </w:rPr>
                    <w:t>1</w:t>
                  </w:r>
                </w:p>
              </w:tc>
              <w:tc>
                <w:tcPr>
                  <w:tcW w:w="425" w:type="pct"/>
                  <w:tcBorders>
                    <w:tl2br w:val="nil"/>
                    <w:tr2bl w:val="nil"/>
                  </w:tcBorders>
                  <w:noWrap w:val="0"/>
                  <w:vAlign w:val="center"/>
                </w:tcPr>
                <w:p w14:paraId="1A9CA898">
                  <w:pPr>
                    <w:pStyle w:val="53"/>
                    <w:bidi w:val="0"/>
                    <w:ind w:firstLine="0" w:firstLineChars="0"/>
                    <w:jc w:val="center"/>
                    <w:rPr>
                      <w:rFonts w:hint="eastAsia"/>
                      <w:color w:val="auto"/>
                      <w:lang w:val="en-US" w:eastAsia="zh-CN"/>
                    </w:rPr>
                  </w:pPr>
                  <w:r>
                    <w:rPr>
                      <w:rFonts w:hint="eastAsia"/>
                      <w:color w:val="auto"/>
                      <w:lang w:val="en-US" w:eastAsia="zh-CN"/>
                    </w:rPr>
                    <w:t>水泥</w:t>
                  </w:r>
                </w:p>
              </w:tc>
              <w:tc>
                <w:tcPr>
                  <w:tcW w:w="868" w:type="pct"/>
                  <w:tcBorders>
                    <w:tl2br w:val="nil"/>
                    <w:tr2bl w:val="nil"/>
                  </w:tcBorders>
                  <w:noWrap w:val="0"/>
                  <w:vAlign w:val="center"/>
                </w:tcPr>
                <w:p w14:paraId="4E065A0C">
                  <w:pPr>
                    <w:pStyle w:val="53"/>
                    <w:bidi w:val="0"/>
                    <w:jc w:val="center"/>
                    <w:rPr>
                      <w:rFonts w:hint="default"/>
                      <w:color w:val="auto"/>
                      <w:lang w:val="en-US" w:eastAsia="zh-CN"/>
                    </w:rPr>
                  </w:pPr>
                  <w:r>
                    <w:rPr>
                      <w:rFonts w:hint="default"/>
                      <w:color w:val="auto"/>
                      <w:lang w:val="en-US" w:eastAsia="zh-CN"/>
                    </w:rPr>
                    <w:t>18520</w:t>
                  </w:r>
                  <w:r>
                    <w:rPr>
                      <w:rFonts w:hint="eastAsia"/>
                      <w:color w:val="auto"/>
                      <w:lang w:val="en-US" w:eastAsia="zh-CN"/>
                    </w:rPr>
                    <w:t>t/a</w:t>
                  </w:r>
                </w:p>
              </w:tc>
              <w:tc>
                <w:tcPr>
                  <w:tcW w:w="3298" w:type="pct"/>
                  <w:tcBorders>
                    <w:tl2br w:val="nil"/>
                    <w:tr2bl w:val="nil"/>
                  </w:tcBorders>
                  <w:noWrap w:val="0"/>
                  <w:vAlign w:val="center"/>
                </w:tcPr>
                <w:p w14:paraId="6DB56D3B">
                  <w:pPr>
                    <w:pStyle w:val="53"/>
                    <w:bidi w:val="0"/>
                    <w:jc w:val="both"/>
                    <w:rPr>
                      <w:rFonts w:hint="default"/>
                      <w:color w:val="auto"/>
                      <w:lang w:val="en-US" w:eastAsia="zh-CN"/>
                    </w:rPr>
                  </w:pPr>
                  <w:r>
                    <w:rPr>
                      <w:rFonts w:hint="eastAsia"/>
                      <w:color w:val="auto"/>
                      <w:lang w:val="en-US" w:eastAsia="zh-CN"/>
                    </w:rPr>
                    <w:t>外购，储存于2个水泥筒仓内，每个筒仓储量100t。</w:t>
                  </w:r>
                </w:p>
              </w:tc>
            </w:tr>
            <w:tr w14:paraId="43DF8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7" w:type="pct"/>
                  <w:tcBorders>
                    <w:tl2br w:val="nil"/>
                    <w:tr2bl w:val="nil"/>
                  </w:tcBorders>
                  <w:noWrap w:val="0"/>
                  <w:vAlign w:val="center"/>
                </w:tcPr>
                <w:p w14:paraId="67221833">
                  <w:pPr>
                    <w:pStyle w:val="53"/>
                    <w:bidi w:val="0"/>
                    <w:ind w:firstLine="0" w:firstLineChars="0"/>
                    <w:jc w:val="center"/>
                    <w:rPr>
                      <w:rFonts w:hint="default"/>
                      <w:kern w:val="2"/>
                      <w:sz w:val="21"/>
                      <w:szCs w:val="24"/>
                      <w:lang w:val="en-US" w:eastAsia="zh-CN" w:bidi="ar-SA"/>
                    </w:rPr>
                  </w:pPr>
                  <w:r>
                    <w:rPr>
                      <w:rFonts w:hint="eastAsia"/>
                      <w:kern w:val="2"/>
                      <w:sz w:val="21"/>
                      <w:szCs w:val="24"/>
                      <w:lang w:val="en-US" w:eastAsia="zh-CN" w:bidi="ar-SA"/>
                    </w:rPr>
                    <w:t>2</w:t>
                  </w:r>
                </w:p>
              </w:tc>
              <w:tc>
                <w:tcPr>
                  <w:tcW w:w="425" w:type="pct"/>
                  <w:tcBorders>
                    <w:tl2br w:val="nil"/>
                    <w:tr2bl w:val="nil"/>
                  </w:tcBorders>
                  <w:noWrap w:val="0"/>
                  <w:vAlign w:val="center"/>
                </w:tcPr>
                <w:p w14:paraId="6ABD4DBB">
                  <w:pPr>
                    <w:pStyle w:val="53"/>
                    <w:bidi w:val="0"/>
                    <w:ind w:firstLine="0" w:firstLineChars="0"/>
                    <w:jc w:val="center"/>
                    <w:rPr>
                      <w:rFonts w:hint="default"/>
                      <w:color w:val="auto"/>
                      <w:lang w:val="en-US" w:eastAsia="zh-CN"/>
                    </w:rPr>
                  </w:pPr>
                  <w:r>
                    <w:rPr>
                      <w:rFonts w:hint="eastAsia"/>
                      <w:color w:val="auto"/>
                      <w:lang w:val="en-US" w:eastAsia="zh-CN"/>
                    </w:rPr>
                    <w:t>石屑</w:t>
                  </w:r>
                </w:p>
              </w:tc>
              <w:tc>
                <w:tcPr>
                  <w:tcW w:w="868" w:type="pct"/>
                  <w:tcBorders>
                    <w:tl2br w:val="nil"/>
                    <w:tr2bl w:val="nil"/>
                  </w:tcBorders>
                  <w:noWrap w:val="0"/>
                  <w:vAlign w:val="center"/>
                </w:tcPr>
                <w:p w14:paraId="6E4FF7EC">
                  <w:pPr>
                    <w:pStyle w:val="53"/>
                    <w:bidi w:val="0"/>
                    <w:jc w:val="center"/>
                    <w:rPr>
                      <w:rFonts w:hint="default"/>
                      <w:color w:val="auto"/>
                      <w:lang w:val="en-US" w:eastAsia="zh-CN"/>
                    </w:rPr>
                  </w:pPr>
                  <w:r>
                    <w:rPr>
                      <w:rFonts w:hint="default"/>
                      <w:color w:val="auto"/>
                      <w:lang w:val="en-US" w:eastAsia="zh-CN"/>
                    </w:rPr>
                    <w:t>185200</w:t>
                  </w:r>
                  <w:r>
                    <w:rPr>
                      <w:rFonts w:hint="eastAsia"/>
                      <w:color w:val="auto"/>
                      <w:lang w:val="en-US" w:eastAsia="zh-CN"/>
                    </w:rPr>
                    <w:t>t/a</w:t>
                  </w:r>
                </w:p>
              </w:tc>
              <w:tc>
                <w:tcPr>
                  <w:tcW w:w="3298" w:type="pct"/>
                  <w:tcBorders>
                    <w:tl2br w:val="nil"/>
                    <w:tr2bl w:val="nil"/>
                  </w:tcBorders>
                  <w:noWrap w:val="0"/>
                  <w:vAlign w:val="center"/>
                </w:tcPr>
                <w:p w14:paraId="2948A484">
                  <w:pPr>
                    <w:pStyle w:val="53"/>
                    <w:bidi w:val="0"/>
                    <w:jc w:val="both"/>
                    <w:rPr>
                      <w:rFonts w:hint="default"/>
                      <w:color w:val="auto"/>
                      <w:lang w:val="en-US" w:eastAsia="zh-CN"/>
                    </w:rPr>
                  </w:pPr>
                  <w:r>
                    <w:rPr>
                      <w:rFonts w:hint="eastAsia"/>
                      <w:color w:val="auto"/>
                      <w:lang w:val="en-US" w:eastAsia="zh-CN"/>
                    </w:rPr>
                    <w:t>外购，粒径为0-4.75mm，无需破碎，储存于全封闭骨料仓内，储存周期为2天，储存量为1764t，堆高5m。</w:t>
                  </w:r>
                </w:p>
              </w:tc>
            </w:tr>
            <w:tr w14:paraId="7AE2E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7" w:type="pct"/>
                  <w:tcBorders>
                    <w:tl2br w:val="nil"/>
                    <w:tr2bl w:val="nil"/>
                  </w:tcBorders>
                  <w:noWrap w:val="0"/>
                  <w:vAlign w:val="center"/>
                </w:tcPr>
                <w:p w14:paraId="38D655BC">
                  <w:pPr>
                    <w:pStyle w:val="53"/>
                    <w:bidi w:val="0"/>
                    <w:ind w:firstLine="0" w:firstLineChars="0"/>
                    <w:jc w:val="center"/>
                    <w:rPr>
                      <w:rFonts w:hint="default"/>
                      <w:kern w:val="2"/>
                      <w:sz w:val="21"/>
                      <w:szCs w:val="24"/>
                      <w:lang w:val="en-US" w:eastAsia="zh-CN" w:bidi="ar-SA"/>
                    </w:rPr>
                  </w:pPr>
                  <w:r>
                    <w:rPr>
                      <w:rFonts w:hint="eastAsia"/>
                      <w:kern w:val="2"/>
                      <w:sz w:val="21"/>
                      <w:szCs w:val="24"/>
                      <w:lang w:val="en-US" w:eastAsia="zh-CN" w:bidi="ar-SA"/>
                    </w:rPr>
                    <w:t>3</w:t>
                  </w:r>
                </w:p>
              </w:tc>
              <w:tc>
                <w:tcPr>
                  <w:tcW w:w="425" w:type="pct"/>
                  <w:tcBorders>
                    <w:tl2br w:val="nil"/>
                    <w:tr2bl w:val="nil"/>
                  </w:tcBorders>
                  <w:noWrap w:val="0"/>
                  <w:vAlign w:val="center"/>
                </w:tcPr>
                <w:p w14:paraId="3594C04B">
                  <w:pPr>
                    <w:pStyle w:val="53"/>
                    <w:bidi w:val="0"/>
                    <w:ind w:firstLine="0" w:firstLineChars="0"/>
                    <w:jc w:val="center"/>
                    <w:rPr>
                      <w:rFonts w:hint="default"/>
                      <w:color w:val="auto"/>
                      <w:lang w:val="en-US" w:eastAsia="zh-CN"/>
                    </w:rPr>
                  </w:pPr>
                  <w:r>
                    <w:rPr>
                      <w:rFonts w:hint="eastAsia"/>
                      <w:color w:val="auto"/>
                      <w:lang w:val="en-US" w:eastAsia="zh-CN"/>
                    </w:rPr>
                    <w:t>碎石</w:t>
                  </w:r>
                </w:p>
              </w:tc>
              <w:tc>
                <w:tcPr>
                  <w:tcW w:w="868" w:type="pct"/>
                  <w:tcBorders>
                    <w:tl2br w:val="nil"/>
                    <w:tr2bl w:val="nil"/>
                  </w:tcBorders>
                  <w:noWrap w:val="0"/>
                  <w:vAlign w:val="center"/>
                </w:tcPr>
                <w:p w14:paraId="23F99B85">
                  <w:pPr>
                    <w:pStyle w:val="53"/>
                    <w:bidi w:val="0"/>
                    <w:jc w:val="center"/>
                    <w:rPr>
                      <w:rFonts w:hint="default"/>
                      <w:color w:val="auto"/>
                      <w:lang w:val="en-US" w:eastAsia="zh-CN"/>
                    </w:rPr>
                  </w:pPr>
                  <w:r>
                    <w:rPr>
                      <w:rFonts w:hint="default"/>
                      <w:color w:val="auto"/>
                      <w:lang w:val="en-US" w:eastAsia="zh-CN"/>
                    </w:rPr>
                    <w:t>69450</w:t>
                  </w:r>
                  <w:r>
                    <w:rPr>
                      <w:rFonts w:hint="eastAsia"/>
                      <w:color w:val="auto"/>
                      <w:lang w:val="en-US" w:eastAsia="zh-CN"/>
                    </w:rPr>
                    <w:t>t/a</w:t>
                  </w:r>
                </w:p>
              </w:tc>
              <w:tc>
                <w:tcPr>
                  <w:tcW w:w="3298" w:type="pct"/>
                  <w:tcBorders>
                    <w:tl2br w:val="nil"/>
                    <w:tr2bl w:val="nil"/>
                  </w:tcBorders>
                  <w:noWrap w:val="0"/>
                  <w:vAlign w:val="center"/>
                </w:tcPr>
                <w:p w14:paraId="62C54189">
                  <w:pPr>
                    <w:pStyle w:val="53"/>
                    <w:bidi w:val="0"/>
                    <w:jc w:val="both"/>
                    <w:rPr>
                      <w:rFonts w:hint="default"/>
                      <w:color w:val="auto"/>
                      <w:lang w:val="en-US" w:eastAsia="zh-CN"/>
                    </w:rPr>
                  </w:pPr>
                  <w:r>
                    <w:rPr>
                      <w:rFonts w:hint="eastAsia"/>
                      <w:color w:val="auto"/>
                      <w:lang w:val="en-US" w:eastAsia="zh-CN"/>
                    </w:rPr>
                    <w:t>外购，粒径为4.75-9.5mm，无需破碎，储存于全封闭骨料仓内，储存周期为2天，储存量为662t，堆高5m。</w:t>
                  </w:r>
                </w:p>
              </w:tc>
            </w:tr>
            <w:tr w14:paraId="7CFE3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7" w:type="pct"/>
                  <w:tcBorders>
                    <w:tl2br w:val="nil"/>
                    <w:tr2bl w:val="nil"/>
                  </w:tcBorders>
                  <w:noWrap w:val="0"/>
                  <w:vAlign w:val="center"/>
                </w:tcPr>
                <w:p w14:paraId="168DF354">
                  <w:pPr>
                    <w:pStyle w:val="53"/>
                    <w:bidi w:val="0"/>
                    <w:ind w:firstLine="0" w:firstLineChars="0"/>
                    <w:jc w:val="center"/>
                    <w:rPr>
                      <w:rFonts w:hint="default"/>
                      <w:kern w:val="2"/>
                      <w:sz w:val="21"/>
                      <w:szCs w:val="24"/>
                      <w:lang w:val="en-US" w:eastAsia="zh-CN" w:bidi="ar-SA"/>
                    </w:rPr>
                  </w:pPr>
                  <w:r>
                    <w:rPr>
                      <w:rFonts w:hint="eastAsia"/>
                      <w:kern w:val="2"/>
                      <w:sz w:val="21"/>
                      <w:szCs w:val="24"/>
                      <w:lang w:val="en-US" w:eastAsia="zh-CN" w:bidi="ar-SA"/>
                    </w:rPr>
                    <w:t>4</w:t>
                  </w:r>
                </w:p>
              </w:tc>
              <w:tc>
                <w:tcPr>
                  <w:tcW w:w="425" w:type="pct"/>
                  <w:tcBorders>
                    <w:tl2br w:val="nil"/>
                    <w:tr2bl w:val="nil"/>
                  </w:tcBorders>
                  <w:noWrap w:val="0"/>
                  <w:vAlign w:val="center"/>
                </w:tcPr>
                <w:p w14:paraId="4E5593DA">
                  <w:pPr>
                    <w:pStyle w:val="53"/>
                    <w:bidi w:val="0"/>
                    <w:ind w:firstLine="0" w:firstLineChars="0"/>
                    <w:jc w:val="center"/>
                    <w:rPr>
                      <w:rFonts w:hint="default"/>
                      <w:color w:val="auto"/>
                      <w:lang w:val="en-US" w:eastAsia="zh-CN"/>
                    </w:rPr>
                  </w:pPr>
                  <w:r>
                    <w:rPr>
                      <w:rFonts w:hint="eastAsia"/>
                      <w:color w:val="auto"/>
                      <w:lang w:val="en-US" w:eastAsia="zh-CN"/>
                    </w:rPr>
                    <w:t>碎石</w:t>
                  </w:r>
                </w:p>
              </w:tc>
              <w:tc>
                <w:tcPr>
                  <w:tcW w:w="868" w:type="pct"/>
                  <w:tcBorders>
                    <w:tl2br w:val="nil"/>
                    <w:tr2bl w:val="nil"/>
                  </w:tcBorders>
                  <w:noWrap w:val="0"/>
                  <w:vAlign w:val="center"/>
                </w:tcPr>
                <w:p w14:paraId="2D7A15E8">
                  <w:pPr>
                    <w:pStyle w:val="53"/>
                    <w:bidi w:val="0"/>
                    <w:jc w:val="center"/>
                    <w:rPr>
                      <w:rFonts w:hint="default"/>
                      <w:color w:val="auto"/>
                      <w:lang w:val="en-US" w:eastAsia="zh-CN"/>
                    </w:rPr>
                  </w:pPr>
                  <w:r>
                    <w:rPr>
                      <w:rFonts w:hint="default"/>
                      <w:color w:val="auto"/>
                      <w:lang w:val="en-US" w:eastAsia="zh-CN"/>
                    </w:rPr>
                    <w:t>92600</w:t>
                  </w:r>
                  <w:r>
                    <w:rPr>
                      <w:rFonts w:hint="eastAsia"/>
                      <w:color w:val="auto"/>
                      <w:lang w:val="en-US" w:eastAsia="zh-CN"/>
                    </w:rPr>
                    <w:t>t/a</w:t>
                  </w:r>
                </w:p>
              </w:tc>
              <w:tc>
                <w:tcPr>
                  <w:tcW w:w="3298" w:type="pct"/>
                  <w:tcBorders>
                    <w:tl2br w:val="nil"/>
                    <w:tr2bl w:val="nil"/>
                  </w:tcBorders>
                  <w:noWrap w:val="0"/>
                  <w:vAlign w:val="center"/>
                </w:tcPr>
                <w:p w14:paraId="58F6FFC6">
                  <w:pPr>
                    <w:pStyle w:val="53"/>
                    <w:bidi w:val="0"/>
                    <w:jc w:val="both"/>
                    <w:rPr>
                      <w:rFonts w:hint="default"/>
                      <w:color w:val="auto"/>
                      <w:lang w:val="en-US" w:eastAsia="zh-CN"/>
                    </w:rPr>
                  </w:pPr>
                  <w:r>
                    <w:rPr>
                      <w:rFonts w:hint="eastAsia"/>
                      <w:color w:val="auto"/>
                      <w:lang w:val="en-US" w:eastAsia="zh-CN"/>
                    </w:rPr>
                    <w:t>外购，粒径为9.5-19mm，无需破碎，储存于全封闭骨料仓内，储存周期为2天，储存量为882t，堆高5m。</w:t>
                  </w:r>
                </w:p>
              </w:tc>
            </w:tr>
            <w:tr w14:paraId="025DC9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7" w:type="pct"/>
                  <w:tcBorders>
                    <w:tl2br w:val="nil"/>
                    <w:tr2bl w:val="nil"/>
                  </w:tcBorders>
                  <w:noWrap w:val="0"/>
                  <w:vAlign w:val="center"/>
                </w:tcPr>
                <w:p w14:paraId="7F939E4B">
                  <w:pPr>
                    <w:pStyle w:val="53"/>
                    <w:bidi w:val="0"/>
                    <w:ind w:firstLine="0" w:firstLineChars="0"/>
                    <w:jc w:val="center"/>
                    <w:rPr>
                      <w:rFonts w:hint="default"/>
                      <w:kern w:val="2"/>
                      <w:sz w:val="21"/>
                      <w:szCs w:val="24"/>
                      <w:lang w:val="en-US" w:eastAsia="zh-CN" w:bidi="ar-SA"/>
                    </w:rPr>
                  </w:pPr>
                  <w:r>
                    <w:rPr>
                      <w:rFonts w:hint="eastAsia"/>
                      <w:kern w:val="2"/>
                      <w:sz w:val="21"/>
                      <w:szCs w:val="24"/>
                      <w:lang w:val="en-US" w:eastAsia="zh-CN" w:bidi="ar-SA"/>
                    </w:rPr>
                    <w:t>5</w:t>
                  </w:r>
                </w:p>
              </w:tc>
              <w:tc>
                <w:tcPr>
                  <w:tcW w:w="425" w:type="pct"/>
                  <w:tcBorders>
                    <w:tl2br w:val="nil"/>
                    <w:tr2bl w:val="nil"/>
                  </w:tcBorders>
                  <w:noWrap w:val="0"/>
                  <w:vAlign w:val="center"/>
                </w:tcPr>
                <w:p w14:paraId="7B032085">
                  <w:pPr>
                    <w:pStyle w:val="53"/>
                    <w:bidi w:val="0"/>
                    <w:ind w:firstLine="0" w:firstLineChars="0"/>
                    <w:jc w:val="center"/>
                    <w:rPr>
                      <w:rFonts w:hint="default"/>
                      <w:color w:val="auto"/>
                      <w:lang w:val="en-US" w:eastAsia="zh-CN"/>
                    </w:rPr>
                  </w:pPr>
                  <w:r>
                    <w:rPr>
                      <w:rFonts w:hint="eastAsia"/>
                      <w:color w:val="auto"/>
                      <w:lang w:val="en-US" w:eastAsia="zh-CN"/>
                    </w:rPr>
                    <w:t>碎石</w:t>
                  </w:r>
                </w:p>
              </w:tc>
              <w:tc>
                <w:tcPr>
                  <w:tcW w:w="868" w:type="pct"/>
                  <w:tcBorders>
                    <w:tl2br w:val="nil"/>
                    <w:tr2bl w:val="nil"/>
                  </w:tcBorders>
                  <w:noWrap w:val="0"/>
                  <w:vAlign w:val="center"/>
                </w:tcPr>
                <w:p w14:paraId="139C0F10">
                  <w:pPr>
                    <w:pStyle w:val="53"/>
                    <w:bidi w:val="0"/>
                    <w:jc w:val="center"/>
                    <w:rPr>
                      <w:rFonts w:hint="default"/>
                      <w:color w:val="auto"/>
                      <w:lang w:val="en-US" w:eastAsia="zh-CN"/>
                    </w:rPr>
                  </w:pPr>
                  <w:r>
                    <w:rPr>
                      <w:rFonts w:hint="default"/>
                      <w:color w:val="auto"/>
                      <w:lang w:val="en-US" w:eastAsia="zh-CN"/>
                    </w:rPr>
                    <w:t>115750</w:t>
                  </w:r>
                  <w:r>
                    <w:rPr>
                      <w:rFonts w:hint="eastAsia"/>
                      <w:color w:val="auto"/>
                      <w:lang w:val="en-US" w:eastAsia="zh-CN"/>
                    </w:rPr>
                    <w:t>t/a</w:t>
                  </w:r>
                </w:p>
              </w:tc>
              <w:tc>
                <w:tcPr>
                  <w:tcW w:w="3298" w:type="pct"/>
                  <w:tcBorders>
                    <w:tl2br w:val="nil"/>
                    <w:tr2bl w:val="nil"/>
                  </w:tcBorders>
                  <w:noWrap w:val="0"/>
                  <w:vAlign w:val="center"/>
                </w:tcPr>
                <w:p w14:paraId="7420DF3C">
                  <w:pPr>
                    <w:pStyle w:val="53"/>
                    <w:bidi w:val="0"/>
                    <w:jc w:val="both"/>
                    <w:rPr>
                      <w:rFonts w:hint="eastAsia"/>
                      <w:color w:val="auto"/>
                      <w:lang w:val="en-US" w:eastAsia="zh-CN"/>
                    </w:rPr>
                  </w:pPr>
                  <w:r>
                    <w:rPr>
                      <w:rFonts w:hint="eastAsia"/>
                      <w:color w:val="auto"/>
                      <w:lang w:val="en-US" w:eastAsia="zh-CN"/>
                    </w:rPr>
                    <w:t>外购，粒径为19-31.5mm，无需破碎，储存于全封闭骨料仓内，储存周期为2天，储存量为1103t，堆高5m。</w:t>
                  </w:r>
                </w:p>
              </w:tc>
            </w:tr>
            <w:tr w14:paraId="6671C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7" w:type="pct"/>
                  <w:tcBorders>
                    <w:tl2br w:val="nil"/>
                    <w:tr2bl w:val="nil"/>
                  </w:tcBorders>
                  <w:noWrap w:val="0"/>
                  <w:vAlign w:val="center"/>
                </w:tcPr>
                <w:p w14:paraId="22375EC1">
                  <w:pPr>
                    <w:pStyle w:val="53"/>
                    <w:bidi w:val="0"/>
                    <w:jc w:val="center"/>
                    <w:rPr>
                      <w:rFonts w:hint="default"/>
                      <w:lang w:val="en-US" w:eastAsia="zh-CN"/>
                    </w:rPr>
                  </w:pPr>
                  <w:r>
                    <w:rPr>
                      <w:rFonts w:hint="eastAsia"/>
                      <w:lang w:val="en-US" w:eastAsia="zh-CN"/>
                    </w:rPr>
                    <w:t>6</w:t>
                  </w:r>
                </w:p>
              </w:tc>
              <w:tc>
                <w:tcPr>
                  <w:tcW w:w="425" w:type="pct"/>
                  <w:tcBorders>
                    <w:tl2br w:val="nil"/>
                    <w:tr2bl w:val="nil"/>
                  </w:tcBorders>
                  <w:noWrap w:val="0"/>
                  <w:vAlign w:val="center"/>
                </w:tcPr>
                <w:p w14:paraId="0E723E44">
                  <w:pPr>
                    <w:pStyle w:val="53"/>
                    <w:bidi w:val="0"/>
                    <w:ind w:firstLine="0" w:firstLineChars="0"/>
                    <w:jc w:val="center"/>
                    <w:rPr>
                      <w:rFonts w:hint="default"/>
                      <w:color w:val="auto"/>
                      <w:lang w:val="en-US" w:eastAsia="zh-CN"/>
                    </w:rPr>
                  </w:pPr>
                  <w:r>
                    <w:rPr>
                      <w:rFonts w:hint="eastAsia"/>
                      <w:color w:val="auto"/>
                      <w:lang w:val="en-US" w:eastAsia="zh-CN"/>
                    </w:rPr>
                    <w:t>水</w:t>
                  </w:r>
                </w:p>
              </w:tc>
              <w:tc>
                <w:tcPr>
                  <w:tcW w:w="868" w:type="pct"/>
                  <w:tcBorders>
                    <w:tl2br w:val="nil"/>
                    <w:tr2bl w:val="nil"/>
                  </w:tcBorders>
                  <w:noWrap w:val="0"/>
                  <w:vAlign w:val="center"/>
                </w:tcPr>
                <w:p w14:paraId="4710E2B3">
                  <w:pPr>
                    <w:pStyle w:val="53"/>
                    <w:bidi w:val="0"/>
                    <w:jc w:val="center"/>
                    <w:rPr>
                      <w:rFonts w:hint="default"/>
                      <w:color w:val="auto"/>
                      <w:lang w:val="en-US" w:eastAsia="zh-CN"/>
                    </w:rPr>
                  </w:pPr>
                  <w:r>
                    <w:rPr>
                      <w:rFonts w:hint="default"/>
                      <w:color w:val="auto"/>
                      <w:lang w:val="en-US" w:eastAsia="zh-CN"/>
                    </w:rPr>
                    <w:t>28024.8</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/a</w:t>
                  </w:r>
                </w:p>
              </w:tc>
              <w:tc>
                <w:tcPr>
                  <w:tcW w:w="3298" w:type="pct"/>
                  <w:tcBorders>
                    <w:tl2br w:val="nil"/>
                    <w:tr2bl w:val="nil"/>
                  </w:tcBorders>
                  <w:noWrap w:val="0"/>
                  <w:vAlign w:val="center"/>
                </w:tcPr>
                <w:p w14:paraId="302C83A5">
                  <w:pPr>
                    <w:pStyle w:val="53"/>
                    <w:bidi w:val="0"/>
                    <w:jc w:val="both"/>
                    <w:rPr>
                      <w:rFonts w:hint="default"/>
                      <w:color w:val="auto"/>
                      <w:lang w:val="en-US" w:eastAsia="zh-CN"/>
                    </w:rPr>
                  </w:pPr>
                  <w:r>
                    <w:rPr>
                      <w:rFonts w:hint="eastAsia"/>
                      <w:color w:val="auto"/>
                      <w:lang w:val="en-US" w:eastAsia="zh-CN"/>
                    </w:rPr>
                    <w:t>生活用水购买桶装水，生产用水由罐车拉运甘其毛都口岸加工园区污水处理厂中水。</w:t>
                  </w:r>
                </w:p>
              </w:tc>
            </w:tr>
          </w:tbl>
          <w:p w14:paraId="3A104AD2">
            <w:pPr>
              <w:pStyle w:val="54"/>
              <w:bidi w:val="0"/>
              <w:rPr>
                <w:rFonts w:hint="eastAsia"/>
                <w:lang w:val="en-US" w:eastAsia="zh-CN"/>
              </w:rPr>
            </w:pPr>
            <w:r>
              <w:rPr>
                <w:rFonts w:hint="eastAsia"/>
                <w:b/>
                <w:bCs/>
                <w:lang w:val="en-US" w:eastAsia="zh-CN"/>
              </w:rPr>
              <w:t>5、产品方案</w:t>
            </w:r>
          </w:p>
          <w:p w14:paraId="1B9C6640">
            <w:pPr>
              <w:pStyle w:val="54"/>
              <w:bidi w:val="0"/>
              <w:rPr>
                <w:rFonts w:hint="eastAsia"/>
                <w:lang w:val="en-US" w:eastAsia="zh-CN"/>
              </w:rPr>
            </w:pPr>
            <w:r>
              <w:rPr>
                <w:rFonts w:hint="eastAsia"/>
                <w:lang w:val="en-US" w:eastAsia="zh-CN"/>
              </w:rPr>
              <w:t>本项目建设1条年产20万m</w:t>
            </w:r>
            <w:r>
              <w:rPr>
                <w:rFonts w:hint="eastAsia"/>
                <w:vertAlign w:val="superscript"/>
                <w:lang w:val="en-US" w:eastAsia="zh-CN"/>
              </w:rPr>
              <w:t>3</w:t>
            </w:r>
            <w:r>
              <w:rPr>
                <w:rFonts w:hint="eastAsia"/>
                <w:lang w:val="en-US" w:eastAsia="zh-CN"/>
              </w:rPr>
              <w:t>商品混凝土生产线，产品方案见表7。</w:t>
            </w:r>
          </w:p>
          <w:p w14:paraId="4678D483">
            <w:pPr>
              <w:pStyle w:val="33"/>
              <w:bidi w:val="0"/>
              <w:rPr>
                <w:rFonts w:hint="default"/>
                <w:lang w:val="en-US" w:eastAsia="zh-CN"/>
              </w:rPr>
            </w:pPr>
            <w:r>
              <w:rPr>
                <w:rFonts w:hint="eastAsia"/>
                <w:lang w:val="en-US" w:eastAsia="zh-CN"/>
              </w:rPr>
              <w:t>表7    产品方案一览表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406"/>
              <w:gridCol w:w="1176"/>
              <w:gridCol w:w="958"/>
              <w:gridCol w:w="1027"/>
              <w:gridCol w:w="958"/>
              <w:gridCol w:w="3420"/>
            </w:tblGrid>
            <w:tr w14:paraId="7CCBF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0" w:hRule="atLeast"/>
              </w:trPr>
              <w:tc>
                <w:tcPr>
                  <w:tcW w:w="255" w:type="pct"/>
                  <w:noWrap w:val="0"/>
                  <w:vAlign w:val="center"/>
                </w:tcPr>
                <w:p w14:paraId="5ACAEB5D">
                  <w:pPr>
                    <w:pStyle w:val="53"/>
                    <w:bidi w:val="0"/>
                  </w:pPr>
                  <w:r>
                    <w:t>序号</w:t>
                  </w:r>
                </w:p>
              </w:tc>
              <w:tc>
                <w:tcPr>
                  <w:tcW w:w="740" w:type="pct"/>
                  <w:noWrap w:val="0"/>
                  <w:vAlign w:val="center"/>
                </w:tcPr>
                <w:p w14:paraId="2177FB4A">
                  <w:pPr>
                    <w:pStyle w:val="53"/>
                    <w:bidi w:val="0"/>
                    <w:rPr>
                      <w:rFonts w:hint="eastAsia" w:eastAsia="宋体"/>
                      <w:lang w:eastAsia="zh-CN"/>
                    </w:rPr>
                  </w:pPr>
                  <w:r>
                    <w:rPr>
                      <w:rFonts w:hint="eastAsia"/>
                      <w:lang w:val="en-US" w:eastAsia="zh-CN"/>
                    </w:rPr>
                    <w:t>产品</w:t>
                  </w:r>
                </w:p>
              </w:tc>
              <w:tc>
                <w:tcPr>
                  <w:tcW w:w="602" w:type="pct"/>
                  <w:noWrap w:val="0"/>
                  <w:vAlign w:val="center"/>
                </w:tcPr>
                <w:p w14:paraId="6FB96749">
                  <w:pPr>
                    <w:pStyle w:val="53"/>
                    <w:bidi w:val="0"/>
                  </w:pPr>
                  <w:r>
                    <w:rPr>
                      <w:rFonts w:hint="eastAsia"/>
                    </w:rPr>
                    <w:t>产量（</w:t>
                  </w:r>
                  <w:r>
                    <w:rPr>
                      <w:rFonts w:hint="eastAsia"/>
                      <w:lang w:val="en-US" w:eastAsia="zh-CN"/>
                    </w:rPr>
                    <w:t>m</w:t>
                  </w:r>
                  <w:r>
                    <w:rPr>
                      <w:rFonts w:hint="eastAsia"/>
                      <w:vertAlign w:val="superscript"/>
                      <w:lang w:val="en-US" w:eastAsia="zh-CN"/>
                    </w:rPr>
                    <w:t>3</w:t>
                  </w:r>
                  <w:r>
                    <w:rPr>
                      <w:rFonts w:hint="eastAsia"/>
                      <w:lang w:val="en-US" w:eastAsia="zh-CN"/>
                    </w:rPr>
                    <w:t>/a</w:t>
                  </w:r>
                  <w:r>
                    <w:rPr>
                      <w:rFonts w:hint="eastAsia"/>
                    </w:rPr>
                    <w:t>）</w:t>
                  </w:r>
                </w:p>
              </w:tc>
              <w:tc>
                <w:tcPr>
                  <w:tcW w:w="646" w:type="pct"/>
                  <w:noWrap w:val="0"/>
                  <w:vAlign w:val="center"/>
                </w:tcPr>
                <w:p w14:paraId="6F17DB7D">
                  <w:pPr>
                    <w:pStyle w:val="53"/>
                    <w:bidi w:val="0"/>
                    <w:rPr>
                      <w:rFonts w:hint="eastAsia" w:eastAsia="宋体"/>
                      <w:lang w:eastAsia="zh-CN"/>
                    </w:rPr>
                  </w:pPr>
                  <w:r>
                    <w:rPr>
                      <w:rFonts w:hint="eastAsia"/>
                    </w:rPr>
                    <w:t>最大干密度</w:t>
                  </w:r>
                  <w:r>
                    <w:rPr>
                      <w:rFonts w:hint="eastAsia"/>
                      <w:lang w:eastAsia="zh-CN"/>
                    </w:rPr>
                    <w:t>（</w:t>
                  </w:r>
                  <w:r>
                    <w:rPr>
                      <w:rFonts w:hint="eastAsia"/>
                      <w:lang w:val="en-US" w:eastAsia="zh-CN"/>
                    </w:rPr>
                    <w:t>g/cm</w:t>
                  </w:r>
                  <w:r>
                    <w:rPr>
                      <w:rFonts w:hint="eastAsia"/>
                      <w:vertAlign w:val="superscript"/>
                      <w:lang w:val="en-US" w:eastAsia="zh-CN"/>
                    </w:rPr>
                    <w:t>3</w:t>
                  </w:r>
                  <w:r>
                    <w:rPr>
                      <w:rFonts w:hint="eastAsia"/>
                      <w:lang w:eastAsia="zh-CN"/>
                    </w:rPr>
                    <w:t>）</w:t>
                  </w:r>
                </w:p>
              </w:tc>
              <w:tc>
                <w:tcPr>
                  <w:tcW w:w="602" w:type="pct"/>
                  <w:noWrap w:val="0"/>
                  <w:vAlign w:val="center"/>
                </w:tcPr>
                <w:p w14:paraId="42133088">
                  <w:pPr>
                    <w:pStyle w:val="53"/>
                    <w:bidi w:val="0"/>
                    <w:rPr>
                      <w:rFonts w:hint="eastAsia" w:eastAsia="宋体"/>
                      <w:lang w:eastAsia="zh-CN"/>
                    </w:rPr>
                  </w:pPr>
                  <w:r>
                    <w:rPr>
                      <w:rFonts w:hint="eastAsia"/>
                    </w:rPr>
                    <w:t>最佳含水率</w:t>
                  </w:r>
                  <w:r>
                    <w:rPr>
                      <w:rFonts w:hint="eastAsia"/>
                      <w:lang w:eastAsia="zh-CN"/>
                    </w:rPr>
                    <w:t>（</w:t>
                  </w:r>
                  <w:r>
                    <w:rPr>
                      <w:rFonts w:hint="eastAsia"/>
                      <w:lang w:val="en-US" w:eastAsia="zh-CN"/>
                    </w:rPr>
                    <w:t>%</w:t>
                  </w:r>
                  <w:r>
                    <w:rPr>
                      <w:rFonts w:hint="eastAsia"/>
                      <w:lang w:eastAsia="zh-CN"/>
                    </w:rPr>
                    <w:t>）</w:t>
                  </w:r>
                </w:p>
              </w:tc>
              <w:tc>
                <w:tcPr>
                  <w:tcW w:w="2152" w:type="pct"/>
                  <w:noWrap w:val="0"/>
                  <w:vAlign w:val="center"/>
                </w:tcPr>
                <w:p w14:paraId="39A1CE91">
                  <w:pPr>
                    <w:pStyle w:val="53"/>
                    <w:bidi w:val="0"/>
                  </w:pPr>
                  <w:r>
                    <w:t>备注</w:t>
                  </w:r>
                </w:p>
              </w:tc>
            </w:tr>
            <w:tr w14:paraId="034006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20" w:hRule="atLeast"/>
              </w:trPr>
              <w:tc>
                <w:tcPr>
                  <w:tcW w:w="255" w:type="pct"/>
                  <w:noWrap w:val="0"/>
                  <w:vAlign w:val="center"/>
                </w:tcPr>
                <w:p w14:paraId="6D9D022B">
                  <w:pPr>
                    <w:pStyle w:val="53"/>
                    <w:bidi w:val="0"/>
                  </w:pPr>
                  <w:r>
                    <w:t>1</w:t>
                  </w:r>
                </w:p>
              </w:tc>
              <w:tc>
                <w:tcPr>
                  <w:tcW w:w="740" w:type="pct"/>
                  <w:noWrap w:val="0"/>
                  <w:vAlign w:val="center"/>
                </w:tcPr>
                <w:p w14:paraId="6D65F810">
                  <w:pPr>
                    <w:pStyle w:val="53"/>
                    <w:bidi w:val="0"/>
                    <w:rPr>
                      <w:rFonts w:hint="default" w:eastAsia="宋体"/>
                      <w:color w:val="auto"/>
                      <w:lang w:val="en-US" w:eastAsia="zh-CN"/>
                    </w:rPr>
                  </w:pPr>
                  <w:r>
                    <w:rPr>
                      <w:rFonts w:hint="eastAsia"/>
                      <w:color w:val="auto"/>
                      <w:lang w:val="en-US" w:eastAsia="zh-CN"/>
                    </w:rPr>
                    <w:t>商品混凝土</w:t>
                  </w:r>
                </w:p>
              </w:tc>
              <w:tc>
                <w:tcPr>
                  <w:tcW w:w="602" w:type="pct"/>
                  <w:noWrap w:val="0"/>
                  <w:vAlign w:val="center"/>
                </w:tcPr>
                <w:p w14:paraId="6F7D1489">
                  <w:pPr>
                    <w:pStyle w:val="53"/>
                    <w:bidi w:val="0"/>
                    <w:rPr>
                      <w:color w:val="auto"/>
                    </w:rPr>
                  </w:pPr>
                  <w:r>
                    <w:rPr>
                      <w:rFonts w:hint="eastAsia"/>
                      <w:color w:val="auto"/>
                      <w:lang w:val="en-US" w:eastAsia="zh-CN"/>
                    </w:rPr>
                    <w:t>20</w:t>
                  </w:r>
                  <w:r>
                    <w:rPr>
                      <w:color w:val="auto"/>
                    </w:rPr>
                    <w:t>万</w:t>
                  </w:r>
                </w:p>
              </w:tc>
              <w:tc>
                <w:tcPr>
                  <w:tcW w:w="646" w:type="pct"/>
                  <w:noWrap w:val="0"/>
                  <w:vAlign w:val="center"/>
                </w:tcPr>
                <w:p w14:paraId="5CF3CEF7">
                  <w:pPr>
                    <w:pStyle w:val="53"/>
                    <w:bidi w:val="0"/>
                    <w:jc w:val="center"/>
                    <w:rPr>
                      <w:rFonts w:hint="default" w:eastAsia="宋体"/>
                      <w:color w:val="auto"/>
                      <w:lang w:val="en-US" w:eastAsia="zh-CN"/>
                    </w:rPr>
                  </w:pPr>
                  <w:r>
                    <w:rPr>
                      <w:rFonts w:hint="eastAsia"/>
                      <w:color w:val="auto"/>
                      <w:lang w:val="en-US" w:eastAsia="zh-CN"/>
                    </w:rPr>
                    <w:t>2.387</w:t>
                  </w:r>
                </w:p>
              </w:tc>
              <w:tc>
                <w:tcPr>
                  <w:tcW w:w="602" w:type="pct"/>
                  <w:noWrap w:val="0"/>
                  <w:vAlign w:val="center"/>
                </w:tcPr>
                <w:p w14:paraId="5A59E3F9">
                  <w:pPr>
                    <w:pStyle w:val="53"/>
                    <w:bidi w:val="0"/>
                    <w:jc w:val="center"/>
                    <w:rPr>
                      <w:rFonts w:hint="default"/>
                      <w:color w:val="auto"/>
                      <w:lang w:val="en-US" w:eastAsia="zh-CN"/>
                    </w:rPr>
                  </w:pPr>
                  <w:r>
                    <w:rPr>
                      <w:rFonts w:hint="eastAsia"/>
                      <w:color w:val="auto"/>
                      <w:lang w:val="en-US" w:eastAsia="zh-CN"/>
                    </w:rPr>
                    <w:t>5</w:t>
                  </w:r>
                </w:p>
              </w:tc>
              <w:tc>
                <w:tcPr>
                  <w:tcW w:w="2152" w:type="pct"/>
                  <w:noWrap w:val="0"/>
                  <w:vAlign w:val="center"/>
                </w:tcPr>
                <w:p w14:paraId="4C5549EC">
                  <w:pPr>
                    <w:pStyle w:val="53"/>
                    <w:bidi w:val="0"/>
                    <w:jc w:val="both"/>
                    <w:rPr>
                      <w:rFonts w:hint="eastAsia"/>
                      <w:color w:val="auto"/>
                      <w:lang w:val="en-US" w:eastAsia="zh-CN"/>
                    </w:rPr>
                  </w:pPr>
                  <w:r>
                    <w:rPr>
                      <w:rFonts w:hint="eastAsia"/>
                      <w:color w:val="auto"/>
                      <w:lang w:val="en-US" w:eastAsia="zh-CN"/>
                    </w:rPr>
                    <w:t>用于乌拉特中旗德岭山镇区域外售。</w:t>
                  </w:r>
                </w:p>
              </w:tc>
            </w:tr>
          </w:tbl>
          <w:p w14:paraId="313C6F5A">
            <w:pPr>
              <w:pStyle w:val="54"/>
              <w:bidi w:val="0"/>
              <w:rPr>
                <w:rFonts w:hint="eastAsia"/>
                <w:b/>
                <w:bCs/>
                <w:lang w:val="en-US" w:eastAsia="zh-CN"/>
              </w:rPr>
            </w:pPr>
            <w:r>
              <w:rPr>
                <w:rFonts w:hint="eastAsia"/>
                <w:b/>
                <w:bCs/>
                <w:lang w:val="en-US" w:eastAsia="zh-CN"/>
              </w:rPr>
              <w:t>6、产品质量执行标准</w:t>
            </w:r>
          </w:p>
          <w:p w14:paraId="132FB11F">
            <w:pPr>
              <w:pStyle w:val="54"/>
              <w:bidi w:val="0"/>
              <w:rPr>
                <w:rFonts w:hint="eastAsia"/>
                <w:lang w:val="en-US" w:eastAsia="zh-CN"/>
              </w:rPr>
            </w:pPr>
            <w:r>
              <w:rPr>
                <w:rFonts w:hint="eastAsia"/>
                <w:lang w:val="en-US" w:eastAsia="zh-CN"/>
              </w:rPr>
              <w:t>本项目产品质量标准执行《预拌混凝土》（GB/T14902-2012）。</w:t>
            </w:r>
          </w:p>
          <w:p w14:paraId="0E3B40DD">
            <w:pPr>
              <w:pStyle w:val="33"/>
              <w:bidi w:val="0"/>
              <w:rPr>
                <w:rFonts w:hint="eastAsia"/>
                <w:lang w:val="en-US" w:eastAsia="zh-CN"/>
              </w:rPr>
            </w:pPr>
            <w:r>
              <w:rPr>
                <w:rFonts w:hint="eastAsia"/>
                <w:lang w:val="en-US" w:eastAsia="zh-CN"/>
              </w:rPr>
              <w:t>表8    特制品的混凝土种类及代号</w:t>
            </w:r>
          </w:p>
          <w:p w14:paraId="7A4B8D96">
            <w:pPr>
              <w:pStyle w:val="54"/>
              <w:bidi w:val="0"/>
              <w:ind w:left="0" w:leftChars="0" w:firstLine="0" w:firstLineChars="0"/>
              <w:jc w:val="center"/>
              <w:rPr>
                <w:rFonts w:hint="eastAsia"/>
                <w:lang w:val="en-US" w:eastAsia="zh-CN"/>
              </w:rPr>
            </w:pPr>
            <w:r>
              <w:drawing>
                <wp:inline distT="0" distB="0" distL="114300" distR="114300">
                  <wp:extent cx="5044440" cy="758825"/>
                  <wp:effectExtent l="0" t="0" r="3810" b="3175"/>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13"/>
                          <a:stretch>
                            <a:fillRect/>
                          </a:stretch>
                        </pic:blipFill>
                        <pic:spPr>
                          <a:xfrm>
                            <a:off x="0" y="0"/>
                            <a:ext cx="5044440" cy="758825"/>
                          </a:xfrm>
                          <a:prstGeom prst="rect">
                            <a:avLst/>
                          </a:prstGeom>
                          <a:noFill/>
                          <a:ln>
                            <a:noFill/>
                          </a:ln>
                        </pic:spPr>
                      </pic:pic>
                    </a:graphicData>
                  </a:graphic>
                </wp:inline>
              </w:drawing>
            </w:r>
          </w:p>
          <w:p w14:paraId="2BC91307">
            <w:pPr>
              <w:pStyle w:val="33"/>
              <w:bidi w:val="0"/>
              <w:rPr>
                <w:rFonts w:hint="eastAsia"/>
                <w:lang w:val="en-US" w:eastAsia="zh-CN"/>
              </w:rPr>
            </w:pPr>
            <w:r>
              <w:rPr>
                <w:rFonts w:hint="eastAsia"/>
                <w:lang w:val="en-US" w:eastAsia="zh-CN"/>
              </w:rPr>
              <w:t>表9    混凝土拌和物的坍落度等级划分  单位：毫米</w:t>
            </w:r>
          </w:p>
          <w:p w14:paraId="47FEF7DE">
            <w:pPr>
              <w:pStyle w:val="54"/>
              <w:bidi w:val="0"/>
              <w:ind w:left="0" w:leftChars="0" w:firstLine="0" w:firstLineChars="0"/>
              <w:jc w:val="center"/>
              <w:rPr>
                <w:rFonts w:hint="eastAsia"/>
                <w:lang w:val="en-US" w:eastAsia="zh-CN"/>
              </w:rPr>
            </w:pPr>
            <w:r>
              <w:drawing>
                <wp:inline distT="0" distB="0" distL="114300" distR="114300">
                  <wp:extent cx="5042535" cy="1100455"/>
                  <wp:effectExtent l="0" t="0" r="5715" b="444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14"/>
                          <a:stretch>
                            <a:fillRect/>
                          </a:stretch>
                        </pic:blipFill>
                        <pic:spPr>
                          <a:xfrm>
                            <a:off x="0" y="0"/>
                            <a:ext cx="5042535" cy="1100455"/>
                          </a:xfrm>
                          <a:prstGeom prst="rect">
                            <a:avLst/>
                          </a:prstGeom>
                          <a:noFill/>
                          <a:ln>
                            <a:noFill/>
                          </a:ln>
                        </pic:spPr>
                      </pic:pic>
                    </a:graphicData>
                  </a:graphic>
                </wp:inline>
              </w:drawing>
            </w:r>
          </w:p>
          <w:p w14:paraId="33FD5304">
            <w:pPr>
              <w:pStyle w:val="33"/>
              <w:bidi w:val="0"/>
              <w:rPr>
                <w:rFonts w:hint="eastAsia"/>
                <w:lang w:val="en-US" w:eastAsia="zh-CN"/>
              </w:rPr>
            </w:pPr>
            <w:r>
              <w:rPr>
                <w:rFonts w:hint="eastAsia"/>
                <w:lang w:val="en-US" w:eastAsia="zh-CN"/>
              </w:rPr>
              <w:t>表10    混凝土拌和物的扩展度等级划分  单位：毫米</w:t>
            </w:r>
          </w:p>
          <w:p w14:paraId="7ACDDCDD">
            <w:pPr>
              <w:pStyle w:val="54"/>
              <w:bidi w:val="0"/>
              <w:ind w:left="0" w:leftChars="0" w:firstLine="0" w:firstLineChars="0"/>
              <w:jc w:val="center"/>
              <w:rPr>
                <w:rFonts w:hint="eastAsia"/>
                <w:lang w:val="en-US" w:eastAsia="zh-CN"/>
              </w:rPr>
            </w:pPr>
            <w:r>
              <w:drawing>
                <wp:inline distT="0" distB="0" distL="114300" distR="114300">
                  <wp:extent cx="5036820" cy="1242060"/>
                  <wp:effectExtent l="0" t="0" r="11430" b="1524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15"/>
                          <a:stretch>
                            <a:fillRect/>
                          </a:stretch>
                        </pic:blipFill>
                        <pic:spPr>
                          <a:xfrm>
                            <a:off x="0" y="0"/>
                            <a:ext cx="5036820" cy="1242060"/>
                          </a:xfrm>
                          <a:prstGeom prst="rect">
                            <a:avLst/>
                          </a:prstGeom>
                          <a:noFill/>
                          <a:ln>
                            <a:noFill/>
                          </a:ln>
                        </pic:spPr>
                      </pic:pic>
                    </a:graphicData>
                  </a:graphic>
                </wp:inline>
              </w:drawing>
            </w:r>
          </w:p>
          <w:p w14:paraId="01E62736">
            <w:pPr>
              <w:pStyle w:val="33"/>
              <w:bidi w:val="0"/>
              <w:rPr>
                <w:rFonts w:hint="eastAsia"/>
                <w:lang w:val="en-US" w:eastAsia="zh-CN"/>
              </w:rPr>
            </w:pPr>
            <w:r>
              <w:rPr>
                <w:rFonts w:hint="eastAsia"/>
                <w:lang w:val="en-US" w:eastAsia="zh-CN"/>
              </w:rPr>
              <w:t>表11    混凝土抗冻、抗渗、抗硫酸盐等级划分</w:t>
            </w:r>
          </w:p>
          <w:p w14:paraId="1374F686">
            <w:pPr>
              <w:pStyle w:val="54"/>
              <w:bidi w:val="0"/>
              <w:ind w:left="0" w:leftChars="0" w:firstLine="0" w:firstLineChars="0"/>
              <w:jc w:val="center"/>
              <w:rPr>
                <w:rFonts w:hint="default"/>
                <w:lang w:val="en-US" w:eastAsia="zh-CN"/>
              </w:rPr>
            </w:pPr>
            <w:r>
              <w:drawing>
                <wp:inline distT="0" distB="0" distL="114300" distR="114300">
                  <wp:extent cx="5042535" cy="1527175"/>
                  <wp:effectExtent l="0" t="0" r="5715" b="15875"/>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16"/>
                          <a:stretch>
                            <a:fillRect/>
                          </a:stretch>
                        </pic:blipFill>
                        <pic:spPr>
                          <a:xfrm>
                            <a:off x="0" y="0"/>
                            <a:ext cx="5042535" cy="1527175"/>
                          </a:xfrm>
                          <a:prstGeom prst="rect">
                            <a:avLst/>
                          </a:prstGeom>
                          <a:noFill/>
                          <a:ln>
                            <a:noFill/>
                          </a:ln>
                        </pic:spPr>
                      </pic:pic>
                    </a:graphicData>
                  </a:graphic>
                </wp:inline>
              </w:drawing>
            </w:r>
          </w:p>
          <w:p w14:paraId="5EBB4532">
            <w:pPr>
              <w:pStyle w:val="33"/>
              <w:bidi w:val="0"/>
              <w:rPr>
                <w:rFonts w:hint="eastAsia"/>
                <w:lang w:val="en-US" w:eastAsia="zh-CN"/>
              </w:rPr>
            </w:pPr>
            <w:r>
              <w:rPr>
                <w:rFonts w:hint="eastAsia"/>
                <w:lang w:val="en-US" w:eastAsia="zh-CN"/>
              </w:rPr>
              <w:t>表12    混凝土抗氯离子渗透性能的等级划分（电通量法）</w:t>
            </w:r>
          </w:p>
          <w:p w14:paraId="712FBDEC">
            <w:pPr>
              <w:pStyle w:val="54"/>
              <w:bidi w:val="0"/>
              <w:ind w:left="0" w:leftChars="0" w:firstLine="0" w:firstLineChars="0"/>
              <w:jc w:val="center"/>
              <w:rPr>
                <w:rFonts w:hint="eastAsia"/>
                <w:lang w:val="en-US" w:eastAsia="zh-CN"/>
              </w:rPr>
            </w:pPr>
            <w:r>
              <w:drawing>
                <wp:inline distT="0" distB="0" distL="114300" distR="114300">
                  <wp:extent cx="5041900" cy="850900"/>
                  <wp:effectExtent l="0" t="0" r="6350" b="635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17"/>
                          <a:stretch>
                            <a:fillRect/>
                          </a:stretch>
                        </pic:blipFill>
                        <pic:spPr>
                          <a:xfrm>
                            <a:off x="0" y="0"/>
                            <a:ext cx="5041900" cy="850900"/>
                          </a:xfrm>
                          <a:prstGeom prst="rect">
                            <a:avLst/>
                          </a:prstGeom>
                          <a:noFill/>
                          <a:ln>
                            <a:noFill/>
                          </a:ln>
                        </pic:spPr>
                      </pic:pic>
                    </a:graphicData>
                  </a:graphic>
                </wp:inline>
              </w:drawing>
            </w:r>
          </w:p>
          <w:p w14:paraId="41553B5D">
            <w:pPr>
              <w:pStyle w:val="33"/>
              <w:bidi w:val="0"/>
              <w:rPr>
                <w:rFonts w:hint="eastAsia"/>
                <w:lang w:val="en-US" w:eastAsia="zh-CN"/>
              </w:rPr>
            </w:pPr>
            <w:r>
              <w:rPr>
                <w:rFonts w:hint="eastAsia"/>
                <w:lang w:val="en-US" w:eastAsia="zh-CN"/>
              </w:rPr>
              <w:t>表13    混凝土抗氯离子渗透性能（84D）的等级划分（RCM法）</w:t>
            </w:r>
          </w:p>
          <w:p w14:paraId="49C0B1CF">
            <w:pPr>
              <w:pStyle w:val="54"/>
              <w:bidi w:val="0"/>
              <w:ind w:left="0" w:leftChars="0" w:firstLine="0" w:firstLineChars="0"/>
              <w:jc w:val="center"/>
              <w:rPr>
                <w:rFonts w:hint="eastAsia"/>
                <w:lang w:val="en-US" w:eastAsia="zh-CN"/>
              </w:rPr>
            </w:pPr>
            <w:r>
              <w:drawing>
                <wp:inline distT="0" distB="0" distL="114300" distR="114300">
                  <wp:extent cx="5040630" cy="683260"/>
                  <wp:effectExtent l="0" t="0" r="7620" b="254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18"/>
                          <a:stretch>
                            <a:fillRect/>
                          </a:stretch>
                        </pic:blipFill>
                        <pic:spPr>
                          <a:xfrm>
                            <a:off x="0" y="0"/>
                            <a:ext cx="5040630" cy="683260"/>
                          </a:xfrm>
                          <a:prstGeom prst="rect">
                            <a:avLst/>
                          </a:prstGeom>
                          <a:noFill/>
                          <a:ln>
                            <a:noFill/>
                          </a:ln>
                        </pic:spPr>
                      </pic:pic>
                    </a:graphicData>
                  </a:graphic>
                </wp:inline>
              </w:drawing>
            </w:r>
          </w:p>
          <w:p w14:paraId="5F73F523">
            <w:pPr>
              <w:pStyle w:val="33"/>
              <w:bidi w:val="0"/>
              <w:rPr>
                <w:rFonts w:hint="eastAsia"/>
                <w:lang w:val="en-US" w:eastAsia="zh-CN"/>
              </w:rPr>
            </w:pPr>
            <w:r>
              <w:rPr>
                <w:rFonts w:hint="eastAsia"/>
                <w:lang w:val="en-US" w:eastAsia="zh-CN"/>
              </w:rPr>
              <w:t>表14    混凝土抗碳化性能的等级划分</w:t>
            </w:r>
          </w:p>
          <w:p w14:paraId="3D60361B">
            <w:pPr>
              <w:pStyle w:val="54"/>
              <w:bidi w:val="0"/>
              <w:ind w:left="0" w:leftChars="0" w:firstLine="0" w:firstLineChars="0"/>
              <w:jc w:val="center"/>
              <w:rPr>
                <w:rFonts w:hint="eastAsia"/>
                <w:lang w:val="en-US" w:eastAsia="zh-CN"/>
              </w:rPr>
            </w:pPr>
            <w:r>
              <w:drawing>
                <wp:inline distT="0" distB="0" distL="114300" distR="114300">
                  <wp:extent cx="5042535" cy="503555"/>
                  <wp:effectExtent l="0" t="0" r="5715" b="10795"/>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19"/>
                          <a:stretch>
                            <a:fillRect/>
                          </a:stretch>
                        </pic:blipFill>
                        <pic:spPr>
                          <a:xfrm>
                            <a:off x="0" y="0"/>
                            <a:ext cx="5042535" cy="503555"/>
                          </a:xfrm>
                          <a:prstGeom prst="rect">
                            <a:avLst/>
                          </a:prstGeom>
                          <a:noFill/>
                          <a:ln>
                            <a:noFill/>
                          </a:ln>
                        </pic:spPr>
                      </pic:pic>
                    </a:graphicData>
                  </a:graphic>
                </wp:inline>
              </w:drawing>
            </w:r>
          </w:p>
          <w:p w14:paraId="38ACAF8B">
            <w:pPr>
              <w:pStyle w:val="54"/>
              <w:bidi w:val="0"/>
              <w:rPr>
                <w:rFonts w:hint="eastAsia"/>
                <w:lang w:val="en-US" w:eastAsia="zh-CN"/>
              </w:rPr>
            </w:pPr>
            <w:r>
              <w:rPr>
                <w:rFonts w:hint="eastAsia"/>
                <w:b/>
                <w:bCs/>
                <w:lang w:val="en-US" w:eastAsia="zh-CN"/>
              </w:rPr>
              <w:t>7、给排水</w:t>
            </w:r>
          </w:p>
          <w:p w14:paraId="7240F138">
            <w:pPr>
              <w:pStyle w:val="54"/>
              <w:bidi w:val="0"/>
              <w:rPr>
                <w:rFonts w:hint="eastAsia"/>
                <w:lang w:val="en-US" w:eastAsia="zh-CN"/>
              </w:rPr>
            </w:pPr>
            <w:r>
              <w:rPr>
                <w:rFonts w:hint="eastAsia"/>
                <w:lang w:val="en-US" w:eastAsia="zh-CN"/>
              </w:rPr>
              <w:t>1）给水</w:t>
            </w:r>
          </w:p>
          <w:p w14:paraId="43BED98B">
            <w:pPr>
              <w:pStyle w:val="54"/>
              <w:bidi w:val="0"/>
              <w:rPr>
                <w:rFonts w:hint="eastAsia"/>
                <w:lang w:val="en-US" w:eastAsia="zh-CN"/>
              </w:rPr>
            </w:pPr>
            <w:r>
              <w:rPr>
                <w:rFonts w:hint="eastAsia"/>
                <w:color w:val="auto"/>
                <w:lang w:val="en-US" w:eastAsia="zh-CN"/>
              </w:rPr>
              <w:t>本项用水主要为生活用水和生产用水，生活用水购买桶装水，生产用水由罐车拉运甘其毛都口岸加工园区污水处理厂中水。</w:t>
            </w:r>
          </w:p>
          <w:p w14:paraId="2B14AA2C">
            <w:pPr>
              <w:pStyle w:val="54"/>
              <w:bidi w:val="0"/>
              <w:rPr>
                <w:rFonts w:hint="default"/>
                <w:lang w:val="en-US" w:eastAsia="zh-CN"/>
              </w:rPr>
            </w:pPr>
            <w:r>
              <w:rPr>
                <w:rFonts w:hint="eastAsia"/>
                <w:lang w:val="en-US" w:eastAsia="zh-CN"/>
              </w:rPr>
              <w:t>（1）生活用水：本项目运营期劳动定员8人，年运行210天，生活用水定额按照《内蒙古自治区行业用水定额标准》（DB15/T385-2020）中农村居民用水定额60L/人•天计，则本项目员工生活用水量为0.48m</w:t>
            </w:r>
            <w:r>
              <w:rPr>
                <w:rFonts w:hint="eastAsia"/>
                <w:vertAlign w:val="superscript"/>
                <w:lang w:val="en-US" w:eastAsia="zh-CN"/>
              </w:rPr>
              <w:t>3</w:t>
            </w:r>
            <w:r>
              <w:rPr>
                <w:rFonts w:hint="eastAsia"/>
                <w:lang w:val="en-US" w:eastAsia="zh-CN"/>
              </w:rPr>
              <w:t>/d（100.8m</w:t>
            </w:r>
            <w:r>
              <w:rPr>
                <w:rFonts w:hint="eastAsia"/>
                <w:vertAlign w:val="superscript"/>
                <w:lang w:val="en-US" w:eastAsia="zh-CN"/>
              </w:rPr>
              <w:t>3</w:t>
            </w:r>
            <w:r>
              <w:rPr>
                <w:rFonts w:hint="eastAsia"/>
                <w:lang w:val="en-US" w:eastAsia="zh-CN"/>
              </w:rPr>
              <w:t>/a）。</w:t>
            </w:r>
          </w:p>
          <w:p w14:paraId="1E781CC2">
            <w:pPr>
              <w:pStyle w:val="54"/>
              <w:bidi w:val="0"/>
              <w:rPr>
                <w:rFonts w:hint="default"/>
                <w:lang w:val="en-US" w:eastAsia="zh-CN"/>
              </w:rPr>
            </w:pPr>
            <w:r>
              <w:rPr>
                <w:rFonts w:hint="eastAsia"/>
                <w:lang w:val="en-US" w:eastAsia="zh-CN"/>
              </w:rPr>
              <w:t>（2）生产用水</w:t>
            </w:r>
          </w:p>
          <w:p w14:paraId="17F72C6A">
            <w:pPr>
              <w:pStyle w:val="54"/>
              <w:bidi w:val="0"/>
              <w:rPr>
                <w:rFonts w:hint="default"/>
                <w:lang w:val="en-US" w:eastAsia="zh-CN"/>
              </w:rPr>
            </w:pPr>
            <w:r>
              <w:rPr>
                <w:rFonts w:hint="eastAsia"/>
                <w:lang w:val="en-US" w:eastAsia="zh-CN"/>
              </w:rPr>
              <w:fldChar w:fldCharType="begin"/>
            </w:r>
            <w:r>
              <w:rPr>
                <w:rFonts w:hint="eastAsia"/>
                <w:lang w:val="en-US" w:eastAsia="zh-CN"/>
              </w:rPr>
              <w:instrText xml:space="preserve"> = 1 \* GB3 \* MERGEFORMAT </w:instrText>
            </w:r>
            <w:r>
              <w:rPr>
                <w:rFonts w:hint="eastAsia"/>
                <w:lang w:val="en-US" w:eastAsia="zh-CN"/>
              </w:rPr>
              <w:fldChar w:fldCharType="separate"/>
            </w:r>
            <w:r>
              <w:t>①</w:t>
            </w:r>
            <w:r>
              <w:rPr>
                <w:rFonts w:hint="eastAsia"/>
                <w:lang w:val="en-US" w:eastAsia="zh-CN"/>
              </w:rPr>
              <w:fldChar w:fldCharType="end"/>
            </w:r>
            <w:r>
              <w:rPr>
                <w:rFonts w:hint="eastAsia"/>
                <w:lang w:val="en-US" w:eastAsia="zh-CN"/>
              </w:rPr>
              <w:t>搅拌用水：按照业主提供资料，本项目混凝土搅拌用水量为23100m</w:t>
            </w:r>
            <w:r>
              <w:rPr>
                <w:rFonts w:hint="eastAsia"/>
                <w:vertAlign w:val="superscript"/>
                <w:lang w:val="en-US" w:eastAsia="zh-CN"/>
              </w:rPr>
              <w:t>3</w:t>
            </w:r>
            <w:r>
              <w:rPr>
                <w:rFonts w:hint="eastAsia"/>
                <w:lang w:val="en-US" w:eastAsia="zh-CN"/>
              </w:rPr>
              <w:t>/a（110m</w:t>
            </w:r>
            <w:r>
              <w:rPr>
                <w:rFonts w:hint="eastAsia"/>
                <w:vertAlign w:val="superscript"/>
                <w:lang w:val="en-US" w:eastAsia="zh-CN"/>
              </w:rPr>
              <w:t>3</w:t>
            </w:r>
            <w:r>
              <w:rPr>
                <w:rFonts w:hint="eastAsia"/>
                <w:lang w:val="en-US" w:eastAsia="zh-CN"/>
              </w:rPr>
              <w:t>/d）。</w:t>
            </w:r>
          </w:p>
          <w:p w14:paraId="3AB588D7">
            <w:pPr>
              <w:pStyle w:val="54"/>
              <w:bidi w:val="0"/>
              <w:rPr>
                <w:rFonts w:hint="default"/>
                <w:lang w:val="en-US" w:eastAsia="zh-CN"/>
              </w:rPr>
            </w:pPr>
            <w:r>
              <w:rPr>
                <w:rFonts w:hint="eastAsia"/>
                <w:lang w:val="en-US" w:eastAsia="zh-CN"/>
              </w:rPr>
              <w:fldChar w:fldCharType="begin"/>
            </w:r>
            <w:r>
              <w:rPr>
                <w:rFonts w:hint="eastAsia"/>
                <w:lang w:val="en-US" w:eastAsia="zh-CN"/>
              </w:rPr>
              <w:instrText xml:space="preserve"> = 2 \* GB3 \* MERGEFORMAT </w:instrText>
            </w:r>
            <w:r>
              <w:rPr>
                <w:rFonts w:hint="eastAsia"/>
                <w:lang w:val="en-US" w:eastAsia="zh-CN"/>
              </w:rPr>
              <w:fldChar w:fldCharType="separate"/>
            </w:r>
            <w:r>
              <w:t>②</w:t>
            </w:r>
            <w:r>
              <w:rPr>
                <w:rFonts w:hint="eastAsia"/>
                <w:lang w:val="en-US" w:eastAsia="zh-CN"/>
              </w:rPr>
              <w:fldChar w:fldCharType="end"/>
            </w:r>
            <w:r>
              <w:rPr>
                <w:rFonts w:hint="eastAsia"/>
                <w:lang w:val="en-US" w:eastAsia="zh-CN"/>
              </w:rPr>
              <w:t>全封闭搅拌机清洗用水：根据设备设计参数，搅拌机在每天暂停生产时应进行清洗，清洗用水量约2m</w:t>
            </w:r>
            <w:r>
              <w:rPr>
                <w:rFonts w:hint="eastAsia"/>
                <w:vertAlign w:val="superscript"/>
                <w:lang w:val="en-US" w:eastAsia="zh-CN"/>
              </w:rPr>
              <w:t>3</w:t>
            </w:r>
            <w:r>
              <w:rPr>
                <w:rFonts w:hint="eastAsia"/>
                <w:lang w:val="en-US" w:eastAsia="zh-CN"/>
              </w:rPr>
              <w:t>/台·次，项目有1台搅拌机，全年工作210天，则搅拌机清洗用水量为2m</w:t>
            </w:r>
            <w:r>
              <w:rPr>
                <w:rFonts w:hint="eastAsia"/>
                <w:vertAlign w:val="superscript"/>
                <w:lang w:val="en-US" w:eastAsia="zh-CN"/>
              </w:rPr>
              <w:t>3</w:t>
            </w:r>
            <w:r>
              <w:rPr>
                <w:rFonts w:hint="eastAsia"/>
                <w:lang w:val="en-US" w:eastAsia="zh-CN"/>
              </w:rPr>
              <w:t>/d（420m</w:t>
            </w:r>
            <w:r>
              <w:rPr>
                <w:rFonts w:hint="eastAsia"/>
                <w:vertAlign w:val="superscript"/>
                <w:lang w:val="en-US" w:eastAsia="zh-CN"/>
              </w:rPr>
              <w:t>3</w:t>
            </w:r>
            <w:r>
              <w:rPr>
                <w:rFonts w:hint="eastAsia"/>
                <w:lang w:val="en-US" w:eastAsia="zh-CN"/>
              </w:rPr>
              <w:t>/a）。</w:t>
            </w:r>
          </w:p>
          <w:p w14:paraId="6828589D">
            <w:pPr>
              <w:pStyle w:val="54"/>
              <w:bidi w:val="0"/>
              <w:rPr>
                <w:rFonts w:hint="default"/>
                <w:color w:val="auto"/>
                <w:lang w:val="en-US" w:eastAsia="zh-CN"/>
              </w:rPr>
            </w:pPr>
            <w:r>
              <w:rPr>
                <w:rFonts w:hint="eastAsia"/>
                <w:lang w:val="en-US" w:eastAsia="zh-CN"/>
              </w:rPr>
              <w:fldChar w:fldCharType="begin"/>
            </w:r>
            <w:r>
              <w:rPr>
                <w:rFonts w:hint="eastAsia"/>
                <w:lang w:val="en-US" w:eastAsia="zh-CN"/>
              </w:rPr>
              <w:instrText xml:space="preserve"> = 3 \* GB3 \* MERGEFORMAT </w:instrText>
            </w:r>
            <w:r>
              <w:rPr>
                <w:rFonts w:hint="eastAsia"/>
                <w:lang w:val="en-US" w:eastAsia="zh-CN"/>
              </w:rPr>
              <w:fldChar w:fldCharType="separate"/>
            </w:r>
            <w:r>
              <w:t>③</w:t>
            </w:r>
            <w:r>
              <w:rPr>
                <w:rFonts w:hint="eastAsia"/>
                <w:lang w:val="en-US" w:eastAsia="zh-CN"/>
              </w:rPr>
              <w:fldChar w:fldCharType="end"/>
            </w:r>
            <w:r>
              <w:rPr>
                <w:rFonts w:hint="eastAsia"/>
                <w:lang w:val="en-US" w:eastAsia="zh-CN"/>
              </w:rPr>
              <w:t>混凝土运输车清洗用水：混凝土运输车每次运输完成均需要对运输车进行清洗，清洗用水定额按照《内蒙古自治区行业用水定额标准》（DB15/T385-2020）中大型车洗车用水定额0.03m</w:t>
            </w:r>
            <w:r>
              <w:rPr>
                <w:rFonts w:hint="eastAsia"/>
                <w:vertAlign w:val="superscript"/>
                <w:lang w:val="en-US" w:eastAsia="zh-CN"/>
              </w:rPr>
              <w:t>3</w:t>
            </w:r>
            <w:r>
              <w:rPr>
                <w:rFonts w:hint="eastAsia"/>
                <w:lang w:val="en-US" w:eastAsia="zh-CN"/>
              </w:rPr>
              <w:t>/（车次）计。根据企业提供资料，混凝土运输车容量8m</w:t>
            </w:r>
            <w:r>
              <w:rPr>
                <w:rFonts w:hint="eastAsia"/>
                <w:vertAlign w:val="superscript"/>
                <w:lang w:val="en-US" w:eastAsia="zh-CN"/>
              </w:rPr>
              <w:t>3</w:t>
            </w:r>
            <w:r>
              <w:rPr>
                <w:rFonts w:hint="eastAsia"/>
                <w:lang w:val="en-US" w:eastAsia="zh-CN"/>
              </w:rPr>
              <w:t>，全年工作210天，</w:t>
            </w:r>
            <w:r>
              <w:rPr>
                <w:rFonts w:hint="eastAsia"/>
                <w:color w:val="auto"/>
                <w:lang w:val="en-US" w:eastAsia="zh-CN"/>
              </w:rPr>
              <w:t>则清洗用水量为3.57m</w:t>
            </w:r>
            <w:r>
              <w:rPr>
                <w:rFonts w:hint="eastAsia"/>
                <w:color w:val="auto"/>
                <w:vertAlign w:val="superscript"/>
                <w:lang w:val="en-US" w:eastAsia="zh-CN"/>
              </w:rPr>
              <w:t>3</w:t>
            </w:r>
            <w:r>
              <w:rPr>
                <w:rFonts w:hint="eastAsia"/>
                <w:color w:val="auto"/>
                <w:lang w:val="en-US" w:eastAsia="zh-CN"/>
              </w:rPr>
              <w:t>/d（750m</w:t>
            </w:r>
            <w:r>
              <w:rPr>
                <w:rFonts w:hint="eastAsia"/>
                <w:color w:val="auto"/>
                <w:vertAlign w:val="superscript"/>
                <w:lang w:val="en-US" w:eastAsia="zh-CN"/>
              </w:rPr>
              <w:t>3</w:t>
            </w:r>
            <w:r>
              <w:rPr>
                <w:rFonts w:hint="eastAsia"/>
                <w:color w:val="auto"/>
                <w:lang w:val="en-US" w:eastAsia="zh-CN"/>
              </w:rPr>
              <w:t>/a）。</w:t>
            </w:r>
          </w:p>
          <w:p w14:paraId="7E236F3D">
            <w:pPr>
              <w:pStyle w:val="54"/>
              <w:bidi w:val="0"/>
              <w:rPr>
                <w:rFonts w:hint="eastAsia"/>
                <w:lang w:val="en-US" w:eastAsia="zh-CN"/>
              </w:rPr>
            </w:pPr>
            <w:r>
              <w:rPr>
                <w:rFonts w:hint="eastAsia"/>
                <w:lang w:val="en-US" w:eastAsia="zh-CN"/>
              </w:rPr>
              <w:fldChar w:fldCharType="begin"/>
            </w:r>
            <w:r>
              <w:rPr>
                <w:rFonts w:hint="eastAsia"/>
                <w:lang w:val="en-US" w:eastAsia="zh-CN"/>
              </w:rPr>
              <w:instrText xml:space="preserve"> = 4 \* GB3 \* MERGEFORMAT </w:instrText>
            </w:r>
            <w:r>
              <w:rPr>
                <w:rFonts w:hint="eastAsia"/>
                <w:lang w:val="en-US" w:eastAsia="zh-CN"/>
              </w:rPr>
              <w:fldChar w:fldCharType="separate"/>
            </w:r>
            <w:r>
              <w:t>④</w:t>
            </w:r>
            <w:r>
              <w:rPr>
                <w:rFonts w:hint="eastAsia"/>
                <w:lang w:val="en-US" w:eastAsia="zh-CN"/>
              </w:rPr>
              <w:fldChar w:fldCharType="end"/>
            </w:r>
            <w:r>
              <w:rPr>
                <w:rFonts w:hint="eastAsia"/>
                <w:lang w:val="en-US" w:eastAsia="zh-CN"/>
              </w:rPr>
              <w:t>抑尘用水：本项目骨料仓面积7700m</w:t>
            </w:r>
            <w:r>
              <w:rPr>
                <w:rFonts w:hint="eastAsia"/>
                <w:vertAlign w:val="superscript"/>
                <w:lang w:val="en-US" w:eastAsia="zh-CN"/>
              </w:rPr>
              <w:t>2</w:t>
            </w:r>
            <w:r>
              <w:rPr>
                <w:rFonts w:hint="eastAsia"/>
                <w:lang w:val="en-US" w:eastAsia="zh-CN"/>
              </w:rPr>
              <w:t>，进出站道路面积约500m</w:t>
            </w:r>
            <w:r>
              <w:rPr>
                <w:rFonts w:hint="eastAsia"/>
                <w:vertAlign w:val="superscript"/>
                <w:lang w:val="en-US" w:eastAsia="zh-CN"/>
              </w:rPr>
              <w:t>2</w:t>
            </w:r>
            <w:r>
              <w:rPr>
                <w:rFonts w:hint="eastAsia"/>
                <w:lang w:val="en-US" w:eastAsia="zh-CN"/>
              </w:rPr>
              <w:t>，拌合车间面积500m</w:t>
            </w:r>
            <w:r>
              <w:rPr>
                <w:rFonts w:hint="eastAsia"/>
                <w:vertAlign w:val="superscript"/>
                <w:lang w:val="en-US" w:eastAsia="zh-CN"/>
              </w:rPr>
              <w:t>2</w:t>
            </w:r>
            <w:r>
              <w:rPr>
                <w:rFonts w:hint="eastAsia"/>
                <w:vertAlign w:val="baseline"/>
                <w:lang w:val="en-US" w:eastAsia="zh-CN"/>
              </w:rPr>
              <w:t>。</w:t>
            </w:r>
            <w:r>
              <w:rPr>
                <w:rFonts w:hint="eastAsia"/>
                <w:lang w:val="en-US" w:eastAsia="zh-CN"/>
              </w:rPr>
              <w:t>根据《内蒙古自治区行业用水定额标准》（DB15/T385-2020），场地、道路喷洒用水定额按2L/（m</w:t>
            </w:r>
            <w:r>
              <w:rPr>
                <w:rFonts w:hint="eastAsia"/>
                <w:vertAlign w:val="superscript"/>
                <w:lang w:val="en-US" w:eastAsia="zh-CN"/>
              </w:rPr>
              <w:t>2</w:t>
            </w:r>
            <w:r>
              <w:rPr>
                <w:rFonts w:hint="default" w:ascii="Times New Roman" w:hAnsi="Times New Roman" w:cs="Times New Roman"/>
                <w:lang w:val="en-US" w:eastAsia="zh-CN"/>
              </w:rPr>
              <w:t>·</w:t>
            </w:r>
            <w:r>
              <w:rPr>
                <w:rFonts w:hint="eastAsia"/>
                <w:lang w:val="en-US" w:eastAsia="zh-CN"/>
              </w:rPr>
              <w:t>d）计，故喷雾抑尘及道路洒水抑尘用水量为17.4m</w:t>
            </w:r>
            <w:r>
              <w:rPr>
                <w:rFonts w:hint="eastAsia"/>
                <w:vertAlign w:val="superscript"/>
                <w:lang w:val="en-US" w:eastAsia="zh-CN"/>
              </w:rPr>
              <w:t>3</w:t>
            </w:r>
            <w:r>
              <w:rPr>
                <w:rFonts w:hint="eastAsia"/>
                <w:lang w:val="en-US" w:eastAsia="zh-CN"/>
              </w:rPr>
              <w:t>/d，则全年抑尘用水量为3654m</w:t>
            </w:r>
            <w:r>
              <w:rPr>
                <w:rFonts w:hint="eastAsia"/>
                <w:vertAlign w:val="superscript"/>
                <w:lang w:val="en-US" w:eastAsia="zh-CN"/>
              </w:rPr>
              <w:t>3</w:t>
            </w:r>
            <w:r>
              <w:rPr>
                <w:rFonts w:hint="eastAsia"/>
                <w:lang w:val="en-US" w:eastAsia="zh-CN"/>
              </w:rPr>
              <w:t>/a。</w:t>
            </w:r>
          </w:p>
          <w:p w14:paraId="0685BAE0">
            <w:pPr>
              <w:pStyle w:val="54"/>
              <w:bidi w:val="0"/>
              <w:rPr>
                <w:rFonts w:hint="eastAsia"/>
                <w:lang w:val="en-US" w:eastAsia="zh-CN"/>
              </w:rPr>
            </w:pPr>
            <w:r>
              <w:rPr>
                <w:rFonts w:hint="eastAsia"/>
                <w:lang w:val="en-US" w:eastAsia="zh-CN"/>
              </w:rPr>
              <w:t>2）排水</w:t>
            </w:r>
          </w:p>
          <w:p w14:paraId="382F5419">
            <w:pPr>
              <w:pStyle w:val="54"/>
              <w:bidi w:val="0"/>
              <w:rPr>
                <w:rFonts w:hint="default"/>
                <w:color w:val="auto"/>
                <w:lang w:val="en-US" w:eastAsia="zh-CN"/>
              </w:rPr>
            </w:pPr>
            <w:r>
              <w:rPr>
                <w:rFonts w:hint="eastAsia"/>
                <w:lang w:val="en-US" w:eastAsia="zh-CN"/>
              </w:rPr>
              <w:t>（1）生活污水：生活污水的排放系数按80%计，则本项目生活污水排放量为0.384m</w:t>
            </w:r>
            <w:r>
              <w:rPr>
                <w:rFonts w:hint="eastAsia"/>
                <w:vertAlign w:val="superscript"/>
                <w:lang w:val="en-US" w:eastAsia="zh-CN"/>
              </w:rPr>
              <w:t>3</w:t>
            </w:r>
            <w:r>
              <w:rPr>
                <w:rFonts w:hint="eastAsia"/>
                <w:lang w:val="en-US" w:eastAsia="zh-CN"/>
              </w:rPr>
              <w:t>/d（80.64m</w:t>
            </w:r>
            <w:r>
              <w:rPr>
                <w:rFonts w:hint="eastAsia"/>
                <w:vertAlign w:val="superscript"/>
                <w:lang w:val="en-US" w:eastAsia="zh-CN"/>
              </w:rPr>
              <w:t>3</w:t>
            </w:r>
            <w:r>
              <w:rPr>
                <w:rFonts w:hint="eastAsia"/>
                <w:lang w:val="en-US" w:eastAsia="zh-CN"/>
              </w:rPr>
              <w:t>/a），生活污水经化粪池预处理后，定期拉运至甘其毛都口岸加工园区污水处理厂。</w:t>
            </w:r>
          </w:p>
          <w:p w14:paraId="3CF21C9A">
            <w:pPr>
              <w:pStyle w:val="54"/>
              <w:bidi w:val="0"/>
              <w:rPr>
                <w:rFonts w:hint="default"/>
                <w:lang w:val="en-US" w:eastAsia="zh-CN"/>
              </w:rPr>
            </w:pPr>
            <w:r>
              <w:rPr>
                <w:rFonts w:hint="eastAsia"/>
                <w:lang w:val="en-US" w:eastAsia="zh-CN"/>
              </w:rPr>
              <w:t>（2）生产废水</w:t>
            </w:r>
          </w:p>
          <w:p w14:paraId="0F89A693">
            <w:pPr>
              <w:pStyle w:val="54"/>
              <w:bidi w:val="0"/>
              <w:rPr>
                <w:rFonts w:hint="default"/>
                <w:lang w:val="en-US" w:eastAsia="zh-CN"/>
              </w:rPr>
            </w:pPr>
            <w:r>
              <w:rPr>
                <w:rFonts w:hint="eastAsia"/>
                <w:lang w:val="en-US" w:eastAsia="zh-CN"/>
              </w:rPr>
              <w:fldChar w:fldCharType="begin"/>
            </w:r>
            <w:r>
              <w:rPr>
                <w:rFonts w:hint="eastAsia"/>
                <w:lang w:val="en-US" w:eastAsia="zh-CN"/>
              </w:rPr>
              <w:instrText xml:space="preserve"> = 1 \* GB3 \* MERGEFORMAT </w:instrText>
            </w:r>
            <w:r>
              <w:rPr>
                <w:rFonts w:hint="eastAsia"/>
                <w:lang w:val="en-US" w:eastAsia="zh-CN"/>
              </w:rPr>
              <w:fldChar w:fldCharType="separate"/>
            </w:r>
            <w:r>
              <w:t>①</w:t>
            </w:r>
            <w:r>
              <w:rPr>
                <w:rFonts w:hint="eastAsia"/>
                <w:lang w:val="en-US" w:eastAsia="zh-CN"/>
              </w:rPr>
              <w:fldChar w:fldCharType="end"/>
            </w:r>
            <w:r>
              <w:rPr>
                <w:rFonts w:hint="eastAsia"/>
                <w:lang w:val="en-US" w:eastAsia="zh-CN"/>
              </w:rPr>
              <w:t>搅拌废水：搅拌用水全部进入产品中，无废水外排。</w:t>
            </w:r>
          </w:p>
          <w:p w14:paraId="4F36D9B1">
            <w:pPr>
              <w:pStyle w:val="54"/>
              <w:bidi w:val="0"/>
              <w:rPr>
                <w:rFonts w:hint="default"/>
                <w:color w:val="auto"/>
                <w:lang w:val="en-US" w:eastAsia="zh-CN"/>
              </w:rPr>
            </w:pPr>
            <w:r>
              <w:rPr>
                <w:rFonts w:hint="eastAsia"/>
                <w:lang w:val="en-US" w:eastAsia="zh-CN"/>
              </w:rPr>
              <w:fldChar w:fldCharType="begin"/>
            </w:r>
            <w:r>
              <w:rPr>
                <w:rFonts w:hint="eastAsia"/>
                <w:lang w:val="en-US" w:eastAsia="zh-CN"/>
              </w:rPr>
              <w:instrText xml:space="preserve"> = 2 \* GB3 \* MERGEFORMAT </w:instrText>
            </w:r>
            <w:r>
              <w:rPr>
                <w:rFonts w:hint="eastAsia"/>
                <w:lang w:val="en-US" w:eastAsia="zh-CN"/>
              </w:rPr>
              <w:fldChar w:fldCharType="separate"/>
            </w:r>
            <w:r>
              <w:t>②</w:t>
            </w:r>
            <w:r>
              <w:rPr>
                <w:rFonts w:hint="eastAsia"/>
                <w:lang w:val="en-US" w:eastAsia="zh-CN"/>
              </w:rPr>
              <w:fldChar w:fldCharType="end"/>
            </w:r>
            <w:r>
              <w:rPr>
                <w:rFonts w:hint="eastAsia"/>
                <w:lang w:val="en-US" w:eastAsia="zh-CN"/>
              </w:rPr>
              <w:t>全封闭搅拌机清洗废水：搅拌机清洗废水产生量按用水量的80%计，产生量为1.6m</w:t>
            </w:r>
            <w:r>
              <w:rPr>
                <w:rFonts w:hint="eastAsia"/>
                <w:vertAlign w:val="superscript"/>
                <w:lang w:val="en-US" w:eastAsia="zh-CN"/>
              </w:rPr>
              <w:t>3</w:t>
            </w:r>
            <w:r>
              <w:rPr>
                <w:rFonts w:hint="eastAsia"/>
                <w:lang w:val="en-US" w:eastAsia="zh-CN"/>
              </w:rPr>
              <w:t>/d（336m</w:t>
            </w:r>
            <w:r>
              <w:rPr>
                <w:rFonts w:hint="eastAsia"/>
                <w:vertAlign w:val="superscript"/>
                <w:lang w:val="en-US" w:eastAsia="zh-CN"/>
              </w:rPr>
              <w:t>3</w:t>
            </w:r>
            <w:r>
              <w:rPr>
                <w:rFonts w:hint="eastAsia"/>
                <w:lang w:val="en-US" w:eastAsia="zh-CN"/>
              </w:rPr>
              <w:t>/a），排入厂区的沉淀池内，沉淀后上清液全部回用于搅拌机和混凝土运输车清洗，不外排。</w:t>
            </w:r>
          </w:p>
          <w:p w14:paraId="6E38BCF7">
            <w:pPr>
              <w:pStyle w:val="54"/>
              <w:bidi w:val="0"/>
              <w:rPr>
                <w:rFonts w:hint="default"/>
                <w:color w:val="auto"/>
                <w:lang w:val="en-US" w:eastAsia="zh-CN"/>
              </w:rPr>
            </w:pPr>
            <w:r>
              <w:rPr>
                <w:rFonts w:hint="eastAsia"/>
                <w:color w:val="auto"/>
                <w:lang w:val="en-US" w:eastAsia="zh-CN"/>
              </w:rPr>
              <w:fldChar w:fldCharType="begin"/>
            </w:r>
            <w:r>
              <w:rPr>
                <w:rFonts w:hint="eastAsia"/>
                <w:color w:val="auto"/>
                <w:lang w:val="en-US" w:eastAsia="zh-CN"/>
              </w:rPr>
              <w:instrText xml:space="preserve"> = 3 \* GB3 \* MERGEFORMAT </w:instrText>
            </w:r>
            <w:r>
              <w:rPr>
                <w:rFonts w:hint="eastAsia"/>
                <w:color w:val="auto"/>
                <w:lang w:val="en-US" w:eastAsia="zh-CN"/>
              </w:rPr>
              <w:fldChar w:fldCharType="separate"/>
            </w:r>
            <w:r>
              <w:rPr>
                <w:color w:val="auto"/>
              </w:rPr>
              <w:t>③</w:t>
            </w:r>
            <w:r>
              <w:rPr>
                <w:rFonts w:hint="eastAsia"/>
                <w:color w:val="auto"/>
                <w:lang w:val="en-US" w:eastAsia="zh-CN"/>
              </w:rPr>
              <w:fldChar w:fldCharType="end"/>
            </w:r>
            <w:r>
              <w:rPr>
                <w:rFonts w:hint="eastAsia"/>
                <w:color w:val="auto"/>
                <w:lang w:val="en-US" w:eastAsia="zh-CN"/>
              </w:rPr>
              <w:t>混凝土运输车清洗废水：混凝土运输车清洗废水产生量按用水量的80%计，产生量为2.86m</w:t>
            </w:r>
            <w:r>
              <w:rPr>
                <w:rFonts w:hint="eastAsia"/>
                <w:color w:val="auto"/>
                <w:vertAlign w:val="superscript"/>
                <w:lang w:val="en-US" w:eastAsia="zh-CN"/>
              </w:rPr>
              <w:t>3</w:t>
            </w:r>
            <w:r>
              <w:rPr>
                <w:rFonts w:hint="eastAsia"/>
                <w:color w:val="auto"/>
                <w:lang w:val="en-US" w:eastAsia="zh-CN"/>
              </w:rPr>
              <w:t>/d（600.6m</w:t>
            </w:r>
            <w:r>
              <w:rPr>
                <w:rFonts w:hint="eastAsia"/>
                <w:color w:val="auto"/>
                <w:vertAlign w:val="superscript"/>
                <w:lang w:val="en-US" w:eastAsia="zh-CN"/>
              </w:rPr>
              <w:t>3</w:t>
            </w:r>
            <w:r>
              <w:rPr>
                <w:rFonts w:hint="eastAsia"/>
                <w:color w:val="auto"/>
                <w:lang w:val="en-US" w:eastAsia="zh-CN"/>
              </w:rPr>
              <w:t>/a），排入厂区的沉淀池内，沉淀后上清液全部回用于搅拌机和混凝土运输车清洗，不外排。</w:t>
            </w:r>
          </w:p>
          <w:p w14:paraId="561363CE">
            <w:pPr>
              <w:pStyle w:val="54"/>
              <w:bidi w:val="0"/>
              <w:rPr>
                <w:rFonts w:hint="eastAsia"/>
                <w:lang w:val="en-US" w:eastAsia="zh-CN"/>
              </w:rPr>
            </w:pPr>
            <w:r>
              <w:rPr>
                <w:rFonts w:hint="eastAsia"/>
                <w:lang w:val="en-US" w:eastAsia="zh-CN"/>
              </w:rPr>
              <w:fldChar w:fldCharType="begin"/>
            </w:r>
            <w:r>
              <w:rPr>
                <w:rFonts w:hint="eastAsia"/>
                <w:lang w:val="en-US" w:eastAsia="zh-CN"/>
              </w:rPr>
              <w:instrText xml:space="preserve"> = 4 \* GB3 \* MERGEFORMAT </w:instrText>
            </w:r>
            <w:r>
              <w:rPr>
                <w:rFonts w:hint="eastAsia"/>
                <w:lang w:val="en-US" w:eastAsia="zh-CN"/>
              </w:rPr>
              <w:fldChar w:fldCharType="separate"/>
            </w:r>
            <w:r>
              <w:t>④</w:t>
            </w:r>
            <w:r>
              <w:rPr>
                <w:rFonts w:hint="eastAsia"/>
                <w:lang w:val="en-US" w:eastAsia="zh-CN"/>
              </w:rPr>
              <w:fldChar w:fldCharType="end"/>
            </w:r>
            <w:r>
              <w:rPr>
                <w:rFonts w:hint="eastAsia"/>
                <w:lang w:val="en-US" w:eastAsia="zh-CN"/>
              </w:rPr>
              <w:t>洒水抑尘废水：全部自然蒸发，无废水外排。</w:t>
            </w:r>
          </w:p>
          <w:p w14:paraId="4CF2962C">
            <w:pPr>
              <w:pStyle w:val="54"/>
              <w:bidi w:val="0"/>
              <w:rPr>
                <w:rFonts w:hint="eastAsia"/>
                <w:lang w:val="en-US" w:eastAsia="zh-CN"/>
              </w:rPr>
            </w:pPr>
            <w:r>
              <w:rPr>
                <w:rFonts w:hint="eastAsia"/>
                <w:lang w:val="en-US" w:eastAsia="zh-CN"/>
              </w:rPr>
              <w:t>本项目用水量和排水量详细情况见下表。</w:t>
            </w:r>
          </w:p>
          <w:p w14:paraId="1EC33834">
            <w:pPr>
              <w:pStyle w:val="33"/>
              <w:bidi w:val="0"/>
              <w:rPr>
                <w:rFonts w:hint="eastAsia" w:ascii="Times New Roman" w:hAnsi="Times New Roman" w:cs="Times New Roman"/>
                <w:b w:val="0"/>
                <w:bCs/>
                <w:szCs w:val="24"/>
                <w:lang w:val="en-US" w:eastAsia="zh-CN"/>
              </w:rPr>
            </w:pPr>
            <w:r>
              <w:rPr>
                <w:rFonts w:hint="eastAsia"/>
                <w:lang w:val="en-US" w:eastAsia="zh-CN"/>
              </w:rPr>
              <w:t>表15    项目用水和排水量分析表</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4"/>
              <w:gridCol w:w="1246"/>
              <w:gridCol w:w="831"/>
              <w:gridCol w:w="761"/>
              <w:gridCol w:w="843"/>
              <w:gridCol w:w="3037"/>
            </w:tblGrid>
            <w:tr w14:paraId="5CD69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0" w:type="pct"/>
                  <w:vMerge w:val="restart"/>
                  <w:tcBorders>
                    <w:tl2br w:val="nil"/>
                    <w:tr2bl w:val="nil"/>
                  </w:tcBorders>
                  <w:noWrap w:val="0"/>
                  <w:vAlign w:val="center"/>
                </w:tcPr>
                <w:p w14:paraId="540887D6">
                  <w:pPr>
                    <w:pStyle w:val="53"/>
                    <w:bidi w:val="0"/>
                    <w:rPr>
                      <w:rFonts w:hint="default"/>
                      <w:lang w:val="en-US" w:eastAsia="zh-CN"/>
                    </w:rPr>
                  </w:pPr>
                  <w:r>
                    <w:rPr>
                      <w:rFonts w:hint="default"/>
                      <w:lang w:val="en-US" w:eastAsia="zh-CN"/>
                    </w:rPr>
                    <w:t>用水项目</w:t>
                  </w:r>
                </w:p>
              </w:tc>
              <w:tc>
                <w:tcPr>
                  <w:tcW w:w="784" w:type="pct"/>
                  <w:vMerge w:val="restart"/>
                  <w:tcBorders>
                    <w:tl2br w:val="nil"/>
                    <w:tr2bl w:val="nil"/>
                  </w:tcBorders>
                  <w:noWrap w:val="0"/>
                  <w:vAlign w:val="center"/>
                </w:tcPr>
                <w:p w14:paraId="6ABF0C23">
                  <w:pPr>
                    <w:pStyle w:val="53"/>
                    <w:bidi w:val="0"/>
                    <w:rPr>
                      <w:rFonts w:hint="default"/>
                      <w:lang w:val="en-US" w:eastAsia="zh-CN"/>
                    </w:rPr>
                  </w:pPr>
                  <w:r>
                    <w:rPr>
                      <w:rFonts w:hint="default"/>
                      <w:lang w:val="en-US" w:eastAsia="zh-CN"/>
                    </w:rPr>
                    <w:t>用水标准</w:t>
                  </w:r>
                </w:p>
              </w:tc>
              <w:tc>
                <w:tcPr>
                  <w:tcW w:w="523" w:type="pct"/>
                  <w:tcBorders>
                    <w:tl2br w:val="nil"/>
                    <w:tr2bl w:val="nil"/>
                  </w:tcBorders>
                  <w:noWrap w:val="0"/>
                  <w:vAlign w:val="center"/>
                </w:tcPr>
                <w:p w14:paraId="674BB78C">
                  <w:pPr>
                    <w:pStyle w:val="53"/>
                    <w:bidi w:val="0"/>
                    <w:rPr>
                      <w:rFonts w:hint="default"/>
                      <w:lang w:val="en-US" w:eastAsia="zh-CN"/>
                    </w:rPr>
                  </w:pPr>
                  <w:r>
                    <w:rPr>
                      <w:rFonts w:hint="default"/>
                      <w:lang w:val="en-US" w:eastAsia="zh-CN"/>
                    </w:rPr>
                    <w:t>用水</w:t>
                  </w:r>
                </w:p>
              </w:tc>
              <w:tc>
                <w:tcPr>
                  <w:tcW w:w="479" w:type="pct"/>
                  <w:tcBorders>
                    <w:tl2br w:val="nil"/>
                    <w:tr2bl w:val="nil"/>
                  </w:tcBorders>
                  <w:noWrap w:val="0"/>
                  <w:vAlign w:val="center"/>
                </w:tcPr>
                <w:p w14:paraId="64E3F95E">
                  <w:pPr>
                    <w:pStyle w:val="53"/>
                    <w:bidi w:val="0"/>
                    <w:rPr>
                      <w:rFonts w:hint="default"/>
                      <w:lang w:val="en-US" w:eastAsia="zh-CN"/>
                    </w:rPr>
                  </w:pPr>
                  <w:r>
                    <w:rPr>
                      <w:rFonts w:hint="default"/>
                      <w:lang w:val="en-US" w:eastAsia="zh-CN"/>
                    </w:rPr>
                    <w:t>损耗</w:t>
                  </w:r>
                </w:p>
              </w:tc>
              <w:tc>
                <w:tcPr>
                  <w:tcW w:w="530" w:type="pct"/>
                  <w:tcBorders>
                    <w:tl2br w:val="nil"/>
                    <w:tr2bl w:val="nil"/>
                  </w:tcBorders>
                  <w:noWrap w:val="0"/>
                  <w:vAlign w:val="center"/>
                </w:tcPr>
                <w:p w14:paraId="79369997">
                  <w:pPr>
                    <w:pStyle w:val="53"/>
                    <w:bidi w:val="0"/>
                    <w:rPr>
                      <w:rFonts w:hint="default"/>
                      <w:lang w:val="en-US" w:eastAsia="zh-CN"/>
                    </w:rPr>
                  </w:pPr>
                  <w:r>
                    <w:rPr>
                      <w:rFonts w:hint="default"/>
                      <w:lang w:val="en-US" w:eastAsia="zh-CN"/>
                    </w:rPr>
                    <w:t>排水</w:t>
                  </w:r>
                </w:p>
              </w:tc>
              <w:tc>
                <w:tcPr>
                  <w:tcW w:w="1911" w:type="pct"/>
                  <w:vMerge w:val="restart"/>
                  <w:tcBorders>
                    <w:tl2br w:val="nil"/>
                    <w:tr2bl w:val="nil"/>
                  </w:tcBorders>
                  <w:noWrap w:val="0"/>
                  <w:vAlign w:val="center"/>
                </w:tcPr>
                <w:p w14:paraId="1E5AF3DE">
                  <w:pPr>
                    <w:pStyle w:val="53"/>
                    <w:bidi w:val="0"/>
                    <w:rPr>
                      <w:rFonts w:hint="default"/>
                      <w:lang w:val="en-US" w:eastAsia="zh-CN"/>
                    </w:rPr>
                  </w:pPr>
                  <w:r>
                    <w:rPr>
                      <w:rFonts w:hint="default"/>
                      <w:lang w:val="en-US" w:eastAsia="zh-CN"/>
                    </w:rPr>
                    <w:t>备注</w:t>
                  </w:r>
                </w:p>
              </w:tc>
            </w:tr>
            <w:tr w14:paraId="5434D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0" w:type="pct"/>
                  <w:vMerge w:val="continue"/>
                  <w:tcBorders>
                    <w:tl2br w:val="nil"/>
                    <w:tr2bl w:val="nil"/>
                  </w:tcBorders>
                  <w:noWrap w:val="0"/>
                  <w:vAlign w:val="center"/>
                </w:tcPr>
                <w:p w14:paraId="64906002">
                  <w:pPr>
                    <w:pStyle w:val="53"/>
                    <w:bidi w:val="0"/>
                    <w:rPr>
                      <w:rFonts w:hint="default"/>
                      <w:lang w:val="en-US" w:eastAsia="zh-CN"/>
                    </w:rPr>
                  </w:pPr>
                </w:p>
              </w:tc>
              <w:tc>
                <w:tcPr>
                  <w:tcW w:w="784" w:type="pct"/>
                  <w:vMerge w:val="continue"/>
                  <w:tcBorders>
                    <w:tl2br w:val="nil"/>
                    <w:tr2bl w:val="nil"/>
                  </w:tcBorders>
                  <w:noWrap w:val="0"/>
                  <w:vAlign w:val="center"/>
                </w:tcPr>
                <w:p w14:paraId="17547264">
                  <w:pPr>
                    <w:pStyle w:val="53"/>
                    <w:bidi w:val="0"/>
                    <w:rPr>
                      <w:rFonts w:hint="default"/>
                      <w:lang w:val="en-US" w:eastAsia="zh-CN"/>
                    </w:rPr>
                  </w:pPr>
                </w:p>
              </w:tc>
              <w:tc>
                <w:tcPr>
                  <w:tcW w:w="523" w:type="pct"/>
                  <w:tcBorders>
                    <w:tl2br w:val="nil"/>
                    <w:tr2bl w:val="nil"/>
                  </w:tcBorders>
                  <w:noWrap w:val="0"/>
                  <w:vAlign w:val="center"/>
                </w:tcPr>
                <w:p w14:paraId="05BA98AC">
                  <w:pPr>
                    <w:pStyle w:val="53"/>
                    <w:bidi w:val="0"/>
                    <w:rPr>
                      <w:rFonts w:hint="default"/>
                      <w:lang w:val="en-US" w:eastAsia="zh-CN"/>
                    </w:rPr>
                  </w:pPr>
                  <w:r>
                    <w:rPr>
                      <w:rFonts w:hint="default"/>
                      <w:lang w:val="en-US" w:eastAsia="zh-CN"/>
                    </w:rPr>
                    <w:t>m</w:t>
                  </w:r>
                  <w:r>
                    <w:rPr>
                      <w:rFonts w:hint="default"/>
                      <w:vertAlign w:val="superscript"/>
                      <w:lang w:val="en-US" w:eastAsia="zh-CN"/>
                    </w:rPr>
                    <w:t>3</w:t>
                  </w:r>
                  <w:r>
                    <w:rPr>
                      <w:rFonts w:hint="default"/>
                      <w:lang w:val="en-US" w:eastAsia="zh-CN"/>
                    </w:rPr>
                    <w:t>/</w:t>
                  </w:r>
                  <w:r>
                    <w:rPr>
                      <w:rFonts w:hint="eastAsia"/>
                      <w:lang w:val="en-US" w:eastAsia="zh-CN"/>
                    </w:rPr>
                    <w:t>d</w:t>
                  </w:r>
                </w:p>
              </w:tc>
              <w:tc>
                <w:tcPr>
                  <w:tcW w:w="479" w:type="pct"/>
                  <w:tcBorders>
                    <w:tl2br w:val="nil"/>
                    <w:tr2bl w:val="nil"/>
                  </w:tcBorders>
                  <w:noWrap w:val="0"/>
                  <w:vAlign w:val="center"/>
                </w:tcPr>
                <w:p w14:paraId="1F228969">
                  <w:pPr>
                    <w:pStyle w:val="53"/>
                    <w:bidi w:val="0"/>
                    <w:rPr>
                      <w:rFonts w:hint="default"/>
                      <w:lang w:val="en-US" w:eastAsia="zh-CN"/>
                    </w:rPr>
                  </w:pPr>
                  <w:r>
                    <w:rPr>
                      <w:rFonts w:hint="default"/>
                      <w:lang w:val="en-US" w:eastAsia="zh-CN"/>
                    </w:rPr>
                    <w:t>m</w:t>
                  </w:r>
                  <w:r>
                    <w:rPr>
                      <w:rFonts w:hint="default"/>
                      <w:vertAlign w:val="superscript"/>
                      <w:lang w:val="en-US" w:eastAsia="zh-CN"/>
                    </w:rPr>
                    <w:t>3</w:t>
                  </w:r>
                  <w:r>
                    <w:rPr>
                      <w:rFonts w:hint="default"/>
                      <w:lang w:val="en-US" w:eastAsia="zh-CN"/>
                    </w:rPr>
                    <w:t>/</w:t>
                  </w:r>
                  <w:r>
                    <w:rPr>
                      <w:rFonts w:hint="eastAsia"/>
                      <w:lang w:val="en-US" w:eastAsia="zh-CN"/>
                    </w:rPr>
                    <w:t>d</w:t>
                  </w:r>
                </w:p>
              </w:tc>
              <w:tc>
                <w:tcPr>
                  <w:tcW w:w="530" w:type="pct"/>
                  <w:tcBorders>
                    <w:tl2br w:val="nil"/>
                    <w:tr2bl w:val="nil"/>
                  </w:tcBorders>
                  <w:noWrap w:val="0"/>
                  <w:vAlign w:val="center"/>
                </w:tcPr>
                <w:p w14:paraId="1E118CAC">
                  <w:pPr>
                    <w:pStyle w:val="53"/>
                    <w:bidi w:val="0"/>
                    <w:rPr>
                      <w:rFonts w:hint="default"/>
                      <w:lang w:val="en-US" w:eastAsia="zh-CN"/>
                    </w:rPr>
                  </w:pPr>
                  <w:r>
                    <w:rPr>
                      <w:rFonts w:hint="default"/>
                      <w:lang w:val="en-US" w:eastAsia="zh-CN"/>
                    </w:rPr>
                    <w:t>m</w:t>
                  </w:r>
                  <w:r>
                    <w:rPr>
                      <w:rFonts w:hint="default"/>
                      <w:vertAlign w:val="superscript"/>
                      <w:lang w:val="en-US" w:eastAsia="zh-CN"/>
                    </w:rPr>
                    <w:t>3</w:t>
                  </w:r>
                  <w:r>
                    <w:rPr>
                      <w:rFonts w:hint="default"/>
                      <w:lang w:val="en-US" w:eastAsia="zh-CN"/>
                    </w:rPr>
                    <w:t>/</w:t>
                  </w:r>
                  <w:r>
                    <w:rPr>
                      <w:rFonts w:hint="eastAsia"/>
                      <w:lang w:val="en-US" w:eastAsia="zh-CN"/>
                    </w:rPr>
                    <w:t>d</w:t>
                  </w:r>
                </w:p>
              </w:tc>
              <w:tc>
                <w:tcPr>
                  <w:tcW w:w="1911" w:type="pct"/>
                  <w:vMerge w:val="continue"/>
                  <w:tcBorders>
                    <w:tl2br w:val="nil"/>
                    <w:tr2bl w:val="nil"/>
                  </w:tcBorders>
                  <w:noWrap w:val="0"/>
                  <w:vAlign w:val="center"/>
                </w:tcPr>
                <w:p w14:paraId="18A2D9F6">
                  <w:pPr>
                    <w:pStyle w:val="53"/>
                    <w:bidi w:val="0"/>
                    <w:rPr>
                      <w:rFonts w:hint="default"/>
                      <w:lang w:val="en-US" w:eastAsia="zh-CN"/>
                    </w:rPr>
                  </w:pPr>
                </w:p>
              </w:tc>
            </w:tr>
            <w:tr w14:paraId="4E91A2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0" w:type="pct"/>
                  <w:tcBorders>
                    <w:tl2br w:val="nil"/>
                    <w:tr2bl w:val="nil"/>
                  </w:tcBorders>
                  <w:noWrap w:val="0"/>
                  <w:vAlign w:val="center"/>
                </w:tcPr>
                <w:p w14:paraId="60E4C6F9">
                  <w:pPr>
                    <w:pStyle w:val="53"/>
                    <w:bidi w:val="0"/>
                    <w:rPr>
                      <w:rFonts w:hint="default"/>
                      <w:lang w:val="en-US" w:eastAsia="zh-CN"/>
                    </w:rPr>
                  </w:pPr>
                  <w:r>
                    <w:rPr>
                      <w:rFonts w:hint="eastAsia"/>
                      <w:lang w:val="en-US" w:eastAsia="zh-CN"/>
                    </w:rPr>
                    <w:t>生活用水</w:t>
                  </w:r>
                </w:p>
              </w:tc>
              <w:tc>
                <w:tcPr>
                  <w:tcW w:w="784" w:type="pct"/>
                  <w:tcBorders>
                    <w:tl2br w:val="nil"/>
                    <w:tr2bl w:val="nil"/>
                  </w:tcBorders>
                  <w:noWrap w:val="0"/>
                  <w:vAlign w:val="center"/>
                </w:tcPr>
                <w:p w14:paraId="49B1177A">
                  <w:pPr>
                    <w:pStyle w:val="53"/>
                    <w:bidi w:val="0"/>
                    <w:rPr>
                      <w:rFonts w:hint="default"/>
                      <w:lang w:val="en-US" w:eastAsia="zh-CN"/>
                    </w:rPr>
                  </w:pPr>
                  <w:r>
                    <w:rPr>
                      <w:rFonts w:hint="default"/>
                      <w:lang w:val="en-US" w:eastAsia="zh-CN"/>
                    </w:rPr>
                    <w:t>60L/人•天</w:t>
                  </w:r>
                </w:p>
              </w:tc>
              <w:tc>
                <w:tcPr>
                  <w:tcW w:w="523" w:type="pct"/>
                  <w:tcBorders>
                    <w:tl2br w:val="nil"/>
                    <w:tr2bl w:val="nil"/>
                  </w:tcBorders>
                  <w:noWrap w:val="0"/>
                  <w:vAlign w:val="center"/>
                </w:tcPr>
                <w:p w14:paraId="7098C561">
                  <w:pPr>
                    <w:pStyle w:val="53"/>
                    <w:bidi w:val="0"/>
                    <w:rPr>
                      <w:rFonts w:hint="default"/>
                      <w:lang w:val="en-US" w:eastAsia="zh-CN"/>
                    </w:rPr>
                  </w:pPr>
                  <w:r>
                    <w:rPr>
                      <w:rFonts w:hint="eastAsia"/>
                      <w:lang w:val="en-US" w:eastAsia="zh-CN"/>
                    </w:rPr>
                    <w:t>0.48</w:t>
                  </w:r>
                </w:p>
              </w:tc>
              <w:tc>
                <w:tcPr>
                  <w:tcW w:w="479" w:type="pct"/>
                  <w:tcBorders>
                    <w:tl2br w:val="nil"/>
                    <w:tr2bl w:val="nil"/>
                  </w:tcBorders>
                  <w:noWrap w:val="0"/>
                  <w:vAlign w:val="center"/>
                </w:tcPr>
                <w:p w14:paraId="36DAE736">
                  <w:pPr>
                    <w:pStyle w:val="53"/>
                    <w:bidi w:val="0"/>
                    <w:rPr>
                      <w:rFonts w:hint="default"/>
                      <w:lang w:val="en-US" w:eastAsia="zh-CN"/>
                    </w:rPr>
                  </w:pPr>
                  <w:r>
                    <w:rPr>
                      <w:rFonts w:hint="eastAsia"/>
                      <w:lang w:val="en-US" w:eastAsia="zh-CN"/>
                    </w:rPr>
                    <w:t>0.096</w:t>
                  </w:r>
                </w:p>
              </w:tc>
              <w:tc>
                <w:tcPr>
                  <w:tcW w:w="530" w:type="pct"/>
                  <w:tcBorders>
                    <w:tl2br w:val="nil"/>
                    <w:tr2bl w:val="nil"/>
                  </w:tcBorders>
                  <w:noWrap w:val="0"/>
                  <w:vAlign w:val="center"/>
                </w:tcPr>
                <w:p w14:paraId="2A575CCB">
                  <w:pPr>
                    <w:pStyle w:val="53"/>
                    <w:bidi w:val="0"/>
                    <w:rPr>
                      <w:rFonts w:hint="default"/>
                      <w:lang w:val="en-US" w:eastAsia="zh-CN"/>
                    </w:rPr>
                  </w:pPr>
                  <w:r>
                    <w:rPr>
                      <w:rFonts w:hint="eastAsia"/>
                      <w:lang w:val="en-US" w:eastAsia="zh-CN"/>
                    </w:rPr>
                    <w:t>0.384</w:t>
                  </w:r>
                </w:p>
              </w:tc>
              <w:tc>
                <w:tcPr>
                  <w:tcW w:w="1911" w:type="pct"/>
                  <w:tcBorders>
                    <w:tl2br w:val="nil"/>
                    <w:tr2bl w:val="nil"/>
                  </w:tcBorders>
                  <w:noWrap w:val="0"/>
                  <w:vAlign w:val="center"/>
                </w:tcPr>
                <w:p w14:paraId="6CC07A16">
                  <w:pPr>
                    <w:pStyle w:val="53"/>
                    <w:bidi w:val="0"/>
                    <w:jc w:val="both"/>
                    <w:rPr>
                      <w:rFonts w:hint="default"/>
                      <w:lang w:val="en-US" w:eastAsia="zh-CN"/>
                    </w:rPr>
                  </w:pPr>
                  <w:r>
                    <w:rPr>
                      <w:rFonts w:hint="default"/>
                      <w:lang w:val="en-US" w:eastAsia="zh-CN"/>
                    </w:rPr>
                    <w:t>生活污水经化粪池预处理后，定期拉运至甘其毛都口岸加工园区污水处理厂。</w:t>
                  </w:r>
                </w:p>
              </w:tc>
            </w:tr>
            <w:tr w14:paraId="5B4F66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0" w:type="pct"/>
                  <w:tcBorders>
                    <w:tl2br w:val="nil"/>
                    <w:tr2bl w:val="nil"/>
                  </w:tcBorders>
                  <w:noWrap w:val="0"/>
                  <w:vAlign w:val="center"/>
                </w:tcPr>
                <w:p w14:paraId="33B8E8C6">
                  <w:pPr>
                    <w:pStyle w:val="53"/>
                    <w:bidi w:val="0"/>
                    <w:rPr>
                      <w:rFonts w:hint="default"/>
                      <w:lang w:val="en-US" w:eastAsia="zh-CN"/>
                    </w:rPr>
                  </w:pPr>
                  <w:r>
                    <w:rPr>
                      <w:rFonts w:hint="default"/>
                      <w:lang w:val="en-US" w:eastAsia="zh-CN"/>
                    </w:rPr>
                    <w:t>搅拌用水</w:t>
                  </w:r>
                </w:p>
              </w:tc>
              <w:tc>
                <w:tcPr>
                  <w:tcW w:w="784" w:type="pct"/>
                  <w:tcBorders>
                    <w:tl2br w:val="nil"/>
                    <w:tr2bl w:val="nil"/>
                  </w:tcBorders>
                  <w:noWrap w:val="0"/>
                  <w:vAlign w:val="center"/>
                </w:tcPr>
                <w:p w14:paraId="0A370231">
                  <w:pPr>
                    <w:pStyle w:val="53"/>
                    <w:bidi w:val="0"/>
                    <w:rPr>
                      <w:rFonts w:hint="default" w:eastAsia="宋体"/>
                      <w:lang w:val="en-US" w:eastAsia="zh-CN"/>
                    </w:rPr>
                  </w:pPr>
                  <w:r>
                    <w:rPr>
                      <w:rFonts w:hint="eastAsia"/>
                      <w:lang w:val="en-US" w:eastAsia="zh-CN"/>
                    </w:rPr>
                    <w:t>110m</w:t>
                  </w:r>
                  <w:r>
                    <w:rPr>
                      <w:rFonts w:hint="eastAsia"/>
                      <w:vertAlign w:val="superscript"/>
                      <w:lang w:val="en-US" w:eastAsia="zh-CN"/>
                    </w:rPr>
                    <w:t>3</w:t>
                  </w:r>
                  <w:r>
                    <w:rPr>
                      <w:rFonts w:hint="eastAsia"/>
                      <w:lang w:val="en-US" w:eastAsia="zh-CN"/>
                    </w:rPr>
                    <w:t>/d</w:t>
                  </w:r>
                </w:p>
              </w:tc>
              <w:tc>
                <w:tcPr>
                  <w:tcW w:w="523" w:type="pct"/>
                  <w:tcBorders>
                    <w:tl2br w:val="nil"/>
                    <w:tr2bl w:val="nil"/>
                  </w:tcBorders>
                  <w:noWrap w:val="0"/>
                  <w:vAlign w:val="center"/>
                </w:tcPr>
                <w:p w14:paraId="526D8E4C">
                  <w:pPr>
                    <w:pStyle w:val="53"/>
                    <w:bidi w:val="0"/>
                    <w:ind w:firstLine="0" w:firstLineChars="0"/>
                    <w:rPr>
                      <w:rFonts w:hint="default"/>
                      <w:kern w:val="2"/>
                      <w:sz w:val="21"/>
                      <w:szCs w:val="24"/>
                      <w:lang w:val="en-US" w:eastAsia="zh-CN" w:bidi="ar-SA"/>
                    </w:rPr>
                  </w:pPr>
                  <w:r>
                    <w:rPr>
                      <w:rFonts w:hint="eastAsia"/>
                      <w:kern w:val="2"/>
                      <w:sz w:val="21"/>
                      <w:szCs w:val="24"/>
                      <w:lang w:val="en-US" w:eastAsia="zh-CN" w:bidi="ar-SA"/>
                    </w:rPr>
                    <w:t>110</w:t>
                  </w:r>
                </w:p>
              </w:tc>
              <w:tc>
                <w:tcPr>
                  <w:tcW w:w="479" w:type="pct"/>
                  <w:tcBorders>
                    <w:tl2br w:val="nil"/>
                    <w:tr2bl w:val="nil"/>
                  </w:tcBorders>
                  <w:noWrap w:val="0"/>
                  <w:vAlign w:val="center"/>
                </w:tcPr>
                <w:p w14:paraId="5F8CDE82">
                  <w:pPr>
                    <w:pStyle w:val="53"/>
                    <w:bidi w:val="0"/>
                    <w:ind w:firstLine="0" w:firstLineChars="0"/>
                    <w:rPr>
                      <w:rFonts w:hint="default"/>
                      <w:kern w:val="2"/>
                      <w:sz w:val="21"/>
                      <w:szCs w:val="24"/>
                      <w:lang w:val="en-US" w:eastAsia="zh-CN" w:bidi="ar-SA"/>
                    </w:rPr>
                  </w:pPr>
                  <w:r>
                    <w:rPr>
                      <w:rFonts w:hint="eastAsia"/>
                      <w:kern w:val="2"/>
                      <w:sz w:val="21"/>
                      <w:szCs w:val="24"/>
                      <w:lang w:val="en-US" w:eastAsia="zh-CN" w:bidi="ar-SA"/>
                    </w:rPr>
                    <w:t>110</w:t>
                  </w:r>
                </w:p>
              </w:tc>
              <w:tc>
                <w:tcPr>
                  <w:tcW w:w="530" w:type="pct"/>
                  <w:tcBorders>
                    <w:tl2br w:val="nil"/>
                    <w:tr2bl w:val="nil"/>
                  </w:tcBorders>
                  <w:noWrap w:val="0"/>
                  <w:vAlign w:val="center"/>
                </w:tcPr>
                <w:p w14:paraId="20C438A9">
                  <w:pPr>
                    <w:pStyle w:val="53"/>
                    <w:bidi w:val="0"/>
                    <w:ind w:firstLine="0" w:firstLineChars="0"/>
                    <w:rPr>
                      <w:rFonts w:hint="default"/>
                      <w:kern w:val="2"/>
                      <w:sz w:val="21"/>
                      <w:szCs w:val="24"/>
                      <w:lang w:val="en-US" w:eastAsia="zh-CN" w:bidi="ar-SA"/>
                    </w:rPr>
                  </w:pPr>
                  <w:r>
                    <w:rPr>
                      <w:rFonts w:hint="eastAsia"/>
                      <w:kern w:val="2"/>
                      <w:sz w:val="21"/>
                      <w:szCs w:val="24"/>
                      <w:lang w:val="en-US" w:eastAsia="zh-CN" w:bidi="ar-SA"/>
                    </w:rPr>
                    <w:t>/</w:t>
                  </w:r>
                </w:p>
              </w:tc>
              <w:tc>
                <w:tcPr>
                  <w:tcW w:w="1911" w:type="pct"/>
                  <w:tcBorders>
                    <w:tl2br w:val="nil"/>
                    <w:tr2bl w:val="nil"/>
                  </w:tcBorders>
                  <w:noWrap w:val="0"/>
                  <w:vAlign w:val="center"/>
                </w:tcPr>
                <w:p w14:paraId="739A72A8">
                  <w:pPr>
                    <w:pStyle w:val="53"/>
                    <w:bidi w:val="0"/>
                    <w:jc w:val="both"/>
                    <w:rPr>
                      <w:rFonts w:hint="default"/>
                      <w:lang w:val="en-US" w:eastAsia="zh-CN"/>
                    </w:rPr>
                  </w:pPr>
                  <w:r>
                    <w:rPr>
                      <w:rFonts w:hint="default"/>
                      <w:lang w:val="en-US" w:eastAsia="zh-CN"/>
                    </w:rPr>
                    <w:t>全部进入产品</w:t>
                  </w:r>
                  <w:r>
                    <w:rPr>
                      <w:rFonts w:hint="eastAsia"/>
                      <w:lang w:val="en-US" w:eastAsia="zh-CN"/>
                    </w:rPr>
                    <w:t>。</w:t>
                  </w:r>
                </w:p>
              </w:tc>
            </w:tr>
            <w:tr w14:paraId="44DC80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0" w:type="pct"/>
                  <w:tcBorders>
                    <w:tl2br w:val="nil"/>
                    <w:tr2bl w:val="nil"/>
                  </w:tcBorders>
                  <w:noWrap w:val="0"/>
                  <w:vAlign w:val="center"/>
                </w:tcPr>
                <w:p w14:paraId="3C58E17B">
                  <w:pPr>
                    <w:pStyle w:val="53"/>
                    <w:bidi w:val="0"/>
                    <w:rPr>
                      <w:rFonts w:hint="default"/>
                      <w:lang w:val="en-US" w:eastAsia="zh-CN"/>
                    </w:rPr>
                  </w:pPr>
                  <w:r>
                    <w:rPr>
                      <w:rFonts w:hint="eastAsia"/>
                      <w:lang w:val="en-US" w:eastAsia="zh-CN"/>
                    </w:rPr>
                    <w:t>全封闭</w:t>
                  </w:r>
                  <w:r>
                    <w:rPr>
                      <w:rFonts w:hint="default"/>
                      <w:lang w:val="en-US" w:eastAsia="zh-CN"/>
                    </w:rPr>
                    <w:t>搅拌机清洗用水</w:t>
                  </w:r>
                </w:p>
              </w:tc>
              <w:tc>
                <w:tcPr>
                  <w:tcW w:w="784" w:type="pct"/>
                  <w:tcBorders>
                    <w:tl2br w:val="nil"/>
                    <w:tr2bl w:val="nil"/>
                  </w:tcBorders>
                  <w:noWrap w:val="0"/>
                  <w:vAlign w:val="center"/>
                </w:tcPr>
                <w:p w14:paraId="6D1A688F">
                  <w:pPr>
                    <w:pStyle w:val="53"/>
                    <w:bidi w:val="0"/>
                    <w:rPr>
                      <w:rFonts w:hint="eastAsia"/>
                      <w:lang w:val="en-US" w:eastAsia="zh-CN"/>
                    </w:rPr>
                  </w:pPr>
                  <w:r>
                    <w:rPr>
                      <w:rFonts w:hint="eastAsia"/>
                      <w:lang w:val="en-US" w:eastAsia="zh-CN"/>
                    </w:rPr>
                    <w:t>2</w:t>
                  </w:r>
                  <w:r>
                    <w:rPr>
                      <w:rFonts w:hint="eastAsia" w:eastAsia="宋体"/>
                      <w:lang w:val="en-US" w:eastAsia="zh-CN"/>
                    </w:rPr>
                    <w:t>m</w:t>
                  </w:r>
                  <w:r>
                    <w:rPr>
                      <w:rFonts w:hint="eastAsia" w:eastAsia="宋体"/>
                      <w:vertAlign w:val="superscript"/>
                      <w:lang w:val="en-US" w:eastAsia="zh-CN"/>
                    </w:rPr>
                    <w:t>3</w:t>
                  </w:r>
                  <w:r>
                    <w:rPr>
                      <w:rFonts w:hint="eastAsia" w:eastAsia="宋体"/>
                      <w:lang w:val="en-US" w:eastAsia="zh-CN"/>
                    </w:rPr>
                    <w:t>/台</w:t>
                  </w:r>
                  <w:r>
                    <w:rPr>
                      <w:rFonts w:hint="default"/>
                      <w:lang w:val="en-US" w:eastAsia="zh-CN"/>
                    </w:rPr>
                    <w:t>•天</w:t>
                  </w:r>
                </w:p>
              </w:tc>
              <w:tc>
                <w:tcPr>
                  <w:tcW w:w="523" w:type="pct"/>
                  <w:tcBorders>
                    <w:tl2br w:val="nil"/>
                    <w:tr2bl w:val="nil"/>
                  </w:tcBorders>
                  <w:noWrap w:val="0"/>
                  <w:vAlign w:val="center"/>
                </w:tcPr>
                <w:p w14:paraId="6BD50AA0">
                  <w:pPr>
                    <w:pStyle w:val="53"/>
                    <w:bidi w:val="0"/>
                    <w:rPr>
                      <w:rFonts w:hint="default"/>
                      <w:lang w:val="en-US" w:eastAsia="zh-CN"/>
                    </w:rPr>
                  </w:pPr>
                  <w:r>
                    <w:rPr>
                      <w:rFonts w:hint="eastAsia"/>
                      <w:lang w:val="en-US" w:eastAsia="zh-CN"/>
                    </w:rPr>
                    <w:t>2</w:t>
                  </w:r>
                </w:p>
              </w:tc>
              <w:tc>
                <w:tcPr>
                  <w:tcW w:w="479" w:type="pct"/>
                  <w:tcBorders>
                    <w:tl2br w:val="nil"/>
                    <w:tr2bl w:val="nil"/>
                  </w:tcBorders>
                  <w:noWrap w:val="0"/>
                  <w:vAlign w:val="center"/>
                </w:tcPr>
                <w:p w14:paraId="5626D2DA">
                  <w:pPr>
                    <w:pStyle w:val="53"/>
                    <w:bidi w:val="0"/>
                    <w:rPr>
                      <w:rFonts w:hint="default"/>
                      <w:lang w:val="en-US" w:eastAsia="zh-CN"/>
                    </w:rPr>
                  </w:pPr>
                  <w:r>
                    <w:rPr>
                      <w:rFonts w:hint="eastAsia"/>
                      <w:lang w:val="en-US" w:eastAsia="zh-CN"/>
                    </w:rPr>
                    <w:t>0.4</w:t>
                  </w:r>
                </w:p>
              </w:tc>
              <w:tc>
                <w:tcPr>
                  <w:tcW w:w="530" w:type="pct"/>
                  <w:tcBorders>
                    <w:tl2br w:val="nil"/>
                    <w:tr2bl w:val="nil"/>
                  </w:tcBorders>
                  <w:noWrap w:val="0"/>
                  <w:vAlign w:val="center"/>
                </w:tcPr>
                <w:p w14:paraId="0244C680">
                  <w:pPr>
                    <w:pStyle w:val="53"/>
                    <w:bidi w:val="0"/>
                    <w:rPr>
                      <w:rFonts w:hint="default"/>
                      <w:lang w:val="en-US" w:eastAsia="zh-CN"/>
                    </w:rPr>
                  </w:pPr>
                  <w:r>
                    <w:rPr>
                      <w:rFonts w:hint="eastAsia"/>
                      <w:lang w:val="en-US" w:eastAsia="zh-CN"/>
                    </w:rPr>
                    <w:t>1.6</w:t>
                  </w:r>
                </w:p>
              </w:tc>
              <w:tc>
                <w:tcPr>
                  <w:tcW w:w="1911" w:type="pct"/>
                  <w:tcBorders>
                    <w:tl2br w:val="nil"/>
                    <w:tr2bl w:val="nil"/>
                  </w:tcBorders>
                  <w:noWrap w:val="0"/>
                  <w:vAlign w:val="center"/>
                </w:tcPr>
                <w:p w14:paraId="1EB40D28">
                  <w:pPr>
                    <w:pStyle w:val="53"/>
                    <w:bidi w:val="0"/>
                    <w:jc w:val="both"/>
                    <w:rPr>
                      <w:rFonts w:hint="default"/>
                      <w:lang w:val="en-US" w:eastAsia="zh-CN"/>
                    </w:rPr>
                  </w:pPr>
                  <w:r>
                    <w:rPr>
                      <w:rFonts w:hint="default"/>
                      <w:lang w:val="en-US" w:eastAsia="zh-CN"/>
                    </w:rPr>
                    <w:t>排入厂区的沉淀池内，沉淀后上清液全部回用于搅拌机和混凝土运输车清洗，不外排。</w:t>
                  </w:r>
                </w:p>
              </w:tc>
            </w:tr>
            <w:tr w14:paraId="2D5E1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0" w:type="pct"/>
                  <w:tcBorders>
                    <w:tl2br w:val="nil"/>
                    <w:tr2bl w:val="nil"/>
                  </w:tcBorders>
                  <w:noWrap w:val="0"/>
                  <w:vAlign w:val="center"/>
                </w:tcPr>
                <w:p w14:paraId="2F443E08">
                  <w:pPr>
                    <w:pStyle w:val="53"/>
                    <w:bidi w:val="0"/>
                    <w:rPr>
                      <w:rFonts w:hint="default"/>
                      <w:lang w:val="en-US" w:eastAsia="zh-CN"/>
                    </w:rPr>
                  </w:pPr>
                  <w:r>
                    <w:rPr>
                      <w:rFonts w:hint="default"/>
                      <w:lang w:val="en-US" w:eastAsia="zh-CN"/>
                    </w:rPr>
                    <w:t>混凝土运输车清洗用水</w:t>
                  </w:r>
                </w:p>
              </w:tc>
              <w:tc>
                <w:tcPr>
                  <w:tcW w:w="784" w:type="pct"/>
                  <w:tcBorders>
                    <w:tl2br w:val="nil"/>
                    <w:tr2bl w:val="nil"/>
                  </w:tcBorders>
                  <w:noWrap w:val="0"/>
                  <w:vAlign w:val="center"/>
                </w:tcPr>
                <w:p w14:paraId="6258AC37">
                  <w:pPr>
                    <w:pStyle w:val="53"/>
                    <w:bidi w:val="0"/>
                    <w:rPr>
                      <w:rFonts w:hint="eastAsia"/>
                      <w:lang w:val="en-US" w:eastAsia="zh-CN"/>
                    </w:rPr>
                  </w:pPr>
                  <w:r>
                    <w:rPr>
                      <w:rFonts w:hint="eastAsia" w:eastAsia="宋体"/>
                      <w:lang w:val="en-US" w:eastAsia="zh-CN"/>
                    </w:rPr>
                    <w:t>0.03m</w:t>
                  </w:r>
                  <w:r>
                    <w:rPr>
                      <w:rFonts w:hint="eastAsia" w:eastAsia="宋体"/>
                      <w:vertAlign w:val="superscript"/>
                      <w:lang w:val="en-US" w:eastAsia="zh-CN"/>
                    </w:rPr>
                    <w:t>3</w:t>
                  </w:r>
                  <w:r>
                    <w:rPr>
                      <w:rFonts w:hint="eastAsia" w:eastAsia="宋体"/>
                      <w:lang w:val="en-US" w:eastAsia="zh-CN"/>
                    </w:rPr>
                    <w:t>/（车次）</w:t>
                  </w:r>
                </w:p>
              </w:tc>
              <w:tc>
                <w:tcPr>
                  <w:tcW w:w="523" w:type="pct"/>
                  <w:tcBorders>
                    <w:tl2br w:val="nil"/>
                    <w:tr2bl w:val="nil"/>
                  </w:tcBorders>
                  <w:noWrap w:val="0"/>
                  <w:vAlign w:val="center"/>
                </w:tcPr>
                <w:p w14:paraId="2FA7C2FD">
                  <w:pPr>
                    <w:pStyle w:val="53"/>
                    <w:bidi w:val="0"/>
                    <w:rPr>
                      <w:rFonts w:hint="default"/>
                      <w:lang w:val="en-US" w:eastAsia="zh-CN"/>
                    </w:rPr>
                  </w:pPr>
                  <w:r>
                    <w:rPr>
                      <w:rFonts w:hint="eastAsia"/>
                      <w:lang w:val="en-US" w:eastAsia="zh-CN"/>
                    </w:rPr>
                    <w:t>3.57</w:t>
                  </w:r>
                </w:p>
              </w:tc>
              <w:tc>
                <w:tcPr>
                  <w:tcW w:w="479" w:type="pct"/>
                  <w:tcBorders>
                    <w:tl2br w:val="nil"/>
                    <w:tr2bl w:val="nil"/>
                  </w:tcBorders>
                  <w:noWrap w:val="0"/>
                  <w:vAlign w:val="center"/>
                </w:tcPr>
                <w:p w14:paraId="7ADDCFFA">
                  <w:pPr>
                    <w:pStyle w:val="53"/>
                    <w:bidi w:val="0"/>
                    <w:rPr>
                      <w:rFonts w:hint="default"/>
                      <w:lang w:val="en-US" w:eastAsia="zh-CN"/>
                    </w:rPr>
                  </w:pPr>
                  <w:r>
                    <w:rPr>
                      <w:rFonts w:hint="eastAsia"/>
                      <w:lang w:val="en-US" w:eastAsia="zh-CN"/>
                    </w:rPr>
                    <w:t>0.71</w:t>
                  </w:r>
                </w:p>
              </w:tc>
              <w:tc>
                <w:tcPr>
                  <w:tcW w:w="530" w:type="pct"/>
                  <w:tcBorders>
                    <w:tl2br w:val="nil"/>
                    <w:tr2bl w:val="nil"/>
                  </w:tcBorders>
                  <w:noWrap w:val="0"/>
                  <w:vAlign w:val="center"/>
                </w:tcPr>
                <w:p w14:paraId="3A344E95">
                  <w:pPr>
                    <w:pStyle w:val="53"/>
                    <w:bidi w:val="0"/>
                    <w:rPr>
                      <w:rFonts w:hint="default"/>
                      <w:lang w:val="en-US" w:eastAsia="zh-CN"/>
                    </w:rPr>
                  </w:pPr>
                  <w:r>
                    <w:rPr>
                      <w:rFonts w:hint="eastAsia"/>
                      <w:lang w:val="en-US" w:eastAsia="zh-CN"/>
                    </w:rPr>
                    <w:t>2.86</w:t>
                  </w:r>
                </w:p>
              </w:tc>
              <w:tc>
                <w:tcPr>
                  <w:tcW w:w="1911" w:type="pct"/>
                  <w:tcBorders>
                    <w:tl2br w:val="nil"/>
                    <w:tr2bl w:val="nil"/>
                  </w:tcBorders>
                  <w:noWrap w:val="0"/>
                  <w:vAlign w:val="center"/>
                </w:tcPr>
                <w:p w14:paraId="32D06B65">
                  <w:pPr>
                    <w:pStyle w:val="53"/>
                    <w:bidi w:val="0"/>
                    <w:jc w:val="both"/>
                    <w:rPr>
                      <w:rFonts w:hint="default"/>
                      <w:lang w:val="en-US" w:eastAsia="zh-CN"/>
                    </w:rPr>
                  </w:pPr>
                  <w:r>
                    <w:rPr>
                      <w:rFonts w:hint="default"/>
                      <w:lang w:val="en-US" w:eastAsia="zh-CN"/>
                    </w:rPr>
                    <w:t>排入厂区的沉淀池内，沉淀后上清液全部回用于搅拌机和混凝土运输车清洗，不外排。</w:t>
                  </w:r>
                </w:p>
              </w:tc>
            </w:tr>
            <w:tr w14:paraId="349BE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70" w:type="pct"/>
                  <w:tcBorders>
                    <w:tl2br w:val="nil"/>
                    <w:tr2bl w:val="nil"/>
                  </w:tcBorders>
                  <w:noWrap w:val="0"/>
                  <w:vAlign w:val="center"/>
                </w:tcPr>
                <w:p w14:paraId="3D37A3B7">
                  <w:pPr>
                    <w:pStyle w:val="53"/>
                    <w:bidi w:val="0"/>
                    <w:rPr>
                      <w:rFonts w:hint="default"/>
                      <w:lang w:val="en-US" w:eastAsia="zh-CN"/>
                    </w:rPr>
                  </w:pPr>
                  <w:r>
                    <w:rPr>
                      <w:rFonts w:hint="default"/>
                      <w:lang w:val="en-US" w:eastAsia="zh-CN"/>
                    </w:rPr>
                    <w:t>抑尘用水</w:t>
                  </w:r>
                </w:p>
              </w:tc>
              <w:tc>
                <w:tcPr>
                  <w:tcW w:w="784" w:type="pct"/>
                  <w:tcBorders>
                    <w:tl2br w:val="nil"/>
                    <w:tr2bl w:val="nil"/>
                  </w:tcBorders>
                  <w:noWrap w:val="0"/>
                  <w:vAlign w:val="center"/>
                </w:tcPr>
                <w:p w14:paraId="6708E241">
                  <w:pPr>
                    <w:pStyle w:val="53"/>
                    <w:bidi w:val="0"/>
                    <w:rPr>
                      <w:rFonts w:hint="eastAsia"/>
                      <w:lang w:val="en-US" w:eastAsia="zh-CN"/>
                    </w:rPr>
                  </w:pPr>
                  <w:r>
                    <w:rPr>
                      <w:rFonts w:hint="eastAsia"/>
                      <w:lang w:val="en-US" w:eastAsia="zh-CN"/>
                    </w:rPr>
                    <w:t>2L/（m</w:t>
                  </w:r>
                  <w:r>
                    <w:rPr>
                      <w:rFonts w:hint="eastAsia"/>
                      <w:vertAlign w:val="superscript"/>
                      <w:lang w:val="en-US" w:eastAsia="zh-CN"/>
                    </w:rPr>
                    <w:t>2</w:t>
                  </w:r>
                  <w:r>
                    <w:rPr>
                      <w:rFonts w:hint="default" w:ascii="Times New Roman" w:hAnsi="Times New Roman" w:cs="Times New Roman"/>
                      <w:lang w:val="en-US" w:eastAsia="zh-CN"/>
                    </w:rPr>
                    <w:t>·</w:t>
                  </w:r>
                  <w:r>
                    <w:rPr>
                      <w:rFonts w:hint="eastAsia"/>
                      <w:lang w:val="en-US" w:eastAsia="zh-CN"/>
                    </w:rPr>
                    <w:t>d）</w:t>
                  </w:r>
                </w:p>
              </w:tc>
              <w:tc>
                <w:tcPr>
                  <w:tcW w:w="523" w:type="pct"/>
                  <w:tcBorders>
                    <w:tl2br w:val="nil"/>
                    <w:tr2bl w:val="nil"/>
                  </w:tcBorders>
                  <w:noWrap w:val="0"/>
                  <w:vAlign w:val="center"/>
                </w:tcPr>
                <w:p w14:paraId="32B6E886">
                  <w:pPr>
                    <w:pStyle w:val="53"/>
                    <w:bidi w:val="0"/>
                    <w:rPr>
                      <w:rFonts w:hint="default"/>
                      <w:lang w:val="en-US" w:eastAsia="zh-CN"/>
                    </w:rPr>
                  </w:pPr>
                  <w:r>
                    <w:rPr>
                      <w:rFonts w:hint="eastAsia"/>
                      <w:lang w:val="en-US" w:eastAsia="zh-CN"/>
                    </w:rPr>
                    <w:t>17.4</w:t>
                  </w:r>
                </w:p>
              </w:tc>
              <w:tc>
                <w:tcPr>
                  <w:tcW w:w="479" w:type="pct"/>
                  <w:tcBorders>
                    <w:tl2br w:val="nil"/>
                    <w:tr2bl w:val="nil"/>
                  </w:tcBorders>
                  <w:noWrap w:val="0"/>
                  <w:vAlign w:val="center"/>
                </w:tcPr>
                <w:p w14:paraId="0EF7D4AE">
                  <w:pPr>
                    <w:pStyle w:val="53"/>
                    <w:bidi w:val="0"/>
                    <w:rPr>
                      <w:rFonts w:hint="default"/>
                      <w:lang w:val="en-US" w:eastAsia="zh-CN"/>
                    </w:rPr>
                  </w:pPr>
                  <w:r>
                    <w:rPr>
                      <w:rFonts w:hint="eastAsia"/>
                      <w:lang w:val="en-US" w:eastAsia="zh-CN"/>
                    </w:rPr>
                    <w:t>17.4</w:t>
                  </w:r>
                </w:p>
              </w:tc>
              <w:tc>
                <w:tcPr>
                  <w:tcW w:w="530" w:type="pct"/>
                  <w:tcBorders>
                    <w:tl2br w:val="nil"/>
                    <w:tr2bl w:val="nil"/>
                  </w:tcBorders>
                  <w:noWrap w:val="0"/>
                  <w:vAlign w:val="center"/>
                </w:tcPr>
                <w:p w14:paraId="125D39F3">
                  <w:pPr>
                    <w:pStyle w:val="53"/>
                    <w:bidi w:val="0"/>
                    <w:rPr>
                      <w:rFonts w:hint="default"/>
                      <w:lang w:val="en-US" w:eastAsia="zh-CN"/>
                    </w:rPr>
                  </w:pPr>
                  <w:r>
                    <w:rPr>
                      <w:rFonts w:hint="eastAsia"/>
                      <w:lang w:val="en-US" w:eastAsia="zh-CN"/>
                    </w:rPr>
                    <w:t>/</w:t>
                  </w:r>
                </w:p>
              </w:tc>
              <w:tc>
                <w:tcPr>
                  <w:tcW w:w="1911" w:type="pct"/>
                  <w:tcBorders>
                    <w:tl2br w:val="nil"/>
                    <w:tr2bl w:val="nil"/>
                  </w:tcBorders>
                  <w:noWrap w:val="0"/>
                  <w:vAlign w:val="center"/>
                </w:tcPr>
                <w:p w14:paraId="097A87C6">
                  <w:pPr>
                    <w:pStyle w:val="53"/>
                    <w:bidi w:val="0"/>
                    <w:jc w:val="both"/>
                    <w:rPr>
                      <w:rFonts w:hint="default"/>
                      <w:lang w:val="en-US" w:eastAsia="zh-CN"/>
                    </w:rPr>
                  </w:pPr>
                  <w:r>
                    <w:rPr>
                      <w:rFonts w:hint="eastAsia"/>
                      <w:lang w:val="en-US" w:eastAsia="zh-CN"/>
                    </w:rPr>
                    <w:t>全部自然蒸发。</w:t>
                  </w:r>
                </w:p>
              </w:tc>
            </w:tr>
          </w:tbl>
          <w:p w14:paraId="69366B65">
            <w:pPr>
              <w:pStyle w:val="54"/>
              <w:bidi w:val="0"/>
              <w:rPr>
                <w:rFonts w:hint="default"/>
                <w:lang w:val="en-US" w:eastAsia="zh-CN"/>
              </w:rPr>
            </w:pPr>
            <w:r>
              <w:rPr>
                <w:rFonts w:hint="eastAsia" w:ascii="Times New Roman" w:hAnsi="Times New Roman" w:cs="Times New Roman"/>
                <w:b w:val="0"/>
                <w:bCs/>
                <w:sz w:val="24"/>
                <w:szCs w:val="24"/>
                <w:lang w:val="en-US" w:eastAsia="zh-CN"/>
              </w:rPr>
              <w:t>项目用排水情况见图</w:t>
            </w:r>
            <w:r>
              <w:rPr>
                <w:rFonts w:hint="eastAsia" w:cs="Times New Roman"/>
                <w:b w:val="0"/>
                <w:bCs/>
                <w:sz w:val="24"/>
                <w:szCs w:val="24"/>
                <w:lang w:val="en-US" w:eastAsia="zh-CN"/>
              </w:rPr>
              <w:t>3</w:t>
            </w:r>
            <w:r>
              <w:rPr>
                <w:rFonts w:hint="eastAsia" w:ascii="Times New Roman" w:hAnsi="Times New Roman" w:cs="Times New Roman"/>
                <w:b w:val="0"/>
                <w:bCs/>
                <w:sz w:val="24"/>
                <w:szCs w:val="24"/>
                <w:lang w:val="en-US" w:eastAsia="zh-CN"/>
              </w:rPr>
              <w:t>。</w:t>
            </w:r>
          </w:p>
          <w:p w14:paraId="4DF25118">
            <w:pPr>
              <w:pStyle w:val="54"/>
              <w:bidi w:val="0"/>
              <w:ind w:left="0" w:leftChars="0" w:firstLine="0" w:firstLineChars="0"/>
              <w:jc w:val="center"/>
              <w:rPr>
                <w:rFonts w:hint="eastAsia"/>
                <w:lang w:val="en-US" w:eastAsia="zh-CN"/>
              </w:rPr>
            </w:pPr>
            <w:r>
              <w:rPr>
                <w:rFonts w:hint="eastAsia"/>
                <w:lang w:val="en-US" w:eastAsia="zh-CN"/>
              </w:rPr>
              <w:object>
                <v:shape id="_x0000_i1025" o:spt="75" type="#_x0000_t75" style="height:204.25pt;width:305.05pt;" o:ole="t" filled="f" o:preferrelative="t" stroked="f" coordsize="21600,21600">
                  <v:path/>
                  <v:fill on="f" focussize="0,0"/>
                  <v:stroke on="f"/>
                  <v:imagedata r:id="rId21" o:title=""/>
                  <o:lock v:ext="edit" aspectratio="f"/>
                  <w10:wrap type="none"/>
                  <w10:anchorlock/>
                </v:shape>
                <o:OLEObject Type="Embed" ProgID="Visio.Drawing.11" ShapeID="_x0000_i1025" DrawAspect="Content" ObjectID="_1468075725" r:id="rId20">
                  <o:LockedField>false</o:LockedField>
                </o:OLEObject>
              </w:object>
            </w:r>
          </w:p>
          <w:p w14:paraId="77B5B910">
            <w:pPr>
              <w:pStyle w:val="33"/>
              <w:bidi w:val="0"/>
              <w:rPr>
                <w:rFonts w:hint="eastAsia"/>
                <w:lang w:val="en-US" w:eastAsia="zh-CN"/>
              </w:rPr>
            </w:pPr>
            <w:r>
              <w:rPr>
                <w:rFonts w:hint="eastAsia"/>
                <w:lang w:val="en-US" w:eastAsia="zh-CN"/>
              </w:rPr>
              <w:t>图3    项目水平衡图  单位：m</w:t>
            </w:r>
            <w:r>
              <w:rPr>
                <w:rFonts w:hint="eastAsia"/>
                <w:vertAlign w:val="superscript"/>
                <w:lang w:val="en-US" w:eastAsia="zh-CN"/>
              </w:rPr>
              <w:t>3</w:t>
            </w:r>
            <w:r>
              <w:rPr>
                <w:rFonts w:hint="eastAsia"/>
                <w:lang w:val="en-US" w:eastAsia="zh-CN"/>
              </w:rPr>
              <w:t>/d</w:t>
            </w:r>
          </w:p>
          <w:p w14:paraId="5C810D1D">
            <w:pPr>
              <w:pStyle w:val="54"/>
              <w:bidi w:val="0"/>
              <w:rPr>
                <w:rFonts w:hint="eastAsia"/>
                <w:lang w:val="en-US" w:eastAsia="zh-CN"/>
              </w:rPr>
            </w:pPr>
            <w:r>
              <w:rPr>
                <w:rFonts w:hint="eastAsia"/>
                <w:lang w:val="en-US" w:eastAsia="zh-CN"/>
              </w:rPr>
              <w:t>3）供热</w:t>
            </w:r>
          </w:p>
          <w:p w14:paraId="50FAD505">
            <w:pPr>
              <w:pStyle w:val="54"/>
              <w:bidi w:val="0"/>
              <w:rPr>
                <w:rFonts w:hint="eastAsia"/>
                <w:lang w:val="en-US" w:eastAsia="zh-CN"/>
              </w:rPr>
            </w:pPr>
            <w:r>
              <w:rPr>
                <w:rFonts w:hint="eastAsia"/>
                <w:lang w:val="en-US" w:eastAsia="zh-CN"/>
              </w:rPr>
              <w:t>本项目冬季不生产。</w:t>
            </w:r>
          </w:p>
          <w:p w14:paraId="18EF4179">
            <w:pPr>
              <w:pStyle w:val="54"/>
              <w:bidi w:val="0"/>
              <w:rPr>
                <w:rFonts w:hint="eastAsia"/>
                <w:lang w:val="en-US" w:eastAsia="zh-CN"/>
              </w:rPr>
            </w:pPr>
            <w:r>
              <w:rPr>
                <w:rFonts w:hint="eastAsia"/>
                <w:lang w:val="en-US" w:eastAsia="zh-CN"/>
              </w:rPr>
              <w:t>4）供电</w:t>
            </w:r>
          </w:p>
          <w:p w14:paraId="2BA30332">
            <w:pPr>
              <w:pStyle w:val="54"/>
              <w:bidi w:val="0"/>
              <w:rPr>
                <w:rFonts w:hint="eastAsia"/>
                <w:lang w:val="en-US" w:eastAsia="zh-CN"/>
              </w:rPr>
            </w:pPr>
            <w:r>
              <w:rPr>
                <w:rFonts w:hint="eastAsia"/>
                <w:lang w:val="en-US" w:eastAsia="zh-CN"/>
              </w:rPr>
              <w:t>本项目为新建项目，供电接入现有10kV电路供电。</w:t>
            </w:r>
          </w:p>
          <w:p w14:paraId="28324824">
            <w:pPr>
              <w:pStyle w:val="54"/>
              <w:bidi w:val="0"/>
              <w:rPr>
                <w:rFonts w:hint="default"/>
                <w:b w:val="0"/>
                <w:bCs w:val="0"/>
                <w:lang w:val="en-US" w:eastAsia="zh-CN"/>
              </w:rPr>
            </w:pPr>
            <w:r>
              <w:rPr>
                <w:rFonts w:hint="eastAsia"/>
                <w:b/>
                <w:bCs/>
                <w:lang w:val="en-US" w:eastAsia="zh-CN"/>
              </w:rPr>
              <w:t>8、沉淀池建设方案</w:t>
            </w:r>
          </w:p>
          <w:p w14:paraId="226D3935">
            <w:pPr>
              <w:pStyle w:val="54"/>
              <w:bidi w:val="0"/>
              <w:rPr>
                <w:rFonts w:hint="eastAsia"/>
                <w:b w:val="0"/>
                <w:bCs w:val="0"/>
                <w:lang w:val="en-US" w:eastAsia="zh-CN"/>
              </w:rPr>
            </w:pPr>
            <w:r>
              <w:rPr>
                <w:rFonts w:hint="eastAsia"/>
                <w:b w:val="0"/>
                <w:bCs w:val="0"/>
                <w:lang w:val="en-US" w:eastAsia="zh-CN"/>
              </w:rPr>
              <w:t>本项目设置1个10m</w:t>
            </w:r>
            <w:r>
              <w:rPr>
                <w:rFonts w:hint="eastAsia"/>
                <w:b w:val="0"/>
                <w:bCs w:val="0"/>
                <w:vertAlign w:val="superscript"/>
                <w:lang w:val="en-US" w:eastAsia="zh-CN"/>
              </w:rPr>
              <w:t>3</w:t>
            </w:r>
            <w:r>
              <w:rPr>
                <w:rFonts w:hint="eastAsia"/>
                <w:b w:val="0"/>
                <w:bCs w:val="0"/>
                <w:lang w:val="en-US" w:eastAsia="zh-CN"/>
              </w:rPr>
              <w:t>沉淀池，为一般防渗区，沉淀池采用抗渗混凝土结构，抗渗等级不低于P6，混凝土强度等级不低于C25，厚度不小于200mm，K≤1.0×10</w:t>
            </w:r>
            <w:r>
              <w:rPr>
                <w:rFonts w:hint="eastAsia"/>
                <w:b w:val="0"/>
                <w:bCs w:val="0"/>
                <w:vertAlign w:val="superscript"/>
                <w:lang w:val="en-US" w:eastAsia="zh-CN"/>
              </w:rPr>
              <w:t>-7</w:t>
            </w:r>
            <w:r>
              <w:rPr>
                <w:rFonts w:hint="eastAsia"/>
                <w:b w:val="0"/>
                <w:bCs w:val="0"/>
                <w:lang w:val="en-US" w:eastAsia="zh-CN"/>
              </w:rPr>
              <w:t>cm/s。</w:t>
            </w:r>
          </w:p>
          <w:p w14:paraId="114C349B">
            <w:pPr>
              <w:pStyle w:val="54"/>
              <w:bidi w:val="0"/>
              <w:rPr>
                <w:rFonts w:hint="eastAsia"/>
                <w:lang w:val="en-US" w:eastAsia="zh-CN"/>
              </w:rPr>
            </w:pPr>
            <w:r>
              <w:rPr>
                <w:rFonts w:hint="eastAsia"/>
                <w:b/>
                <w:bCs/>
                <w:lang w:val="en-US" w:eastAsia="zh-CN"/>
              </w:rPr>
              <w:t>9、劳动定员及工作制度</w:t>
            </w:r>
          </w:p>
          <w:p w14:paraId="77A6F799">
            <w:pPr>
              <w:pStyle w:val="54"/>
              <w:bidi w:val="0"/>
              <w:rPr>
                <w:rFonts w:hint="eastAsia"/>
                <w:lang w:val="en-US" w:eastAsia="zh-CN"/>
              </w:rPr>
            </w:pPr>
            <w:r>
              <w:rPr>
                <w:rFonts w:hint="eastAsia"/>
                <w:lang w:val="en-US" w:eastAsia="zh-CN"/>
              </w:rPr>
              <w:t>本项目劳动定员8人，年工作210天，每天生产8小时。</w:t>
            </w:r>
          </w:p>
          <w:p w14:paraId="0968DF1E">
            <w:pPr>
              <w:pStyle w:val="54"/>
              <w:bidi w:val="0"/>
              <w:rPr>
                <w:rFonts w:hint="default" w:eastAsia="宋体"/>
                <w:lang w:val="en-US" w:eastAsia="zh-CN"/>
              </w:rPr>
            </w:pPr>
            <w:r>
              <w:rPr>
                <w:rFonts w:hint="eastAsia"/>
                <w:b/>
                <w:bCs/>
                <w:lang w:val="en-US" w:eastAsia="zh-CN"/>
              </w:rPr>
              <w:t>10、厂区平面布置</w:t>
            </w:r>
          </w:p>
          <w:p w14:paraId="215B89BB">
            <w:pPr>
              <w:pStyle w:val="54"/>
              <w:bidi w:val="0"/>
              <w:rPr>
                <w:rFonts w:hint="default" w:ascii="宋体" w:hAnsi="宋体" w:eastAsia="宋体" w:cs="宋体"/>
                <w:bCs/>
                <w:szCs w:val="24"/>
                <w:lang w:val="en-US" w:eastAsia="zh-CN"/>
              </w:rPr>
            </w:pPr>
            <w:r>
              <w:rPr>
                <w:rFonts w:hint="eastAsia"/>
                <w:lang w:val="en-US" w:eastAsia="zh-CN"/>
              </w:rPr>
              <w:t>本项目布局本着“方便、安全、畅通、配套”的原则布置。项目厂区出入口设置在东南侧，临近S215线，便于产品及原材料的运输。生活办公区位于厂区南侧，拌合车间位于厂区北侧，骨料仓位于厂区中部。综合上述分析，本项目总平面布置功能分区清晰，工艺流程顺畅。项目总平面布置图见附图2。</w:t>
            </w:r>
          </w:p>
        </w:tc>
      </w:tr>
      <w:tr w14:paraId="41D2F9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823" w:type="dxa"/>
            <w:noWrap w:val="0"/>
            <w:vAlign w:val="center"/>
          </w:tcPr>
          <w:p w14:paraId="061A8581">
            <w:pPr>
              <w:pStyle w:val="13"/>
              <w:adjustRightInd w:val="0"/>
              <w:snapToGrid w:val="0"/>
              <w:spacing w:before="0" w:beforeAutospacing="0" w:after="0" w:afterAutospacing="0"/>
              <w:jc w:val="center"/>
              <w:rPr>
                <w:rFonts w:cs="宋体"/>
                <w:sz w:val="24"/>
                <w:szCs w:val="24"/>
              </w:rPr>
            </w:pPr>
            <w:r>
              <w:rPr>
                <w:rFonts w:hint="eastAsia" w:cs="宋体"/>
                <w:sz w:val="24"/>
                <w:szCs w:val="24"/>
              </w:rPr>
              <w:t>工艺流程和产排污环节</w:t>
            </w:r>
          </w:p>
        </w:tc>
        <w:tc>
          <w:tcPr>
            <w:tcW w:w="8161" w:type="dxa"/>
            <w:noWrap w:val="0"/>
            <w:vAlign w:val="top"/>
          </w:tcPr>
          <w:p w14:paraId="6D9E9520">
            <w:pPr>
              <w:pStyle w:val="54"/>
              <w:numPr>
                <w:ilvl w:val="0"/>
                <w:numId w:val="0"/>
              </w:numPr>
              <w:bidi w:val="0"/>
              <w:ind w:firstLine="482" w:firstLineChars="200"/>
              <w:rPr>
                <w:rFonts w:hint="eastAsia"/>
                <w:lang w:val="en-US" w:eastAsia="zh-CN"/>
              </w:rPr>
            </w:pPr>
            <w:r>
              <w:rPr>
                <w:rFonts w:hint="eastAsia"/>
                <w:b/>
                <w:bCs/>
                <w:lang w:val="en-US" w:eastAsia="zh-CN"/>
              </w:rPr>
              <w:t>1、运营期工艺流程及产污节点</w:t>
            </w:r>
          </w:p>
          <w:p w14:paraId="08A3C3EC">
            <w:pPr>
              <w:pStyle w:val="54"/>
              <w:numPr>
                <w:ilvl w:val="0"/>
                <w:numId w:val="0"/>
              </w:numPr>
              <w:bidi w:val="0"/>
              <w:jc w:val="center"/>
              <w:rPr>
                <w:rFonts w:hint="eastAsia"/>
                <w:lang w:val="en-US" w:eastAsia="zh-CN"/>
              </w:rPr>
            </w:pPr>
            <w:r>
              <w:rPr>
                <w:rFonts w:hint="eastAsia"/>
                <w:lang w:val="en-US" w:eastAsia="zh-CN"/>
              </w:rPr>
              <w:object>
                <v:shape id="_x0000_i1026" o:spt="75" type="#_x0000_t75" style="height:213pt;width:390pt;" o:ole="t" filled="f" o:preferrelative="t" stroked="f" coordsize="21600,21600">
                  <v:path/>
                  <v:fill on="f" focussize="0,0"/>
                  <v:stroke on="f"/>
                  <v:imagedata r:id="rId23" o:title=""/>
                  <o:lock v:ext="edit" aspectratio="f"/>
                  <w10:wrap type="none"/>
                  <w10:anchorlock/>
                </v:shape>
                <o:OLEObject Type="Embed" ProgID="Visio.Drawing.11" ShapeID="_x0000_i1026" DrawAspect="Content" ObjectID="_1468075726" r:id="rId22">
                  <o:LockedField>false</o:LockedField>
                </o:OLEObject>
              </w:object>
            </w:r>
          </w:p>
          <w:p w14:paraId="04E880BD">
            <w:pPr>
              <w:pStyle w:val="33"/>
              <w:bidi w:val="0"/>
              <w:rPr>
                <w:rFonts w:hint="eastAsia"/>
                <w:lang w:val="en-US" w:eastAsia="zh-CN"/>
              </w:rPr>
            </w:pPr>
            <w:r>
              <w:rPr>
                <w:rFonts w:hint="eastAsia"/>
                <w:lang w:val="en-US" w:eastAsia="zh-CN"/>
              </w:rPr>
              <w:t>图4    运营期工艺流程及产污环节图</w:t>
            </w:r>
          </w:p>
          <w:p w14:paraId="0F761103">
            <w:pPr>
              <w:pStyle w:val="54"/>
              <w:numPr>
                <w:ilvl w:val="0"/>
                <w:numId w:val="0"/>
              </w:numPr>
              <w:bidi w:val="0"/>
              <w:ind w:firstLine="480" w:firstLineChars="200"/>
              <w:rPr>
                <w:rFonts w:hint="eastAsia"/>
                <w:lang w:val="en-US" w:eastAsia="zh-CN"/>
              </w:rPr>
            </w:pPr>
            <w:r>
              <w:rPr>
                <w:rFonts w:hint="eastAsia"/>
                <w:lang w:val="en-US" w:eastAsia="zh-CN"/>
              </w:rPr>
              <w:t>工艺流程及排污节点说明：</w:t>
            </w:r>
          </w:p>
          <w:p w14:paraId="53B55E25">
            <w:pPr>
              <w:pStyle w:val="54"/>
              <w:numPr>
                <w:ilvl w:val="0"/>
                <w:numId w:val="0"/>
              </w:numPr>
              <w:bidi w:val="0"/>
              <w:ind w:firstLine="480" w:firstLineChars="200"/>
              <w:rPr>
                <w:rFonts w:hint="default"/>
                <w:lang w:val="en-US" w:eastAsia="zh-CN"/>
              </w:rPr>
            </w:pPr>
            <w:r>
              <w:rPr>
                <w:rFonts w:hint="eastAsia"/>
                <w:lang w:val="en-US" w:eastAsia="zh-CN"/>
              </w:rPr>
              <w:t>本项目生产工艺流程主要分为：原料运输、加料、搅拌、成品。全封闭搅拌机、空压机、输送机等均位于拌合车间内，计量斗位于骨料仓内。</w:t>
            </w:r>
          </w:p>
          <w:p w14:paraId="3DD72F73">
            <w:pPr>
              <w:pStyle w:val="54"/>
              <w:numPr>
                <w:ilvl w:val="0"/>
                <w:numId w:val="0"/>
              </w:numPr>
              <w:bidi w:val="0"/>
              <w:ind w:firstLine="480" w:firstLineChars="200"/>
              <w:rPr>
                <w:rFonts w:hint="default"/>
                <w:lang w:val="en-US" w:eastAsia="zh-CN"/>
              </w:rPr>
            </w:pPr>
            <w:r>
              <w:rPr>
                <w:rFonts w:hint="eastAsia"/>
                <w:lang w:val="en-US" w:eastAsia="zh-CN"/>
              </w:rPr>
              <w:t>1）原料运输</w:t>
            </w:r>
          </w:p>
          <w:p w14:paraId="71788016">
            <w:pPr>
              <w:pStyle w:val="54"/>
              <w:numPr>
                <w:ilvl w:val="0"/>
                <w:numId w:val="0"/>
              </w:numPr>
              <w:bidi w:val="0"/>
              <w:ind w:firstLine="480" w:firstLineChars="200"/>
              <w:rPr>
                <w:rFonts w:hint="default"/>
                <w:lang w:val="en-US" w:eastAsia="zh-CN"/>
              </w:rPr>
            </w:pPr>
            <w:r>
              <w:rPr>
                <w:rFonts w:hint="eastAsia"/>
                <w:lang w:val="en-US" w:eastAsia="zh-CN"/>
              </w:rPr>
              <w:t>本项目生产所需要的原料有水泥、石屑（0-4.75mm）、碎石（4.75-9.5mm）、碎石（9.5-19mm）和碎石（19-31.5mm），其中水泥粉状原料采用密闭罐车运输至厂区，用输灰管将罐车出料口与筒仓的进料口连接，采用压缩空气将罐车中的原料输送到筒仓内储存，项目已建100t水泥筒仓2个；石屑（0-4.75mm）、碎石（4.75-9.5mm）、碎石（9.5-19mm）和碎石（19-31.5mm）由运输车辆运至全封闭骨料仓内堆存。本环节产生的污染物主要为筒仓呼吸粉尘（G</w:t>
            </w:r>
            <w:r>
              <w:rPr>
                <w:rFonts w:hint="eastAsia"/>
                <w:vertAlign w:val="subscript"/>
                <w:lang w:val="en-US" w:eastAsia="zh-CN"/>
              </w:rPr>
              <w:t>1-1</w:t>
            </w:r>
            <w:r>
              <w:rPr>
                <w:rFonts w:hint="eastAsia"/>
                <w:lang w:val="en-US" w:eastAsia="zh-CN"/>
              </w:rPr>
              <w:t>、G</w:t>
            </w:r>
            <w:r>
              <w:rPr>
                <w:rFonts w:hint="eastAsia"/>
                <w:vertAlign w:val="subscript"/>
                <w:lang w:val="en-US" w:eastAsia="zh-CN"/>
              </w:rPr>
              <w:t>1-2</w:t>
            </w:r>
            <w:r>
              <w:rPr>
                <w:rFonts w:hint="eastAsia"/>
                <w:lang w:val="en-US" w:eastAsia="zh-CN"/>
              </w:rPr>
              <w:t>）、石料堆存和装卸料粉尘（G</w:t>
            </w:r>
            <w:r>
              <w:rPr>
                <w:rFonts w:hint="eastAsia"/>
                <w:vertAlign w:val="subscript"/>
                <w:lang w:val="en-US" w:eastAsia="zh-CN"/>
              </w:rPr>
              <w:t>2</w:t>
            </w:r>
            <w:r>
              <w:rPr>
                <w:rFonts w:hint="eastAsia"/>
                <w:lang w:val="en-US" w:eastAsia="zh-CN"/>
              </w:rPr>
              <w:t>）、运输粉尘（G</w:t>
            </w:r>
            <w:r>
              <w:rPr>
                <w:rFonts w:hint="eastAsia"/>
                <w:vertAlign w:val="subscript"/>
                <w:lang w:val="en-US" w:eastAsia="zh-CN"/>
              </w:rPr>
              <w:t>4</w:t>
            </w:r>
            <w:r>
              <w:rPr>
                <w:rFonts w:hint="eastAsia"/>
                <w:lang w:val="en-US" w:eastAsia="zh-CN"/>
              </w:rPr>
              <w:t>）和机械噪声、运输车辆噪声（N）。筒仓呼吸粉尘（G</w:t>
            </w:r>
            <w:r>
              <w:rPr>
                <w:rFonts w:hint="eastAsia"/>
                <w:vertAlign w:val="subscript"/>
                <w:lang w:val="en-US" w:eastAsia="zh-CN"/>
              </w:rPr>
              <w:t>1-1</w:t>
            </w:r>
            <w:r>
              <w:rPr>
                <w:rFonts w:hint="eastAsia"/>
                <w:lang w:val="en-US" w:eastAsia="zh-CN"/>
              </w:rPr>
              <w:t>、G</w:t>
            </w:r>
            <w:r>
              <w:rPr>
                <w:rFonts w:hint="eastAsia"/>
                <w:vertAlign w:val="subscript"/>
                <w:lang w:val="en-US" w:eastAsia="zh-CN"/>
              </w:rPr>
              <w:t>1-2</w:t>
            </w:r>
            <w:r>
              <w:rPr>
                <w:rFonts w:hint="eastAsia"/>
                <w:lang w:val="en-US" w:eastAsia="zh-CN"/>
              </w:rPr>
              <w:t>）</w:t>
            </w:r>
            <w:r>
              <w:rPr>
                <w:rFonts w:hint="eastAsia" w:ascii="Times New Roman" w:hAnsi="Times New Roman" w:cs="Times New Roman"/>
                <w:b w:val="0"/>
                <w:bCs/>
                <w:sz w:val="24"/>
                <w:szCs w:val="24"/>
                <w:lang w:val="en-US" w:eastAsia="zh-CN"/>
              </w:rPr>
              <w:t>通过</w:t>
            </w:r>
            <w:r>
              <w:rPr>
                <w:rFonts w:hint="eastAsia" w:cs="Times New Roman"/>
                <w:b w:val="0"/>
                <w:bCs/>
                <w:sz w:val="24"/>
                <w:szCs w:val="24"/>
                <w:lang w:val="en-US" w:eastAsia="zh-CN"/>
              </w:rPr>
              <w:t>2</w:t>
            </w:r>
            <w:r>
              <w:rPr>
                <w:rFonts w:hint="eastAsia" w:ascii="Times New Roman" w:hAnsi="Times New Roman" w:cs="Times New Roman"/>
                <w:b w:val="0"/>
                <w:bCs/>
                <w:sz w:val="24"/>
                <w:szCs w:val="24"/>
                <w:lang w:val="en-US" w:eastAsia="zh-CN"/>
              </w:rPr>
              <w:t>个</w:t>
            </w:r>
            <w:r>
              <w:rPr>
                <w:rFonts w:hint="eastAsia" w:cs="Times New Roman"/>
                <w:b w:val="0"/>
                <w:bCs/>
                <w:sz w:val="24"/>
                <w:szCs w:val="24"/>
                <w:lang w:val="en-US" w:eastAsia="zh-CN"/>
              </w:rPr>
              <w:t>仓顶</w:t>
            </w:r>
            <w:r>
              <w:rPr>
                <w:rFonts w:hint="eastAsia" w:ascii="Times New Roman" w:hAnsi="Times New Roman" w:cs="Times New Roman"/>
                <w:b w:val="0"/>
                <w:bCs/>
                <w:sz w:val="24"/>
                <w:szCs w:val="24"/>
                <w:lang w:val="en-US" w:eastAsia="zh-CN"/>
              </w:rPr>
              <w:t>除尘器处理后</w:t>
            </w:r>
            <w:r>
              <w:rPr>
                <w:rFonts w:hint="eastAsia" w:cs="Times New Roman"/>
                <w:b w:val="0"/>
                <w:bCs/>
                <w:sz w:val="24"/>
                <w:szCs w:val="24"/>
                <w:lang w:val="en-US" w:eastAsia="zh-CN"/>
              </w:rPr>
              <w:t>，以无组织形式排放</w:t>
            </w:r>
            <w:r>
              <w:rPr>
                <w:rFonts w:hint="eastAsia" w:ascii="Times New Roman" w:hAnsi="Times New Roman" w:cs="Times New Roman"/>
                <w:b w:val="0"/>
                <w:bCs/>
                <w:sz w:val="24"/>
                <w:szCs w:val="24"/>
                <w:lang w:val="en-US" w:eastAsia="zh-CN"/>
              </w:rPr>
              <w:t>。</w:t>
            </w:r>
            <w:r>
              <w:rPr>
                <w:rFonts w:hint="eastAsia"/>
                <w:lang w:val="en-US" w:eastAsia="zh-CN"/>
              </w:rPr>
              <w:t>石料堆存和装卸料粉尘（G</w:t>
            </w:r>
            <w:r>
              <w:rPr>
                <w:rFonts w:hint="eastAsia"/>
                <w:vertAlign w:val="subscript"/>
                <w:lang w:val="en-US" w:eastAsia="zh-CN"/>
              </w:rPr>
              <w:t>2</w:t>
            </w:r>
            <w:r>
              <w:rPr>
                <w:rFonts w:hint="eastAsia"/>
                <w:lang w:val="en-US" w:eastAsia="zh-CN"/>
              </w:rPr>
              <w:t>）</w:t>
            </w:r>
            <w:r>
              <w:rPr>
                <w:rFonts w:hint="eastAsia" w:ascii="Times New Roman" w:hAnsi="Times New Roman" w:cs="Times New Roman"/>
                <w:b w:val="0"/>
                <w:bCs/>
                <w:sz w:val="24"/>
                <w:szCs w:val="24"/>
                <w:lang w:val="en-US" w:eastAsia="zh-CN"/>
              </w:rPr>
              <w:t>通过“全封闭骨料</w:t>
            </w:r>
            <w:r>
              <w:rPr>
                <w:rFonts w:hint="eastAsia" w:cs="Times New Roman"/>
                <w:b w:val="0"/>
                <w:bCs/>
                <w:sz w:val="24"/>
                <w:szCs w:val="24"/>
                <w:lang w:val="en-US" w:eastAsia="zh-CN"/>
              </w:rPr>
              <w:t>仓</w:t>
            </w:r>
            <w:r>
              <w:rPr>
                <w:rFonts w:hint="eastAsia" w:ascii="Times New Roman" w:hAnsi="Times New Roman" w:cs="Times New Roman"/>
                <w:b w:val="0"/>
                <w:bCs/>
                <w:sz w:val="24"/>
                <w:szCs w:val="24"/>
                <w:lang w:val="en-US" w:eastAsia="zh-CN"/>
              </w:rPr>
              <w:t>+</w:t>
            </w:r>
            <w:r>
              <w:rPr>
                <w:rFonts w:hint="eastAsia" w:cs="Times New Roman"/>
                <w:b w:val="0"/>
                <w:bCs/>
                <w:sz w:val="24"/>
                <w:szCs w:val="24"/>
                <w:lang w:val="en-US" w:eastAsia="zh-CN"/>
              </w:rPr>
              <w:t>在</w:t>
            </w:r>
            <w:r>
              <w:rPr>
                <w:rFonts w:hint="eastAsia" w:ascii="Times New Roman" w:hAnsi="Times New Roman" w:cs="Times New Roman"/>
                <w:b w:val="0"/>
                <w:bCs/>
                <w:sz w:val="24"/>
                <w:szCs w:val="24"/>
                <w:lang w:val="en-US" w:eastAsia="zh-CN"/>
              </w:rPr>
              <w:t>堆存和装卸</w:t>
            </w:r>
            <w:r>
              <w:rPr>
                <w:rFonts w:hint="eastAsia" w:cs="Times New Roman"/>
                <w:b w:val="0"/>
                <w:bCs/>
                <w:sz w:val="24"/>
                <w:szCs w:val="24"/>
                <w:lang w:val="en-US" w:eastAsia="zh-CN"/>
              </w:rPr>
              <w:t>过程使用</w:t>
            </w:r>
            <w:r>
              <w:rPr>
                <w:rFonts w:hint="eastAsia" w:ascii="Times New Roman" w:hAnsi="Times New Roman" w:cs="Times New Roman"/>
                <w:b w:val="0"/>
                <w:bCs/>
                <w:sz w:val="24"/>
                <w:szCs w:val="24"/>
                <w:lang w:val="en-US" w:eastAsia="zh-CN"/>
              </w:rPr>
              <w:t>雾炮机</w:t>
            </w:r>
            <w:r>
              <w:rPr>
                <w:rFonts w:hint="eastAsia" w:cs="Times New Roman"/>
                <w:b w:val="0"/>
                <w:bCs/>
                <w:sz w:val="24"/>
                <w:szCs w:val="24"/>
                <w:lang w:val="en-US" w:eastAsia="zh-CN"/>
              </w:rPr>
              <w:t>抑尘</w:t>
            </w:r>
            <w:r>
              <w:rPr>
                <w:rFonts w:hint="eastAsia"/>
                <w:lang w:val="en-US" w:eastAsia="zh-CN"/>
              </w:rPr>
              <w:t>+厂区四周设置防风抑尘网</w:t>
            </w:r>
            <w:r>
              <w:rPr>
                <w:rFonts w:hint="eastAsia" w:ascii="Times New Roman" w:hAnsi="Times New Roman" w:cs="Times New Roman"/>
                <w:b w:val="0"/>
                <w:bCs/>
                <w:sz w:val="24"/>
                <w:szCs w:val="24"/>
                <w:lang w:val="en-US" w:eastAsia="zh-CN"/>
              </w:rPr>
              <w:t>”处理后以无组织形式排放。运输粉尘（G</w:t>
            </w:r>
            <w:r>
              <w:rPr>
                <w:rFonts w:hint="eastAsia" w:cs="Times New Roman"/>
                <w:b w:val="0"/>
                <w:bCs/>
                <w:sz w:val="24"/>
                <w:szCs w:val="24"/>
                <w:vertAlign w:val="subscript"/>
                <w:lang w:val="en-US" w:eastAsia="zh-CN"/>
              </w:rPr>
              <w:t>4</w:t>
            </w:r>
            <w:r>
              <w:rPr>
                <w:rFonts w:hint="eastAsia" w:ascii="Times New Roman" w:hAnsi="Times New Roman" w:cs="Times New Roman"/>
                <w:b w:val="0"/>
                <w:bCs/>
                <w:sz w:val="24"/>
                <w:szCs w:val="24"/>
                <w:lang w:val="en-US" w:eastAsia="zh-CN"/>
              </w:rPr>
              <w:t>）通过</w:t>
            </w:r>
            <w:r>
              <w:rPr>
                <w:rFonts w:hint="eastAsia" w:cs="Times New Roman"/>
                <w:b w:val="0"/>
                <w:bCs/>
                <w:sz w:val="24"/>
                <w:szCs w:val="24"/>
                <w:lang w:val="en-US" w:eastAsia="zh-CN"/>
              </w:rPr>
              <w:t>洒水车</w:t>
            </w:r>
            <w:r>
              <w:rPr>
                <w:rFonts w:hint="eastAsia" w:ascii="Times New Roman" w:hAnsi="Times New Roman" w:cs="Times New Roman"/>
                <w:b w:val="0"/>
                <w:bCs/>
                <w:sz w:val="24"/>
                <w:szCs w:val="24"/>
                <w:lang w:val="en-US" w:eastAsia="zh-CN"/>
              </w:rPr>
              <w:t>洒水抑尘和清洗运输车辆措施减少粉尘排放</w:t>
            </w:r>
            <w:r>
              <w:rPr>
                <w:rFonts w:hint="eastAsia"/>
                <w:lang w:val="en-US" w:eastAsia="zh-CN"/>
              </w:rPr>
              <w:t>。</w:t>
            </w:r>
          </w:p>
          <w:p w14:paraId="3B866C83">
            <w:pPr>
              <w:pStyle w:val="54"/>
              <w:numPr>
                <w:ilvl w:val="0"/>
                <w:numId w:val="0"/>
              </w:numPr>
              <w:bidi w:val="0"/>
              <w:ind w:firstLine="480" w:firstLineChars="200"/>
              <w:rPr>
                <w:rFonts w:hint="default"/>
                <w:lang w:val="en-US" w:eastAsia="zh-CN"/>
              </w:rPr>
            </w:pPr>
            <w:r>
              <w:rPr>
                <w:rFonts w:hint="eastAsia"/>
                <w:lang w:val="en-US" w:eastAsia="zh-CN"/>
              </w:rPr>
              <w:t>2）加料</w:t>
            </w:r>
          </w:p>
          <w:p w14:paraId="4BA8869E">
            <w:pPr>
              <w:pStyle w:val="54"/>
              <w:numPr>
                <w:ilvl w:val="0"/>
                <w:numId w:val="0"/>
              </w:numPr>
              <w:bidi w:val="0"/>
              <w:ind w:firstLine="480" w:firstLineChars="200"/>
              <w:rPr>
                <w:rFonts w:hint="eastAsia"/>
                <w:lang w:val="en-US" w:eastAsia="zh-CN"/>
              </w:rPr>
            </w:pPr>
            <w:r>
              <w:rPr>
                <w:rFonts w:hint="eastAsia"/>
                <w:lang w:val="en-US" w:eastAsia="zh-CN"/>
              </w:rPr>
              <w:fldChar w:fldCharType="begin"/>
            </w:r>
            <w:r>
              <w:rPr>
                <w:rFonts w:hint="eastAsia"/>
                <w:lang w:val="en-US" w:eastAsia="zh-CN"/>
              </w:rPr>
              <w:instrText xml:space="preserve"> = 1 \* GB3 \* MERGEFORMAT </w:instrText>
            </w:r>
            <w:r>
              <w:rPr>
                <w:rFonts w:hint="eastAsia"/>
                <w:lang w:val="en-US" w:eastAsia="zh-CN"/>
              </w:rPr>
              <w:fldChar w:fldCharType="separate"/>
            </w:r>
            <w:r>
              <w:t>①</w:t>
            </w:r>
            <w:r>
              <w:rPr>
                <w:rFonts w:hint="eastAsia"/>
                <w:lang w:val="en-US" w:eastAsia="zh-CN"/>
              </w:rPr>
              <w:fldChar w:fldCharType="end"/>
            </w:r>
            <w:r>
              <w:rPr>
                <w:rFonts w:hint="eastAsia"/>
                <w:lang w:val="en-US" w:eastAsia="zh-CN"/>
              </w:rPr>
              <w:t>储存于骨料仓的石料由装载机铲入骨料仓内骨料计量斗，进行称量，称量完毕后再通过密闭水平皮带输送至全封闭搅拌机内，等待其它物料卸入全封闭搅拌机内。本环节产生的污染物主要为砂石投料、输送、计量粉尘（G</w:t>
            </w:r>
            <w:r>
              <w:rPr>
                <w:rFonts w:hint="eastAsia"/>
                <w:vertAlign w:val="subscript"/>
                <w:lang w:val="en-US" w:eastAsia="zh-CN"/>
              </w:rPr>
              <w:t>3</w:t>
            </w:r>
            <w:r>
              <w:rPr>
                <w:rFonts w:hint="eastAsia"/>
                <w:lang w:val="en-US" w:eastAsia="zh-CN"/>
              </w:rPr>
              <w:t>）和机械噪声N。砂石投料、输送、计量粉尘（G</w:t>
            </w:r>
            <w:r>
              <w:rPr>
                <w:rFonts w:hint="eastAsia"/>
                <w:vertAlign w:val="subscript"/>
                <w:lang w:val="en-US" w:eastAsia="zh-CN"/>
              </w:rPr>
              <w:t>3</w:t>
            </w:r>
            <w:r>
              <w:rPr>
                <w:rFonts w:hint="eastAsia"/>
                <w:lang w:val="en-US" w:eastAsia="zh-CN"/>
              </w:rPr>
              <w:t>）</w:t>
            </w:r>
            <w:r>
              <w:rPr>
                <w:rFonts w:hint="eastAsia" w:ascii="Times New Roman" w:hAnsi="Times New Roman" w:cs="Times New Roman"/>
                <w:b w:val="0"/>
                <w:bCs/>
                <w:sz w:val="24"/>
                <w:szCs w:val="24"/>
                <w:lang w:val="en-US" w:eastAsia="zh-CN"/>
              </w:rPr>
              <w:t>通过“全封闭</w:t>
            </w:r>
            <w:r>
              <w:rPr>
                <w:rFonts w:hint="eastAsia" w:cs="Times New Roman"/>
                <w:b w:val="0"/>
                <w:bCs/>
                <w:sz w:val="24"/>
                <w:szCs w:val="24"/>
                <w:lang w:val="en-US" w:eastAsia="zh-CN"/>
              </w:rPr>
              <w:t>骨料仓、</w:t>
            </w:r>
            <w:r>
              <w:rPr>
                <w:rFonts w:hint="eastAsia" w:ascii="Times New Roman" w:hAnsi="Times New Roman" w:cs="Times New Roman"/>
                <w:b w:val="0"/>
                <w:bCs/>
                <w:sz w:val="24"/>
                <w:szCs w:val="24"/>
                <w:lang w:val="en-US" w:eastAsia="zh-CN"/>
              </w:rPr>
              <w:t>输送带+</w:t>
            </w:r>
            <w:r>
              <w:rPr>
                <w:rFonts w:hint="eastAsia" w:cs="Times New Roman"/>
                <w:b w:val="0"/>
                <w:bCs/>
                <w:sz w:val="24"/>
                <w:szCs w:val="24"/>
                <w:lang w:val="en-US" w:eastAsia="zh-CN"/>
              </w:rPr>
              <w:t>在装载机卸料过程中使用</w:t>
            </w:r>
            <w:r>
              <w:rPr>
                <w:rFonts w:hint="eastAsia" w:ascii="Times New Roman" w:hAnsi="Times New Roman" w:cs="Times New Roman"/>
                <w:b w:val="0"/>
                <w:bCs/>
                <w:sz w:val="24"/>
                <w:szCs w:val="24"/>
                <w:lang w:val="en-US" w:eastAsia="zh-CN"/>
              </w:rPr>
              <w:t>雾炮机</w:t>
            </w:r>
            <w:r>
              <w:rPr>
                <w:rFonts w:hint="eastAsia" w:cs="Times New Roman"/>
                <w:b w:val="0"/>
                <w:bCs/>
                <w:sz w:val="24"/>
                <w:szCs w:val="24"/>
                <w:lang w:val="en-US" w:eastAsia="zh-CN"/>
              </w:rPr>
              <w:t>抑尘</w:t>
            </w:r>
            <w:r>
              <w:rPr>
                <w:rFonts w:hint="eastAsia"/>
                <w:lang w:val="en-US" w:eastAsia="zh-CN"/>
              </w:rPr>
              <w:t>+厂区四周设置防风抑尘网</w:t>
            </w:r>
            <w:r>
              <w:rPr>
                <w:rFonts w:hint="eastAsia" w:ascii="Times New Roman" w:hAnsi="Times New Roman" w:cs="Times New Roman"/>
                <w:b w:val="0"/>
                <w:bCs/>
                <w:sz w:val="24"/>
                <w:szCs w:val="24"/>
                <w:lang w:val="en-US" w:eastAsia="zh-CN"/>
              </w:rPr>
              <w:t>”处理后以无组织形式排放。</w:t>
            </w:r>
          </w:p>
          <w:p w14:paraId="3547E6C6">
            <w:pPr>
              <w:pStyle w:val="54"/>
              <w:numPr>
                <w:ilvl w:val="0"/>
                <w:numId w:val="0"/>
              </w:numPr>
              <w:bidi w:val="0"/>
              <w:ind w:firstLine="480" w:firstLineChars="200"/>
              <w:rPr>
                <w:rFonts w:hint="default"/>
                <w:lang w:val="en-US" w:eastAsia="zh-CN"/>
              </w:rPr>
            </w:pPr>
            <w:r>
              <w:rPr>
                <w:rFonts w:hint="eastAsia"/>
                <w:lang w:val="en-US" w:eastAsia="zh-CN"/>
              </w:rPr>
              <w:fldChar w:fldCharType="begin"/>
            </w:r>
            <w:r>
              <w:rPr>
                <w:rFonts w:hint="eastAsia"/>
                <w:lang w:val="en-US" w:eastAsia="zh-CN"/>
              </w:rPr>
              <w:instrText xml:space="preserve"> = 2 \* GB3 \* MERGEFORMAT </w:instrText>
            </w:r>
            <w:r>
              <w:rPr>
                <w:rFonts w:hint="eastAsia"/>
                <w:lang w:val="en-US" w:eastAsia="zh-CN"/>
              </w:rPr>
              <w:fldChar w:fldCharType="separate"/>
            </w:r>
            <w:r>
              <w:t>②</w:t>
            </w:r>
            <w:r>
              <w:rPr>
                <w:rFonts w:hint="eastAsia"/>
                <w:lang w:val="en-US" w:eastAsia="zh-CN"/>
              </w:rPr>
              <w:fldChar w:fldCharType="end"/>
            </w:r>
            <w:r>
              <w:rPr>
                <w:rFonts w:hint="eastAsia"/>
                <w:lang w:val="en-US" w:eastAsia="zh-CN"/>
              </w:rPr>
              <w:t>水泥由输送泵通过密闭管道输送至搅拌机上方密闭的计量装置内，计量装置与搅拌机属于一体式装置，为封闭连接，水泥经称量后进入搅拌机内。</w:t>
            </w:r>
          </w:p>
          <w:p w14:paraId="7C0C269D">
            <w:pPr>
              <w:pStyle w:val="54"/>
              <w:numPr>
                <w:ilvl w:val="0"/>
                <w:numId w:val="0"/>
              </w:numPr>
              <w:bidi w:val="0"/>
              <w:ind w:firstLine="480" w:firstLineChars="200"/>
              <w:rPr>
                <w:rFonts w:hint="eastAsia"/>
                <w:lang w:val="en-US" w:eastAsia="zh-CN"/>
              </w:rPr>
            </w:pPr>
            <w:r>
              <w:rPr>
                <w:rFonts w:hint="eastAsia"/>
                <w:lang w:val="en-US" w:eastAsia="zh-CN"/>
              </w:rPr>
              <w:fldChar w:fldCharType="begin"/>
            </w:r>
            <w:r>
              <w:rPr>
                <w:rFonts w:hint="eastAsia"/>
                <w:lang w:val="en-US" w:eastAsia="zh-CN"/>
              </w:rPr>
              <w:instrText xml:space="preserve"> = 3 \* GB3 \* MERGEFORMAT </w:instrText>
            </w:r>
            <w:r>
              <w:rPr>
                <w:rFonts w:hint="eastAsia"/>
                <w:lang w:val="en-US" w:eastAsia="zh-CN"/>
              </w:rPr>
              <w:fldChar w:fldCharType="separate"/>
            </w:r>
            <w:r>
              <w:t>③</w:t>
            </w:r>
            <w:r>
              <w:rPr>
                <w:rFonts w:hint="eastAsia"/>
                <w:lang w:val="en-US" w:eastAsia="zh-CN"/>
              </w:rPr>
              <w:fldChar w:fldCharType="end"/>
            </w:r>
            <w:r>
              <w:rPr>
                <w:rFonts w:hint="eastAsia"/>
                <w:lang w:val="en-US" w:eastAsia="zh-CN"/>
              </w:rPr>
              <w:t>搅拌用水采用压力供水及水泵上料。</w:t>
            </w:r>
          </w:p>
          <w:p w14:paraId="2D2DEAF2">
            <w:pPr>
              <w:pStyle w:val="54"/>
              <w:numPr>
                <w:ilvl w:val="0"/>
                <w:numId w:val="0"/>
              </w:numPr>
              <w:bidi w:val="0"/>
              <w:ind w:firstLine="480" w:firstLineChars="200"/>
              <w:rPr>
                <w:rFonts w:hint="eastAsia"/>
                <w:lang w:val="en-US" w:eastAsia="zh-CN"/>
              </w:rPr>
            </w:pPr>
            <w:r>
              <w:rPr>
                <w:rFonts w:hint="eastAsia"/>
                <w:lang w:val="en-US" w:eastAsia="zh-CN"/>
              </w:rPr>
              <w:t>3）搅拌</w:t>
            </w:r>
          </w:p>
          <w:p w14:paraId="3E9D622F">
            <w:pPr>
              <w:pStyle w:val="54"/>
              <w:numPr>
                <w:ilvl w:val="0"/>
                <w:numId w:val="0"/>
              </w:numPr>
              <w:bidi w:val="0"/>
              <w:ind w:firstLine="480" w:firstLineChars="200"/>
              <w:rPr>
                <w:rFonts w:hint="default"/>
                <w:lang w:val="en-US" w:eastAsia="zh-CN"/>
              </w:rPr>
            </w:pPr>
            <w:r>
              <w:rPr>
                <w:rFonts w:hint="eastAsia"/>
                <w:lang w:val="en-US" w:eastAsia="zh-CN"/>
              </w:rPr>
              <w:t>进入搅拌机的水、水泥、石屑（0-4.75mm）、碎石（4.75-9.5mm）、碎石（9.5-19mm）和碎石（19-31.5mm）进行搅拌均匀，搅拌成稀料，形成混凝土。搅拌机内相互反转进行搅拌，各种物料均匀搅拌后即为成品。本环节产生的污染物主要为机械噪声N。本项目采用全封闭搅拌机，各物料、水全部投入后进行搅拌，故本环节无粉尘外排。</w:t>
            </w:r>
          </w:p>
          <w:p w14:paraId="26DBA78C">
            <w:pPr>
              <w:pStyle w:val="54"/>
              <w:bidi w:val="0"/>
              <w:rPr>
                <w:rFonts w:hint="default"/>
                <w:lang w:val="en-US" w:eastAsia="zh-CN"/>
              </w:rPr>
            </w:pPr>
            <w:r>
              <w:rPr>
                <w:rFonts w:hint="eastAsia"/>
                <w:b/>
                <w:bCs/>
                <w:lang w:val="en-US" w:eastAsia="zh-CN"/>
              </w:rPr>
              <w:t>3、</w:t>
            </w:r>
            <w:r>
              <w:rPr>
                <w:rFonts w:hint="default"/>
                <w:b/>
                <w:bCs/>
                <w:lang w:val="en-US" w:eastAsia="zh-CN"/>
              </w:rPr>
              <w:t>主要污染工序</w:t>
            </w:r>
          </w:p>
          <w:p w14:paraId="29368880">
            <w:pPr>
              <w:pStyle w:val="54"/>
              <w:bidi w:val="0"/>
              <w:rPr>
                <w:rFonts w:hint="default" w:ascii="Times New Roman" w:hAnsi="Times New Roman" w:cs="Times New Roman"/>
                <w:b w:val="0"/>
                <w:bCs/>
                <w:szCs w:val="24"/>
                <w:lang w:val="en-US" w:eastAsia="zh-CN"/>
              </w:rPr>
            </w:pPr>
            <w:r>
              <w:rPr>
                <w:rFonts w:hint="default"/>
                <w:lang w:val="en-US" w:eastAsia="zh-CN"/>
              </w:rPr>
              <w:t>本项目运营期主要污染分析详见下表</w:t>
            </w:r>
            <w:r>
              <w:rPr>
                <w:rFonts w:hint="eastAsia"/>
                <w:lang w:val="en-US" w:eastAsia="zh-CN"/>
              </w:rPr>
              <w:t>。</w:t>
            </w:r>
          </w:p>
          <w:p w14:paraId="7C6CDD99">
            <w:pPr>
              <w:pStyle w:val="33"/>
              <w:bidi w:val="0"/>
              <w:rPr>
                <w:rFonts w:hint="default" w:ascii="Times New Roman" w:hAnsi="Times New Roman" w:cs="Times New Roman"/>
                <w:b/>
                <w:bCs w:val="0"/>
                <w:szCs w:val="24"/>
                <w:lang w:val="en-US" w:eastAsia="zh-CN"/>
              </w:rPr>
            </w:pPr>
            <w:r>
              <w:rPr>
                <w:rFonts w:hint="default"/>
                <w:lang w:val="en-US" w:eastAsia="zh-CN"/>
              </w:rPr>
              <w:t>表</w:t>
            </w:r>
            <w:r>
              <w:rPr>
                <w:rFonts w:hint="eastAsia"/>
                <w:lang w:val="en-US" w:eastAsia="zh-CN"/>
              </w:rPr>
              <w:t xml:space="preserve">16    </w:t>
            </w:r>
            <w:r>
              <w:rPr>
                <w:rFonts w:hint="default"/>
                <w:lang w:val="en-US" w:eastAsia="zh-CN"/>
              </w:rPr>
              <w:t>主要污染物分析一览表</w:t>
            </w:r>
          </w:p>
          <w:tbl>
            <w:tblPr>
              <w:tblStyle w:val="44"/>
              <w:tblW w:w="4998"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567"/>
              <w:gridCol w:w="685"/>
              <w:gridCol w:w="559"/>
              <w:gridCol w:w="305"/>
              <w:gridCol w:w="665"/>
              <w:gridCol w:w="1154"/>
              <w:gridCol w:w="4007"/>
            </w:tblGrid>
            <w:tr w14:paraId="4A412AFE">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tcBorders>
                    <w:tl2br w:val="nil"/>
                    <w:tr2bl w:val="nil"/>
                  </w:tcBorders>
                  <w:noWrap w:val="0"/>
                  <w:vAlign w:val="center"/>
                </w:tcPr>
                <w:p w14:paraId="16902CE5">
                  <w:pPr>
                    <w:pStyle w:val="53"/>
                    <w:bidi w:val="0"/>
                    <w:rPr>
                      <w:rFonts w:hint="default"/>
                    </w:rPr>
                  </w:pPr>
                  <w:r>
                    <w:rPr>
                      <w:rFonts w:hint="default"/>
                    </w:rPr>
                    <w:t>污染类型</w:t>
                  </w:r>
                </w:p>
              </w:tc>
              <w:tc>
                <w:tcPr>
                  <w:tcW w:w="431" w:type="pct"/>
                  <w:tcBorders>
                    <w:tl2br w:val="nil"/>
                    <w:tr2bl w:val="nil"/>
                  </w:tcBorders>
                  <w:noWrap w:val="0"/>
                  <w:vAlign w:val="center"/>
                </w:tcPr>
                <w:p w14:paraId="1B2F55A3">
                  <w:pPr>
                    <w:pStyle w:val="53"/>
                    <w:bidi w:val="0"/>
                    <w:rPr>
                      <w:rFonts w:hint="default"/>
                    </w:rPr>
                  </w:pPr>
                  <w:r>
                    <w:rPr>
                      <w:rFonts w:hint="default"/>
                    </w:rPr>
                    <w:t>污染源</w:t>
                  </w:r>
                </w:p>
              </w:tc>
              <w:tc>
                <w:tcPr>
                  <w:tcW w:w="543" w:type="pct"/>
                  <w:gridSpan w:val="2"/>
                  <w:tcBorders>
                    <w:tl2br w:val="nil"/>
                    <w:tr2bl w:val="nil"/>
                  </w:tcBorders>
                  <w:noWrap w:val="0"/>
                  <w:vAlign w:val="center"/>
                </w:tcPr>
                <w:p w14:paraId="601084F0">
                  <w:pPr>
                    <w:pStyle w:val="53"/>
                    <w:bidi w:val="0"/>
                    <w:rPr>
                      <w:rFonts w:hint="default"/>
                    </w:rPr>
                  </w:pPr>
                  <w:r>
                    <w:rPr>
                      <w:rFonts w:hint="default"/>
                    </w:rPr>
                    <w:t>污染工段</w:t>
                  </w:r>
                </w:p>
              </w:tc>
              <w:tc>
                <w:tcPr>
                  <w:tcW w:w="418" w:type="pct"/>
                  <w:tcBorders>
                    <w:tl2br w:val="nil"/>
                    <w:tr2bl w:val="nil"/>
                  </w:tcBorders>
                  <w:noWrap w:val="0"/>
                  <w:vAlign w:val="center"/>
                </w:tcPr>
                <w:p w14:paraId="3B202F48">
                  <w:pPr>
                    <w:pStyle w:val="53"/>
                    <w:bidi w:val="0"/>
                    <w:rPr>
                      <w:rFonts w:hint="default"/>
                    </w:rPr>
                  </w:pPr>
                  <w:r>
                    <w:rPr>
                      <w:rFonts w:hint="default"/>
                    </w:rPr>
                    <w:t>污染物类型</w:t>
                  </w:r>
                </w:p>
              </w:tc>
              <w:tc>
                <w:tcPr>
                  <w:tcW w:w="726" w:type="pct"/>
                  <w:tcBorders>
                    <w:tl2br w:val="nil"/>
                    <w:tr2bl w:val="nil"/>
                  </w:tcBorders>
                  <w:noWrap w:val="0"/>
                  <w:vAlign w:val="center"/>
                </w:tcPr>
                <w:p w14:paraId="3B6475F4">
                  <w:pPr>
                    <w:pStyle w:val="53"/>
                    <w:bidi w:val="0"/>
                    <w:rPr>
                      <w:rFonts w:hint="default"/>
                    </w:rPr>
                  </w:pPr>
                  <w:r>
                    <w:rPr>
                      <w:rFonts w:hint="default"/>
                    </w:rPr>
                    <w:t>主要污染因子</w:t>
                  </w:r>
                </w:p>
              </w:tc>
              <w:tc>
                <w:tcPr>
                  <w:tcW w:w="2522" w:type="pct"/>
                  <w:tcBorders>
                    <w:tl2br w:val="nil"/>
                    <w:tr2bl w:val="nil"/>
                  </w:tcBorders>
                  <w:noWrap w:val="0"/>
                  <w:vAlign w:val="center"/>
                </w:tcPr>
                <w:p w14:paraId="1ED94293">
                  <w:pPr>
                    <w:pStyle w:val="53"/>
                    <w:bidi w:val="0"/>
                    <w:rPr>
                      <w:rFonts w:hint="default"/>
                    </w:rPr>
                  </w:pPr>
                  <w:r>
                    <w:rPr>
                      <w:rFonts w:hint="default"/>
                    </w:rPr>
                    <w:t>措施</w:t>
                  </w:r>
                </w:p>
              </w:tc>
            </w:tr>
            <w:tr w14:paraId="55677A3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PrEx>
              <w:trPr>
                <w:trHeight w:val="0" w:hRule="atLeast"/>
                <w:jc w:val="center"/>
              </w:trPr>
              <w:tc>
                <w:tcPr>
                  <w:tcW w:w="356" w:type="pct"/>
                  <w:vMerge w:val="restart"/>
                  <w:tcBorders>
                    <w:tl2br w:val="nil"/>
                    <w:tr2bl w:val="nil"/>
                  </w:tcBorders>
                  <w:noWrap w:val="0"/>
                  <w:vAlign w:val="center"/>
                </w:tcPr>
                <w:p w14:paraId="40001BB9">
                  <w:pPr>
                    <w:pStyle w:val="53"/>
                    <w:bidi w:val="0"/>
                    <w:rPr>
                      <w:rFonts w:hint="default"/>
                      <w:lang w:val="en-US" w:eastAsia="zh-CN"/>
                    </w:rPr>
                  </w:pPr>
                  <w:r>
                    <w:rPr>
                      <w:rFonts w:hint="default"/>
                      <w:lang w:val="en-US" w:eastAsia="zh-CN"/>
                    </w:rPr>
                    <w:t>废气</w:t>
                  </w:r>
                </w:p>
              </w:tc>
              <w:tc>
                <w:tcPr>
                  <w:tcW w:w="431" w:type="pct"/>
                  <w:vMerge w:val="restart"/>
                  <w:tcBorders>
                    <w:tl2br w:val="nil"/>
                    <w:tr2bl w:val="nil"/>
                  </w:tcBorders>
                  <w:noWrap w:val="0"/>
                  <w:vAlign w:val="center"/>
                </w:tcPr>
                <w:p w14:paraId="0B2D57C0">
                  <w:pPr>
                    <w:pStyle w:val="53"/>
                    <w:bidi w:val="0"/>
                    <w:rPr>
                      <w:rFonts w:hint="default" w:eastAsia="宋体"/>
                      <w:lang w:val="en-US" w:eastAsia="zh-CN"/>
                    </w:rPr>
                  </w:pPr>
                  <w:r>
                    <w:rPr>
                      <w:rFonts w:hint="eastAsia"/>
                      <w:lang w:val="en-US" w:eastAsia="zh-CN"/>
                    </w:rPr>
                    <w:t>水泥筒仓</w:t>
                  </w:r>
                </w:p>
              </w:tc>
              <w:tc>
                <w:tcPr>
                  <w:tcW w:w="543" w:type="pct"/>
                  <w:gridSpan w:val="2"/>
                  <w:vMerge w:val="restart"/>
                  <w:tcBorders>
                    <w:tl2br w:val="nil"/>
                    <w:tr2bl w:val="nil"/>
                  </w:tcBorders>
                  <w:noWrap w:val="0"/>
                  <w:vAlign w:val="center"/>
                </w:tcPr>
                <w:p w14:paraId="4EB983B8">
                  <w:pPr>
                    <w:pStyle w:val="53"/>
                    <w:bidi w:val="0"/>
                    <w:rPr>
                      <w:rFonts w:hint="default" w:eastAsia="宋体"/>
                      <w:lang w:val="en-US" w:eastAsia="zh-CN"/>
                    </w:rPr>
                  </w:pPr>
                  <w:r>
                    <w:rPr>
                      <w:rFonts w:hint="eastAsia"/>
                      <w:lang w:val="en-US" w:eastAsia="zh-CN"/>
                    </w:rPr>
                    <w:t>水泥筒仓呼吸</w:t>
                  </w:r>
                </w:p>
              </w:tc>
              <w:tc>
                <w:tcPr>
                  <w:tcW w:w="418" w:type="pct"/>
                  <w:vMerge w:val="restart"/>
                  <w:tcBorders>
                    <w:tl2br w:val="nil"/>
                    <w:tr2bl w:val="nil"/>
                  </w:tcBorders>
                  <w:noWrap w:val="0"/>
                  <w:vAlign w:val="center"/>
                </w:tcPr>
                <w:p w14:paraId="000F975D">
                  <w:pPr>
                    <w:pStyle w:val="53"/>
                    <w:bidi w:val="0"/>
                    <w:rPr>
                      <w:rFonts w:hint="eastAsia" w:eastAsia="宋体"/>
                      <w:lang w:eastAsia="zh-CN"/>
                    </w:rPr>
                  </w:pPr>
                  <w:r>
                    <w:rPr>
                      <w:rFonts w:hint="eastAsia"/>
                      <w:lang w:val="en-US" w:eastAsia="zh-CN"/>
                    </w:rPr>
                    <w:t>粉尘</w:t>
                  </w:r>
                </w:p>
              </w:tc>
              <w:tc>
                <w:tcPr>
                  <w:tcW w:w="726" w:type="pct"/>
                  <w:vMerge w:val="restart"/>
                  <w:tcBorders>
                    <w:tl2br w:val="nil"/>
                    <w:tr2bl w:val="nil"/>
                  </w:tcBorders>
                  <w:noWrap w:val="0"/>
                  <w:vAlign w:val="center"/>
                </w:tcPr>
                <w:p w14:paraId="6EB7C46F">
                  <w:pPr>
                    <w:pStyle w:val="53"/>
                    <w:bidi w:val="0"/>
                    <w:rPr>
                      <w:rFonts w:hint="eastAsia" w:eastAsia="宋体"/>
                      <w:lang w:val="en-US" w:eastAsia="zh-CN"/>
                    </w:rPr>
                  </w:pPr>
                  <w:r>
                    <w:rPr>
                      <w:rFonts w:hint="eastAsia"/>
                      <w:lang w:val="en-US" w:eastAsia="zh-CN"/>
                    </w:rPr>
                    <w:t>颗粒物</w:t>
                  </w:r>
                </w:p>
              </w:tc>
              <w:tc>
                <w:tcPr>
                  <w:tcW w:w="2522" w:type="pct"/>
                  <w:tcBorders>
                    <w:tl2br w:val="nil"/>
                    <w:tr2bl w:val="nil"/>
                  </w:tcBorders>
                  <w:noWrap w:val="0"/>
                  <w:vAlign w:val="center"/>
                </w:tcPr>
                <w:p w14:paraId="003080B2">
                  <w:pPr>
                    <w:pStyle w:val="53"/>
                    <w:bidi w:val="0"/>
                    <w:ind w:firstLine="0" w:firstLineChars="0"/>
                    <w:jc w:val="both"/>
                    <w:rPr>
                      <w:rFonts w:hint="default"/>
                    </w:rPr>
                  </w:pPr>
                  <w:r>
                    <w:rPr>
                      <w:rFonts w:hint="eastAsia"/>
                      <w:color w:val="auto"/>
                      <w:lang w:val="en-US" w:eastAsia="zh-CN"/>
                    </w:rPr>
                    <w:t>1#</w:t>
                  </w:r>
                  <w:r>
                    <w:rPr>
                      <w:rFonts w:hint="eastAsia"/>
                      <w:color w:val="auto"/>
                    </w:rPr>
                    <w:t>水泥筒仓呼吸粉尘（G</w:t>
                  </w:r>
                  <w:r>
                    <w:rPr>
                      <w:rFonts w:hint="eastAsia"/>
                      <w:color w:val="auto"/>
                      <w:vertAlign w:val="subscript"/>
                    </w:rPr>
                    <w:t>1-1</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r>
            <w:tr w14:paraId="62472B1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32291567">
                  <w:pPr>
                    <w:pStyle w:val="53"/>
                    <w:bidi w:val="0"/>
                    <w:jc w:val="both"/>
                  </w:pPr>
                </w:p>
              </w:tc>
              <w:tc>
                <w:tcPr>
                  <w:tcW w:w="431" w:type="pct"/>
                  <w:vMerge w:val="continue"/>
                  <w:tcBorders>
                    <w:tl2br w:val="nil"/>
                    <w:tr2bl w:val="nil"/>
                  </w:tcBorders>
                  <w:noWrap w:val="0"/>
                  <w:vAlign w:val="center"/>
                </w:tcPr>
                <w:p w14:paraId="756E4B90">
                  <w:pPr>
                    <w:pStyle w:val="53"/>
                    <w:bidi w:val="0"/>
                    <w:jc w:val="both"/>
                  </w:pPr>
                </w:p>
              </w:tc>
              <w:tc>
                <w:tcPr>
                  <w:tcW w:w="543" w:type="pct"/>
                  <w:gridSpan w:val="2"/>
                  <w:vMerge w:val="continue"/>
                  <w:tcBorders>
                    <w:tl2br w:val="nil"/>
                    <w:tr2bl w:val="nil"/>
                  </w:tcBorders>
                  <w:noWrap w:val="0"/>
                  <w:vAlign w:val="center"/>
                </w:tcPr>
                <w:p w14:paraId="5F116839">
                  <w:pPr>
                    <w:pStyle w:val="53"/>
                    <w:bidi w:val="0"/>
                    <w:jc w:val="both"/>
                  </w:pPr>
                </w:p>
              </w:tc>
              <w:tc>
                <w:tcPr>
                  <w:tcW w:w="418" w:type="pct"/>
                  <w:vMerge w:val="continue"/>
                  <w:tcBorders>
                    <w:tl2br w:val="nil"/>
                    <w:tr2bl w:val="nil"/>
                  </w:tcBorders>
                  <w:noWrap w:val="0"/>
                  <w:vAlign w:val="center"/>
                </w:tcPr>
                <w:p w14:paraId="24A7E6DE">
                  <w:pPr>
                    <w:pStyle w:val="53"/>
                    <w:bidi w:val="0"/>
                    <w:jc w:val="both"/>
                  </w:pPr>
                </w:p>
              </w:tc>
              <w:tc>
                <w:tcPr>
                  <w:tcW w:w="726" w:type="pct"/>
                  <w:vMerge w:val="continue"/>
                  <w:tcBorders>
                    <w:tl2br w:val="nil"/>
                    <w:tr2bl w:val="nil"/>
                  </w:tcBorders>
                  <w:noWrap w:val="0"/>
                  <w:vAlign w:val="center"/>
                </w:tcPr>
                <w:p w14:paraId="4356871C">
                  <w:pPr>
                    <w:pStyle w:val="53"/>
                    <w:bidi w:val="0"/>
                    <w:jc w:val="both"/>
                  </w:pPr>
                </w:p>
              </w:tc>
              <w:tc>
                <w:tcPr>
                  <w:tcW w:w="2522" w:type="pct"/>
                  <w:tcBorders>
                    <w:tl2br w:val="nil"/>
                    <w:tr2bl w:val="nil"/>
                  </w:tcBorders>
                  <w:noWrap w:val="0"/>
                  <w:vAlign w:val="center"/>
                </w:tcPr>
                <w:p w14:paraId="2E62F373">
                  <w:pPr>
                    <w:pStyle w:val="53"/>
                    <w:bidi w:val="0"/>
                    <w:ind w:firstLine="0" w:firstLineChars="0"/>
                    <w:jc w:val="both"/>
                    <w:rPr>
                      <w:rFonts w:hint="default"/>
                    </w:rPr>
                  </w:pPr>
                  <w:r>
                    <w:rPr>
                      <w:rFonts w:hint="eastAsia"/>
                      <w:color w:val="auto"/>
                      <w:lang w:val="en-US" w:eastAsia="zh-CN"/>
                    </w:rPr>
                    <w:t>2#</w:t>
                  </w:r>
                  <w:r>
                    <w:rPr>
                      <w:rFonts w:hint="eastAsia"/>
                      <w:color w:val="auto"/>
                    </w:rPr>
                    <w:t>水泥筒仓呼吸粉尘（G</w:t>
                  </w:r>
                  <w:r>
                    <w:rPr>
                      <w:rFonts w:hint="eastAsia"/>
                      <w:color w:val="auto"/>
                      <w:vertAlign w:val="subscript"/>
                    </w:rPr>
                    <w:t>1-</w:t>
                  </w:r>
                  <w:r>
                    <w:rPr>
                      <w:rFonts w:hint="eastAsia"/>
                      <w:color w:val="auto"/>
                      <w:vertAlign w:val="subscript"/>
                      <w:lang w:val="en-US" w:eastAsia="zh-CN"/>
                    </w:rPr>
                    <w:t>2</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r>
            <w:tr w14:paraId="3FB124C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7A9972D4">
                  <w:pPr>
                    <w:pStyle w:val="53"/>
                    <w:bidi w:val="0"/>
                    <w:rPr>
                      <w:rFonts w:hint="default"/>
                    </w:rPr>
                  </w:pPr>
                </w:p>
              </w:tc>
              <w:tc>
                <w:tcPr>
                  <w:tcW w:w="431" w:type="pct"/>
                  <w:vMerge w:val="restart"/>
                  <w:tcBorders>
                    <w:tl2br w:val="nil"/>
                    <w:tr2bl w:val="nil"/>
                  </w:tcBorders>
                  <w:noWrap w:val="0"/>
                  <w:vAlign w:val="center"/>
                </w:tcPr>
                <w:p w14:paraId="0B73617F">
                  <w:pPr>
                    <w:pStyle w:val="53"/>
                    <w:bidi w:val="0"/>
                    <w:jc w:val="both"/>
                  </w:pPr>
                  <w:r>
                    <w:rPr>
                      <w:rFonts w:hint="eastAsia"/>
                      <w:lang w:val="en-US" w:eastAsia="zh-CN"/>
                    </w:rPr>
                    <w:t>骨料仓</w:t>
                  </w:r>
                </w:p>
              </w:tc>
              <w:tc>
                <w:tcPr>
                  <w:tcW w:w="543" w:type="pct"/>
                  <w:gridSpan w:val="2"/>
                  <w:tcBorders>
                    <w:tl2br w:val="nil"/>
                    <w:tr2bl w:val="nil"/>
                  </w:tcBorders>
                  <w:noWrap w:val="0"/>
                  <w:vAlign w:val="center"/>
                </w:tcPr>
                <w:p w14:paraId="6566C997">
                  <w:pPr>
                    <w:pStyle w:val="53"/>
                    <w:bidi w:val="0"/>
                    <w:rPr>
                      <w:rFonts w:hint="default"/>
                    </w:rPr>
                  </w:pPr>
                  <w:r>
                    <w:rPr>
                      <w:rFonts w:hint="default"/>
                    </w:rPr>
                    <w:t>砂石料堆存和装卸料粉尘</w:t>
                  </w:r>
                </w:p>
              </w:tc>
              <w:tc>
                <w:tcPr>
                  <w:tcW w:w="418" w:type="pct"/>
                  <w:tcBorders>
                    <w:tl2br w:val="nil"/>
                    <w:tr2bl w:val="nil"/>
                  </w:tcBorders>
                  <w:noWrap w:val="0"/>
                  <w:vAlign w:val="center"/>
                </w:tcPr>
                <w:p w14:paraId="31C37E01">
                  <w:pPr>
                    <w:pStyle w:val="53"/>
                    <w:bidi w:val="0"/>
                    <w:rPr>
                      <w:rFonts w:hint="default"/>
                    </w:rPr>
                  </w:pPr>
                  <w:r>
                    <w:rPr>
                      <w:rFonts w:hint="default"/>
                    </w:rPr>
                    <w:t>粉尘</w:t>
                  </w:r>
                </w:p>
              </w:tc>
              <w:tc>
                <w:tcPr>
                  <w:tcW w:w="726" w:type="pct"/>
                  <w:tcBorders>
                    <w:tl2br w:val="nil"/>
                    <w:tr2bl w:val="nil"/>
                  </w:tcBorders>
                  <w:noWrap w:val="0"/>
                  <w:vAlign w:val="center"/>
                </w:tcPr>
                <w:p w14:paraId="6B28C727">
                  <w:pPr>
                    <w:pStyle w:val="53"/>
                    <w:bidi w:val="0"/>
                    <w:rPr>
                      <w:rFonts w:hint="default"/>
                    </w:rPr>
                  </w:pPr>
                  <w:r>
                    <w:rPr>
                      <w:rFonts w:hint="default"/>
                    </w:rPr>
                    <w:t>颗粒物</w:t>
                  </w:r>
                </w:p>
              </w:tc>
              <w:tc>
                <w:tcPr>
                  <w:tcW w:w="2522" w:type="pct"/>
                  <w:tcBorders>
                    <w:tl2br w:val="nil"/>
                    <w:tr2bl w:val="nil"/>
                  </w:tcBorders>
                  <w:noWrap w:val="0"/>
                  <w:vAlign w:val="center"/>
                </w:tcPr>
                <w:p w14:paraId="1E9F47C9">
                  <w:pPr>
                    <w:pStyle w:val="53"/>
                    <w:bidi w:val="0"/>
                    <w:ind w:firstLine="0" w:firstLineChars="0"/>
                    <w:jc w:val="both"/>
                    <w:rPr>
                      <w:rFonts w:hint="default"/>
                    </w:rPr>
                  </w:pPr>
                  <w:r>
                    <w:rPr>
                      <w:rFonts w:hint="default"/>
                    </w:rPr>
                    <w:t>通过</w:t>
                  </w:r>
                  <w:r>
                    <w:rPr>
                      <w:rFonts w:hint="eastAsia"/>
                      <w:lang w:eastAsia="zh-CN"/>
                    </w:rPr>
                    <w:t>“</w:t>
                  </w:r>
                  <w:r>
                    <w:rPr>
                      <w:rFonts w:hint="default"/>
                    </w:rPr>
                    <w:t>全封闭骨料仓+在堆存和装卸过程使用雾炮机抑尘+厂区四周设置防风抑尘网</w:t>
                  </w:r>
                  <w:r>
                    <w:rPr>
                      <w:rFonts w:hint="eastAsia"/>
                      <w:lang w:eastAsia="zh-CN"/>
                    </w:rPr>
                    <w:t>”</w:t>
                  </w:r>
                  <w:r>
                    <w:rPr>
                      <w:rFonts w:hint="default"/>
                    </w:rPr>
                    <w:t>处理后以无组织形式排放。</w:t>
                  </w:r>
                </w:p>
              </w:tc>
            </w:tr>
            <w:tr w14:paraId="7CD29358">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3AB78A90">
                  <w:pPr>
                    <w:pStyle w:val="53"/>
                    <w:bidi w:val="0"/>
                    <w:rPr>
                      <w:rFonts w:hint="default"/>
                    </w:rPr>
                  </w:pPr>
                </w:p>
              </w:tc>
              <w:tc>
                <w:tcPr>
                  <w:tcW w:w="431" w:type="pct"/>
                  <w:vMerge w:val="continue"/>
                  <w:tcBorders>
                    <w:tl2br w:val="nil"/>
                    <w:tr2bl w:val="nil"/>
                  </w:tcBorders>
                  <w:noWrap w:val="0"/>
                  <w:vAlign w:val="center"/>
                </w:tcPr>
                <w:p w14:paraId="4830EE38">
                  <w:pPr>
                    <w:pStyle w:val="53"/>
                    <w:bidi w:val="0"/>
                    <w:rPr>
                      <w:rFonts w:hint="default" w:eastAsia="宋体"/>
                      <w:lang w:val="en-US" w:eastAsia="zh-CN"/>
                    </w:rPr>
                  </w:pPr>
                </w:p>
              </w:tc>
              <w:tc>
                <w:tcPr>
                  <w:tcW w:w="543" w:type="pct"/>
                  <w:gridSpan w:val="2"/>
                  <w:tcBorders>
                    <w:tl2br w:val="nil"/>
                    <w:tr2bl w:val="nil"/>
                  </w:tcBorders>
                  <w:noWrap w:val="0"/>
                  <w:vAlign w:val="center"/>
                </w:tcPr>
                <w:p w14:paraId="7D16CCB0">
                  <w:pPr>
                    <w:pStyle w:val="53"/>
                    <w:bidi w:val="0"/>
                    <w:rPr>
                      <w:rFonts w:hint="default"/>
                    </w:rPr>
                  </w:pPr>
                  <w:r>
                    <w:rPr>
                      <w:rFonts w:hint="eastAsia"/>
                      <w:color w:val="auto"/>
                      <w:lang w:val="en-US" w:eastAsia="zh-CN"/>
                    </w:rPr>
                    <w:t>砂石</w:t>
                  </w:r>
                  <w:r>
                    <w:rPr>
                      <w:rFonts w:hint="eastAsia"/>
                      <w:color w:val="auto"/>
                    </w:rPr>
                    <w:t>投料、输送、计量</w:t>
                  </w:r>
                  <w:r>
                    <w:rPr>
                      <w:rFonts w:hint="eastAsia"/>
                      <w:lang w:val="en-US" w:eastAsia="zh-CN"/>
                    </w:rPr>
                    <w:t>粉尘</w:t>
                  </w:r>
                </w:p>
              </w:tc>
              <w:tc>
                <w:tcPr>
                  <w:tcW w:w="418" w:type="pct"/>
                  <w:tcBorders>
                    <w:tl2br w:val="nil"/>
                    <w:tr2bl w:val="nil"/>
                  </w:tcBorders>
                  <w:noWrap w:val="0"/>
                  <w:vAlign w:val="center"/>
                </w:tcPr>
                <w:p w14:paraId="0B5983EA">
                  <w:pPr>
                    <w:pStyle w:val="53"/>
                    <w:bidi w:val="0"/>
                    <w:rPr>
                      <w:rFonts w:hint="default"/>
                    </w:rPr>
                  </w:pPr>
                  <w:r>
                    <w:rPr>
                      <w:rFonts w:hint="default"/>
                    </w:rPr>
                    <w:t>粉尘</w:t>
                  </w:r>
                </w:p>
              </w:tc>
              <w:tc>
                <w:tcPr>
                  <w:tcW w:w="726" w:type="pct"/>
                  <w:tcBorders>
                    <w:tl2br w:val="nil"/>
                    <w:tr2bl w:val="nil"/>
                  </w:tcBorders>
                  <w:noWrap w:val="0"/>
                  <w:vAlign w:val="center"/>
                </w:tcPr>
                <w:p w14:paraId="18D10A5A">
                  <w:pPr>
                    <w:pStyle w:val="53"/>
                    <w:bidi w:val="0"/>
                    <w:rPr>
                      <w:rFonts w:hint="default"/>
                    </w:rPr>
                  </w:pPr>
                  <w:r>
                    <w:rPr>
                      <w:rFonts w:hint="default"/>
                    </w:rPr>
                    <w:t>颗粒物</w:t>
                  </w:r>
                </w:p>
              </w:tc>
              <w:tc>
                <w:tcPr>
                  <w:tcW w:w="2522" w:type="pct"/>
                  <w:tcBorders>
                    <w:tl2br w:val="nil"/>
                    <w:tr2bl w:val="nil"/>
                  </w:tcBorders>
                  <w:noWrap w:val="0"/>
                  <w:vAlign w:val="center"/>
                </w:tcPr>
                <w:p w14:paraId="0DD7CAB0">
                  <w:pPr>
                    <w:pStyle w:val="53"/>
                    <w:bidi w:val="0"/>
                    <w:jc w:val="both"/>
                    <w:rPr>
                      <w:rFonts w:hint="default"/>
                    </w:rPr>
                  </w:pPr>
                  <w:r>
                    <w:rPr>
                      <w:rFonts w:hint="default"/>
                    </w:rPr>
                    <w:t>通过</w:t>
                  </w:r>
                  <w:r>
                    <w:rPr>
                      <w:rFonts w:hint="eastAsia"/>
                      <w:lang w:eastAsia="zh-CN"/>
                    </w:rPr>
                    <w:t>“</w:t>
                  </w:r>
                  <w:r>
                    <w:rPr>
                      <w:rFonts w:hint="default"/>
                    </w:rPr>
                    <w:t>全封闭骨料仓、输送带+在装载机</w:t>
                  </w:r>
                  <w:r>
                    <w:rPr>
                      <w:rFonts w:hint="eastAsia"/>
                      <w:lang w:val="en-US" w:eastAsia="zh-CN"/>
                    </w:rPr>
                    <w:t>投料</w:t>
                  </w:r>
                  <w:r>
                    <w:rPr>
                      <w:rFonts w:hint="default"/>
                    </w:rPr>
                    <w:t>过程中使用雾炮机抑尘+厂区四周设置防风抑尘网</w:t>
                  </w:r>
                  <w:r>
                    <w:rPr>
                      <w:rFonts w:hint="eastAsia"/>
                      <w:lang w:eastAsia="zh-CN"/>
                    </w:rPr>
                    <w:t>”</w:t>
                  </w:r>
                  <w:r>
                    <w:rPr>
                      <w:rFonts w:hint="default"/>
                    </w:rPr>
                    <w:t>处理后以无组织形式排放。</w:t>
                  </w:r>
                </w:p>
              </w:tc>
            </w:tr>
            <w:tr w14:paraId="1506689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51919676">
                  <w:pPr>
                    <w:pStyle w:val="53"/>
                    <w:bidi w:val="0"/>
                    <w:rPr>
                      <w:rFonts w:hint="default"/>
                    </w:rPr>
                  </w:pPr>
                </w:p>
              </w:tc>
              <w:tc>
                <w:tcPr>
                  <w:tcW w:w="431" w:type="pct"/>
                  <w:tcBorders>
                    <w:tl2br w:val="nil"/>
                    <w:tr2bl w:val="nil"/>
                  </w:tcBorders>
                  <w:noWrap w:val="0"/>
                  <w:vAlign w:val="center"/>
                </w:tcPr>
                <w:p w14:paraId="0558F7F6">
                  <w:pPr>
                    <w:pStyle w:val="53"/>
                    <w:bidi w:val="0"/>
                    <w:rPr>
                      <w:rFonts w:hint="default" w:eastAsia="宋体"/>
                      <w:lang w:val="en-US" w:eastAsia="zh-CN"/>
                    </w:rPr>
                  </w:pPr>
                  <w:r>
                    <w:rPr>
                      <w:rFonts w:hint="eastAsia"/>
                      <w:lang w:val="en-US" w:eastAsia="zh-CN"/>
                    </w:rPr>
                    <w:t>运输车辆</w:t>
                  </w:r>
                </w:p>
              </w:tc>
              <w:tc>
                <w:tcPr>
                  <w:tcW w:w="543" w:type="pct"/>
                  <w:gridSpan w:val="2"/>
                  <w:tcBorders>
                    <w:tl2br w:val="nil"/>
                    <w:tr2bl w:val="nil"/>
                  </w:tcBorders>
                  <w:noWrap w:val="0"/>
                  <w:vAlign w:val="center"/>
                </w:tcPr>
                <w:p w14:paraId="53FFA1A5">
                  <w:pPr>
                    <w:pStyle w:val="53"/>
                    <w:bidi w:val="0"/>
                    <w:rPr>
                      <w:rFonts w:hint="default"/>
                      <w:lang w:val="en-US" w:eastAsia="zh-CN"/>
                    </w:rPr>
                  </w:pPr>
                  <w:r>
                    <w:rPr>
                      <w:rFonts w:hint="eastAsia"/>
                      <w:lang w:val="en-US" w:eastAsia="zh-CN"/>
                    </w:rPr>
                    <w:t>原料运输</w:t>
                  </w:r>
                </w:p>
              </w:tc>
              <w:tc>
                <w:tcPr>
                  <w:tcW w:w="418" w:type="pct"/>
                  <w:tcBorders>
                    <w:tl2br w:val="nil"/>
                    <w:tr2bl w:val="nil"/>
                  </w:tcBorders>
                  <w:noWrap w:val="0"/>
                  <w:vAlign w:val="center"/>
                </w:tcPr>
                <w:p w14:paraId="49B48A5D">
                  <w:pPr>
                    <w:pStyle w:val="53"/>
                    <w:bidi w:val="0"/>
                    <w:ind w:firstLine="0" w:firstLineChars="0"/>
                    <w:rPr>
                      <w:rFonts w:hint="default"/>
                    </w:rPr>
                  </w:pPr>
                  <w:r>
                    <w:rPr>
                      <w:rFonts w:hint="default"/>
                    </w:rPr>
                    <w:t>粉尘</w:t>
                  </w:r>
                </w:p>
              </w:tc>
              <w:tc>
                <w:tcPr>
                  <w:tcW w:w="726" w:type="pct"/>
                  <w:tcBorders>
                    <w:tl2br w:val="nil"/>
                    <w:tr2bl w:val="nil"/>
                  </w:tcBorders>
                  <w:noWrap w:val="0"/>
                  <w:vAlign w:val="center"/>
                </w:tcPr>
                <w:p w14:paraId="1B363AF4">
                  <w:pPr>
                    <w:pStyle w:val="53"/>
                    <w:bidi w:val="0"/>
                    <w:ind w:firstLine="0" w:firstLineChars="0"/>
                    <w:rPr>
                      <w:rFonts w:hint="default"/>
                    </w:rPr>
                  </w:pPr>
                  <w:r>
                    <w:rPr>
                      <w:rFonts w:hint="default"/>
                    </w:rPr>
                    <w:t>颗粒物</w:t>
                  </w:r>
                </w:p>
              </w:tc>
              <w:tc>
                <w:tcPr>
                  <w:tcW w:w="2522" w:type="pct"/>
                  <w:tcBorders>
                    <w:tl2br w:val="nil"/>
                    <w:tr2bl w:val="nil"/>
                  </w:tcBorders>
                  <w:noWrap w:val="0"/>
                  <w:vAlign w:val="center"/>
                </w:tcPr>
                <w:p w14:paraId="39C4E04D">
                  <w:pPr>
                    <w:pStyle w:val="53"/>
                    <w:bidi w:val="0"/>
                    <w:jc w:val="both"/>
                    <w:rPr>
                      <w:rFonts w:hint="default"/>
                    </w:rPr>
                  </w:pPr>
                  <w:r>
                    <w:rPr>
                      <w:rFonts w:hint="default"/>
                      <w:lang w:val="en-US" w:eastAsia="zh-CN"/>
                    </w:rPr>
                    <w:t>通过</w:t>
                  </w:r>
                  <w:r>
                    <w:rPr>
                      <w:rFonts w:hint="eastAsia"/>
                      <w:lang w:val="en-US" w:eastAsia="zh-CN"/>
                    </w:rPr>
                    <w:t>洒水车</w:t>
                  </w:r>
                  <w:r>
                    <w:rPr>
                      <w:rFonts w:hint="default"/>
                      <w:lang w:val="en-US" w:eastAsia="zh-CN"/>
                    </w:rPr>
                    <w:t>洒水抑尘和清洗运输车辆</w:t>
                  </w:r>
                  <w:r>
                    <w:rPr>
                      <w:rFonts w:hint="eastAsia"/>
                      <w:lang w:val="en-US" w:eastAsia="zh-CN"/>
                    </w:rPr>
                    <w:t>措施减少粉尘排放</w:t>
                  </w:r>
                  <w:r>
                    <w:rPr>
                      <w:rFonts w:hint="default"/>
                      <w:lang w:val="en-US" w:eastAsia="zh-CN"/>
                    </w:rPr>
                    <w:t>。</w:t>
                  </w:r>
                </w:p>
              </w:tc>
            </w:tr>
            <w:tr w14:paraId="0184C4F7">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restart"/>
                  <w:tcBorders>
                    <w:tl2br w:val="nil"/>
                    <w:tr2bl w:val="nil"/>
                  </w:tcBorders>
                  <w:noWrap w:val="0"/>
                  <w:vAlign w:val="center"/>
                </w:tcPr>
                <w:p w14:paraId="75C65402">
                  <w:pPr>
                    <w:pStyle w:val="53"/>
                    <w:bidi w:val="0"/>
                    <w:rPr>
                      <w:rFonts w:hint="default"/>
                    </w:rPr>
                  </w:pPr>
                  <w:r>
                    <w:rPr>
                      <w:rFonts w:hint="default"/>
                    </w:rPr>
                    <w:t>废水</w:t>
                  </w:r>
                </w:p>
              </w:tc>
              <w:tc>
                <w:tcPr>
                  <w:tcW w:w="1393" w:type="pct"/>
                  <w:gridSpan w:val="4"/>
                  <w:tcBorders>
                    <w:tl2br w:val="nil"/>
                    <w:tr2bl w:val="nil"/>
                  </w:tcBorders>
                  <w:noWrap w:val="0"/>
                  <w:vAlign w:val="center"/>
                </w:tcPr>
                <w:p w14:paraId="15083F13">
                  <w:pPr>
                    <w:pStyle w:val="53"/>
                    <w:bidi w:val="0"/>
                    <w:rPr>
                      <w:rFonts w:hint="default"/>
                    </w:rPr>
                  </w:pPr>
                  <w:r>
                    <w:rPr>
                      <w:rFonts w:hint="default"/>
                    </w:rPr>
                    <w:t>生活污水</w:t>
                  </w:r>
                </w:p>
              </w:tc>
              <w:tc>
                <w:tcPr>
                  <w:tcW w:w="726" w:type="pct"/>
                  <w:tcBorders>
                    <w:tl2br w:val="nil"/>
                    <w:tr2bl w:val="nil"/>
                  </w:tcBorders>
                  <w:noWrap w:val="0"/>
                  <w:vAlign w:val="center"/>
                </w:tcPr>
                <w:p w14:paraId="496505D5">
                  <w:pPr>
                    <w:pStyle w:val="53"/>
                    <w:bidi w:val="0"/>
                    <w:rPr>
                      <w:rFonts w:hint="default"/>
                    </w:rPr>
                  </w:pPr>
                  <w:r>
                    <w:rPr>
                      <w:rFonts w:hint="default"/>
                    </w:rPr>
                    <w:t>COD、BOD</w:t>
                  </w:r>
                  <w:r>
                    <w:rPr>
                      <w:rFonts w:hint="default"/>
                      <w:vertAlign w:val="subscript"/>
                    </w:rPr>
                    <w:t>5</w:t>
                  </w:r>
                  <w:r>
                    <w:rPr>
                      <w:rFonts w:hint="default"/>
                    </w:rPr>
                    <w:t>、SS、NH</w:t>
                  </w:r>
                  <w:r>
                    <w:rPr>
                      <w:rFonts w:hint="default"/>
                      <w:vertAlign w:val="subscript"/>
                    </w:rPr>
                    <w:t>3</w:t>
                  </w:r>
                  <w:r>
                    <w:rPr>
                      <w:rFonts w:hint="default"/>
                    </w:rPr>
                    <w:t>-N</w:t>
                  </w:r>
                </w:p>
              </w:tc>
              <w:tc>
                <w:tcPr>
                  <w:tcW w:w="2522" w:type="pct"/>
                  <w:tcBorders>
                    <w:tl2br w:val="nil"/>
                    <w:tr2bl w:val="nil"/>
                  </w:tcBorders>
                  <w:noWrap w:val="0"/>
                  <w:vAlign w:val="center"/>
                </w:tcPr>
                <w:p w14:paraId="2B1FD640">
                  <w:pPr>
                    <w:pStyle w:val="53"/>
                    <w:bidi w:val="0"/>
                    <w:jc w:val="both"/>
                    <w:rPr>
                      <w:rFonts w:hint="eastAsia"/>
                      <w:lang w:eastAsia="zh-CN"/>
                    </w:rPr>
                  </w:pPr>
                  <w:r>
                    <w:rPr>
                      <w:rFonts w:hint="default"/>
                    </w:rPr>
                    <w:t>经化粪池预处理后，定期拉运至甘其毛都口岸加工园区污水处理厂。</w:t>
                  </w:r>
                </w:p>
              </w:tc>
            </w:tr>
            <w:tr w14:paraId="297ABE2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1BD0EAB6">
                  <w:pPr>
                    <w:pStyle w:val="53"/>
                    <w:bidi w:val="0"/>
                    <w:rPr>
                      <w:rFonts w:hint="default"/>
                    </w:rPr>
                  </w:pPr>
                </w:p>
              </w:tc>
              <w:tc>
                <w:tcPr>
                  <w:tcW w:w="1393" w:type="pct"/>
                  <w:gridSpan w:val="4"/>
                  <w:tcBorders>
                    <w:tl2br w:val="nil"/>
                    <w:tr2bl w:val="nil"/>
                  </w:tcBorders>
                  <w:noWrap w:val="0"/>
                  <w:vAlign w:val="center"/>
                </w:tcPr>
                <w:p w14:paraId="1284F1E8">
                  <w:pPr>
                    <w:pStyle w:val="53"/>
                    <w:bidi w:val="0"/>
                    <w:rPr>
                      <w:rFonts w:hint="default"/>
                    </w:rPr>
                  </w:pPr>
                  <w:r>
                    <w:rPr>
                      <w:rFonts w:hint="default"/>
                      <w:lang w:val="en-US" w:eastAsia="zh-CN"/>
                    </w:rPr>
                    <w:t>搅拌废水</w:t>
                  </w:r>
                </w:p>
              </w:tc>
              <w:tc>
                <w:tcPr>
                  <w:tcW w:w="726" w:type="pct"/>
                  <w:tcBorders>
                    <w:tl2br w:val="nil"/>
                    <w:tr2bl w:val="nil"/>
                  </w:tcBorders>
                  <w:noWrap w:val="0"/>
                  <w:vAlign w:val="center"/>
                </w:tcPr>
                <w:p w14:paraId="452088A1">
                  <w:pPr>
                    <w:pStyle w:val="53"/>
                    <w:bidi w:val="0"/>
                    <w:rPr>
                      <w:rFonts w:hint="default"/>
                      <w:lang w:val="en-US" w:eastAsia="zh-CN"/>
                    </w:rPr>
                  </w:pPr>
                  <w:r>
                    <w:rPr>
                      <w:rFonts w:hint="eastAsia"/>
                      <w:lang w:val="en-US" w:eastAsia="zh-CN"/>
                    </w:rPr>
                    <w:t>SS</w:t>
                  </w:r>
                </w:p>
              </w:tc>
              <w:tc>
                <w:tcPr>
                  <w:tcW w:w="2522" w:type="pct"/>
                  <w:tcBorders>
                    <w:tl2br w:val="nil"/>
                    <w:tr2bl w:val="nil"/>
                  </w:tcBorders>
                  <w:noWrap w:val="0"/>
                  <w:vAlign w:val="center"/>
                </w:tcPr>
                <w:p w14:paraId="690FE5E0">
                  <w:pPr>
                    <w:pStyle w:val="53"/>
                    <w:bidi w:val="0"/>
                    <w:jc w:val="both"/>
                    <w:rPr>
                      <w:rFonts w:hint="default"/>
                      <w:lang w:val="en-US" w:eastAsia="zh-CN"/>
                    </w:rPr>
                  </w:pPr>
                  <w:r>
                    <w:rPr>
                      <w:rFonts w:hint="default"/>
                    </w:rPr>
                    <w:t>全部进入产品中，无废水外排。</w:t>
                  </w:r>
                </w:p>
              </w:tc>
            </w:tr>
            <w:tr w14:paraId="59B90355">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25814395">
                  <w:pPr>
                    <w:pStyle w:val="53"/>
                    <w:bidi w:val="0"/>
                    <w:rPr>
                      <w:rFonts w:hint="default"/>
                    </w:rPr>
                  </w:pPr>
                </w:p>
              </w:tc>
              <w:tc>
                <w:tcPr>
                  <w:tcW w:w="1393" w:type="pct"/>
                  <w:gridSpan w:val="4"/>
                  <w:tcBorders>
                    <w:tl2br w:val="nil"/>
                    <w:tr2bl w:val="nil"/>
                  </w:tcBorders>
                  <w:noWrap w:val="0"/>
                  <w:vAlign w:val="center"/>
                </w:tcPr>
                <w:p w14:paraId="79C81433">
                  <w:pPr>
                    <w:pStyle w:val="53"/>
                    <w:bidi w:val="0"/>
                    <w:rPr>
                      <w:rFonts w:hint="eastAsia"/>
                      <w:lang w:val="en-US" w:eastAsia="zh-CN"/>
                    </w:rPr>
                  </w:pPr>
                  <w:r>
                    <w:rPr>
                      <w:rFonts w:hint="eastAsia"/>
                      <w:lang w:val="en-US" w:eastAsia="zh-CN"/>
                    </w:rPr>
                    <w:t>全封闭搅拌机清洗废水</w:t>
                  </w:r>
                </w:p>
              </w:tc>
              <w:tc>
                <w:tcPr>
                  <w:tcW w:w="726" w:type="pct"/>
                  <w:tcBorders>
                    <w:tl2br w:val="nil"/>
                    <w:tr2bl w:val="nil"/>
                  </w:tcBorders>
                  <w:noWrap w:val="0"/>
                  <w:vAlign w:val="center"/>
                </w:tcPr>
                <w:p w14:paraId="079386CF">
                  <w:pPr>
                    <w:pStyle w:val="53"/>
                    <w:bidi w:val="0"/>
                    <w:rPr>
                      <w:rFonts w:hint="default"/>
                      <w:lang w:val="en-US" w:eastAsia="zh-CN"/>
                    </w:rPr>
                  </w:pPr>
                  <w:r>
                    <w:rPr>
                      <w:rFonts w:hint="eastAsia"/>
                      <w:lang w:val="en-US" w:eastAsia="zh-CN"/>
                    </w:rPr>
                    <w:t>SS</w:t>
                  </w:r>
                </w:p>
              </w:tc>
              <w:tc>
                <w:tcPr>
                  <w:tcW w:w="2522" w:type="pct"/>
                  <w:tcBorders>
                    <w:tl2br w:val="nil"/>
                    <w:tr2bl w:val="nil"/>
                  </w:tcBorders>
                  <w:noWrap w:val="0"/>
                  <w:vAlign w:val="center"/>
                </w:tcPr>
                <w:p w14:paraId="0EA665D7">
                  <w:pPr>
                    <w:pStyle w:val="53"/>
                    <w:bidi w:val="0"/>
                    <w:jc w:val="both"/>
                    <w:rPr>
                      <w:rFonts w:hint="default"/>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tc>
            </w:tr>
            <w:tr w14:paraId="309DB6AB">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0B90E333">
                  <w:pPr>
                    <w:pStyle w:val="53"/>
                    <w:bidi w:val="0"/>
                    <w:rPr>
                      <w:rFonts w:hint="default"/>
                    </w:rPr>
                  </w:pPr>
                </w:p>
              </w:tc>
              <w:tc>
                <w:tcPr>
                  <w:tcW w:w="1393" w:type="pct"/>
                  <w:gridSpan w:val="4"/>
                  <w:tcBorders>
                    <w:tl2br w:val="nil"/>
                    <w:tr2bl w:val="nil"/>
                  </w:tcBorders>
                  <w:noWrap w:val="0"/>
                  <w:vAlign w:val="center"/>
                </w:tcPr>
                <w:p w14:paraId="05276841">
                  <w:pPr>
                    <w:pStyle w:val="53"/>
                    <w:bidi w:val="0"/>
                    <w:rPr>
                      <w:rFonts w:hint="default"/>
                      <w:lang w:val="en-US" w:eastAsia="zh-CN"/>
                    </w:rPr>
                  </w:pPr>
                  <w:r>
                    <w:rPr>
                      <w:rFonts w:hint="default"/>
                      <w:lang w:val="en-US" w:eastAsia="zh-CN"/>
                    </w:rPr>
                    <w:t>混凝土运输车清洗废水</w:t>
                  </w:r>
                </w:p>
              </w:tc>
              <w:tc>
                <w:tcPr>
                  <w:tcW w:w="726" w:type="pct"/>
                  <w:tcBorders>
                    <w:tl2br w:val="nil"/>
                    <w:tr2bl w:val="nil"/>
                  </w:tcBorders>
                  <w:noWrap w:val="0"/>
                  <w:vAlign w:val="center"/>
                </w:tcPr>
                <w:p w14:paraId="15AE5132">
                  <w:pPr>
                    <w:pStyle w:val="53"/>
                    <w:bidi w:val="0"/>
                    <w:rPr>
                      <w:rFonts w:hint="default"/>
                      <w:lang w:val="en-US" w:eastAsia="zh-CN"/>
                    </w:rPr>
                  </w:pPr>
                  <w:r>
                    <w:rPr>
                      <w:rFonts w:hint="eastAsia"/>
                      <w:lang w:val="en-US" w:eastAsia="zh-CN"/>
                    </w:rPr>
                    <w:t>SS</w:t>
                  </w:r>
                </w:p>
              </w:tc>
              <w:tc>
                <w:tcPr>
                  <w:tcW w:w="2522" w:type="pct"/>
                  <w:tcBorders>
                    <w:tl2br w:val="nil"/>
                    <w:tr2bl w:val="nil"/>
                  </w:tcBorders>
                  <w:noWrap w:val="0"/>
                  <w:vAlign w:val="center"/>
                </w:tcPr>
                <w:p w14:paraId="44795621">
                  <w:pPr>
                    <w:pStyle w:val="53"/>
                    <w:bidi w:val="0"/>
                    <w:jc w:val="both"/>
                    <w:rPr>
                      <w:rFonts w:hint="default"/>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tc>
            </w:tr>
            <w:tr w14:paraId="507FCB6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5A3797A1">
                  <w:pPr>
                    <w:pStyle w:val="53"/>
                    <w:bidi w:val="0"/>
                    <w:rPr>
                      <w:rFonts w:hint="default"/>
                    </w:rPr>
                  </w:pPr>
                </w:p>
              </w:tc>
              <w:tc>
                <w:tcPr>
                  <w:tcW w:w="1393" w:type="pct"/>
                  <w:gridSpan w:val="4"/>
                  <w:tcBorders>
                    <w:tl2br w:val="nil"/>
                    <w:tr2bl w:val="nil"/>
                  </w:tcBorders>
                  <w:noWrap w:val="0"/>
                  <w:vAlign w:val="center"/>
                </w:tcPr>
                <w:p w14:paraId="209F3CB9">
                  <w:pPr>
                    <w:pStyle w:val="53"/>
                    <w:bidi w:val="0"/>
                    <w:rPr>
                      <w:rFonts w:hint="default"/>
                      <w:lang w:val="en-US" w:eastAsia="zh-CN"/>
                    </w:rPr>
                  </w:pPr>
                  <w:r>
                    <w:rPr>
                      <w:rFonts w:hint="default"/>
                      <w:lang w:val="en-US" w:eastAsia="zh-CN"/>
                    </w:rPr>
                    <w:t>抑尘废水</w:t>
                  </w:r>
                </w:p>
              </w:tc>
              <w:tc>
                <w:tcPr>
                  <w:tcW w:w="726" w:type="pct"/>
                  <w:tcBorders>
                    <w:tl2br w:val="nil"/>
                    <w:tr2bl w:val="nil"/>
                  </w:tcBorders>
                  <w:noWrap w:val="0"/>
                  <w:vAlign w:val="center"/>
                </w:tcPr>
                <w:p w14:paraId="314C8EFC">
                  <w:pPr>
                    <w:pStyle w:val="53"/>
                    <w:bidi w:val="0"/>
                    <w:rPr>
                      <w:rFonts w:hint="default"/>
                      <w:lang w:val="en-US" w:eastAsia="zh-CN"/>
                    </w:rPr>
                  </w:pPr>
                  <w:r>
                    <w:rPr>
                      <w:rFonts w:hint="eastAsia"/>
                      <w:lang w:val="en-US" w:eastAsia="zh-CN"/>
                    </w:rPr>
                    <w:t>SS</w:t>
                  </w:r>
                </w:p>
              </w:tc>
              <w:tc>
                <w:tcPr>
                  <w:tcW w:w="2522" w:type="pct"/>
                  <w:tcBorders>
                    <w:tl2br w:val="nil"/>
                    <w:tr2bl w:val="nil"/>
                  </w:tcBorders>
                  <w:noWrap w:val="0"/>
                  <w:vAlign w:val="center"/>
                </w:tcPr>
                <w:p w14:paraId="7EECE3BE">
                  <w:pPr>
                    <w:pStyle w:val="53"/>
                    <w:bidi w:val="0"/>
                    <w:jc w:val="both"/>
                    <w:rPr>
                      <w:rFonts w:hint="default"/>
                    </w:rPr>
                  </w:pPr>
                  <w:r>
                    <w:rPr>
                      <w:rFonts w:hint="default"/>
                    </w:rPr>
                    <w:t>全部自然蒸发，无废水外排。</w:t>
                  </w:r>
                </w:p>
              </w:tc>
            </w:tr>
            <w:tr w14:paraId="3601C00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restart"/>
                  <w:tcBorders>
                    <w:tl2br w:val="nil"/>
                    <w:tr2bl w:val="nil"/>
                  </w:tcBorders>
                  <w:noWrap w:val="0"/>
                  <w:vAlign w:val="center"/>
                </w:tcPr>
                <w:p w14:paraId="7CD98BD0">
                  <w:pPr>
                    <w:pStyle w:val="53"/>
                    <w:bidi w:val="0"/>
                    <w:rPr>
                      <w:rFonts w:hint="default"/>
                    </w:rPr>
                  </w:pPr>
                  <w:r>
                    <w:rPr>
                      <w:rFonts w:hint="default"/>
                    </w:rPr>
                    <w:t>噪声</w:t>
                  </w:r>
                </w:p>
              </w:tc>
              <w:tc>
                <w:tcPr>
                  <w:tcW w:w="783" w:type="pct"/>
                  <w:gridSpan w:val="2"/>
                  <w:tcBorders>
                    <w:tl2br w:val="nil"/>
                    <w:tr2bl w:val="nil"/>
                  </w:tcBorders>
                  <w:noWrap w:val="0"/>
                  <w:vAlign w:val="center"/>
                </w:tcPr>
                <w:p w14:paraId="49496E44">
                  <w:pPr>
                    <w:pStyle w:val="53"/>
                    <w:bidi w:val="0"/>
                    <w:rPr>
                      <w:rFonts w:hint="default"/>
                    </w:rPr>
                  </w:pPr>
                  <w:r>
                    <w:rPr>
                      <w:rFonts w:hint="default"/>
                    </w:rPr>
                    <w:t>生产设备</w:t>
                  </w:r>
                </w:p>
              </w:tc>
              <w:tc>
                <w:tcPr>
                  <w:tcW w:w="610" w:type="pct"/>
                  <w:gridSpan w:val="2"/>
                  <w:tcBorders>
                    <w:tl2br w:val="nil"/>
                    <w:tr2bl w:val="nil"/>
                  </w:tcBorders>
                  <w:noWrap w:val="0"/>
                  <w:vAlign w:val="center"/>
                </w:tcPr>
                <w:p w14:paraId="57CA50B8">
                  <w:pPr>
                    <w:pStyle w:val="53"/>
                    <w:bidi w:val="0"/>
                    <w:rPr>
                      <w:rFonts w:hint="default"/>
                    </w:rPr>
                  </w:pPr>
                  <w:r>
                    <w:rPr>
                      <w:rFonts w:hint="default"/>
                    </w:rPr>
                    <w:t>机械噪声</w:t>
                  </w:r>
                </w:p>
              </w:tc>
              <w:tc>
                <w:tcPr>
                  <w:tcW w:w="726" w:type="pct"/>
                  <w:vMerge w:val="restart"/>
                  <w:tcBorders>
                    <w:tl2br w:val="nil"/>
                    <w:tr2bl w:val="nil"/>
                  </w:tcBorders>
                  <w:noWrap w:val="0"/>
                  <w:vAlign w:val="center"/>
                </w:tcPr>
                <w:p w14:paraId="5C370A73">
                  <w:pPr>
                    <w:pStyle w:val="53"/>
                    <w:bidi w:val="0"/>
                    <w:rPr>
                      <w:rFonts w:hint="default"/>
                    </w:rPr>
                  </w:pPr>
                  <w:r>
                    <w:rPr>
                      <w:rFonts w:hint="default"/>
                    </w:rPr>
                    <w:t>LAeq</w:t>
                  </w:r>
                </w:p>
              </w:tc>
              <w:tc>
                <w:tcPr>
                  <w:tcW w:w="2522" w:type="pct"/>
                  <w:tcBorders>
                    <w:tl2br w:val="nil"/>
                    <w:tr2bl w:val="nil"/>
                  </w:tcBorders>
                  <w:noWrap w:val="0"/>
                  <w:vAlign w:val="center"/>
                </w:tcPr>
                <w:p w14:paraId="39A78D62">
                  <w:pPr>
                    <w:pStyle w:val="53"/>
                    <w:bidi w:val="0"/>
                    <w:jc w:val="both"/>
                    <w:rPr>
                      <w:rFonts w:hint="default"/>
                    </w:rPr>
                  </w:pPr>
                  <w:r>
                    <w:rPr>
                      <w:rFonts w:hint="default"/>
                      <w:lang w:val="en-US" w:eastAsia="zh-CN"/>
                    </w:rPr>
                    <w:t>采购低噪声设备，基础减振、</w:t>
                  </w:r>
                  <w:r>
                    <w:rPr>
                      <w:rFonts w:hint="default"/>
                    </w:rPr>
                    <w:t>风机安装消声器</w:t>
                  </w:r>
                  <w:r>
                    <w:rPr>
                      <w:rFonts w:hint="eastAsia"/>
                      <w:lang w:eastAsia="zh-CN"/>
                    </w:rPr>
                    <w:t>、</w:t>
                  </w:r>
                  <w:r>
                    <w:rPr>
                      <w:rFonts w:hint="default"/>
                      <w:lang w:val="en-US" w:eastAsia="zh-CN"/>
                    </w:rPr>
                    <w:t>墙体隔声，合理布局，定期检查、维修设备，使设备处于良好的运行状态</w:t>
                  </w:r>
                  <w:r>
                    <w:rPr>
                      <w:rFonts w:hint="eastAsia"/>
                      <w:lang w:val="en-US" w:eastAsia="zh-CN"/>
                    </w:rPr>
                    <w:t>。</w:t>
                  </w:r>
                </w:p>
              </w:tc>
            </w:tr>
            <w:tr w14:paraId="06776A23">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33321316">
                  <w:pPr>
                    <w:pStyle w:val="53"/>
                    <w:bidi w:val="0"/>
                    <w:rPr>
                      <w:rFonts w:hint="default"/>
                    </w:rPr>
                  </w:pPr>
                </w:p>
              </w:tc>
              <w:tc>
                <w:tcPr>
                  <w:tcW w:w="783" w:type="pct"/>
                  <w:gridSpan w:val="2"/>
                  <w:tcBorders>
                    <w:tl2br w:val="nil"/>
                    <w:tr2bl w:val="nil"/>
                  </w:tcBorders>
                  <w:noWrap w:val="0"/>
                  <w:vAlign w:val="center"/>
                </w:tcPr>
                <w:p w14:paraId="0CC4877A">
                  <w:pPr>
                    <w:pStyle w:val="53"/>
                    <w:bidi w:val="0"/>
                    <w:rPr>
                      <w:rFonts w:hint="default" w:eastAsia="宋体"/>
                      <w:lang w:val="en-US" w:eastAsia="zh-CN"/>
                    </w:rPr>
                  </w:pPr>
                  <w:r>
                    <w:rPr>
                      <w:rFonts w:hint="eastAsia"/>
                      <w:lang w:val="en-US" w:eastAsia="zh-CN"/>
                    </w:rPr>
                    <w:t>运输车辆</w:t>
                  </w:r>
                </w:p>
              </w:tc>
              <w:tc>
                <w:tcPr>
                  <w:tcW w:w="610" w:type="pct"/>
                  <w:gridSpan w:val="2"/>
                  <w:tcBorders>
                    <w:tl2br w:val="nil"/>
                    <w:tr2bl w:val="nil"/>
                  </w:tcBorders>
                  <w:noWrap w:val="0"/>
                  <w:vAlign w:val="center"/>
                </w:tcPr>
                <w:p w14:paraId="41889B0F">
                  <w:pPr>
                    <w:pStyle w:val="53"/>
                    <w:bidi w:val="0"/>
                    <w:rPr>
                      <w:rFonts w:hint="default" w:eastAsia="宋体"/>
                      <w:lang w:val="en-US" w:eastAsia="zh-CN"/>
                    </w:rPr>
                  </w:pPr>
                  <w:r>
                    <w:rPr>
                      <w:rFonts w:hint="eastAsia"/>
                      <w:lang w:val="en-US" w:eastAsia="zh-CN"/>
                    </w:rPr>
                    <w:t>运输车辆噪声</w:t>
                  </w:r>
                </w:p>
              </w:tc>
              <w:tc>
                <w:tcPr>
                  <w:tcW w:w="726" w:type="pct"/>
                  <w:vMerge w:val="continue"/>
                  <w:tcBorders>
                    <w:tl2br w:val="nil"/>
                    <w:tr2bl w:val="nil"/>
                  </w:tcBorders>
                  <w:noWrap w:val="0"/>
                  <w:vAlign w:val="center"/>
                </w:tcPr>
                <w:p w14:paraId="75C806B9">
                  <w:pPr>
                    <w:pStyle w:val="53"/>
                    <w:bidi w:val="0"/>
                    <w:rPr>
                      <w:rFonts w:hint="default"/>
                    </w:rPr>
                  </w:pPr>
                </w:p>
              </w:tc>
              <w:tc>
                <w:tcPr>
                  <w:tcW w:w="2522" w:type="pct"/>
                  <w:tcBorders>
                    <w:tl2br w:val="nil"/>
                    <w:tr2bl w:val="nil"/>
                  </w:tcBorders>
                  <w:noWrap w:val="0"/>
                  <w:vAlign w:val="center"/>
                </w:tcPr>
                <w:p w14:paraId="36D18E8F">
                  <w:pPr>
                    <w:pStyle w:val="53"/>
                    <w:bidi w:val="0"/>
                    <w:jc w:val="both"/>
                    <w:rPr>
                      <w:rFonts w:hint="default"/>
                      <w:lang w:val="en-US" w:eastAsia="zh-CN"/>
                    </w:rPr>
                  </w:pPr>
                  <w:r>
                    <w:rPr>
                      <w:rFonts w:hint="default"/>
                      <w:lang w:val="en-US" w:eastAsia="zh-CN"/>
                    </w:rPr>
                    <w:t>加强对厂区内的交通管理，对进出厂区的线路进行规定，运输车辆限制车速、减少车辆鸣笛，设立禁鸣标志，确保交通能通畅和安静，严禁轰鸣。</w:t>
                  </w:r>
                </w:p>
              </w:tc>
            </w:tr>
            <w:tr w14:paraId="625FC92D">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restart"/>
                  <w:tcBorders>
                    <w:tl2br w:val="nil"/>
                    <w:tr2bl w:val="nil"/>
                  </w:tcBorders>
                  <w:noWrap w:val="0"/>
                  <w:vAlign w:val="center"/>
                </w:tcPr>
                <w:p w14:paraId="61BF6DEB">
                  <w:pPr>
                    <w:pStyle w:val="53"/>
                    <w:bidi w:val="0"/>
                    <w:rPr>
                      <w:rFonts w:hint="default"/>
                    </w:rPr>
                  </w:pPr>
                  <w:r>
                    <w:rPr>
                      <w:rFonts w:hint="default"/>
                    </w:rPr>
                    <w:t>固废</w:t>
                  </w:r>
                </w:p>
              </w:tc>
              <w:tc>
                <w:tcPr>
                  <w:tcW w:w="783" w:type="pct"/>
                  <w:gridSpan w:val="2"/>
                  <w:tcBorders>
                    <w:tl2br w:val="nil"/>
                    <w:tr2bl w:val="nil"/>
                  </w:tcBorders>
                  <w:noWrap w:val="0"/>
                  <w:vAlign w:val="center"/>
                </w:tcPr>
                <w:p w14:paraId="76B2E3EF">
                  <w:pPr>
                    <w:pStyle w:val="53"/>
                    <w:bidi w:val="0"/>
                    <w:rPr>
                      <w:rFonts w:hint="default"/>
                    </w:rPr>
                  </w:pPr>
                  <w:r>
                    <w:rPr>
                      <w:rFonts w:hint="default"/>
                    </w:rPr>
                    <w:t>职工生活</w:t>
                  </w:r>
                </w:p>
              </w:tc>
              <w:tc>
                <w:tcPr>
                  <w:tcW w:w="610" w:type="pct"/>
                  <w:gridSpan w:val="2"/>
                  <w:vMerge w:val="restart"/>
                  <w:tcBorders>
                    <w:tl2br w:val="nil"/>
                    <w:tr2bl w:val="nil"/>
                  </w:tcBorders>
                  <w:noWrap w:val="0"/>
                  <w:vAlign w:val="center"/>
                </w:tcPr>
                <w:p w14:paraId="11A592A7">
                  <w:pPr>
                    <w:pStyle w:val="53"/>
                    <w:bidi w:val="0"/>
                    <w:rPr>
                      <w:rFonts w:hint="default"/>
                    </w:rPr>
                  </w:pPr>
                  <w:r>
                    <w:rPr>
                      <w:rFonts w:hint="default"/>
                    </w:rPr>
                    <w:t>一般固废</w:t>
                  </w:r>
                </w:p>
              </w:tc>
              <w:tc>
                <w:tcPr>
                  <w:tcW w:w="726" w:type="pct"/>
                  <w:tcBorders>
                    <w:tl2br w:val="nil"/>
                    <w:tr2bl w:val="nil"/>
                  </w:tcBorders>
                  <w:noWrap w:val="0"/>
                  <w:vAlign w:val="center"/>
                </w:tcPr>
                <w:p w14:paraId="5049943A">
                  <w:pPr>
                    <w:pStyle w:val="53"/>
                    <w:bidi w:val="0"/>
                    <w:rPr>
                      <w:rFonts w:hint="default"/>
                    </w:rPr>
                  </w:pPr>
                  <w:r>
                    <w:rPr>
                      <w:rFonts w:hint="default"/>
                    </w:rPr>
                    <w:t>生活垃圾</w:t>
                  </w:r>
                </w:p>
              </w:tc>
              <w:tc>
                <w:tcPr>
                  <w:tcW w:w="2522" w:type="pct"/>
                  <w:tcBorders>
                    <w:tl2br w:val="nil"/>
                    <w:tr2bl w:val="nil"/>
                  </w:tcBorders>
                  <w:noWrap w:val="0"/>
                  <w:vAlign w:val="center"/>
                </w:tcPr>
                <w:p w14:paraId="69B429FA">
                  <w:pPr>
                    <w:pStyle w:val="53"/>
                    <w:bidi w:val="0"/>
                    <w:jc w:val="both"/>
                    <w:rPr>
                      <w:rFonts w:hint="eastAsia"/>
                      <w:lang w:eastAsia="zh-CN"/>
                    </w:rPr>
                  </w:pPr>
                  <w:r>
                    <w:rPr>
                      <w:rFonts w:hint="eastAsia"/>
                      <w:lang w:val="en-US" w:eastAsia="zh-CN"/>
                    </w:rPr>
                    <w:t>经</w:t>
                  </w:r>
                  <w:r>
                    <w:rPr>
                      <w:rFonts w:hint="default"/>
                    </w:rPr>
                    <w:t>厂区设置垃圾桶集中收集后交由当地环卫部门处理</w:t>
                  </w:r>
                  <w:r>
                    <w:rPr>
                      <w:rFonts w:hint="eastAsia"/>
                      <w:lang w:eastAsia="zh-CN"/>
                    </w:rPr>
                    <w:t>。</w:t>
                  </w:r>
                </w:p>
              </w:tc>
            </w:tr>
            <w:tr w14:paraId="62685EAA">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11970938">
                  <w:pPr>
                    <w:pStyle w:val="53"/>
                    <w:bidi w:val="0"/>
                    <w:rPr>
                      <w:rFonts w:hint="default"/>
                    </w:rPr>
                  </w:pPr>
                </w:p>
              </w:tc>
              <w:tc>
                <w:tcPr>
                  <w:tcW w:w="783" w:type="pct"/>
                  <w:gridSpan w:val="2"/>
                  <w:tcBorders>
                    <w:tl2br w:val="nil"/>
                    <w:tr2bl w:val="nil"/>
                  </w:tcBorders>
                  <w:noWrap w:val="0"/>
                  <w:vAlign w:val="center"/>
                </w:tcPr>
                <w:p w14:paraId="07592D83">
                  <w:pPr>
                    <w:pStyle w:val="53"/>
                    <w:bidi w:val="0"/>
                    <w:rPr>
                      <w:rFonts w:hint="default" w:eastAsia="宋体"/>
                      <w:lang w:val="en-US" w:eastAsia="zh-CN"/>
                    </w:rPr>
                  </w:pPr>
                  <w:r>
                    <w:rPr>
                      <w:rFonts w:hint="eastAsia"/>
                      <w:lang w:val="en-US" w:eastAsia="zh-CN"/>
                    </w:rPr>
                    <w:t>除尘灰</w:t>
                  </w:r>
                </w:p>
              </w:tc>
              <w:tc>
                <w:tcPr>
                  <w:tcW w:w="610" w:type="pct"/>
                  <w:gridSpan w:val="2"/>
                  <w:vMerge w:val="continue"/>
                  <w:tcBorders>
                    <w:tl2br w:val="nil"/>
                    <w:tr2bl w:val="nil"/>
                  </w:tcBorders>
                  <w:noWrap w:val="0"/>
                  <w:vAlign w:val="center"/>
                </w:tcPr>
                <w:p w14:paraId="19EB5C07">
                  <w:pPr>
                    <w:pStyle w:val="53"/>
                    <w:bidi w:val="0"/>
                    <w:rPr>
                      <w:rFonts w:hint="default"/>
                    </w:rPr>
                  </w:pPr>
                </w:p>
              </w:tc>
              <w:tc>
                <w:tcPr>
                  <w:tcW w:w="726" w:type="pct"/>
                  <w:tcBorders>
                    <w:tl2br w:val="nil"/>
                    <w:tr2bl w:val="nil"/>
                  </w:tcBorders>
                  <w:noWrap w:val="0"/>
                  <w:vAlign w:val="center"/>
                </w:tcPr>
                <w:p w14:paraId="026102AA">
                  <w:pPr>
                    <w:pStyle w:val="53"/>
                    <w:bidi w:val="0"/>
                    <w:rPr>
                      <w:rFonts w:hint="default"/>
                    </w:rPr>
                  </w:pPr>
                  <w:r>
                    <w:rPr>
                      <w:rFonts w:hint="default"/>
                    </w:rPr>
                    <w:t>收集的粉尘</w:t>
                  </w:r>
                </w:p>
              </w:tc>
              <w:tc>
                <w:tcPr>
                  <w:tcW w:w="2522" w:type="pct"/>
                  <w:vMerge w:val="restart"/>
                  <w:tcBorders>
                    <w:tl2br w:val="nil"/>
                    <w:tr2bl w:val="nil"/>
                  </w:tcBorders>
                  <w:noWrap w:val="0"/>
                  <w:vAlign w:val="center"/>
                </w:tcPr>
                <w:p w14:paraId="4B974C01">
                  <w:pPr>
                    <w:pStyle w:val="53"/>
                    <w:bidi w:val="0"/>
                    <w:jc w:val="both"/>
                    <w:rPr>
                      <w:rFonts w:hint="eastAsia"/>
                      <w:lang w:eastAsia="zh-CN"/>
                    </w:rPr>
                  </w:pPr>
                  <w:r>
                    <w:rPr>
                      <w:rFonts w:hint="eastAsia"/>
                      <w:lang w:val="en-US" w:eastAsia="zh-CN"/>
                    </w:rPr>
                    <w:t>定期</w:t>
                  </w:r>
                  <w:r>
                    <w:rPr>
                      <w:rFonts w:hint="default"/>
                    </w:rPr>
                    <w:t>集中收集后</w:t>
                  </w:r>
                  <w:r>
                    <w:rPr>
                      <w:rFonts w:hint="eastAsia"/>
                      <w:lang w:eastAsia="zh-CN"/>
                    </w:rPr>
                    <w:t>，</w:t>
                  </w:r>
                  <w:r>
                    <w:rPr>
                      <w:rFonts w:hint="eastAsia"/>
                      <w:lang w:val="en-US" w:eastAsia="zh-CN"/>
                    </w:rPr>
                    <w:t>直接</w:t>
                  </w:r>
                  <w:r>
                    <w:rPr>
                      <w:rFonts w:hint="default"/>
                    </w:rPr>
                    <w:t>回用于搅拌工序。</w:t>
                  </w:r>
                </w:p>
              </w:tc>
            </w:tr>
            <w:tr w14:paraId="2EAAE369">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jc w:val="center"/>
              </w:trPr>
              <w:tc>
                <w:tcPr>
                  <w:tcW w:w="356" w:type="pct"/>
                  <w:vMerge w:val="continue"/>
                  <w:tcBorders>
                    <w:tl2br w:val="nil"/>
                    <w:tr2bl w:val="nil"/>
                  </w:tcBorders>
                  <w:noWrap w:val="0"/>
                  <w:vAlign w:val="center"/>
                </w:tcPr>
                <w:p w14:paraId="2EC41732">
                  <w:pPr>
                    <w:pStyle w:val="53"/>
                    <w:bidi w:val="0"/>
                    <w:rPr>
                      <w:rFonts w:hint="default"/>
                    </w:rPr>
                  </w:pPr>
                </w:p>
              </w:tc>
              <w:tc>
                <w:tcPr>
                  <w:tcW w:w="783" w:type="pct"/>
                  <w:gridSpan w:val="2"/>
                  <w:tcBorders>
                    <w:tl2br w:val="nil"/>
                    <w:tr2bl w:val="nil"/>
                  </w:tcBorders>
                  <w:noWrap w:val="0"/>
                  <w:vAlign w:val="center"/>
                </w:tcPr>
                <w:p w14:paraId="7B0548C8">
                  <w:pPr>
                    <w:pStyle w:val="53"/>
                    <w:bidi w:val="0"/>
                    <w:rPr>
                      <w:rFonts w:hint="default"/>
                    </w:rPr>
                  </w:pPr>
                  <w:r>
                    <w:rPr>
                      <w:rFonts w:hint="default"/>
                    </w:rPr>
                    <w:t>沉淀池泥砂</w:t>
                  </w:r>
                </w:p>
              </w:tc>
              <w:tc>
                <w:tcPr>
                  <w:tcW w:w="610" w:type="pct"/>
                  <w:gridSpan w:val="2"/>
                  <w:vMerge w:val="continue"/>
                  <w:tcBorders>
                    <w:tl2br w:val="nil"/>
                    <w:tr2bl w:val="nil"/>
                  </w:tcBorders>
                  <w:noWrap w:val="0"/>
                  <w:vAlign w:val="center"/>
                </w:tcPr>
                <w:p w14:paraId="64D76CBC">
                  <w:pPr>
                    <w:pStyle w:val="53"/>
                    <w:bidi w:val="0"/>
                    <w:rPr>
                      <w:rFonts w:hint="default"/>
                    </w:rPr>
                  </w:pPr>
                </w:p>
              </w:tc>
              <w:tc>
                <w:tcPr>
                  <w:tcW w:w="726" w:type="pct"/>
                  <w:tcBorders>
                    <w:tl2br w:val="nil"/>
                    <w:tr2bl w:val="nil"/>
                  </w:tcBorders>
                  <w:noWrap w:val="0"/>
                  <w:vAlign w:val="center"/>
                </w:tcPr>
                <w:p w14:paraId="5239C79D">
                  <w:pPr>
                    <w:pStyle w:val="53"/>
                    <w:bidi w:val="0"/>
                    <w:rPr>
                      <w:rFonts w:hint="default" w:eastAsia="宋体"/>
                      <w:lang w:val="en-US" w:eastAsia="zh-CN"/>
                    </w:rPr>
                  </w:pPr>
                  <w:r>
                    <w:rPr>
                      <w:rFonts w:hint="eastAsia"/>
                      <w:lang w:val="en-US" w:eastAsia="zh-CN"/>
                    </w:rPr>
                    <w:t>泥砂</w:t>
                  </w:r>
                </w:p>
              </w:tc>
              <w:tc>
                <w:tcPr>
                  <w:tcW w:w="2522" w:type="pct"/>
                  <w:vMerge w:val="continue"/>
                  <w:tcBorders>
                    <w:tl2br w:val="nil"/>
                    <w:tr2bl w:val="nil"/>
                  </w:tcBorders>
                  <w:noWrap w:val="0"/>
                  <w:vAlign w:val="center"/>
                </w:tcPr>
                <w:p w14:paraId="35F44E7E">
                  <w:pPr>
                    <w:pStyle w:val="53"/>
                    <w:bidi w:val="0"/>
                    <w:rPr>
                      <w:rFonts w:hint="eastAsia"/>
                      <w:lang w:eastAsia="zh-CN"/>
                    </w:rPr>
                  </w:pPr>
                </w:p>
              </w:tc>
            </w:tr>
          </w:tbl>
          <w:p w14:paraId="29FADC40">
            <w:pPr>
              <w:pStyle w:val="54"/>
              <w:bidi w:val="0"/>
              <w:rPr>
                <w:rFonts w:hint="eastAsia"/>
                <w:lang w:val="en-US" w:eastAsia="zh-CN"/>
              </w:rPr>
            </w:pPr>
            <w:r>
              <w:rPr>
                <w:rFonts w:hint="eastAsia"/>
                <w:b/>
                <w:bCs/>
                <w:lang w:val="en-US" w:eastAsia="zh-CN"/>
              </w:rPr>
              <w:t>4、物料平衡</w:t>
            </w:r>
          </w:p>
          <w:p w14:paraId="7170C5EC">
            <w:pPr>
              <w:pStyle w:val="54"/>
              <w:bidi w:val="0"/>
              <w:rPr>
                <w:rFonts w:hint="eastAsia" w:ascii="Times New Roman" w:hAnsi="Times New Roman" w:cs="Times New Roman"/>
                <w:b w:val="0"/>
                <w:bCs/>
                <w:szCs w:val="24"/>
                <w:lang w:val="en-US" w:eastAsia="zh-CN"/>
              </w:rPr>
            </w:pPr>
            <w:r>
              <w:rPr>
                <w:rFonts w:hint="eastAsia"/>
                <w:lang w:val="en-US" w:eastAsia="zh-CN"/>
              </w:rPr>
              <w:t>本项目物料平衡表详见表17，物料平衡图详见图5。</w:t>
            </w:r>
          </w:p>
          <w:p w14:paraId="0AA54530">
            <w:pPr>
              <w:pStyle w:val="33"/>
              <w:bidi w:val="0"/>
              <w:rPr>
                <w:rFonts w:hint="eastAsia" w:ascii="Times New Roman" w:hAnsi="Times New Roman" w:cs="Times New Roman"/>
                <w:b w:val="0"/>
                <w:bCs/>
                <w:szCs w:val="24"/>
                <w:lang w:val="en-US" w:eastAsia="zh-CN"/>
              </w:rPr>
            </w:pPr>
            <w:r>
              <w:rPr>
                <w:rFonts w:hint="eastAsia"/>
                <w:lang w:val="en-US" w:eastAsia="zh-CN"/>
              </w:rPr>
              <w:t>表17    项目物料平衡表</w:t>
            </w:r>
          </w:p>
          <w:tbl>
            <w:tblPr>
              <w:tblStyle w:val="4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45"/>
              <w:gridCol w:w="2125"/>
              <w:gridCol w:w="1277"/>
              <w:gridCol w:w="2359"/>
              <w:gridCol w:w="1536"/>
            </w:tblGrid>
            <w:tr w14:paraId="06B4B0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06" w:type="pct"/>
                  <w:vMerge w:val="restart"/>
                  <w:tcBorders>
                    <w:tl2br w:val="nil"/>
                    <w:tr2bl w:val="nil"/>
                  </w:tcBorders>
                  <w:noWrap w:val="0"/>
                  <w:vAlign w:val="center"/>
                </w:tcPr>
                <w:p w14:paraId="6ABEBBE0">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2141" w:type="pct"/>
                  <w:gridSpan w:val="2"/>
                  <w:tcBorders>
                    <w:tl2br w:val="nil"/>
                    <w:tr2bl w:val="nil"/>
                  </w:tcBorders>
                  <w:noWrap w:val="0"/>
                  <w:vAlign w:val="center"/>
                </w:tcPr>
                <w:p w14:paraId="28090526">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投入</w:t>
                  </w:r>
                </w:p>
              </w:tc>
              <w:tc>
                <w:tcPr>
                  <w:tcW w:w="2452" w:type="pct"/>
                  <w:gridSpan w:val="2"/>
                  <w:vMerge w:val="restart"/>
                  <w:tcBorders>
                    <w:tl2br w:val="nil"/>
                    <w:tr2bl w:val="nil"/>
                  </w:tcBorders>
                  <w:noWrap w:val="0"/>
                  <w:vAlign w:val="center"/>
                </w:tcPr>
                <w:p w14:paraId="2DC19003">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产出（t/</w:t>
                  </w:r>
                  <w:r>
                    <w:rPr>
                      <w:rFonts w:hint="eastAsia" w:ascii="Times New Roman" w:cs="Times New Roman"/>
                      <w:sz w:val="21"/>
                      <w:szCs w:val="21"/>
                      <w:lang w:val="en-US" w:eastAsia="zh-CN"/>
                    </w:rPr>
                    <w:t>a</w:t>
                  </w:r>
                  <w:r>
                    <w:rPr>
                      <w:rFonts w:hint="default" w:ascii="Times New Roman" w:hAnsi="Times New Roman" w:eastAsia="宋体" w:cs="Times New Roman"/>
                      <w:sz w:val="21"/>
                      <w:szCs w:val="21"/>
                    </w:rPr>
                    <w:t>）</w:t>
                  </w:r>
                </w:p>
              </w:tc>
            </w:tr>
            <w:tr w14:paraId="275F57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06" w:type="pct"/>
                  <w:vMerge w:val="continue"/>
                  <w:tcBorders>
                    <w:tl2br w:val="nil"/>
                    <w:tr2bl w:val="nil"/>
                  </w:tcBorders>
                  <w:noWrap w:val="0"/>
                  <w:vAlign w:val="center"/>
                </w:tcPr>
                <w:p w14:paraId="004283CD">
                  <w:pPr>
                    <w:pStyle w:val="38"/>
                    <w:bidi w:val="0"/>
                    <w:rPr>
                      <w:rFonts w:hint="default" w:ascii="Times New Roman" w:hAnsi="Times New Roman" w:eastAsia="宋体" w:cs="Times New Roman"/>
                      <w:sz w:val="21"/>
                      <w:szCs w:val="21"/>
                    </w:rPr>
                  </w:pPr>
                </w:p>
              </w:tc>
              <w:tc>
                <w:tcPr>
                  <w:tcW w:w="1337" w:type="pct"/>
                  <w:tcBorders>
                    <w:tl2br w:val="nil"/>
                    <w:tr2bl w:val="nil"/>
                  </w:tcBorders>
                  <w:noWrap w:val="0"/>
                  <w:vAlign w:val="center"/>
                </w:tcPr>
                <w:p w14:paraId="10C77B7A">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原辅材料</w:t>
                  </w:r>
                </w:p>
              </w:tc>
              <w:tc>
                <w:tcPr>
                  <w:tcW w:w="803" w:type="pct"/>
                  <w:tcBorders>
                    <w:tl2br w:val="nil"/>
                    <w:tr2bl w:val="nil"/>
                  </w:tcBorders>
                  <w:noWrap w:val="0"/>
                  <w:vAlign w:val="center"/>
                </w:tcPr>
                <w:p w14:paraId="5EFCC768">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数量（t/</w:t>
                  </w:r>
                  <w:r>
                    <w:rPr>
                      <w:rFonts w:hint="eastAsia" w:ascii="Times New Roman" w:cs="Times New Roman"/>
                      <w:sz w:val="21"/>
                      <w:szCs w:val="21"/>
                      <w:lang w:val="en-US" w:eastAsia="zh-CN"/>
                    </w:rPr>
                    <w:t>a</w:t>
                  </w:r>
                  <w:r>
                    <w:rPr>
                      <w:rFonts w:hint="default" w:ascii="Times New Roman" w:hAnsi="Times New Roman" w:eastAsia="宋体" w:cs="Times New Roman"/>
                      <w:sz w:val="21"/>
                      <w:szCs w:val="21"/>
                    </w:rPr>
                    <w:t>）</w:t>
                  </w:r>
                </w:p>
              </w:tc>
              <w:tc>
                <w:tcPr>
                  <w:tcW w:w="2452" w:type="pct"/>
                  <w:gridSpan w:val="2"/>
                  <w:vMerge w:val="continue"/>
                  <w:tcBorders>
                    <w:tl2br w:val="nil"/>
                    <w:tr2bl w:val="nil"/>
                  </w:tcBorders>
                  <w:noWrap w:val="0"/>
                  <w:vAlign w:val="center"/>
                </w:tcPr>
                <w:p w14:paraId="5DAC2441">
                  <w:pPr>
                    <w:pStyle w:val="38"/>
                    <w:bidi w:val="0"/>
                    <w:rPr>
                      <w:rFonts w:hint="default" w:ascii="Times New Roman" w:hAnsi="Times New Roman" w:eastAsia="宋体" w:cs="Times New Roman"/>
                      <w:sz w:val="21"/>
                      <w:szCs w:val="21"/>
                    </w:rPr>
                  </w:pPr>
                </w:p>
              </w:tc>
            </w:tr>
            <w:tr w14:paraId="4BC632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06" w:type="pct"/>
                  <w:tcBorders>
                    <w:tl2br w:val="nil"/>
                    <w:tr2bl w:val="nil"/>
                  </w:tcBorders>
                  <w:noWrap w:val="0"/>
                  <w:vAlign w:val="center"/>
                </w:tcPr>
                <w:p w14:paraId="0EB6A73B">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337" w:type="pct"/>
                  <w:tcBorders>
                    <w:tl2br w:val="nil"/>
                    <w:tr2bl w:val="nil"/>
                  </w:tcBorders>
                  <w:noWrap w:val="0"/>
                  <w:vAlign w:val="center"/>
                </w:tcPr>
                <w:p w14:paraId="6A2837EE">
                  <w:pPr>
                    <w:pStyle w:val="53"/>
                    <w:bidi w:val="0"/>
                    <w:ind w:firstLine="0" w:firstLineChars="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水泥</w:t>
                  </w:r>
                </w:p>
              </w:tc>
              <w:tc>
                <w:tcPr>
                  <w:tcW w:w="803" w:type="pct"/>
                  <w:tcBorders>
                    <w:tl2br w:val="nil"/>
                    <w:tr2bl w:val="nil"/>
                  </w:tcBorders>
                  <w:noWrap w:val="0"/>
                  <w:vAlign w:val="center"/>
                </w:tcPr>
                <w:p w14:paraId="484306AC">
                  <w:pPr>
                    <w:pStyle w:val="53"/>
                    <w:bidi w:val="0"/>
                    <w:ind w:firstLine="0" w:firstLineChars="0"/>
                    <w:jc w:val="center"/>
                    <w:rPr>
                      <w:rFonts w:hint="default" w:ascii="Times New Roman" w:hAnsi="Times New Roman" w:eastAsia="宋体" w:cs="Times New Roman"/>
                      <w:sz w:val="21"/>
                      <w:szCs w:val="21"/>
                      <w:lang w:val="en-US" w:eastAsia="zh-CN"/>
                    </w:rPr>
                  </w:pPr>
                  <w:r>
                    <w:rPr>
                      <w:rFonts w:hint="default"/>
                      <w:color w:val="auto"/>
                      <w:lang w:val="en-US" w:eastAsia="zh-CN"/>
                    </w:rPr>
                    <w:t>18520</w:t>
                  </w:r>
                </w:p>
              </w:tc>
              <w:tc>
                <w:tcPr>
                  <w:tcW w:w="1485" w:type="pct"/>
                  <w:tcBorders>
                    <w:tl2br w:val="nil"/>
                    <w:tr2bl w:val="nil"/>
                  </w:tcBorders>
                  <w:noWrap w:val="0"/>
                  <w:vAlign w:val="center"/>
                </w:tcPr>
                <w:p w14:paraId="76BABDB8">
                  <w:pPr>
                    <w:pStyle w:val="38"/>
                    <w:bidi w:val="0"/>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除尘灰</w:t>
                  </w:r>
                </w:p>
              </w:tc>
              <w:tc>
                <w:tcPr>
                  <w:tcW w:w="967" w:type="pct"/>
                  <w:tcBorders>
                    <w:tl2br w:val="nil"/>
                    <w:tr2bl w:val="nil"/>
                  </w:tcBorders>
                  <w:noWrap w:val="0"/>
                  <w:vAlign w:val="center"/>
                </w:tcPr>
                <w:p w14:paraId="7D4CE89D">
                  <w:pPr>
                    <w:pStyle w:val="38"/>
                    <w:bidi w:val="0"/>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lang w:val="en-US"/>
                    </w:rPr>
                    <w:t>2.213</w:t>
                  </w:r>
                </w:p>
              </w:tc>
            </w:tr>
            <w:tr w14:paraId="42D2F2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06" w:type="pct"/>
                  <w:tcBorders>
                    <w:tl2br w:val="nil"/>
                    <w:tr2bl w:val="nil"/>
                  </w:tcBorders>
                  <w:noWrap w:val="0"/>
                  <w:vAlign w:val="center"/>
                </w:tcPr>
                <w:p w14:paraId="133ED89D">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337" w:type="pct"/>
                  <w:tcBorders>
                    <w:tl2br w:val="nil"/>
                    <w:tr2bl w:val="nil"/>
                  </w:tcBorders>
                  <w:noWrap w:val="0"/>
                  <w:vAlign w:val="center"/>
                </w:tcPr>
                <w:p w14:paraId="79626BAA">
                  <w:pPr>
                    <w:pStyle w:val="53"/>
                    <w:bidi w:val="0"/>
                    <w:ind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石屑（0-4.75mm）</w:t>
                  </w:r>
                </w:p>
              </w:tc>
              <w:tc>
                <w:tcPr>
                  <w:tcW w:w="803" w:type="pct"/>
                  <w:tcBorders>
                    <w:tl2br w:val="nil"/>
                    <w:tr2bl w:val="nil"/>
                  </w:tcBorders>
                  <w:noWrap w:val="0"/>
                  <w:vAlign w:val="center"/>
                </w:tcPr>
                <w:p w14:paraId="19641099">
                  <w:pPr>
                    <w:pStyle w:val="53"/>
                    <w:bidi w:val="0"/>
                    <w:ind w:firstLine="0" w:firstLineChars="0"/>
                    <w:jc w:val="center"/>
                    <w:rPr>
                      <w:rFonts w:hint="default" w:ascii="Times New Roman" w:hAnsi="Times New Roman" w:eastAsia="宋体" w:cs="Times New Roman"/>
                      <w:sz w:val="21"/>
                      <w:szCs w:val="21"/>
                      <w:lang w:val="en-US" w:eastAsia="zh-CN"/>
                    </w:rPr>
                  </w:pPr>
                  <w:r>
                    <w:rPr>
                      <w:rFonts w:hint="default"/>
                      <w:color w:val="auto"/>
                      <w:lang w:val="en-US" w:eastAsia="zh-CN"/>
                    </w:rPr>
                    <w:t>185200</w:t>
                  </w:r>
                </w:p>
              </w:tc>
              <w:tc>
                <w:tcPr>
                  <w:tcW w:w="1485" w:type="pct"/>
                  <w:tcBorders>
                    <w:tl2br w:val="nil"/>
                    <w:tr2bl w:val="nil"/>
                  </w:tcBorders>
                  <w:shd w:val="clear" w:color="auto" w:fill="auto"/>
                  <w:noWrap w:val="0"/>
                  <w:vAlign w:val="center"/>
                </w:tcPr>
                <w:p w14:paraId="2F7D49C1">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沉降粉尘</w:t>
                  </w:r>
                </w:p>
              </w:tc>
              <w:tc>
                <w:tcPr>
                  <w:tcW w:w="967" w:type="pct"/>
                  <w:tcBorders>
                    <w:tl2br w:val="nil"/>
                    <w:tr2bl w:val="nil"/>
                  </w:tcBorders>
                  <w:shd w:val="clear" w:color="auto" w:fill="auto"/>
                  <w:noWrap w:val="0"/>
                  <w:vAlign w:val="center"/>
                </w:tcPr>
                <w:p w14:paraId="0844B35F">
                  <w:pPr>
                    <w:pStyle w:val="38"/>
                    <w:bidi w:val="0"/>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518.58</w:t>
                  </w:r>
                </w:p>
              </w:tc>
            </w:tr>
            <w:tr w14:paraId="5F9C36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06" w:type="pct"/>
                  <w:tcBorders>
                    <w:tl2br w:val="nil"/>
                    <w:tr2bl w:val="nil"/>
                  </w:tcBorders>
                  <w:noWrap w:val="0"/>
                  <w:vAlign w:val="center"/>
                </w:tcPr>
                <w:p w14:paraId="759A2688">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337" w:type="pct"/>
                  <w:tcBorders>
                    <w:tl2br w:val="nil"/>
                    <w:tr2bl w:val="nil"/>
                  </w:tcBorders>
                  <w:noWrap w:val="0"/>
                  <w:vAlign w:val="center"/>
                </w:tcPr>
                <w:p w14:paraId="512059E5">
                  <w:pPr>
                    <w:pStyle w:val="53"/>
                    <w:bidi w:val="0"/>
                    <w:ind w:firstLine="0" w:firstLineChars="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碎石（4.75-9.5mm）</w:t>
                  </w:r>
                </w:p>
              </w:tc>
              <w:tc>
                <w:tcPr>
                  <w:tcW w:w="803" w:type="pct"/>
                  <w:tcBorders>
                    <w:tl2br w:val="nil"/>
                    <w:tr2bl w:val="nil"/>
                  </w:tcBorders>
                  <w:noWrap w:val="0"/>
                  <w:vAlign w:val="center"/>
                </w:tcPr>
                <w:p w14:paraId="711AADB6">
                  <w:pPr>
                    <w:pStyle w:val="53"/>
                    <w:bidi w:val="0"/>
                    <w:ind w:firstLine="0" w:firstLineChars="0"/>
                    <w:jc w:val="center"/>
                    <w:rPr>
                      <w:rFonts w:hint="default" w:ascii="Times New Roman" w:hAnsi="Times New Roman" w:eastAsia="宋体" w:cs="Times New Roman"/>
                      <w:sz w:val="21"/>
                      <w:szCs w:val="21"/>
                      <w:lang w:val="en-US" w:eastAsia="zh-CN"/>
                    </w:rPr>
                  </w:pPr>
                  <w:r>
                    <w:rPr>
                      <w:rFonts w:hint="default"/>
                      <w:color w:val="auto"/>
                      <w:lang w:val="en-US" w:eastAsia="zh-CN"/>
                    </w:rPr>
                    <w:t>69450</w:t>
                  </w:r>
                </w:p>
              </w:tc>
              <w:tc>
                <w:tcPr>
                  <w:tcW w:w="1485" w:type="pct"/>
                  <w:tcBorders>
                    <w:tl2br w:val="nil"/>
                    <w:tr2bl w:val="nil"/>
                  </w:tcBorders>
                  <w:shd w:val="clear" w:color="auto" w:fill="auto"/>
                  <w:noWrap w:val="0"/>
                  <w:vAlign w:val="center"/>
                </w:tcPr>
                <w:p w14:paraId="0A105037">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sz w:val="21"/>
                      <w:szCs w:val="21"/>
                      <w:lang w:val="en-US" w:eastAsia="zh-CN"/>
                    </w:rPr>
                    <w:t>无组织排放粉尘</w:t>
                  </w:r>
                </w:p>
              </w:tc>
              <w:tc>
                <w:tcPr>
                  <w:tcW w:w="967" w:type="pct"/>
                  <w:tcBorders>
                    <w:tl2br w:val="nil"/>
                    <w:tr2bl w:val="nil"/>
                  </w:tcBorders>
                  <w:shd w:val="clear" w:color="auto" w:fill="auto"/>
                  <w:noWrap w:val="0"/>
                  <w:vAlign w:val="center"/>
                </w:tcPr>
                <w:p w14:paraId="55DE21CC">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1.597</w:t>
                  </w:r>
                </w:p>
              </w:tc>
            </w:tr>
            <w:tr w14:paraId="30F0F6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06" w:type="pct"/>
                  <w:tcBorders>
                    <w:tl2br w:val="nil"/>
                    <w:tr2bl w:val="nil"/>
                  </w:tcBorders>
                  <w:noWrap w:val="0"/>
                  <w:vAlign w:val="center"/>
                </w:tcPr>
                <w:p w14:paraId="0B4CA4AC">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337" w:type="pct"/>
                  <w:tcBorders>
                    <w:tl2br w:val="nil"/>
                    <w:tr2bl w:val="nil"/>
                  </w:tcBorders>
                  <w:noWrap w:val="0"/>
                  <w:vAlign w:val="center"/>
                </w:tcPr>
                <w:p w14:paraId="2178E3F4">
                  <w:pPr>
                    <w:pStyle w:val="53"/>
                    <w:bidi w:val="0"/>
                    <w:ind w:firstLine="0" w:firstLineChars="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碎石（</w:t>
                  </w:r>
                  <w:r>
                    <w:rPr>
                      <w:rFonts w:hint="eastAsia"/>
                      <w:color w:val="auto"/>
                      <w:lang w:val="en-US" w:eastAsia="zh-CN"/>
                    </w:rPr>
                    <w:t>9.5-19mm</w:t>
                  </w:r>
                  <w:r>
                    <w:rPr>
                      <w:rFonts w:hint="eastAsia" w:cs="Times New Roman"/>
                      <w:sz w:val="21"/>
                      <w:szCs w:val="21"/>
                      <w:lang w:val="en-US" w:eastAsia="zh-CN"/>
                    </w:rPr>
                    <w:t>）</w:t>
                  </w:r>
                </w:p>
              </w:tc>
              <w:tc>
                <w:tcPr>
                  <w:tcW w:w="803" w:type="pct"/>
                  <w:tcBorders>
                    <w:tl2br w:val="nil"/>
                    <w:tr2bl w:val="nil"/>
                  </w:tcBorders>
                  <w:noWrap w:val="0"/>
                  <w:vAlign w:val="center"/>
                </w:tcPr>
                <w:p w14:paraId="3AEF53F9">
                  <w:pPr>
                    <w:pStyle w:val="53"/>
                    <w:bidi w:val="0"/>
                    <w:ind w:firstLine="0" w:firstLineChars="0"/>
                    <w:jc w:val="center"/>
                    <w:rPr>
                      <w:rFonts w:hint="default" w:ascii="Times New Roman" w:hAnsi="Times New Roman" w:eastAsia="宋体" w:cs="Times New Roman"/>
                      <w:sz w:val="21"/>
                      <w:szCs w:val="21"/>
                      <w:lang w:val="en-US" w:eastAsia="zh-CN"/>
                    </w:rPr>
                  </w:pPr>
                  <w:r>
                    <w:rPr>
                      <w:rFonts w:hint="default"/>
                      <w:color w:val="auto"/>
                      <w:lang w:val="en-US" w:eastAsia="zh-CN"/>
                    </w:rPr>
                    <w:t>92600</w:t>
                  </w:r>
                </w:p>
              </w:tc>
              <w:tc>
                <w:tcPr>
                  <w:tcW w:w="1485" w:type="pct"/>
                  <w:tcBorders>
                    <w:tl2br w:val="nil"/>
                    <w:tr2bl w:val="nil"/>
                  </w:tcBorders>
                  <w:shd w:val="clear" w:color="auto" w:fill="auto"/>
                  <w:noWrap w:val="0"/>
                  <w:vAlign w:val="center"/>
                </w:tcPr>
                <w:p w14:paraId="2A441D77">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沉淀池泥砂</w:t>
                  </w:r>
                </w:p>
              </w:tc>
              <w:tc>
                <w:tcPr>
                  <w:tcW w:w="967" w:type="pct"/>
                  <w:tcBorders>
                    <w:tl2br w:val="nil"/>
                    <w:tr2bl w:val="nil"/>
                  </w:tcBorders>
                  <w:shd w:val="clear" w:color="auto" w:fill="auto"/>
                  <w:noWrap w:val="0"/>
                  <w:vAlign w:val="center"/>
                </w:tcPr>
                <w:p w14:paraId="187FE1A9">
                  <w:pPr>
                    <w:pStyle w:val="38"/>
                    <w:bidi w:val="0"/>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lang w:val="en-US" w:eastAsia="zh-CN"/>
                    </w:rPr>
                    <w:t>58.5</w:t>
                  </w:r>
                </w:p>
              </w:tc>
            </w:tr>
            <w:tr w14:paraId="45416F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06" w:type="pct"/>
                  <w:tcBorders>
                    <w:tl2br w:val="nil"/>
                    <w:tr2bl w:val="nil"/>
                  </w:tcBorders>
                  <w:noWrap w:val="0"/>
                  <w:vAlign w:val="center"/>
                </w:tcPr>
                <w:p w14:paraId="199762EA">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337" w:type="pct"/>
                  <w:tcBorders>
                    <w:tl2br w:val="nil"/>
                    <w:tr2bl w:val="nil"/>
                  </w:tcBorders>
                  <w:noWrap w:val="0"/>
                  <w:vAlign w:val="center"/>
                </w:tcPr>
                <w:p w14:paraId="4505AB20">
                  <w:pPr>
                    <w:pStyle w:val="53"/>
                    <w:bidi w:val="0"/>
                    <w:ind w:firstLine="0" w:firstLineChars="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碎石（19-31.5mm）</w:t>
                  </w:r>
                </w:p>
              </w:tc>
              <w:tc>
                <w:tcPr>
                  <w:tcW w:w="803" w:type="pct"/>
                  <w:tcBorders>
                    <w:tl2br w:val="nil"/>
                    <w:tr2bl w:val="nil"/>
                  </w:tcBorders>
                  <w:noWrap w:val="0"/>
                  <w:vAlign w:val="center"/>
                </w:tcPr>
                <w:p w14:paraId="0E785BFA">
                  <w:pPr>
                    <w:pStyle w:val="53"/>
                    <w:bidi w:val="0"/>
                    <w:ind w:firstLine="0" w:firstLineChars="0"/>
                    <w:jc w:val="center"/>
                    <w:rPr>
                      <w:rFonts w:hint="default" w:ascii="Times New Roman" w:hAnsi="Times New Roman" w:eastAsia="宋体" w:cs="Times New Roman"/>
                      <w:sz w:val="21"/>
                      <w:szCs w:val="21"/>
                      <w:lang w:val="en-US" w:eastAsia="zh-CN"/>
                    </w:rPr>
                  </w:pPr>
                  <w:r>
                    <w:rPr>
                      <w:rFonts w:hint="default"/>
                      <w:color w:val="auto"/>
                      <w:lang w:val="en-US" w:eastAsia="zh-CN"/>
                    </w:rPr>
                    <w:t>115750</w:t>
                  </w:r>
                </w:p>
              </w:tc>
              <w:tc>
                <w:tcPr>
                  <w:tcW w:w="1485" w:type="pct"/>
                  <w:tcBorders>
                    <w:tl2br w:val="nil"/>
                    <w:tr2bl w:val="nil"/>
                  </w:tcBorders>
                  <w:noWrap w:val="0"/>
                  <w:vAlign w:val="center"/>
                </w:tcPr>
                <w:p w14:paraId="6B0C6E35">
                  <w:pPr>
                    <w:pStyle w:val="38"/>
                    <w:bidi w:val="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混凝土</w:t>
                  </w:r>
                </w:p>
              </w:tc>
              <w:tc>
                <w:tcPr>
                  <w:tcW w:w="967" w:type="pct"/>
                  <w:tcBorders>
                    <w:tl2br w:val="nil"/>
                    <w:tr2bl w:val="nil"/>
                  </w:tcBorders>
                  <w:noWrap w:val="0"/>
                  <w:vAlign w:val="center"/>
                </w:tcPr>
                <w:p w14:paraId="6A4CDCF9">
                  <w:pPr>
                    <w:pStyle w:val="38"/>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504039.11</w:t>
                  </w:r>
                </w:p>
              </w:tc>
            </w:tr>
            <w:tr w14:paraId="78B4F9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06" w:type="pct"/>
                  <w:tcBorders>
                    <w:tl2br w:val="nil"/>
                    <w:tr2bl w:val="nil"/>
                  </w:tcBorders>
                  <w:noWrap w:val="0"/>
                  <w:vAlign w:val="center"/>
                </w:tcPr>
                <w:p w14:paraId="0CF8490C">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337" w:type="pct"/>
                  <w:tcBorders>
                    <w:tl2br w:val="nil"/>
                    <w:tr2bl w:val="nil"/>
                  </w:tcBorders>
                  <w:noWrap w:val="0"/>
                  <w:vAlign w:val="center"/>
                </w:tcPr>
                <w:p w14:paraId="3550352F">
                  <w:pPr>
                    <w:pStyle w:val="53"/>
                    <w:bidi w:val="0"/>
                    <w:ind w:firstLine="0" w:firstLineChars="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水</w:t>
                  </w:r>
                </w:p>
              </w:tc>
              <w:tc>
                <w:tcPr>
                  <w:tcW w:w="803" w:type="pct"/>
                  <w:tcBorders>
                    <w:tl2br w:val="nil"/>
                    <w:tr2bl w:val="nil"/>
                  </w:tcBorders>
                  <w:noWrap w:val="0"/>
                  <w:vAlign w:val="center"/>
                </w:tcPr>
                <w:p w14:paraId="6C66BC50">
                  <w:pPr>
                    <w:pStyle w:val="53"/>
                    <w:bidi w:val="0"/>
                    <w:ind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23100</w:t>
                  </w:r>
                </w:p>
              </w:tc>
              <w:tc>
                <w:tcPr>
                  <w:tcW w:w="1485" w:type="pct"/>
                  <w:tcBorders>
                    <w:tl2br w:val="nil"/>
                    <w:tr2bl w:val="nil"/>
                  </w:tcBorders>
                  <w:noWrap w:val="0"/>
                  <w:vAlign w:val="center"/>
                </w:tcPr>
                <w:p w14:paraId="064C95D5">
                  <w:pPr>
                    <w:pStyle w:val="38"/>
                    <w:bidi w:val="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w:t>
                  </w:r>
                </w:p>
              </w:tc>
              <w:tc>
                <w:tcPr>
                  <w:tcW w:w="967" w:type="pct"/>
                  <w:tcBorders>
                    <w:tl2br w:val="nil"/>
                    <w:tr2bl w:val="nil"/>
                  </w:tcBorders>
                  <w:noWrap w:val="0"/>
                  <w:vAlign w:val="center"/>
                </w:tcPr>
                <w:p w14:paraId="486B3410">
                  <w:pPr>
                    <w:pStyle w:val="38"/>
                    <w:bidi w:val="0"/>
                    <w:rPr>
                      <w:rFonts w:hint="default" w:ascii="Times New Roman" w:hAnsi="Times New Roman" w:eastAsia="宋体" w:cs="Times New Roman"/>
                      <w:sz w:val="21"/>
                      <w:szCs w:val="21"/>
                      <w:lang w:val="en-US" w:eastAsia="zh-CN"/>
                    </w:rPr>
                  </w:pPr>
                  <w:r>
                    <w:rPr>
                      <w:rFonts w:hint="eastAsia" w:ascii="Times New Roman" w:cs="Times New Roman"/>
                      <w:sz w:val="21"/>
                      <w:szCs w:val="21"/>
                      <w:lang w:val="en-US" w:eastAsia="zh-CN"/>
                    </w:rPr>
                    <w:t>/</w:t>
                  </w:r>
                </w:p>
              </w:tc>
            </w:tr>
            <w:tr w14:paraId="2ABF1B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406" w:type="pct"/>
                  <w:tcBorders>
                    <w:tl2br w:val="nil"/>
                    <w:tr2bl w:val="nil"/>
                  </w:tcBorders>
                  <w:noWrap w:val="0"/>
                  <w:vAlign w:val="center"/>
                </w:tcPr>
                <w:p w14:paraId="1EEA997B">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合计</w:t>
                  </w:r>
                </w:p>
              </w:tc>
              <w:tc>
                <w:tcPr>
                  <w:tcW w:w="1337" w:type="pct"/>
                  <w:tcBorders>
                    <w:tl2br w:val="nil"/>
                    <w:tr2bl w:val="nil"/>
                  </w:tcBorders>
                  <w:noWrap w:val="0"/>
                  <w:vAlign w:val="center"/>
                </w:tcPr>
                <w:p w14:paraId="0B99CF21">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803" w:type="pct"/>
                  <w:tcBorders>
                    <w:tl2br w:val="nil"/>
                    <w:tr2bl w:val="nil"/>
                  </w:tcBorders>
                  <w:noWrap w:val="0"/>
                  <w:vAlign w:val="center"/>
                </w:tcPr>
                <w:p w14:paraId="2BAA8D57">
                  <w:pPr>
                    <w:pStyle w:val="38"/>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504620</w:t>
                  </w:r>
                </w:p>
              </w:tc>
              <w:tc>
                <w:tcPr>
                  <w:tcW w:w="1485" w:type="pct"/>
                  <w:tcBorders>
                    <w:tl2br w:val="nil"/>
                    <w:tr2bl w:val="nil"/>
                  </w:tcBorders>
                  <w:noWrap w:val="0"/>
                  <w:vAlign w:val="center"/>
                </w:tcPr>
                <w:p w14:paraId="5AAA9DA7">
                  <w:pPr>
                    <w:pStyle w:val="38"/>
                    <w:bidi w:val="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967" w:type="pct"/>
                  <w:tcBorders>
                    <w:tl2br w:val="nil"/>
                    <w:tr2bl w:val="nil"/>
                  </w:tcBorders>
                  <w:noWrap w:val="0"/>
                  <w:vAlign w:val="center"/>
                </w:tcPr>
                <w:p w14:paraId="2C8E6544">
                  <w:pPr>
                    <w:pStyle w:val="38"/>
                    <w:bidi w:val="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504620</w:t>
                  </w:r>
                </w:p>
              </w:tc>
            </w:tr>
          </w:tbl>
          <w:p w14:paraId="5D91DC3D">
            <w:pPr>
              <w:pStyle w:val="33"/>
              <w:bidi w:val="0"/>
              <w:rPr>
                <w:rFonts w:hint="eastAsia"/>
                <w:lang w:val="en-US" w:eastAsia="zh-CN"/>
              </w:rPr>
            </w:pPr>
            <w:r>
              <w:rPr>
                <w:rFonts w:hint="eastAsia"/>
                <w:lang w:val="en-US" w:eastAsia="zh-CN"/>
              </w:rPr>
              <w:object>
                <v:shape id="_x0000_i1027" o:spt="75" type="#_x0000_t75" style="height:173.15pt;width:397pt;" o:ole="t" filled="f" o:preferrelative="t" stroked="f" coordsize="21600,21600">
                  <v:path/>
                  <v:fill on="f" focussize="0,0"/>
                  <v:stroke on="f"/>
                  <v:imagedata r:id="rId25" o:title=""/>
                  <o:lock v:ext="edit" aspectratio="f"/>
                  <w10:wrap type="none"/>
                  <w10:anchorlock/>
                </v:shape>
                <o:OLEObject Type="Embed" ProgID="Visio.Drawing.11" ShapeID="_x0000_i1027" DrawAspect="Content" ObjectID="_1468075727" r:id="rId24">
                  <o:LockedField>false</o:LockedField>
                </o:OLEObject>
              </w:object>
            </w:r>
          </w:p>
          <w:p w14:paraId="79BD4A4F">
            <w:pPr>
              <w:pStyle w:val="33"/>
              <w:bidi w:val="0"/>
              <w:rPr>
                <w:rFonts w:hint="default"/>
                <w:lang w:val="en-US" w:eastAsia="zh-CN"/>
              </w:rPr>
            </w:pPr>
            <w:r>
              <w:rPr>
                <w:rFonts w:hint="eastAsia"/>
                <w:lang w:val="en-US" w:eastAsia="zh-CN"/>
              </w:rPr>
              <w:t>图5    物料平衡图 单位：t/a</w:t>
            </w:r>
          </w:p>
        </w:tc>
      </w:tr>
      <w:tr w14:paraId="3AAB9A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14:paraId="0AFDEA99">
            <w:pPr>
              <w:pStyle w:val="13"/>
              <w:adjustRightInd w:val="0"/>
              <w:snapToGrid w:val="0"/>
              <w:spacing w:before="0" w:beforeAutospacing="0" w:after="0" w:afterAutospacing="0"/>
              <w:jc w:val="center"/>
              <w:rPr>
                <w:rFonts w:cs="宋体"/>
                <w:sz w:val="24"/>
                <w:szCs w:val="24"/>
              </w:rPr>
            </w:pPr>
            <w:r>
              <w:rPr>
                <w:rFonts w:hint="eastAsia" w:cs="宋体"/>
                <w:bCs/>
                <w:kern w:val="2"/>
                <w:sz w:val="24"/>
                <w:szCs w:val="24"/>
              </w:rPr>
              <w:t>与项目有关的原有环境污染问题</w:t>
            </w:r>
          </w:p>
        </w:tc>
        <w:tc>
          <w:tcPr>
            <w:tcW w:w="8161" w:type="dxa"/>
            <w:noWrap w:val="0"/>
            <w:vAlign w:val="top"/>
          </w:tcPr>
          <w:p w14:paraId="4B8C0291">
            <w:pPr>
              <w:pStyle w:val="54"/>
              <w:bidi w:val="0"/>
              <w:rPr>
                <w:rFonts w:hint="default" w:eastAsia="宋体"/>
                <w:lang w:val="en-US" w:eastAsia="zh-CN"/>
              </w:rPr>
            </w:pPr>
            <w:r>
              <w:rPr>
                <w:rFonts w:hint="eastAsia"/>
                <w:lang w:val="en-US" w:eastAsia="zh-CN"/>
              </w:rPr>
              <w:t>2</w:t>
            </w:r>
            <w:r>
              <w:rPr>
                <w:rFonts w:hint="eastAsia"/>
              </w:rPr>
              <w:t>025年4月前，本项目已建成1座办公生活区、1座地磅房、1座门房、1座拌合</w:t>
            </w:r>
            <w:r>
              <w:rPr>
                <w:rFonts w:hint="eastAsia"/>
                <w:lang w:val="en-US" w:eastAsia="zh-CN"/>
              </w:rPr>
              <w:t>车间</w:t>
            </w:r>
            <w:r>
              <w:rPr>
                <w:rFonts w:hint="eastAsia"/>
              </w:rPr>
              <w:t>、2个密闭水泥筒仓以及相关计量、输送设施等。2025年5月，巴彦淖尔市生态环境局出具了《巴彦淖尔市生态环境局行政处罚事先告知书》对本项目未批先建的违法行为进行了处罚，即处罚款人民币壹万陆仟叁佰肆拾玖元</w:t>
            </w:r>
            <w:r>
              <w:rPr>
                <w:rFonts w:hint="eastAsia"/>
                <w:lang w:eastAsia="zh-CN"/>
              </w:rPr>
              <w:t>（</w:t>
            </w:r>
            <w:r>
              <w:rPr>
                <w:rFonts w:hint="eastAsia"/>
              </w:rPr>
              <w:t>16349.00元</w:t>
            </w:r>
            <w:r>
              <w:rPr>
                <w:rFonts w:hint="eastAsia"/>
                <w:lang w:eastAsia="zh-CN"/>
              </w:rPr>
              <w:t>），</w:t>
            </w:r>
            <w:r>
              <w:rPr>
                <w:rFonts w:hint="eastAsia"/>
              </w:rPr>
              <w:t>建设单位按规定缴纳了罚款。</w:t>
            </w:r>
            <w:r>
              <w:rPr>
                <w:rFonts w:hint="eastAsia"/>
                <w:lang w:eastAsia="zh-CN"/>
              </w:rPr>
              <w:t>《</w:t>
            </w:r>
            <w:r>
              <w:rPr>
                <w:rFonts w:hint="eastAsia"/>
              </w:rPr>
              <w:t>巴彦淖尔市生态环境局行政处罚事先告知书</w:t>
            </w:r>
            <w:r>
              <w:rPr>
                <w:rFonts w:hint="eastAsia"/>
                <w:lang w:eastAsia="zh-CN"/>
              </w:rPr>
              <w:t>》（巴环（6）罚听告字</w:t>
            </w:r>
            <w:r>
              <w:rPr>
                <w:rFonts w:hint="eastAsia"/>
                <w:lang w:val="en-US" w:eastAsia="zh-CN"/>
              </w:rPr>
              <w:t>[</w:t>
            </w:r>
            <w:r>
              <w:rPr>
                <w:rFonts w:hint="eastAsia"/>
                <w:lang w:eastAsia="zh-CN"/>
              </w:rPr>
              <w:t>2025</w:t>
            </w:r>
            <w:r>
              <w:rPr>
                <w:rFonts w:hint="eastAsia"/>
                <w:lang w:val="en-US" w:eastAsia="zh-CN"/>
              </w:rPr>
              <w:t>]</w:t>
            </w:r>
            <w:r>
              <w:rPr>
                <w:rFonts w:hint="eastAsia"/>
                <w:lang w:eastAsia="zh-CN"/>
              </w:rPr>
              <w:t>2号）</w:t>
            </w:r>
            <w:r>
              <w:rPr>
                <w:rFonts w:hint="eastAsia"/>
                <w:lang w:val="en-US" w:eastAsia="zh-CN"/>
              </w:rPr>
              <w:t>见附件9。</w:t>
            </w:r>
          </w:p>
          <w:p w14:paraId="16D801C3">
            <w:pPr>
              <w:pStyle w:val="54"/>
              <w:bidi w:val="0"/>
              <w:rPr>
                <w:rFonts w:hint="eastAsia"/>
                <w:lang w:val="en-US" w:eastAsia="zh-CN"/>
              </w:rPr>
            </w:pPr>
            <w:r>
              <w:rPr>
                <w:rFonts w:hint="eastAsia"/>
                <w:lang w:val="en-US" w:eastAsia="zh-CN"/>
              </w:rPr>
              <w:t>项目</w:t>
            </w:r>
            <w:r>
              <w:rPr>
                <w:rFonts w:hint="eastAsia"/>
              </w:rPr>
              <w:t>存在环境问题及整改措施</w:t>
            </w:r>
            <w:r>
              <w:rPr>
                <w:rFonts w:hint="eastAsia"/>
                <w:lang w:eastAsia="zh-CN"/>
              </w:rPr>
              <w:t>：</w:t>
            </w:r>
          </w:p>
          <w:p w14:paraId="10956BB7">
            <w:pPr>
              <w:pStyle w:val="54"/>
              <w:numPr>
                <w:ilvl w:val="0"/>
                <w:numId w:val="0"/>
              </w:numPr>
              <w:bidi w:val="0"/>
              <w:ind w:firstLine="480" w:firstLineChars="200"/>
              <w:rPr>
                <w:rFonts w:hint="eastAsia"/>
                <w:lang w:val="en-US" w:eastAsia="zh-CN"/>
              </w:rPr>
            </w:pPr>
            <w:r>
              <w:rPr>
                <w:rFonts w:hint="eastAsia" w:cs="Times New Roman"/>
                <w:kern w:val="2"/>
                <w:sz w:val="24"/>
                <w:szCs w:val="24"/>
                <w:lang w:val="en-US" w:eastAsia="zh-CN" w:bidi="ar-SA"/>
              </w:rPr>
              <w:t>1</w:t>
            </w:r>
            <w:r>
              <w:rPr>
                <w:rFonts w:hint="eastAsia" w:ascii="Times New Roman" w:hAnsi="Times New Roman" w:eastAsia="宋体" w:cs="Times New Roman"/>
                <w:kern w:val="2"/>
                <w:sz w:val="24"/>
                <w:szCs w:val="24"/>
                <w:lang w:val="en-US" w:eastAsia="zh-CN" w:bidi="ar-SA"/>
              </w:rPr>
              <w:t>）</w:t>
            </w:r>
            <w:r>
              <w:rPr>
                <w:rFonts w:hint="eastAsia"/>
                <w:lang w:val="en-US" w:eastAsia="zh-CN"/>
              </w:rPr>
              <w:t>已建项目全厂未进行硬化措施</w:t>
            </w:r>
          </w:p>
          <w:p w14:paraId="34C4105C">
            <w:pPr>
              <w:pStyle w:val="54"/>
              <w:bidi w:val="0"/>
              <w:rPr>
                <w:rFonts w:hint="eastAsia"/>
                <w:lang w:val="en-US" w:eastAsia="zh-CN"/>
              </w:rPr>
            </w:pPr>
            <w:r>
              <w:rPr>
                <w:rFonts w:hint="eastAsia"/>
                <w:lang w:val="en-US" w:eastAsia="zh-CN"/>
              </w:rPr>
              <w:t>整改措施：要求建设单位全厂采取混凝土硬化措施。</w:t>
            </w:r>
          </w:p>
          <w:p w14:paraId="25CBBBBA">
            <w:pPr>
              <w:pStyle w:val="54"/>
              <w:numPr>
                <w:ilvl w:val="0"/>
                <w:numId w:val="0"/>
              </w:numPr>
              <w:bidi w:val="0"/>
              <w:ind w:firstLine="480" w:firstLineChars="200"/>
              <w:rPr>
                <w:rFonts w:hint="eastAsia"/>
                <w:lang w:val="en-US" w:eastAsia="zh-CN"/>
              </w:rPr>
            </w:pPr>
            <w:r>
              <w:rPr>
                <w:rFonts w:hint="eastAsia"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w:t>
            </w:r>
            <w:r>
              <w:rPr>
                <w:rFonts w:hint="eastAsia"/>
                <w:lang w:val="en-US" w:eastAsia="zh-CN"/>
              </w:rPr>
              <w:t>已建项目原料露天堆放（有苫盖），但未存放至全封闭骨料仓。</w:t>
            </w:r>
          </w:p>
          <w:p w14:paraId="513058A8">
            <w:pPr>
              <w:pStyle w:val="54"/>
              <w:bidi w:val="0"/>
              <w:rPr>
                <w:rFonts w:hint="eastAsia"/>
                <w:lang w:val="en-US" w:eastAsia="zh-CN"/>
              </w:rPr>
            </w:pPr>
            <w:r>
              <w:rPr>
                <w:rFonts w:hint="eastAsia"/>
                <w:lang w:val="en-US" w:eastAsia="zh-CN"/>
              </w:rPr>
              <w:t>整改措施：要求建设单位</w:t>
            </w:r>
            <w:r>
              <w:rPr>
                <w:rFonts w:hint="default"/>
                <w:lang w:val="en-US" w:eastAsia="zh-CN"/>
              </w:rPr>
              <w:t>新建</w:t>
            </w:r>
            <w:r>
              <w:rPr>
                <w:rFonts w:hint="eastAsia"/>
                <w:lang w:val="en-US" w:eastAsia="zh-CN"/>
              </w:rPr>
              <w:t>1</w:t>
            </w:r>
            <w:r>
              <w:rPr>
                <w:rFonts w:hint="default"/>
                <w:lang w:val="en-US" w:eastAsia="zh-CN"/>
              </w:rPr>
              <w:t>座全封闭骨料仓</w:t>
            </w:r>
            <w:r>
              <w:rPr>
                <w:rFonts w:hint="eastAsia"/>
                <w:lang w:val="en-US" w:eastAsia="zh-CN"/>
              </w:rPr>
              <w:t>，将现有露天堆放原料全部入仓，并分区堆放。</w:t>
            </w:r>
          </w:p>
          <w:p w14:paraId="32DB8688">
            <w:pPr>
              <w:pStyle w:val="54"/>
              <w:numPr>
                <w:ilvl w:val="0"/>
                <w:numId w:val="0"/>
              </w:numPr>
              <w:bidi w:val="0"/>
              <w:ind w:firstLine="480" w:firstLineChars="200"/>
              <w:rPr>
                <w:rFonts w:hint="eastAsia"/>
                <w:lang w:val="en-US" w:eastAsia="zh-CN"/>
              </w:rPr>
            </w:pPr>
            <w:r>
              <w:rPr>
                <w:rFonts w:hint="eastAsia" w:cs="Times New Roman"/>
                <w:kern w:val="2"/>
                <w:sz w:val="24"/>
                <w:szCs w:val="24"/>
                <w:lang w:val="en-US" w:eastAsia="zh-CN" w:bidi="ar-SA"/>
              </w:rPr>
              <w:t>3</w:t>
            </w:r>
            <w:r>
              <w:rPr>
                <w:rFonts w:hint="eastAsia" w:ascii="Times New Roman" w:hAnsi="Times New Roman" w:eastAsia="宋体" w:cs="Times New Roman"/>
                <w:kern w:val="2"/>
                <w:sz w:val="24"/>
                <w:szCs w:val="24"/>
                <w:lang w:val="en-US" w:eastAsia="zh-CN" w:bidi="ar-SA"/>
              </w:rPr>
              <w:t>）</w:t>
            </w:r>
            <w:r>
              <w:rPr>
                <w:rFonts w:hint="eastAsia"/>
                <w:lang w:val="en-US" w:eastAsia="zh-CN"/>
              </w:rPr>
              <w:t>已建项目拌合车间未采取全封闭措施。</w:t>
            </w:r>
          </w:p>
          <w:p w14:paraId="4E05B936">
            <w:pPr>
              <w:pStyle w:val="54"/>
              <w:bidi w:val="0"/>
              <w:rPr>
                <w:rFonts w:hint="eastAsia"/>
                <w:lang w:val="en-US" w:eastAsia="zh-CN"/>
              </w:rPr>
            </w:pPr>
            <w:r>
              <w:rPr>
                <w:rFonts w:hint="eastAsia"/>
                <w:lang w:val="en-US" w:eastAsia="zh-CN"/>
              </w:rPr>
              <w:t>整改措施：要求建设单位对拌合车间采取全封闭措施，拌合车间进出口采取卷帘门或感应门等措施。</w:t>
            </w:r>
          </w:p>
          <w:p w14:paraId="13C5364F">
            <w:pPr>
              <w:pStyle w:val="54"/>
              <w:numPr>
                <w:ilvl w:val="0"/>
                <w:numId w:val="0"/>
              </w:numPr>
              <w:bidi w:val="0"/>
              <w:ind w:firstLine="480" w:firstLineChars="200"/>
              <w:rPr>
                <w:rFonts w:hint="eastAsia"/>
                <w:lang w:val="en-US" w:eastAsia="zh-CN"/>
              </w:rPr>
            </w:pPr>
            <w:r>
              <w:rPr>
                <w:rFonts w:hint="eastAsia" w:cs="Times New Roman"/>
                <w:kern w:val="2"/>
                <w:sz w:val="24"/>
                <w:szCs w:val="24"/>
                <w:lang w:val="en-US" w:eastAsia="zh-CN" w:bidi="ar-SA"/>
              </w:rPr>
              <w:t>4</w:t>
            </w:r>
            <w:r>
              <w:rPr>
                <w:rFonts w:hint="eastAsia" w:ascii="Times New Roman" w:hAnsi="Times New Roman" w:eastAsia="宋体" w:cs="Times New Roman"/>
                <w:kern w:val="2"/>
                <w:sz w:val="24"/>
                <w:szCs w:val="24"/>
                <w:lang w:val="en-US" w:eastAsia="zh-CN" w:bidi="ar-SA"/>
              </w:rPr>
              <w:t>）</w:t>
            </w:r>
            <w:r>
              <w:rPr>
                <w:rFonts w:hint="eastAsia"/>
                <w:lang w:val="en-US" w:eastAsia="zh-CN"/>
              </w:rPr>
              <w:t>已建项目水泥筒仓未采取除尘措施。</w:t>
            </w:r>
          </w:p>
          <w:p w14:paraId="06554191">
            <w:pPr>
              <w:pStyle w:val="54"/>
              <w:bidi w:val="0"/>
              <w:rPr>
                <w:rFonts w:hint="default"/>
                <w:lang w:val="en-US" w:eastAsia="zh-CN"/>
              </w:rPr>
            </w:pPr>
            <w:r>
              <w:rPr>
                <w:rFonts w:hint="eastAsia"/>
                <w:lang w:val="en-US" w:eastAsia="zh-CN"/>
              </w:rPr>
              <w:t>整改措施：要求建设单位在每个筒仓设1台仓顶除尘器。</w:t>
            </w:r>
          </w:p>
          <w:p w14:paraId="43235EEB">
            <w:pPr>
              <w:pStyle w:val="54"/>
              <w:bidi w:val="0"/>
              <w:ind w:left="0" w:leftChars="0" w:firstLine="0" w:firstLineChars="0"/>
              <w:jc w:val="center"/>
              <w:rPr>
                <w:rFonts w:hint="default"/>
                <w:color w:val="auto"/>
                <w:lang w:val="en-US" w:eastAsia="zh-CN"/>
              </w:rPr>
            </w:pPr>
            <w:r>
              <w:rPr>
                <w:rFonts w:hint="default"/>
                <w:color w:val="auto"/>
                <w:lang w:val="en-US" w:eastAsia="zh-CN"/>
              </w:rPr>
              <w:drawing>
                <wp:inline distT="0" distB="0" distL="114300" distR="114300">
                  <wp:extent cx="5052695" cy="2639695"/>
                  <wp:effectExtent l="0" t="0" r="10160" b="5080"/>
                  <wp:docPr id="12" name="图片 12" descr="屏幕截图 2025-12-03 10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屏幕截图 2025-12-03 101225"/>
                          <pic:cNvPicPr>
                            <a:picLocks noChangeAspect="1"/>
                          </pic:cNvPicPr>
                        </pic:nvPicPr>
                        <pic:blipFill>
                          <a:blip r:embed="rId26"/>
                          <a:stretch>
                            <a:fillRect/>
                          </a:stretch>
                        </pic:blipFill>
                        <pic:spPr>
                          <a:xfrm>
                            <a:off x="0" y="0"/>
                            <a:ext cx="5052695" cy="2639695"/>
                          </a:xfrm>
                          <a:prstGeom prst="rect">
                            <a:avLst/>
                          </a:prstGeom>
                        </pic:spPr>
                      </pic:pic>
                    </a:graphicData>
                  </a:graphic>
                </wp:inline>
              </w:drawing>
            </w:r>
          </w:p>
          <w:p w14:paraId="3A69FB13">
            <w:pPr>
              <w:pStyle w:val="54"/>
              <w:bidi w:val="0"/>
              <w:ind w:left="0" w:leftChars="0" w:firstLine="0" w:firstLineChars="0"/>
              <w:jc w:val="center"/>
              <w:rPr>
                <w:rFonts w:hint="default"/>
                <w:color w:val="auto"/>
                <w:lang w:val="en-US" w:eastAsia="zh-CN"/>
              </w:rPr>
            </w:pPr>
            <w:r>
              <w:rPr>
                <w:rFonts w:hint="default"/>
                <w:color w:val="auto"/>
                <w:lang w:val="en-US" w:eastAsia="zh-CN"/>
              </w:rPr>
              <w:drawing>
                <wp:inline distT="0" distB="0" distL="114300" distR="114300">
                  <wp:extent cx="5041900" cy="2416810"/>
                  <wp:effectExtent l="0" t="0" r="10160" b="1270"/>
                  <wp:docPr id="13" name="图片 13" descr="屏幕截图 2025-12-03 10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屏幕截图 2025-12-03 101317"/>
                          <pic:cNvPicPr>
                            <a:picLocks noChangeAspect="1"/>
                          </pic:cNvPicPr>
                        </pic:nvPicPr>
                        <pic:blipFill>
                          <a:blip r:embed="rId27"/>
                          <a:stretch>
                            <a:fillRect/>
                          </a:stretch>
                        </pic:blipFill>
                        <pic:spPr>
                          <a:xfrm>
                            <a:off x="0" y="0"/>
                            <a:ext cx="5041900" cy="2416810"/>
                          </a:xfrm>
                          <a:prstGeom prst="rect">
                            <a:avLst/>
                          </a:prstGeom>
                        </pic:spPr>
                      </pic:pic>
                    </a:graphicData>
                  </a:graphic>
                </wp:inline>
              </w:drawing>
            </w:r>
          </w:p>
          <w:p w14:paraId="308FF30A">
            <w:pPr>
              <w:pStyle w:val="33"/>
              <w:bidi w:val="0"/>
              <w:rPr>
                <w:rFonts w:hint="default" w:ascii="宋体" w:hAnsi="宋体" w:eastAsia="宋体"/>
                <w:bCs/>
                <w:szCs w:val="24"/>
                <w:lang w:val="en-US" w:eastAsia="zh-CN"/>
              </w:rPr>
            </w:pPr>
            <w:r>
              <w:rPr>
                <w:rFonts w:hint="eastAsia"/>
                <w:lang w:val="en-US" w:eastAsia="zh-CN"/>
              </w:rPr>
              <w:t>图6    厂区现状影像图</w:t>
            </w:r>
          </w:p>
        </w:tc>
      </w:tr>
    </w:tbl>
    <w:p w14:paraId="7B3AB69F">
      <w:pPr>
        <w:pStyle w:val="13"/>
        <w:jc w:val="center"/>
        <w:rPr>
          <w:rFonts w:ascii="黑体" w:hAnsi="黑体" w:eastAsia="黑体"/>
          <w:snapToGrid w:val="0"/>
          <w:sz w:val="36"/>
          <w:szCs w:val="36"/>
        </w:rPr>
        <w:sectPr>
          <w:footerReference r:id="rId7" w:type="default"/>
          <w:pgSz w:w="11906" w:h="16838"/>
          <w:pgMar w:top="1701" w:right="1531" w:bottom="1701" w:left="1531" w:header="851" w:footer="1361" w:gutter="0"/>
          <w:pgBorders>
            <w:top w:val="none" w:sz="0" w:space="0"/>
            <w:left w:val="none" w:sz="0" w:space="0"/>
            <w:bottom w:val="none" w:sz="0" w:space="0"/>
            <w:right w:val="none" w:sz="0" w:space="0"/>
          </w:pgBorders>
          <w:pgNumType w:fmt="decimal"/>
          <w:cols w:space="720" w:num="1"/>
          <w:docGrid w:linePitch="312" w:charSpace="0"/>
        </w:sectPr>
      </w:pPr>
    </w:p>
    <w:p w14:paraId="73E07061">
      <w:pPr>
        <w:pStyle w:val="13"/>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200"/>
      </w:tblGrid>
      <w:tr w14:paraId="649586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vAlign w:val="center"/>
          </w:tcPr>
          <w:p w14:paraId="2E206942">
            <w:pPr>
              <w:adjustRightInd w:val="0"/>
              <w:snapToGrid w:val="0"/>
              <w:jc w:val="center"/>
              <w:rPr>
                <w:rFonts w:ascii="宋体" w:hAnsi="宋体" w:cs="宋体"/>
                <w:kern w:val="0"/>
                <w:sz w:val="24"/>
                <w:szCs w:val="24"/>
              </w:rPr>
            </w:pPr>
            <w:r>
              <w:rPr>
                <w:rFonts w:hint="eastAsia" w:ascii="宋体" w:hAnsi="宋体" w:cs="宋体"/>
                <w:kern w:val="0"/>
                <w:sz w:val="24"/>
                <w:szCs w:val="24"/>
              </w:rPr>
              <w:t>区域环境质量现状</w:t>
            </w:r>
          </w:p>
        </w:tc>
        <w:tc>
          <w:tcPr>
            <w:tcW w:w="8200" w:type="dxa"/>
            <w:noWrap w:val="0"/>
            <w:vAlign w:val="center"/>
          </w:tcPr>
          <w:p w14:paraId="0F8F5434">
            <w:pPr>
              <w:pStyle w:val="54"/>
              <w:bidi w:val="0"/>
              <w:rPr>
                <w:rFonts w:hint="eastAsia"/>
                <w:lang w:val="en-US" w:eastAsia="zh-CN"/>
              </w:rPr>
            </w:pPr>
            <w:r>
              <w:rPr>
                <w:rFonts w:hint="eastAsia"/>
                <w:b/>
                <w:bCs/>
                <w:lang w:val="en-US" w:eastAsia="zh-CN"/>
              </w:rPr>
              <w:t>1、环境空气质量现状</w:t>
            </w:r>
          </w:p>
          <w:p w14:paraId="07F87BB3">
            <w:pPr>
              <w:pStyle w:val="54"/>
              <w:bidi w:val="0"/>
              <w:rPr>
                <w:rFonts w:hint="eastAsia"/>
                <w:lang w:val="en-US" w:eastAsia="zh-CN"/>
              </w:rPr>
            </w:pPr>
            <w:r>
              <w:rPr>
                <w:rFonts w:hint="eastAsia"/>
                <w:lang w:val="en-US" w:eastAsia="zh-CN"/>
              </w:rPr>
              <w:t>1）区域环境质量</w:t>
            </w:r>
          </w:p>
          <w:p w14:paraId="4462EB87">
            <w:pPr>
              <w:pStyle w:val="54"/>
              <w:bidi w:val="0"/>
              <w:rPr>
                <w:rFonts w:hint="default"/>
                <w:color w:val="auto"/>
                <w:lang w:val="en-US" w:eastAsia="zh-CN"/>
              </w:rPr>
            </w:pPr>
            <w:r>
              <w:rPr>
                <w:rFonts w:hint="eastAsia"/>
                <w:color w:val="auto"/>
                <w:lang w:val="en-US" w:eastAsia="zh-CN"/>
              </w:rPr>
              <w:t>参考《环境影响评价技术导则大气环境》（HJ2.2-2018）中6.4.1.1中的内容“城市环境空气质量达标评价指标为SO</w:t>
            </w:r>
            <w:r>
              <w:rPr>
                <w:rFonts w:hint="eastAsia"/>
                <w:color w:val="auto"/>
                <w:vertAlign w:val="subscript"/>
                <w:lang w:val="en-US" w:eastAsia="zh-CN"/>
              </w:rPr>
              <w:t>2</w:t>
            </w:r>
            <w:r>
              <w:rPr>
                <w:rFonts w:hint="eastAsia"/>
                <w:color w:val="auto"/>
                <w:lang w:val="en-US" w:eastAsia="zh-CN"/>
              </w:rPr>
              <w:t>、NO</w:t>
            </w:r>
            <w:r>
              <w:rPr>
                <w:rFonts w:hint="eastAsia"/>
                <w:color w:val="auto"/>
                <w:vertAlign w:val="subscript"/>
                <w:lang w:val="en-US" w:eastAsia="zh-CN"/>
              </w:rPr>
              <w:t>2</w:t>
            </w:r>
            <w:r>
              <w:rPr>
                <w:rFonts w:hint="eastAsia"/>
                <w:color w:val="auto"/>
                <w:lang w:val="en-US" w:eastAsia="zh-CN"/>
              </w:rPr>
              <w:t>、PM</w:t>
            </w:r>
            <w:r>
              <w:rPr>
                <w:rFonts w:hint="eastAsia"/>
                <w:color w:val="auto"/>
                <w:vertAlign w:val="subscript"/>
                <w:lang w:val="en-US" w:eastAsia="zh-CN"/>
              </w:rPr>
              <w:t>10</w:t>
            </w:r>
            <w:r>
              <w:rPr>
                <w:rFonts w:hint="eastAsia"/>
                <w:color w:val="auto"/>
                <w:lang w:val="en-US" w:eastAsia="zh-CN"/>
              </w:rPr>
              <w:t>、PM</w:t>
            </w:r>
            <w:r>
              <w:rPr>
                <w:rFonts w:hint="eastAsia"/>
                <w:color w:val="auto"/>
                <w:vertAlign w:val="subscript"/>
                <w:lang w:val="en-US" w:eastAsia="zh-CN"/>
              </w:rPr>
              <w:t>2.5</w:t>
            </w:r>
            <w:r>
              <w:rPr>
                <w:rFonts w:hint="eastAsia"/>
                <w:color w:val="auto"/>
                <w:lang w:val="en-US" w:eastAsia="zh-CN"/>
              </w:rPr>
              <w:t>、CO和O</w:t>
            </w:r>
            <w:r>
              <w:rPr>
                <w:rFonts w:hint="eastAsia"/>
                <w:color w:val="auto"/>
                <w:vertAlign w:val="subscript"/>
                <w:lang w:val="en-US" w:eastAsia="zh-CN"/>
              </w:rPr>
              <w:t>3</w:t>
            </w:r>
            <w:r>
              <w:rPr>
                <w:rFonts w:hint="eastAsia"/>
                <w:color w:val="auto"/>
                <w:lang w:val="en-US" w:eastAsia="zh-CN"/>
              </w:rPr>
              <w:t>，六项污染物全部达标即为城市环境空气质量达标”。项目所在区域达标判定优先采用国家或地方生态环境主管部门公开发布的评价基准年环境质量公告或环境质量报告中的数据或结论。其中评价基准年为近3年中数据相对完整的1个日历年作为评价基准年。</w:t>
            </w:r>
          </w:p>
          <w:p w14:paraId="2A167012">
            <w:pPr>
              <w:pStyle w:val="54"/>
              <w:bidi w:val="0"/>
              <w:rPr>
                <w:rFonts w:hint="eastAsia"/>
                <w:color w:val="auto"/>
                <w:lang w:val="en-US" w:eastAsia="zh-CN"/>
              </w:rPr>
            </w:pPr>
            <w:r>
              <w:rPr>
                <w:rFonts w:hint="eastAsia"/>
                <w:color w:val="auto"/>
                <w:lang w:val="en-US" w:eastAsia="zh-CN"/>
              </w:rPr>
              <w:t>根据巴彦淖尔市生态环境局2025年7月9日发布的《2024年巴彦淖尔市环境质量状况公报》中乌拉特中旗旗政府所在地海流图镇的环境空气质量数据可知，2024年乌拉特中旗环境空气有效监测天数362天，优良率为90.9%。细颗粒物（PM</w:t>
            </w:r>
            <w:r>
              <w:rPr>
                <w:rFonts w:hint="eastAsia"/>
                <w:color w:val="auto"/>
                <w:vertAlign w:val="subscript"/>
                <w:lang w:val="en-US" w:eastAsia="zh-CN"/>
              </w:rPr>
              <w:t>2.5</w:t>
            </w:r>
            <w:r>
              <w:rPr>
                <w:rFonts w:hint="eastAsia"/>
                <w:color w:val="auto"/>
                <w:lang w:val="en-US" w:eastAsia="zh-CN"/>
              </w:rPr>
              <w:t>）年均值为17微克/立方米，可吸入颗粒物（PM</w:t>
            </w:r>
            <w:r>
              <w:rPr>
                <w:rFonts w:hint="eastAsia"/>
                <w:color w:val="auto"/>
                <w:vertAlign w:val="subscript"/>
                <w:lang w:val="en-US" w:eastAsia="zh-CN"/>
              </w:rPr>
              <w:t>10</w:t>
            </w:r>
            <w:r>
              <w:rPr>
                <w:rFonts w:hint="eastAsia"/>
                <w:color w:val="auto"/>
                <w:lang w:val="en-US" w:eastAsia="zh-CN"/>
              </w:rPr>
              <w:t>）年均值为38微克/立方米，二氧化硫年均值为9微克/立方米，二氧化氮年均值为12微克/立方米，一氧化碳24小时平均第95百分位数值为0.8毫克/立方米，臭氧日最大8小时滑动平均值的第90百分位数值为144微克/立方米，基本污染物监测统计结果见表18。</w:t>
            </w:r>
          </w:p>
          <w:p w14:paraId="0EA0E3AB">
            <w:pPr>
              <w:pStyle w:val="33"/>
              <w:bidi w:val="0"/>
              <w:rPr>
                <w:rFonts w:hint="eastAsia"/>
                <w:lang w:val="en-US" w:eastAsia="zh-CN"/>
              </w:rPr>
            </w:pPr>
            <w:r>
              <w:rPr>
                <w:rFonts w:hint="eastAsia"/>
                <w:lang w:val="en-US" w:eastAsia="zh-CN"/>
              </w:rPr>
              <w:t>表18    区域空气质量现状评价表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786"/>
              <w:gridCol w:w="1072"/>
              <w:gridCol w:w="933"/>
              <w:gridCol w:w="1224"/>
              <w:gridCol w:w="1097"/>
            </w:tblGrid>
            <w:tr w14:paraId="445338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3E83B486">
                  <w:pPr>
                    <w:pStyle w:val="55"/>
                    <w:bidi w:val="0"/>
                    <w:rPr>
                      <w:rFonts w:hint="eastAsia"/>
                      <w:lang w:val="en-US" w:eastAsia="zh-CN"/>
                    </w:rPr>
                  </w:pPr>
                  <w:r>
                    <w:rPr>
                      <w:rFonts w:hint="eastAsia"/>
                      <w:lang w:val="en-US" w:eastAsia="zh-CN"/>
                    </w:rPr>
                    <w:t>污染物</w:t>
                  </w:r>
                </w:p>
              </w:tc>
              <w:tc>
                <w:tcPr>
                  <w:tcW w:w="1744" w:type="pct"/>
                  <w:tcBorders>
                    <w:tl2br w:val="nil"/>
                    <w:tr2bl w:val="nil"/>
                  </w:tcBorders>
                  <w:noWrap w:val="0"/>
                  <w:vAlign w:val="center"/>
                </w:tcPr>
                <w:p w14:paraId="26EAA0F0">
                  <w:pPr>
                    <w:pStyle w:val="55"/>
                    <w:bidi w:val="0"/>
                    <w:rPr>
                      <w:rFonts w:hint="eastAsia"/>
                      <w:lang w:val="en-US" w:eastAsia="zh-CN"/>
                    </w:rPr>
                  </w:pPr>
                  <w:r>
                    <w:rPr>
                      <w:rFonts w:hint="eastAsia"/>
                      <w:lang w:val="en-US" w:eastAsia="zh-CN"/>
                    </w:rPr>
                    <w:t>年评价</w:t>
                  </w:r>
                </w:p>
              </w:tc>
              <w:tc>
                <w:tcPr>
                  <w:tcW w:w="671" w:type="pct"/>
                  <w:tcBorders>
                    <w:tl2br w:val="nil"/>
                    <w:tr2bl w:val="nil"/>
                  </w:tcBorders>
                  <w:noWrap w:val="0"/>
                  <w:vAlign w:val="center"/>
                </w:tcPr>
                <w:p w14:paraId="26AB14ED">
                  <w:pPr>
                    <w:pStyle w:val="55"/>
                    <w:bidi w:val="0"/>
                    <w:rPr>
                      <w:rFonts w:hint="eastAsia"/>
                      <w:lang w:val="en-US" w:eastAsia="zh-CN"/>
                    </w:rPr>
                  </w:pPr>
                  <w:r>
                    <w:rPr>
                      <w:rFonts w:hint="eastAsia"/>
                      <w:lang w:val="en-US" w:eastAsia="zh-CN"/>
                    </w:rPr>
                    <w:t>现状浓度</w:t>
                  </w:r>
                  <w:r>
                    <w:rPr>
                      <w:rFonts w:hint="default" w:ascii="Times New Roman" w:hAnsi="Times New Roman" w:cs="Times New Roman"/>
                      <w:lang w:val="en-US" w:eastAsia="zh-CN"/>
                    </w:rPr>
                    <w:t>µ</w:t>
                  </w:r>
                  <w:r>
                    <w:rPr>
                      <w:rFonts w:hint="eastAsia"/>
                      <w:lang w:val="en-US" w:eastAsia="zh-CN"/>
                    </w:rPr>
                    <w:t>g/m</w:t>
                  </w:r>
                  <w:r>
                    <w:rPr>
                      <w:rFonts w:hint="eastAsia"/>
                      <w:vertAlign w:val="superscript"/>
                      <w:lang w:val="en-US" w:eastAsia="zh-CN"/>
                    </w:rPr>
                    <w:t>3</w:t>
                  </w:r>
                </w:p>
              </w:tc>
              <w:tc>
                <w:tcPr>
                  <w:tcW w:w="584" w:type="pct"/>
                  <w:tcBorders>
                    <w:tl2br w:val="nil"/>
                    <w:tr2bl w:val="nil"/>
                  </w:tcBorders>
                  <w:noWrap w:val="0"/>
                  <w:vAlign w:val="center"/>
                </w:tcPr>
                <w:p w14:paraId="2EA770F2">
                  <w:pPr>
                    <w:pStyle w:val="55"/>
                    <w:bidi w:val="0"/>
                    <w:rPr>
                      <w:rFonts w:hint="eastAsia"/>
                      <w:lang w:val="en-US" w:eastAsia="zh-CN"/>
                    </w:rPr>
                  </w:pPr>
                  <w:r>
                    <w:rPr>
                      <w:rFonts w:hint="eastAsia"/>
                      <w:lang w:val="en-US" w:eastAsia="zh-CN"/>
                    </w:rPr>
                    <w:t>标准值</w:t>
                  </w:r>
                  <w:r>
                    <w:rPr>
                      <w:rFonts w:hint="default" w:ascii="Times New Roman" w:hAnsi="Times New Roman" w:cs="Times New Roman"/>
                      <w:lang w:val="en-US" w:eastAsia="zh-CN"/>
                    </w:rPr>
                    <w:t>µ</w:t>
                  </w:r>
                  <w:r>
                    <w:rPr>
                      <w:rFonts w:hint="eastAsia"/>
                      <w:lang w:val="en-US" w:eastAsia="zh-CN"/>
                    </w:rPr>
                    <w:t>g/m</w:t>
                  </w:r>
                  <w:r>
                    <w:rPr>
                      <w:rFonts w:hint="eastAsia"/>
                      <w:vertAlign w:val="superscript"/>
                      <w:lang w:val="en-US" w:eastAsia="zh-CN"/>
                    </w:rPr>
                    <w:t>3</w:t>
                  </w:r>
                </w:p>
              </w:tc>
              <w:tc>
                <w:tcPr>
                  <w:tcW w:w="766" w:type="pct"/>
                  <w:tcBorders>
                    <w:tl2br w:val="nil"/>
                    <w:tr2bl w:val="nil"/>
                  </w:tcBorders>
                  <w:noWrap w:val="0"/>
                  <w:vAlign w:val="center"/>
                </w:tcPr>
                <w:p w14:paraId="20C883B5">
                  <w:pPr>
                    <w:pStyle w:val="55"/>
                    <w:bidi w:val="0"/>
                    <w:rPr>
                      <w:rFonts w:hint="eastAsia"/>
                      <w:lang w:val="en-US" w:eastAsia="zh-CN"/>
                    </w:rPr>
                  </w:pPr>
                  <w:r>
                    <w:rPr>
                      <w:rFonts w:hint="eastAsia"/>
                      <w:lang w:val="en-US" w:eastAsia="zh-CN"/>
                    </w:rPr>
                    <w:t>占标率%</w:t>
                  </w:r>
                </w:p>
              </w:tc>
              <w:tc>
                <w:tcPr>
                  <w:tcW w:w="687" w:type="pct"/>
                  <w:tcBorders>
                    <w:tl2br w:val="nil"/>
                    <w:tr2bl w:val="nil"/>
                  </w:tcBorders>
                  <w:noWrap w:val="0"/>
                  <w:vAlign w:val="center"/>
                </w:tcPr>
                <w:p w14:paraId="43FFEA73">
                  <w:pPr>
                    <w:pStyle w:val="55"/>
                    <w:bidi w:val="0"/>
                    <w:rPr>
                      <w:rFonts w:hint="eastAsia"/>
                      <w:lang w:val="en-US" w:eastAsia="zh-CN"/>
                    </w:rPr>
                  </w:pPr>
                  <w:r>
                    <w:rPr>
                      <w:rFonts w:hint="eastAsia"/>
                      <w:lang w:val="en-US" w:eastAsia="zh-CN"/>
                    </w:rPr>
                    <w:t>达标情况</w:t>
                  </w:r>
                </w:p>
              </w:tc>
            </w:tr>
            <w:tr w14:paraId="1695F7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02A9399D">
                  <w:pPr>
                    <w:pStyle w:val="55"/>
                    <w:bidi w:val="0"/>
                    <w:rPr>
                      <w:rFonts w:hint="eastAsia"/>
                      <w:lang w:val="en-US" w:eastAsia="zh-CN"/>
                    </w:rPr>
                  </w:pPr>
                  <w:r>
                    <w:rPr>
                      <w:rFonts w:hint="eastAsia"/>
                      <w:lang w:val="en-US" w:eastAsia="zh-CN"/>
                    </w:rPr>
                    <w:t>SO</w:t>
                  </w:r>
                  <w:r>
                    <w:rPr>
                      <w:rFonts w:hint="eastAsia"/>
                      <w:vertAlign w:val="subscript"/>
                      <w:lang w:val="en-US" w:eastAsia="zh-CN"/>
                    </w:rPr>
                    <w:t>2</w:t>
                  </w:r>
                </w:p>
              </w:tc>
              <w:tc>
                <w:tcPr>
                  <w:tcW w:w="1744" w:type="pct"/>
                  <w:tcBorders>
                    <w:tl2br w:val="nil"/>
                    <w:tr2bl w:val="nil"/>
                  </w:tcBorders>
                  <w:noWrap w:val="0"/>
                  <w:vAlign w:val="center"/>
                </w:tcPr>
                <w:p w14:paraId="115D62DB">
                  <w:pPr>
                    <w:pStyle w:val="55"/>
                    <w:bidi w:val="0"/>
                    <w:rPr>
                      <w:rFonts w:hint="eastAsia"/>
                      <w:lang w:val="en-US" w:eastAsia="zh-CN"/>
                    </w:rPr>
                  </w:pPr>
                  <w:r>
                    <w:rPr>
                      <w:rFonts w:hint="eastAsia"/>
                    </w:rPr>
                    <w:t>年平均质量</w:t>
                  </w:r>
                </w:p>
              </w:tc>
              <w:tc>
                <w:tcPr>
                  <w:tcW w:w="671" w:type="pct"/>
                  <w:tcBorders>
                    <w:tl2br w:val="nil"/>
                    <w:tr2bl w:val="nil"/>
                  </w:tcBorders>
                  <w:noWrap w:val="0"/>
                  <w:vAlign w:val="center"/>
                </w:tcPr>
                <w:p w14:paraId="1693EF2D">
                  <w:pPr>
                    <w:pStyle w:val="55"/>
                    <w:bidi w:val="0"/>
                    <w:rPr>
                      <w:rFonts w:hint="default"/>
                      <w:lang w:val="en-US" w:eastAsia="zh-CN"/>
                    </w:rPr>
                  </w:pPr>
                  <w:r>
                    <w:rPr>
                      <w:rFonts w:hint="eastAsia"/>
                      <w:lang w:val="en-US" w:eastAsia="zh-CN"/>
                    </w:rPr>
                    <w:t>9</w:t>
                  </w:r>
                </w:p>
              </w:tc>
              <w:tc>
                <w:tcPr>
                  <w:tcW w:w="584" w:type="pct"/>
                  <w:tcBorders>
                    <w:tl2br w:val="nil"/>
                    <w:tr2bl w:val="nil"/>
                  </w:tcBorders>
                  <w:noWrap w:val="0"/>
                  <w:vAlign w:val="center"/>
                </w:tcPr>
                <w:p w14:paraId="4BE6A317">
                  <w:pPr>
                    <w:pStyle w:val="55"/>
                    <w:bidi w:val="0"/>
                    <w:rPr>
                      <w:rFonts w:hint="default"/>
                      <w:lang w:val="en-US" w:eastAsia="zh-CN"/>
                    </w:rPr>
                  </w:pPr>
                  <w:r>
                    <w:rPr>
                      <w:rFonts w:hint="eastAsia"/>
                      <w:lang w:val="en-US" w:eastAsia="zh-CN"/>
                    </w:rPr>
                    <w:t>60</w:t>
                  </w:r>
                </w:p>
              </w:tc>
              <w:tc>
                <w:tcPr>
                  <w:tcW w:w="766" w:type="pct"/>
                  <w:tcBorders>
                    <w:tl2br w:val="nil"/>
                    <w:tr2bl w:val="nil"/>
                  </w:tcBorders>
                  <w:noWrap w:val="0"/>
                  <w:vAlign w:val="center"/>
                </w:tcPr>
                <w:p w14:paraId="624FDA32">
                  <w:pPr>
                    <w:pStyle w:val="55"/>
                    <w:bidi w:val="0"/>
                    <w:rPr>
                      <w:rFonts w:hint="default"/>
                      <w:lang w:val="en-US" w:eastAsia="zh-CN"/>
                    </w:rPr>
                  </w:pPr>
                  <w:r>
                    <w:rPr>
                      <w:rFonts w:hint="eastAsia"/>
                      <w:lang w:val="en-US" w:eastAsia="zh-CN"/>
                    </w:rPr>
                    <w:t>15</w:t>
                  </w:r>
                </w:p>
              </w:tc>
              <w:tc>
                <w:tcPr>
                  <w:tcW w:w="687" w:type="pct"/>
                  <w:tcBorders>
                    <w:tl2br w:val="nil"/>
                    <w:tr2bl w:val="nil"/>
                  </w:tcBorders>
                  <w:noWrap w:val="0"/>
                  <w:vAlign w:val="center"/>
                </w:tcPr>
                <w:p w14:paraId="1ECABBD0">
                  <w:pPr>
                    <w:pStyle w:val="55"/>
                    <w:bidi w:val="0"/>
                    <w:rPr>
                      <w:rFonts w:hint="eastAsia"/>
                      <w:lang w:val="en-US" w:eastAsia="zh-CN"/>
                    </w:rPr>
                  </w:pPr>
                  <w:r>
                    <w:rPr>
                      <w:rFonts w:hint="eastAsia"/>
                    </w:rPr>
                    <w:t>达标</w:t>
                  </w:r>
                </w:p>
              </w:tc>
            </w:tr>
            <w:tr w14:paraId="377E2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0BD84C7A">
                  <w:pPr>
                    <w:pStyle w:val="55"/>
                    <w:bidi w:val="0"/>
                    <w:rPr>
                      <w:rFonts w:hint="eastAsia"/>
                      <w:lang w:val="en-US" w:eastAsia="zh-CN"/>
                    </w:rPr>
                  </w:pPr>
                  <w:r>
                    <w:rPr>
                      <w:rFonts w:hint="eastAsia"/>
                      <w:lang w:val="en-US" w:eastAsia="zh-CN"/>
                    </w:rPr>
                    <w:t>NO</w:t>
                  </w:r>
                  <w:r>
                    <w:rPr>
                      <w:rFonts w:hint="eastAsia"/>
                      <w:vertAlign w:val="subscript"/>
                      <w:lang w:val="en-US" w:eastAsia="zh-CN"/>
                    </w:rPr>
                    <w:t>2</w:t>
                  </w:r>
                </w:p>
              </w:tc>
              <w:tc>
                <w:tcPr>
                  <w:tcW w:w="1744" w:type="pct"/>
                  <w:tcBorders>
                    <w:tl2br w:val="nil"/>
                    <w:tr2bl w:val="nil"/>
                  </w:tcBorders>
                  <w:noWrap w:val="0"/>
                  <w:vAlign w:val="center"/>
                </w:tcPr>
                <w:p w14:paraId="4A83E76F">
                  <w:pPr>
                    <w:pStyle w:val="55"/>
                    <w:bidi w:val="0"/>
                    <w:rPr>
                      <w:rFonts w:hint="eastAsia"/>
                      <w:lang w:val="en-US" w:eastAsia="zh-CN"/>
                    </w:rPr>
                  </w:pPr>
                  <w:r>
                    <w:rPr>
                      <w:rFonts w:hint="eastAsia"/>
                    </w:rPr>
                    <w:t>年平均质量</w:t>
                  </w:r>
                </w:p>
              </w:tc>
              <w:tc>
                <w:tcPr>
                  <w:tcW w:w="671" w:type="pct"/>
                  <w:tcBorders>
                    <w:tl2br w:val="nil"/>
                    <w:tr2bl w:val="nil"/>
                  </w:tcBorders>
                  <w:noWrap w:val="0"/>
                  <w:vAlign w:val="center"/>
                </w:tcPr>
                <w:p w14:paraId="17F31362">
                  <w:pPr>
                    <w:pStyle w:val="55"/>
                    <w:bidi w:val="0"/>
                    <w:rPr>
                      <w:rFonts w:hint="default"/>
                      <w:lang w:val="en-US" w:eastAsia="zh-CN"/>
                    </w:rPr>
                  </w:pPr>
                  <w:r>
                    <w:rPr>
                      <w:rFonts w:hint="eastAsia"/>
                      <w:lang w:val="en-US" w:eastAsia="zh-CN"/>
                    </w:rPr>
                    <w:t>12</w:t>
                  </w:r>
                </w:p>
              </w:tc>
              <w:tc>
                <w:tcPr>
                  <w:tcW w:w="584" w:type="pct"/>
                  <w:tcBorders>
                    <w:tl2br w:val="nil"/>
                    <w:tr2bl w:val="nil"/>
                  </w:tcBorders>
                  <w:noWrap w:val="0"/>
                  <w:vAlign w:val="center"/>
                </w:tcPr>
                <w:p w14:paraId="0449C7DD">
                  <w:pPr>
                    <w:pStyle w:val="55"/>
                    <w:bidi w:val="0"/>
                    <w:rPr>
                      <w:rFonts w:hint="default"/>
                      <w:lang w:val="en-US" w:eastAsia="zh-CN"/>
                    </w:rPr>
                  </w:pPr>
                  <w:r>
                    <w:rPr>
                      <w:rFonts w:hint="eastAsia"/>
                      <w:lang w:val="en-US" w:eastAsia="zh-CN"/>
                    </w:rPr>
                    <w:t>40</w:t>
                  </w:r>
                </w:p>
              </w:tc>
              <w:tc>
                <w:tcPr>
                  <w:tcW w:w="766" w:type="pct"/>
                  <w:tcBorders>
                    <w:tl2br w:val="nil"/>
                    <w:tr2bl w:val="nil"/>
                  </w:tcBorders>
                  <w:noWrap w:val="0"/>
                  <w:vAlign w:val="center"/>
                </w:tcPr>
                <w:p w14:paraId="3396147F">
                  <w:pPr>
                    <w:pStyle w:val="55"/>
                    <w:bidi w:val="0"/>
                    <w:rPr>
                      <w:rFonts w:hint="default"/>
                      <w:lang w:val="en-US" w:eastAsia="zh-CN"/>
                    </w:rPr>
                  </w:pPr>
                  <w:r>
                    <w:rPr>
                      <w:rFonts w:hint="eastAsia"/>
                      <w:lang w:val="en-US" w:eastAsia="zh-CN"/>
                    </w:rPr>
                    <w:t>30</w:t>
                  </w:r>
                </w:p>
              </w:tc>
              <w:tc>
                <w:tcPr>
                  <w:tcW w:w="687" w:type="pct"/>
                  <w:tcBorders>
                    <w:tl2br w:val="nil"/>
                    <w:tr2bl w:val="nil"/>
                  </w:tcBorders>
                  <w:noWrap w:val="0"/>
                  <w:vAlign w:val="center"/>
                </w:tcPr>
                <w:p w14:paraId="40AE3A17">
                  <w:pPr>
                    <w:pStyle w:val="55"/>
                    <w:bidi w:val="0"/>
                    <w:rPr>
                      <w:rFonts w:hint="eastAsia"/>
                      <w:lang w:val="en-US" w:eastAsia="zh-CN"/>
                    </w:rPr>
                  </w:pPr>
                  <w:r>
                    <w:rPr>
                      <w:rFonts w:hint="eastAsia"/>
                    </w:rPr>
                    <w:t>达标</w:t>
                  </w:r>
                </w:p>
              </w:tc>
            </w:tr>
            <w:tr w14:paraId="5C26D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6E5DE53A">
                  <w:pPr>
                    <w:pStyle w:val="55"/>
                    <w:bidi w:val="0"/>
                    <w:rPr>
                      <w:rFonts w:hint="eastAsia"/>
                      <w:lang w:val="en-US" w:eastAsia="zh-CN"/>
                    </w:rPr>
                  </w:pPr>
                  <w:r>
                    <w:rPr>
                      <w:rFonts w:hint="eastAsia"/>
                      <w:lang w:val="en-US" w:eastAsia="zh-CN"/>
                    </w:rPr>
                    <w:t>PM</w:t>
                  </w:r>
                  <w:r>
                    <w:rPr>
                      <w:rFonts w:hint="eastAsia"/>
                      <w:vertAlign w:val="subscript"/>
                      <w:lang w:val="en-US" w:eastAsia="zh-CN"/>
                    </w:rPr>
                    <w:t>10</w:t>
                  </w:r>
                </w:p>
              </w:tc>
              <w:tc>
                <w:tcPr>
                  <w:tcW w:w="1744" w:type="pct"/>
                  <w:tcBorders>
                    <w:tl2br w:val="nil"/>
                    <w:tr2bl w:val="nil"/>
                  </w:tcBorders>
                  <w:noWrap w:val="0"/>
                  <w:vAlign w:val="center"/>
                </w:tcPr>
                <w:p w14:paraId="1440E8D2">
                  <w:pPr>
                    <w:pStyle w:val="55"/>
                    <w:bidi w:val="0"/>
                    <w:rPr>
                      <w:rFonts w:hint="eastAsia"/>
                      <w:lang w:val="en-US" w:eastAsia="zh-CN"/>
                    </w:rPr>
                  </w:pPr>
                  <w:r>
                    <w:rPr>
                      <w:rFonts w:hint="eastAsia"/>
                    </w:rPr>
                    <w:t>年平均质量</w:t>
                  </w:r>
                </w:p>
              </w:tc>
              <w:tc>
                <w:tcPr>
                  <w:tcW w:w="671" w:type="pct"/>
                  <w:tcBorders>
                    <w:tl2br w:val="nil"/>
                    <w:tr2bl w:val="nil"/>
                  </w:tcBorders>
                  <w:noWrap w:val="0"/>
                  <w:vAlign w:val="center"/>
                </w:tcPr>
                <w:p w14:paraId="6E47E43B">
                  <w:pPr>
                    <w:pStyle w:val="55"/>
                    <w:bidi w:val="0"/>
                    <w:rPr>
                      <w:rFonts w:hint="default"/>
                      <w:lang w:val="en-US" w:eastAsia="zh-CN"/>
                    </w:rPr>
                  </w:pPr>
                  <w:r>
                    <w:rPr>
                      <w:rFonts w:hint="eastAsia"/>
                      <w:lang w:val="en-US" w:eastAsia="zh-CN"/>
                    </w:rPr>
                    <w:t>38</w:t>
                  </w:r>
                </w:p>
              </w:tc>
              <w:tc>
                <w:tcPr>
                  <w:tcW w:w="584" w:type="pct"/>
                  <w:tcBorders>
                    <w:tl2br w:val="nil"/>
                    <w:tr2bl w:val="nil"/>
                  </w:tcBorders>
                  <w:noWrap w:val="0"/>
                  <w:vAlign w:val="center"/>
                </w:tcPr>
                <w:p w14:paraId="4D05332E">
                  <w:pPr>
                    <w:pStyle w:val="55"/>
                    <w:bidi w:val="0"/>
                    <w:rPr>
                      <w:rFonts w:hint="default"/>
                      <w:lang w:val="en-US" w:eastAsia="zh-CN"/>
                    </w:rPr>
                  </w:pPr>
                  <w:r>
                    <w:rPr>
                      <w:rFonts w:hint="eastAsia"/>
                      <w:lang w:val="en-US" w:eastAsia="zh-CN"/>
                    </w:rPr>
                    <w:t>70</w:t>
                  </w:r>
                </w:p>
              </w:tc>
              <w:tc>
                <w:tcPr>
                  <w:tcW w:w="766" w:type="pct"/>
                  <w:tcBorders>
                    <w:tl2br w:val="nil"/>
                    <w:tr2bl w:val="nil"/>
                  </w:tcBorders>
                  <w:noWrap w:val="0"/>
                  <w:vAlign w:val="center"/>
                </w:tcPr>
                <w:p w14:paraId="5F3E3247">
                  <w:pPr>
                    <w:pStyle w:val="55"/>
                    <w:bidi w:val="0"/>
                    <w:rPr>
                      <w:rFonts w:hint="default"/>
                      <w:lang w:val="en-US" w:eastAsia="zh-CN"/>
                    </w:rPr>
                  </w:pPr>
                  <w:r>
                    <w:rPr>
                      <w:rFonts w:hint="eastAsia"/>
                      <w:lang w:val="en-US" w:eastAsia="zh-CN"/>
                    </w:rPr>
                    <w:t>54.29</w:t>
                  </w:r>
                </w:p>
              </w:tc>
              <w:tc>
                <w:tcPr>
                  <w:tcW w:w="687" w:type="pct"/>
                  <w:tcBorders>
                    <w:tl2br w:val="nil"/>
                    <w:tr2bl w:val="nil"/>
                  </w:tcBorders>
                  <w:noWrap w:val="0"/>
                  <w:vAlign w:val="center"/>
                </w:tcPr>
                <w:p w14:paraId="22D4196D">
                  <w:pPr>
                    <w:pStyle w:val="55"/>
                    <w:bidi w:val="0"/>
                    <w:rPr>
                      <w:rFonts w:hint="eastAsia"/>
                      <w:lang w:val="en-US" w:eastAsia="zh-CN"/>
                    </w:rPr>
                  </w:pPr>
                  <w:r>
                    <w:rPr>
                      <w:rFonts w:hint="eastAsia"/>
                    </w:rPr>
                    <w:t>达标</w:t>
                  </w:r>
                </w:p>
              </w:tc>
            </w:tr>
            <w:tr w14:paraId="7C045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48BE9318">
                  <w:pPr>
                    <w:pStyle w:val="55"/>
                    <w:bidi w:val="0"/>
                    <w:rPr>
                      <w:rFonts w:hint="eastAsia"/>
                      <w:lang w:val="en-US" w:eastAsia="zh-CN"/>
                    </w:rPr>
                  </w:pPr>
                  <w:r>
                    <w:rPr>
                      <w:rFonts w:hint="eastAsia"/>
                      <w:lang w:val="en-US" w:eastAsia="zh-CN"/>
                    </w:rPr>
                    <w:t>PM</w:t>
                  </w:r>
                  <w:r>
                    <w:rPr>
                      <w:rFonts w:hint="eastAsia"/>
                      <w:vertAlign w:val="subscript"/>
                      <w:lang w:val="en-US" w:eastAsia="zh-CN"/>
                    </w:rPr>
                    <w:t>2.5</w:t>
                  </w:r>
                </w:p>
              </w:tc>
              <w:tc>
                <w:tcPr>
                  <w:tcW w:w="1744" w:type="pct"/>
                  <w:tcBorders>
                    <w:tl2br w:val="nil"/>
                    <w:tr2bl w:val="nil"/>
                  </w:tcBorders>
                  <w:noWrap w:val="0"/>
                  <w:vAlign w:val="center"/>
                </w:tcPr>
                <w:p w14:paraId="49B21019">
                  <w:pPr>
                    <w:pStyle w:val="55"/>
                    <w:bidi w:val="0"/>
                    <w:rPr>
                      <w:rFonts w:hint="eastAsia"/>
                      <w:lang w:val="en-US" w:eastAsia="zh-CN"/>
                    </w:rPr>
                  </w:pPr>
                  <w:r>
                    <w:rPr>
                      <w:rFonts w:hint="eastAsia"/>
                    </w:rPr>
                    <w:t>年平均质量</w:t>
                  </w:r>
                </w:p>
              </w:tc>
              <w:tc>
                <w:tcPr>
                  <w:tcW w:w="671" w:type="pct"/>
                  <w:tcBorders>
                    <w:tl2br w:val="nil"/>
                    <w:tr2bl w:val="nil"/>
                  </w:tcBorders>
                  <w:noWrap w:val="0"/>
                  <w:vAlign w:val="center"/>
                </w:tcPr>
                <w:p w14:paraId="5712ED7C">
                  <w:pPr>
                    <w:pStyle w:val="55"/>
                    <w:bidi w:val="0"/>
                    <w:rPr>
                      <w:rFonts w:hint="default"/>
                      <w:lang w:val="en-US" w:eastAsia="zh-CN"/>
                    </w:rPr>
                  </w:pPr>
                  <w:r>
                    <w:rPr>
                      <w:rFonts w:hint="eastAsia"/>
                      <w:lang w:val="en-US" w:eastAsia="zh-CN"/>
                    </w:rPr>
                    <w:t>17</w:t>
                  </w:r>
                </w:p>
              </w:tc>
              <w:tc>
                <w:tcPr>
                  <w:tcW w:w="584" w:type="pct"/>
                  <w:tcBorders>
                    <w:tl2br w:val="nil"/>
                    <w:tr2bl w:val="nil"/>
                  </w:tcBorders>
                  <w:noWrap w:val="0"/>
                  <w:vAlign w:val="center"/>
                </w:tcPr>
                <w:p w14:paraId="5AC76A95">
                  <w:pPr>
                    <w:pStyle w:val="55"/>
                    <w:bidi w:val="0"/>
                    <w:rPr>
                      <w:rFonts w:hint="default"/>
                      <w:lang w:val="en-US" w:eastAsia="zh-CN"/>
                    </w:rPr>
                  </w:pPr>
                  <w:r>
                    <w:rPr>
                      <w:rFonts w:hint="eastAsia"/>
                      <w:lang w:val="en-US" w:eastAsia="zh-CN"/>
                    </w:rPr>
                    <w:t>35</w:t>
                  </w:r>
                </w:p>
              </w:tc>
              <w:tc>
                <w:tcPr>
                  <w:tcW w:w="766" w:type="pct"/>
                  <w:tcBorders>
                    <w:tl2br w:val="nil"/>
                    <w:tr2bl w:val="nil"/>
                  </w:tcBorders>
                  <w:noWrap w:val="0"/>
                  <w:vAlign w:val="center"/>
                </w:tcPr>
                <w:p w14:paraId="7F2D86F9">
                  <w:pPr>
                    <w:pStyle w:val="55"/>
                    <w:bidi w:val="0"/>
                    <w:rPr>
                      <w:rFonts w:hint="default"/>
                      <w:lang w:val="en-US" w:eastAsia="zh-CN"/>
                    </w:rPr>
                  </w:pPr>
                  <w:r>
                    <w:rPr>
                      <w:rFonts w:hint="eastAsia"/>
                      <w:lang w:val="en-US" w:eastAsia="zh-CN"/>
                    </w:rPr>
                    <w:t>48.57</w:t>
                  </w:r>
                </w:p>
              </w:tc>
              <w:tc>
                <w:tcPr>
                  <w:tcW w:w="687" w:type="pct"/>
                  <w:tcBorders>
                    <w:tl2br w:val="nil"/>
                    <w:tr2bl w:val="nil"/>
                  </w:tcBorders>
                  <w:noWrap w:val="0"/>
                  <w:vAlign w:val="center"/>
                </w:tcPr>
                <w:p w14:paraId="7A643065">
                  <w:pPr>
                    <w:pStyle w:val="55"/>
                    <w:bidi w:val="0"/>
                    <w:rPr>
                      <w:rFonts w:hint="eastAsia"/>
                      <w:lang w:val="en-US" w:eastAsia="zh-CN"/>
                    </w:rPr>
                  </w:pPr>
                  <w:r>
                    <w:rPr>
                      <w:rFonts w:hint="eastAsia"/>
                    </w:rPr>
                    <w:t>达标</w:t>
                  </w:r>
                </w:p>
              </w:tc>
            </w:tr>
            <w:tr w14:paraId="68BBBF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31057A4B">
                  <w:pPr>
                    <w:pStyle w:val="55"/>
                    <w:bidi w:val="0"/>
                    <w:rPr>
                      <w:rFonts w:hint="eastAsia"/>
                      <w:lang w:val="en-US" w:eastAsia="zh-CN"/>
                    </w:rPr>
                  </w:pPr>
                  <w:r>
                    <w:rPr>
                      <w:rFonts w:hint="eastAsia"/>
                      <w:lang w:val="en-US" w:eastAsia="zh-CN"/>
                    </w:rPr>
                    <w:t>CO</w:t>
                  </w:r>
                </w:p>
              </w:tc>
              <w:tc>
                <w:tcPr>
                  <w:tcW w:w="1744" w:type="pct"/>
                  <w:tcBorders>
                    <w:tl2br w:val="nil"/>
                    <w:tr2bl w:val="nil"/>
                  </w:tcBorders>
                  <w:noWrap w:val="0"/>
                  <w:vAlign w:val="center"/>
                </w:tcPr>
                <w:p w14:paraId="56452652">
                  <w:pPr>
                    <w:pStyle w:val="55"/>
                    <w:bidi w:val="0"/>
                    <w:rPr>
                      <w:rFonts w:hint="eastAsia"/>
                      <w:lang w:val="en-US" w:eastAsia="zh-CN"/>
                    </w:rPr>
                  </w:pPr>
                  <w:r>
                    <w:rPr>
                      <w:rFonts w:hint="eastAsia"/>
                      <w:lang w:val="en-US" w:eastAsia="zh-CN"/>
                    </w:rPr>
                    <w:t>24小时平均第95百分位数</w:t>
                  </w:r>
                </w:p>
              </w:tc>
              <w:tc>
                <w:tcPr>
                  <w:tcW w:w="671" w:type="pct"/>
                  <w:tcBorders>
                    <w:tl2br w:val="nil"/>
                    <w:tr2bl w:val="nil"/>
                  </w:tcBorders>
                  <w:noWrap w:val="0"/>
                  <w:vAlign w:val="center"/>
                </w:tcPr>
                <w:p w14:paraId="7B3B001A">
                  <w:pPr>
                    <w:pStyle w:val="55"/>
                    <w:bidi w:val="0"/>
                    <w:rPr>
                      <w:rFonts w:hint="default"/>
                      <w:lang w:val="en-US" w:eastAsia="zh-CN"/>
                    </w:rPr>
                  </w:pPr>
                  <w:r>
                    <w:rPr>
                      <w:rFonts w:hint="eastAsia"/>
                      <w:lang w:val="en-US" w:eastAsia="zh-CN"/>
                    </w:rPr>
                    <w:t>800</w:t>
                  </w:r>
                </w:p>
              </w:tc>
              <w:tc>
                <w:tcPr>
                  <w:tcW w:w="584" w:type="pct"/>
                  <w:tcBorders>
                    <w:tl2br w:val="nil"/>
                    <w:tr2bl w:val="nil"/>
                  </w:tcBorders>
                  <w:noWrap w:val="0"/>
                  <w:vAlign w:val="center"/>
                </w:tcPr>
                <w:p w14:paraId="397B0549">
                  <w:pPr>
                    <w:pStyle w:val="55"/>
                    <w:bidi w:val="0"/>
                    <w:rPr>
                      <w:rFonts w:hint="default"/>
                      <w:lang w:val="en-US" w:eastAsia="zh-CN"/>
                    </w:rPr>
                  </w:pPr>
                  <w:r>
                    <w:rPr>
                      <w:rFonts w:hint="eastAsia"/>
                      <w:lang w:val="en-US" w:eastAsia="zh-CN"/>
                    </w:rPr>
                    <w:t>4000</w:t>
                  </w:r>
                </w:p>
              </w:tc>
              <w:tc>
                <w:tcPr>
                  <w:tcW w:w="766" w:type="pct"/>
                  <w:tcBorders>
                    <w:tl2br w:val="nil"/>
                    <w:tr2bl w:val="nil"/>
                  </w:tcBorders>
                  <w:noWrap w:val="0"/>
                  <w:vAlign w:val="center"/>
                </w:tcPr>
                <w:p w14:paraId="2352FA00">
                  <w:pPr>
                    <w:pStyle w:val="55"/>
                    <w:bidi w:val="0"/>
                    <w:rPr>
                      <w:rFonts w:hint="default"/>
                      <w:lang w:val="en-US" w:eastAsia="zh-CN"/>
                    </w:rPr>
                  </w:pPr>
                  <w:r>
                    <w:rPr>
                      <w:rFonts w:hint="eastAsia"/>
                      <w:lang w:val="en-US" w:eastAsia="zh-CN"/>
                    </w:rPr>
                    <w:t>20</w:t>
                  </w:r>
                </w:p>
              </w:tc>
              <w:tc>
                <w:tcPr>
                  <w:tcW w:w="687" w:type="pct"/>
                  <w:tcBorders>
                    <w:tl2br w:val="nil"/>
                    <w:tr2bl w:val="nil"/>
                  </w:tcBorders>
                  <w:noWrap w:val="0"/>
                  <w:vAlign w:val="center"/>
                </w:tcPr>
                <w:p w14:paraId="0D160411">
                  <w:pPr>
                    <w:pStyle w:val="55"/>
                    <w:bidi w:val="0"/>
                    <w:rPr>
                      <w:rFonts w:hint="eastAsia"/>
                      <w:lang w:val="en-US" w:eastAsia="zh-CN"/>
                    </w:rPr>
                  </w:pPr>
                  <w:r>
                    <w:rPr>
                      <w:rFonts w:hint="eastAsia"/>
                    </w:rPr>
                    <w:t>达标</w:t>
                  </w:r>
                </w:p>
              </w:tc>
            </w:tr>
            <w:tr w14:paraId="62952D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6" w:type="pct"/>
                  <w:tcBorders>
                    <w:tl2br w:val="nil"/>
                    <w:tr2bl w:val="nil"/>
                  </w:tcBorders>
                  <w:noWrap w:val="0"/>
                  <w:vAlign w:val="center"/>
                </w:tcPr>
                <w:p w14:paraId="10192712">
                  <w:pPr>
                    <w:pStyle w:val="55"/>
                    <w:bidi w:val="0"/>
                    <w:rPr>
                      <w:rFonts w:hint="eastAsia"/>
                      <w:lang w:val="en-US" w:eastAsia="zh-CN"/>
                    </w:rPr>
                  </w:pPr>
                  <w:r>
                    <w:rPr>
                      <w:rFonts w:hint="eastAsia"/>
                      <w:lang w:val="en-US" w:eastAsia="zh-CN"/>
                    </w:rPr>
                    <w:t>O</w:t>
                  </w:r>
                  <w:r>
                    <w:rPr>
                      <w:rFonts w:hint="eastAsia"/>
                      <w:vertAlign w:val="subscript"/>
                      <w:lang w:val="en-US" w:eastAsia="zh-CN"/>
                    </w:rPr>
                    <w:t>3</w:t>
                  </w:r>
                </w:p>
              </w:tc>
              <w:tc>
                <w:tcPr>
                  <w:tcW w:w="1744" w:type="pct"/>
                  <w:tcBorders>
                    <w:tl2br w:val="nil"/>
                    <w:tr2bl w:val="nil"/>
                  </w:tcBorders>
                  <w:noWrap w:val="0"/>
                  <w:vAlign w:val="center"/>
                </w:tcPr>
                <w:p w14:paraId="3A788CAE">
                  <w:pPr>
                    <w:pStyle w:val="55"/>
                    <w:bidi w:val="0"/>
                    <w:rPr>
                      <w:rFonts w:hint="eastAsia"/>
                      <w:lang w:val="en-US" w:eastAsia="zh-CN"/>
                    </w:rPr>
                  </w:pPr>
                  <w:r>
                    <w:rPr>
                      <w:rFonts w:hint="eastAsia"/>
                      <w:lang w:val="en-US" w:eastAsia="zh-CN"/>
                    </w:rPr>
                    <w:t>日最大8小时滑动平均值第90百分位数</w:t>
                  </w:r>
                </w:p>
              </w:tc>
              <w:tc>
                <w:tcPr>
                  <w:tcW w:w="671" w:type="pct"/>
                  <w:tcBorders>
                    <w:tl2br w:val="nil"/>
                    <w:tr2bl w:val="nil"/>
                  </w:tcBorders>
                  <w:noWrap w:val="0"/>
                  <w:vAlign w:val="center"/>
                </w:tcPr>
                <w:p w14:paraId="421DEB70">
                  <w:pPr>
                    <w:pStyle w:val="55"/>
                    <w:bidi w:val="0"/>
                    <w:rPr>
                      <w:rFonts w:hint="default"/>
                      <w:lang w:val="en-US" w:eastAsia="zh-CN"/>
                    </w:rPr>
                  </w:pPr>
                  <w:r>
                    <w:rPr>
                      <w:rFonts w:hint="eastAsia"/>
                      <w:lang w:val="en-US" w:eastAsia="zh-CN"/>
                    </w:rPr>
                    <w:t>144</w:t>
                  </w:r>
                </w:p>
              </w:tc>
              <w:tc>
                <w:tcPr>
                  <w:tcW w:w="584" w:type="pct"/>
                  <w:tcBorders>
                    <w:tl2br w:val="nil"/>
                    <w:tr2bl w:val="nil"/>
                  </w:tcBorders>
                  <w:noWrap w:val="0"/>
                  <w:vAlign w:val="center"/>
                </w:tcPr>
                <w:p w14:paraId="4CC5AB1D">
                  <w:pPr>
                    <w:pStyle w:val="55"/>
                    <w:bidi w:val="0"/>
                    <w:rPr>
                      <w:rFonts w:hint="default"/>
                      <w:lang w:val="en-US" w:eastAsia="zh-CN"/>
                    </w:rPr>
                  </w:pPr>
                  <w:r>
                    <w:rPr>
                      <w:rFonts w:hint="eastAsia"/>
                      <w:lang w:val="en-US" w:eastAsia="zh-CN"/>
                    </w:rPr>
                    <w:t>160</w:t>
                  </w:r>
                </w:p>
              </w:tc>
              <w:tc>
                <w:tcPr>
                  <w:tcW w:w="766" w:type="pct"/>
                  <w:tcBorders>
                    <w:tl2br w:val="nil"/>
                    <w:tr2bl w:val="nil"/>
                  </w:tcBorders>
                  <w:noWrap w:val="0"/>
                  <w:vAlign w:val="center"/>
                </w:tcPr>
                <w:p w14:paraId="14421A44">
                  <w:pPr>
                    <w:pStyle w:val="55"/>
                    <w:bidi w:val="0"/>
                    <w:rPr>
                      <w:rFonts w:hint="default"/>
                      <w:lang w:val="en-US" w:eastAsia="zh-CN"/>
                    </w:rPr>
                  </w:pPr>
                  <w:r>
                    <w:rPr>
                      <w:rFonts w:hint="eastAsia"/>
                      <w:lang w:val="en-US" w:eastAsia="zh-CN"/>
                    </w:rPr>
                    <w:t>90</w:t>
                  </w:r>
                </w:p>
              </w:tc>
              <w:tc>
                <w:tcPr>
                  <w:tcW w:w="687" w:type="pct"/>
                  <w:tcBorders>
                    <w:tl2br w:val="nil"/>
                    <w:tr2bl w:val="nil"/>
                  </w:tcBorders>
                  <w:noWrap w:val="0"/>
                  <w:vAlign w:val="center"/>
                </w:tcPr>
                <w:p w14:paraId="60271E4A">
                  <w:pPr>
                    <w:pStyle w:val="55"/>
                    <w:bidi w:val="0"/>
                    <w:rPr>
                      <w:rFonts w:hint="eastAsia"/>
                      <w:lang w:val="en-US" w:eastAsia="zh-CN"/>
                    </w:rPr>
                  </w:pPr>
                  <w:r>
                    <w:rPr>
                      <w:rFonts w:hint="eastAsia"/>
                    </w:rPr>
                    <w:t>达标</w:t>
                  </w:r>
                </w:p>
              </w:tc>
            </w:tr>
          </w:tbl>
          <w:p w14:paraId="1AF75F11">
            <w:pPr>
              <w:pStyle w:val="54"/>
              <w:bidi w:val="0"/>
              <w:rPr>
                <w:rFonts w:hint="eastAsia"/>
                <w:lang w:val="en-US" w:eastAsia="zh-CN"/>
              </w:rPr>
            </w:pPr>
            <w:r>
              <w:rPr>
                <w:rFonts w:hint="eastAsia"/>
                <w:color w:val="auto"/>
                <w:lang w:val="en-US" w:eastAsia="zh-CN"/>
              </w:rPr>
              <w:t>由上表可知，各污染物平均浓度均优于《环境空气质量标准》（GB3095-2012）及2018年修改单中二级标准限值，乌拉特中旗环境空气质量属于达标区。</w:t>
            </w:r>
          </w:p>
          <w:p w14:paraId="680C57CB">
            <w:pPr>
              <w:pStyle w:val="54"/>
              <w:bidi w:val="0"/>
              <w:rPr>
                <w:rFonts w:hint="eastAsia"/>
                <w:lang w:val="en-US" w:eastAsia="zh-CN"/>
              </w:rPr>
            </w:pPr>
            <w:r>
              <w:rPr>
                <w:rFonts w:hint="eastAsia"/>
                <w:lang w:val="en-US" w:eastAsia="zh-CN"/>
              </w:rPr>
              <w:t>2）其他污染物监测</w:t>
            </w:r>
          </w:p>
          <w:p w14:paraId="05A3897A">
            <w:pPr>
              <w:pStyle w:val="54"/>
              <w:bidi w:val="0"/>
              <w:rPr>
                <w:rFonts w:hint="eastAsia"/>
                <w:color w:val="auto"/>
                <w:lang w:val="en-US" w:eastAsia="zh-CN"/>
              </w:rPr>
            </w:pPr>
            <w:r>
              <w:rPr>
                <w:rFonts w:hint="eastAsia"/>
                <w:lang w:val="en-US" w:eastAsia="zh-CN"/>
              </w:rPr>
              <w:t>本项目特征污染物环境空气质量现状引用《内蒙古盾石圆之翰煤业有限公司洗煤厂环保储煤棚建设项目》中监测数据，由内蒙古蒙欧科技有限公司负责完成，该机构具有CMA计量认证资质，TSP监测时间为2024年9月4日~9月6日，监测数据有效。本次评价引用的历史监测资料在近3年内，引用</w:t>
            </w:r>
            <w:r>
              <w:rPr>
                <w:rFonts w:hint="eastAsia"/>
                <w:color w:val="auto"/>
                <w:lang w:val="en-US" w:eastAsia="zh-CN"/>
              </w:rPr>
              <w:t>监测点位于本项目厂区东侧4.78km处，因此，本次评价引用的历史监测资料数据有效。</w:t>
            </w:r>
          </w:p>
          <w:p w14:paraId="6427C9AF">
            <w:pPr>
              <w:pStyle w:val="54"/>
              <w:bidi w:val="0"/>
              <w:rPr>
                <w:rFonts w:hint="default" w:eastAsia="宋体"/>
                <w:color w:val="auto"/>
                <w:lang w:val="en-US" w:eastAsia="zh-CN"/>
              </w:rPr>
            </w:pPr>
            <w:r>
              <w:rPr>
                <w:rFonts w:hint="eastAsia"/>
                <w:color w:val="auto"/>
                <w:lang w:val="en-US" w:eastAsia="zh-CN"/>
              </w:rPr>
              <w:t>根据《环境影响评价技术导则 大气环境》（HJ2.2-2018）的要求及本项目污染源所排放的特征污染物，本次评价引用1个大气环境质量现状监测点。监测布点情况见表19和附图5。</w:t>
            </w:r>
          </w:p>
          <w:p w14:paraId="369A7B3B">
            <w:pPr>
              <w:pStyle w:val="33"/>
              <w:bidi w:val="0"/>
              <w:rPr>
                <w:rFonts w:hint="eastAsia"/>
                <w:lang w:val="en-US" w:eastAsia="zh-CN"/>
              </w:rPr>
            </w:pPr>
            <w:r>
              <w:rPr>
                <w:rFonts w:hint="eastAsia"/>
                <w:lang w:val="en-US" w:eastAsia="zh-CN"/>
              </w:rPr>
              <w:t>表19    大气其他污染物引用情况</w:t>
            </w:r>
          </w:p>
          <w:tbl>
            <w:tblPr>
              <w:tblStyle w:val="52"/>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679"/>
              <w:gridCol w:w="623"/>
              <w:gridCol w:w="1026"/>
              <w:gridCol w:w="1026"/>
              <w:gridCol w:w="2299"/>
              <w:gridCol w:w="1162"/>
              <w:gridCol w:w="1163"/>
            </w:tblGrid>
            <w:tr w14:paraId="027A7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25" w:type="pct"/>
                  <w:vMerge w:val="restart"/>
                  <w:noWrap w:val="0"/>
                  <w:vAlign w:val="center"/>
                </w:tcPr>
                <w:p w14:paraId="7DCF08D6">
                  <w:pPr>
                    <w:pStyle w:val="53"/>
                    <w:bidi w:val="0"/>
                  </w:pPr>
                  <w:r>
                    <w:rPr>
                      <w:rFonts w:hint="eastAsia"/>
                    </w:rPr>
                    <w:t>监测项目</w:t>
                  </w:r>
                </w:p>
              </w:tc>
              <w:tc>
                <w:tcPr>
                  <w:tcW w:w="390" w:type="pct"/>
                  <w:vMerge w:val="restart"/>
                  <w:noWrap w:val="0"/>
                  <w:vAlign w:val="center"/>
                </w:tcPr>
                <w:p w14:paraId="75B8A090">
                  <w:pPr>
                    <w:pStyle w:val="53"/>
                    <w:bidi w:val="0"/>
                  </w:pPr>
                  <w:r>
                    <w:rPr>
                      <w:rFonts w:hint="eastAsia"/>
                    </w:rPr>
                    <w:t>监测点位</w:t>
                  </w:r>
                </w:p>
              </w:tc>
              <w:tc>
                <w:tcPr>
                  <w:tcW w:w="1286" w:type="pct"/>
                  <w:gridSpan w:val="2"/>
                  <w:noWrap w:val="0"/>
                  <w:vAlign w:val="center"/>
                </w:tcPr>
                <w:p w14:paraId="43237E20">
                  <w:pPr>
                    <w:pStyle w:val="53"/>
                    <w:bidi w:val="0"/>
                  </w:pPr>
                  <w:r>
                    <w:rPr>
                      <w:rFonts w:hint="eastAsia"/>
                    </w:rPr>
                    <w:t>点位坐标</w:t>
                  </w:r>
                </w:p>
              </w:tc>
              <w:tc>
                <w:tcPr>
                  <w:tcW w:w="1440" w:type="pct"/>
                  <w:vMerge w:val="restart"/>
                  <w:noWrap w:val="0"/>
                  <w:vAlign w:val="center"/>
                </w:tcPr>
                <w:p w14:paraId="056722A5">
                  <w:pPr>
                    <w:pStyle w:val="53"/>
                    <w:bidi w:val="0"/>
                  </w:pPr>
                  <w:r>
                    <w:rPr>
                      <w:rFonts w:hint="eastAsia"/>
                      <w:lang w:val="en-US" w:eastAsia="zh-CN"/>
                    </w:rPr>
                    <w:t>功能区</w:t>
                  </w:r>
                </w:p>
              </w:tc>
              <w:tc>
                <w:tcPr>
                  <w:tcW w:w="1457" w:type="pct"/>
                  <w:gridSpan w:val="2"/>
                  <w:noWrap w:val="0"/>
                  <w:vAlign w:val="center"/>
                </w:tcPr>
                <w:p w14:paraId="49F19233">
                  <w:pPr>
                    <w:pStyle w:val="53"/>
                    <w:bidi w:val="0"/>
                  </w:pPr>
                  <w:r>
                    <w:rPr>
                      <w:rFonts w:hint="eastAsia"/>
                    </w:rPr>
                    <w:t>监测方案及监测因子</w:t>
                  </w:r>
                </w:p>
              </w:tc>
            </w:tr>
            <w:tr w14:paraId="240388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25" w:type="pct"/>
                  <w:vMerge w:val="continue"/>
                  <w:noWrap w:val="0"/>
                  <w:vAlign w:val="center"/>
                </w:tcPr>
                <w:p w14:paraId="07993D26">
                  <w:pPr>
                    <w:pStyle w:val="53"/>
                    <w:bidi w:val="0"/>
                  </w:pPr>
                </w:p>
              </w:tc>
              <w:tc>
                <w:tcPr>
                  <w:tcW w:w="390" w:type="pct"/>
                  <w:vMerge w:val="continue"/>
                  <w:noWrap w:val="0"/>
                  <w:vAlign w:val="center"/>
                </w:tcPr>
                <w:p w14:paraId="0AA4FAF5">
                  <w:pPr>
                    <w:pStyle w:val="53"/>
                    <w:bidi w:val="0"/>
                  </w:pPr>
                </w:p>
              </w:tc>
              <w:tc>
                <w:tcPr>
                  <w:tcW w:w="643" w:type="pct"/>
                  <w:noWrap w:val="0"/>
                  <w:vAlign w:val="center"/>
                </w:tcPr>
                <w:p w14:paraId="16E441A9">
                  <w:pPr>
                    <w:pStyle w:val="53"/>
                    <w:bidi w:val="0"/>
                    <w:rPr>
                      <w:rFonts w:hint="eastAsia" w:eastAsia="宋体"/>
                      <w:lang w:val="en-US" w:eastAsia="zh-CN"/>
                    </w:rPr>
                  </w:pPr>
                  <w:r>
                    <w:rPr>
                      <w:rFonts w:hint="eastAsia"/>
                      <w:lang w:val="en-US" w:eastAsia="zh-CN"/>
                    </w:rPr>
                    <w:t>X</w:t>
                  </w:r>
                </w:p>
              </w:tc>
              <w:tc>
                <w:tcPr>
                  <w:tcW w:w="643" w:type="pct"/>
                  <w:noWrap w:val="0"/>
                  <w:vAlign w:val="center"/>
                </w:tcPr>
                <w:p w14:paraId="7B1FB20F">
                  <w:pPr>
                    <w:pStyle w:val="53"/>
                    <w:bidi w:val="0"/>
                    <w:rPr>
                      <w:rFonts w:hint="eastAsia" w:eastAsia="宋体"/>
                      <w:lang w:val="en-US" w:eastAsia="zh-CN"/>
                    </w:rPr>
                  </w:pPr>
                  <w:r>
                    <w:rPr>
                      <w:rFonts w:hint="eastAsia"/>
                      <w:lang w:val="en-US" w:eastAsia="zh-CN"/>
                    </w:rPr>
                    <w:t>Y</w:t>
                  </w:r>
                </w:p>
              </w:tc>
              <w:tc>
                <w:tcPr>
                  <w:tcW w:w="1440" w:type="pct"/>
                  <w:vMerge w:val="continue"/>
                  <w:noWrap w:val="0"/>
                  <w:vAlign w:val="center"/>
                </w:tcPr>
                <w:p w14:paraId="77756462">
                  <w:pPr>
                    <w:pStyle w:val="53"/>
                    <w:bidi w:val="0"/>
                    <w:rPr>
                      <w:rFonts w:hint="eastAsia"/>
                    </w:rPr>
                  </w:pPr>
                </w:p>
              </w:tc>
              <w:tc>
                <w:tcPr>
                  <w:tcW w:w="728" w:type="pct"/>
                  <w:noWrap w:val="0"/>
                  <w:vAlign w:val="center"/>
                </w:tcPr>
                <w:p w14:paraId="529C47D6">
                  <w:pPr>
                    <w:pStyle w:val="53"/>
                    <w:bidi w:val="0"/>
                    <w:rPr>
                      <w:rFonts w:hint="eastAsia"/>
                    </w:rPr>
                  </w:pPr>
                  <w:r>
                    <w:rPr>
                      <w:rFonts w:hint="eastAsia"/>
                    </w:rPr>
                    <w:t>24小时平均浓度</w:t>
                  </w:r>
                </w:p>
              </w:tc>
              <w:tc>
                <w:tcPr>
                  <w:tcW w:w="728" w:type="pct"/>
                  <w:noWrap w:val="0"/>
                  <w:vAlign w:val="center"/>
                </w:tcPr>
                <w:p w14:paraId="2EFF1126">
                  <w:pPr>
                    <w:pStyle w:val="53"/>
                    <w:bidi w:val="0"/>
                    <w:rPr>
                      <w:rFonts w:hint="eastAsia"/>
                    </w:rPr>
                  </w:pPr>
                  <w:r>
                    <w:rPr>
                      <w:rFonts w:hint="eastAsia"/>
                    </w:rPr>
                    <w:t>1小时平均浓度</w:t>
                  </w:r>
                </w:p>
              </w:tc>
            </w:tr>
            <w:tr w14:paraId="0D431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25" w:type="pct"/>
                  <w:noWrap w:val="0"/>
                  <w:vAlign w:val="center"/>
                </w:tcPr>
                <w:p w14:paraId="4D5A18BA">
                  <w:pPr>
                    <w:pStyle w:val="53"/>
                    <w:bidi w:val="0"/>
                    <w:rPr>
                      <w:rFonts w:hint="default" w:eastAsia="宋体"/>
                      <w:lang w:val="en-US" w:eastAsia="zh-CN"/>
                    </w:rPr>
                  </w:pPr>
                  <w:r>
                    <w:rPr>
                      <w:rFonts w:hint="eastAsia"/>
                    </w:rPr>
                    <w:t>TSP</w:t>
                  </w:r>
                </w:p>
              </w:tc>
              <w:tc>
                <w:tcPr>
                  <w:tcW w:w="390" w:type="pct"/>
                  <w:noWrap w:val="0"/>
                  <w:vAlign w:val="center"/>
                </w:tcPr>
                <w:p w14:paraId="4A5D338E">
                  <w:pPr>
                    <w:pStyle w:val="53"/>
                    <w:bidi w:val="0"/>
                    <w:rPr>
                      <w:rFonts w:hint="default" w:eastAsia="宋体"/>
                      <w:lang w:val="en-US" w:eastAsia="zh-CN"/>
                    </w:rPr>
                  </w:pPr>
                  <w:r>
                    <w:rPr>
                      <w:rFonts w:hint="eastAsia"/>
                      <w:lang w:val="en-US" w:eastAsia="zh-CN"/>
                    </w:rPr>
                    <w:t>1#</w:t>
                  </w:r>
                </w:p>
              </w:tc>
              <w:tc>
                <w:tcPr>
                  <w:tcW w:w="643" w:type="pct"/>
                  <w:noWrap w:val="0"/>
                  <w:vAlign w:val="center"/>
                </w:tcPr>
                <w:p w14:paraId="55E5F949">
                  <w:pPr>
                    <w:pStyle w:val="53"/>
                    <w:bidi w:val="0"/>
                  </w:pPr>
                  <w:r>
                    <w:rPr>
                      <w:rFonts w:hint="eastAsia"/>
                    </w:rPr>
                    <w:t>4574362</w:t>
                  </w:r>
                </w:p>
              </w:tc>
              <w:tc>
                <w:tcPr>
                  <w:tcW w:w="643" w:type="pct"/>
                  <w:noWrap w:val="0"/>
                  <w:vAlign w:val="center"/>
                </w:tcPr>
                <w:p w14:paraId="12FAD6EB">
                  <w:pPr>
                    <w:pStyle w:val="53"/>
                    <w:bidi w:val="0"/>
                  </w:pPr>
                  <w:r>
                    <w:rPr>
                      <w:rFonts w:hint="eastAsia"/>
                    </w:rPr>
                    <w:t>36543770</w:t>
                  </w:r>
                </w:p>
              </w:tc>
              <w:tc>
                <w:tcPr>
                  <w:tcW w:w="1440" w:type="pct"/>
                  <w:noWrap w:val="0"/>
                  <w:vAlign w:val="center"/>
                </w:tcPr>
                <w:p w14:paraId="26B96D7E">
                  <w:pPr>
                    <w:pStyle w:val="53"/>
                    <w:bidi w:val="0"/>
                  </w:pPr>
                  <w:r>
                    <w:rPr>
                      <w:rFonts w:hint="eastAsia"/>
                    </w:rPr>
                    <w:t>环境空气质量标准（GB 3095-2012）二类区</w:t>
                  </w:r>
                </w:p>
              </w:tc>
              <w:tc>
                <w:tcPr>
                  <w:tcW w:w="728" w:type="pct"/>
                  <w:noWrap w:val="0"/>
                  <w:vAlign w:val="center"/>
                </w:tcPr>
                <w:p w14:paraId="33E8AEE7">
                  <w:pPr>
                    <w:pStyle w:val="53"/>
                    <w:bidi w:val="0"/>
                    <w:rPr>
                      <w:rFonts w:hint="default" w:eastAsia="宋体"/>
                      <w:lang w:val="en-US" w:eastAsia="zh-CN"/>
                    </w:rPr>
                  </w:pPr>
                  <w:r>
                    <w:rPr>
                      <w:rFonts w:hint="eastAsia"/>
                      <w:lang w:val="en-US" w:eastAsia="zh-CN"/>
                    </w:rPr>
                    <w:t>TSP</w:t>
                  </w:r>
                </w:p>
              </w:tc>
              <w:tc>
                <w:tcPr>
                  <w:tcW w:w="728" w:type="pct"/>
                  <w:noWrap w:val="0"/>
                  <w:vAlign w:val="center"/>
                </w:tcPr>
                <w:p w14:paraId="09FD6034">
                  <w:pPr>
                    <w:pStyle w:val="53"/>
                    <w:bidi w:val="0"/>
                    <w:rPr>
                      <w:rFonts w:hint="eastAsia" w:eastAsia="宋体"/>
                      <w:lang w:val="en-US" w:eastAsia="zh-CN"/>
                    </w:rPr>
                  </w:pPr>
                  <w:r>
                    <w:rPr>
                      <w:rFonts w:hint="eastAsia"/>
                      <w:lang w:val="en-US" w:eastAsia="zh-CN"/>
                    </w:rPr>
                    <w:t>—</w:t>
                  </w:r>
                </w:p>
              </w:tc>
            </w:tr>
          </w:tbl>
          <w:p w14:paraId="2A77F910">
            <w:pPr>
              <w:pStyle w:val="54"/>
              <w:bidi w:val="0"/>
              <w:rPr>
                <w:rFonts w:hint="eastAsia"/>
                <w:lang w:val="en-US" w:eastAsia="zh-CN"/>
              </w:rPr>
            </w:pPr>
            <w:r>
              <w:rPr>
                <w:rFonts w:hint="eastAsia"/>
                <w:lang w:val="en-US" w:eastAsia="zh-CN"/>
              </w:rPr>
              <w:t>（1）监测时间及频率</w:t>
            </w:r>
          </w:p>
          <w:p w14:paraId="6C47B267">
            <w:pPr>
              <w:pStyle w:val="54"/>
              <w:bidi w:val="0"/>
              <w:rPr>
                <w:rFonts w:hint="eastAsia"/>
                <w:lang w:val="en-US" w:eastAsia="zh-CN"/>
              </w:rPr>
            </w:pPr>
            <w:r>
              <w:rPr>
                <w:rFonts w:hint="eastAsia"/>
                <w:lang w:val="en-US" w:eastAsia="zh-CN"/>
              </w:rPr>
              <w:t>引用监测点TSP监测时间为2024年9月4日～9月6日，连续监测3天，TSP的24小时平均浓度每日采样应为24小时。监测期间收集当地气象站每天24小时逐时风向、风速、气压、气温、总云量、低云量，并给出各监测因子分析方法及检出限。</w:t>
            </w:r>
          </w:p>
          <w:p w14:paraId="7EC449A3">
            <w:pPr>
              <w:pStyle w:val="54"/>
              <w:bidi w:val="0"/>
              <w:rPr>
                <w:rFonts w:hint="eastAsia"/>
                <w:lang w:val="en-US" w:eastAsia="zh-CN"/>
              </w:rPr>
            </w:pPr>
            <w:r>
              <w:rPr>
                <w:rFonts w:hint="eastAsia"/>
                <w:lang w:val="en-US" w:eastAsia="zh-CN"/>
              </w:rPr>
              <w:t>（2）检测及分析方法</w:t>
            </w:r>
          </w:p>
          <w:p w14:paraId="6EC9A583">
            <w:pPr>
              <w:pStyle w:val="54"/>
              <w:bidi w:val="0"/>
              <w:rPr>
                <w:rFonts w:hint="eastAsia"/>
                <w:lang w:val="en-US" w:eastAsia="zh-CN"/>
              </w:rPr>
            </w:pPr>
            <w:r>
              <w:rPr>
                <w:rFonts w:hint="eastAsia"/>
                <w:lang w:val="en-US" w:eastAsia="zh-CN"/>
              </w:rPr>
              <w:t>各监测因子检测方法及检出限表见表20。</w:t>
            </w:r>
          </w:p>
          <w:p w14:paraId="421214F7">
            <w:pPr>
              <w:pStyle w:val="33"/>
              <w:bidi w:val="0"/>
              <w:rPr>
                <w:rFonts w:hint="eastAsia"/>
                <w:lang w:val="en-US" w:eastAsia="zh-CN"/>
              </w:rPr>
            </w:pPr>
            <w:r>
              <w:rPr>
                <w:rFonts w:hint="eastAsia"/>
                <w:lang w:val="en-US" w:eastAsia="zh-CN"/>
              </w:rPr>
              <w:t>表20    大气环境监测方法及检出限一览表</w:t>
            </w:r>
          </w:p>
          <w:tbl>
            <w:tblPr>
              <w:tblStyle w:val="18"/>
              <w:tblW w:w="798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258"/>
              <w:gridCol w:w="1257"/>
              <w:gridCol w:w="1858"/>
              <w:gridCol w:w="1085"/>
              <w:gridCol w:w="1852"/>
            </w:tblGrid>
            <w:tr w14:paraId="7E92CC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4" w:type="dxa"/>
                  <w:tcBorders>
                    <w:tl2br w:val="nil"/>
                    <w:tr2bl w:val="nil"/>
                  </w:tcBorders>
                  <w:vAlign w:val="center"/>
                </w:tcPr>
                <w:p w14:paraId="6CCB12DE">
                  <w:pPr>
                    <w:pStyle w:val="53"/>
                    <w:bidi w:val="0"/>
                    <w:rPr>
                      <w:rFonts w:hint="eastAsia"/>
                      <w:lang w:val="en-US" w:eastAsia="zh-CN"/>
                    </w:rPr>
                  </w:pPr>
                  <w:r>
                    <w:rPr>
                      <w:rFonts w:hint="eastAsia"/>
                      <w:lang w:val="en-US" w:eastAsia="zh-CN"/>
                    </w:rPr>
                    <w:t>序号</w:t>
                  </w:r>
                </w:p>
              </w:tc>
              <w:tc>
                <w:tcPr>
                  <w:tcW w:w="1258" w:type="dxa"/>
                  <w:tcBorders>
                    <w:tl2br w:val="nil"/>
                    <w:tr2bl w:val="nil"/>
                  </w:tcBorders>
                  <w:vAlign w:val="center"/>
                </w:tcPr>
                <w:p w14:paraId="32B12066">
                  <w:pPr>
                    <w:pStyle w:val="53"/>
                    <w:bidi w:val="0"/>
                    <w:rPr>
                      <w:rFonts w:hint="eastAsia"/>
                      <w:lang w:val="en-US" w:eastAsia="zh-CN"/>
                    </w:rPr>
                  </w:pPr>
                  <w:r>
                    <w:rPr>
                      <w:rFonts w:hint="eastAsia"/>
                      <w:lang w:val="en-US" w:eastAsia="zh-CN"/>
                    </w:rPr>
                    <w:t>监测项目</w:t>
                  </w:r>
                </w:p>
              </w:tc>
              <w:tc>
                <w:tcPr>
                  <w:tcW w:w="1257" w:type="dxa"/>
                  <w:tcBorders>
                    <w:tl2br w:val="nil"/>
                    <w:tr2bl w:val="nil"/>
                  </w:tcBorders>
                  <w:vAlign w:val="center"/>
                </w:tcPr>
                <w:p w14:paraId="6E26E4CC">
                  <w:pPr>
                    <w:pStyle w:val="53"/>
                    <w:bidi w:val="0"/>
                    <w:rPr>
                      <w:rFonts w:hint="eastAsia"/>
                      <w:lang w:val="en-US" w:eastAsia="zh-CN"/>
                    </w:rPr>
                  </w:pPr>
                  <w:r>
                    <w:rPr>
                      <w:rFonts w:hint="eastAsia"/>
                      <w:lang w:val="en-US" w:eastAsia="zh-CN"/>
                    </w:rPr>
                    <w:t>分析方法</w:t>
                  </w:r>
                </w:p>
              </w:tc>
              <w:tc>
                <w:tcPr>
                  <w:tcW w:w="1858" w:type="dxa"/>
                  <w:tcBorders>
                    <w:tl2br w:val="nil"/>
                    <w:tr2bl w:val="nil"/>
                  </w:tcBorders>
                  <w:vAlign w:val="center"/>
                </w:tcPr>
                <w:p w14:paraId="72ACAB00">
                  <w:pPr>
                    <w:pStyle w:val="53"/>
                    <w:bidi w:val="0"/>
                    <w:rPr>
                      <w:rFonts w:hint="eastAsia"/>
                      <w:lang w:val="en-US" w:eastAsia="zh-CN"/>
                    </w:rPr>
                  </w:pPr>
                  <w:r>
                    <w:rPr>
                      <w:rFonts w:hint="eastAsia"/>
                      <w:lang w:val="en-US" w:eastAsia="zh-CN"/>
                    </w:rPr>
                    <w:t>方法来源</w:t>
                  </w:r>
                </w:p>
              </w:tc>
              <w:tc>
                <w:tcPr>
                  <w:tcW w:w="1085" w:type="dxa"/>
                  <w:tcBorders>
                    <w:tl2br w:val="nil"/>
                    <w:tr2bl w:val="nil"/>
                  </w:tcBorders>
                  <w:vAlign w:val="center"/>
                </w:tcPr>
                <w:p w14:paraId="5123294D">
                  <w:pPr>
                    <w:pStyle w:val="53"/>
                    <w:bidi w:val="0"/>
                    <w:rPr>
                      <w:rFonts w:hint="eastAsia"/>
                      <w:lang w:val="en-US" w:eastAsia="zh-CN"/>
                    </w:rPr>
                  </w:pPr>
                  <w:r>
                    <w:rPr>
                      <w:rFonts w:hint="eastAsia"/>
                      <w:lang w:val="en-US" w:eastAsia="zh-CN"/>
                    </w:rPr>
                    <w:t>单位</w:t>
                  </w:r>
                </w:p>
              </w:tc>
              <w:tc>
                <w:tcPr>
                  <w:tcW w:w="1852" w:type="dxa"/>
                  <w:tcBorders>
                    <w:tl2br w:val="nil"/>
                    <w:tr2bl w:val="nil"/>
                  </w:tcBorders>
                  <w:vAlign w:val="center"/>
                </w:tcPr>
                <w:p w14:paraId="33940D69">
                  <w:pPr>
                    <w:pStyle w:val="53"/>
                    <w:bidi w:val="0"/>
                    <w:rPr>
                      <w:rFonts w:hint="eastAsia"/>
                      <w:lang w:val="en-US" w:eastAsia="zh-CN"/>
                    </w:rPr>
                  </w:pPr>
                  <w:r>
                    <w:rPr>
                      <w:rFonts w:hint="eastAsia"/>
                      <w:lang w:val="en-US" w:eastAsia="zh-CN"/>
                    </w:rPr>
                    <w:t>最低检出浓度</w:t>
                  </w:r>
                </w:p>
              </w:tc>
            </w:tr>
            <w:tr w14:paraId="2B571D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4" w:type="dxa"/>
                  <w:tcBorders>
                    <w:tl2br w:val="nil"/>
                    <w:tr2bl w:val="nil"/>
                  </w:tcBorders>
                  <w:vAlign w:val="center"/>
                </w:tcPr>
                <w:p w14:paraId="079472E3">
                  <w:pPr>
                    <w:pStyle w:val="53"/>
                    <w:bidi w:val="0"/>
                    <w:rPr>
                      <w:rFonts w:hint="eastAsia"/>
                      <w:lang w:val="en-US" w:eastAsia="zh-CN"/>
                    </w:rPr>
                  </w:pPr>
                  <w:r>
                    <w:rPr>
                      <w:rFonts w:hint="eastAsia"/>
                      <w:lang w:val="en-US" w:eastAsia="zh-CN"/>
                    </w:rPr>
                    <w:t>1</w:t>
                  </w:r>
                </w:p>
              </w:tc>
              <w:tc>
                <w:tcPr>
                  <w:tcW w:w="1258" w:type="dxa"/>
                  <w:tcBorders>
                    <w:tl2br w:val="nil"/>
                    <w:tr2bl w:val="nil"/>
                  </w:tcBorders>
                  <w:vAlign w:val="center"/>
                </w:tcPr>
                <w:p w14:paraId="1C16212F">
                  <w:pPr>
                    <w:pStyle w:val="53"/>
                    <w:bidi w:val="0"/>
                    <w:rPr>
                      <w:rFonts w:hint="eastAsia"/>
                      <w:lang w:val="en-US" w:eastAsia="zh-CN"/>
                    </w:rPr>
                  </w:pPr>
                  <w:r>
                    <w:rPr>
                      <w:rFonts w:hint="eastAsia"/>
                      <w:lang w:val="en-US" w:eastAsia="zh-CN"/>
                    </w:rPr>
                    <w:t>TSP</w:t>
                  </w:r>
                </w:p>
              </w:tc>
              <w:tc>
                <w:tcPr>
                  <w:tcW w:w="1257" w:type="dxa"/>
                  <w:tcBorders>
                    <w:tl2br w:val="nil"/>
                    <w:tr2bl w:val="nil"/>
                  </w:tcBorders>
                  <w:vAlign w:val="center"/>
                </w:tcPr>
                <w:p w14:paraId="4DCD7850">
                  <w:pPr>
                    <w:pStyle w:val="53"/>
                    <w:bidi w:val="0"/>
                    <w:rPr>
                      <w:rFonts w:hint="eastAsia"/>
                      <w:lang w:val="en-US" w:eastAsia="zh-CN"/>
                    </w:rPr>
                  </w:pPr>
                  <w:r>
                    <w:rPr>
                      <w:rFonts w:hint="eastAsia"/>
                      <w:lang w:val="en-US" w:eastAsia="zh-CN"/>
                    </w:rPr>
                    <w:t>重量法</w:t>
                  </w:r>
                </w:p>
              </w:tc>
              <w:tc>
                <w:tcPr>
                  <w:tcW w:w="1858" w:type="dxa"/>
                  <w:tcBorders>
                    <w:tl2br w:val="nil"/>
                    <w:tr2bl w:val="nil"/>
                  </w:tcBorders>
                  <w:vAlign w:val="center"/>
                </w:tcPr>
                <w:p w14:paraId="2C02086C">
                  <w:pPr>
                    <w:pStyle w:val="53"/>
                    <w:bidi w:val="0"/>
                    <w:rPr>
                      <w:rFonts w:hint="eastAsia"/>
                      <w:lang w:val="en-US" w:eastAsia="zh-CN"/>
                    </w:rPr>
                  </w:pPr>
                  <w:r>
                    <w:rPr>
                      <w:rFonts w:hint="eastAsia"/>
                      <w:lang w:val="en-US" w:eastAsia="zh-CN"/>
                    </w:rPr>
                    <w:t>GB/T 15432-1995</w:t>
                  </w:r>
                </w:p>
              </w:tc>
              <w:tc>
                <w:tcPr>
                  <w:tcW w:w="1085" w:type="dxa"/>
                  <w:tcBorders>
                    <w:tl2br w:val="nil"/>
                    <w:tr2bl w:val="nil"/>
                  </w:tcBorders>
                  <w:vAlign w:val="center"/>
                </w:tcPr>
                <w:p w14:paraId="0AED9FE0">
                  <w:pPr>
                    <w:pStyle w:val="53"/>
                    <w:bidi w:val="0"/>
                    <w:rPr>
                      <w:rFonts w:hint="eastAsia"/>
                      <w:lang w:val="en-US" w:eastAsia="zh-CN"/>
                    </w:rPr>
                  </w:pPr>
                  <w:r>
                    <w:rPr>
                      <w:rFonts w:hint="eastAsia"/>
                      <w:lang w:val="en-US" w:eastAsia="zh-CN"/>
                    </w:rPr>
                    <w:t>mg/m</w:t>
                  </w:r>
                  <w:r>
                    <w:rPr>
                      <w:rFonts w:hint="eastAsia"/>
                      <w:vertAlign w:val="superscript"/>
                      <w:lang w:val="en-US" w:eastAsia="zh-CN"/>
                    </w:rPr>
                    <w:t>3</w:t>
                  </w:r>
                </w:p>
              </w:tc>
              <w:tc>
                <w:tcPr>
                  <w:tcW w:w="1852" w:type="dxa"/>
                  <w:tcBorders>
                    <w:tl2br w:val="nil"/>
                    <w:tr2bl w:val="nil"/>
                  </w:tcBorders>
                  <w:vAlign w:val="center"/>
                </w:tcPr>
                <w:p w14:paraId="7A034AE3">
                  <w:pPr>
                    <w:pStyle w:val="53"/>
                    <w:bidi w:val="0"/>
                    <w:rPr>
                      <w:rFonts w:hint="eastAsia"/>
                      <w:lang w:val="en-US" w:eastAsia="zh-CN"/>
                    </w:rPr>
                  </w:pPr>
                  <w:r>
                    <w:rPr>
                      <w:rFonts w:hint="eastAsia"/>
                      <w:lang w:val="en-US" w:eastAsia="zh-CN"/>
                    </w:rPr>
                    <w:t>24小时平均0.001</w:t>
                  </w:r>
                </w:p>
              </w:tc>
            </w:tr>
          </w:tbl>
          <w:p w14:paraId="3B79DDE9">
            <w:pPr>
              <w:pStyle w:val="54"/>
              <w:bidi w:val="0"/>
              <w:rPr>
                <w:rFonts w:hint="eastAsia"/>
                <w:lang w:val="en-US" w:eastAsia="zh-CN"/>
              </w:rPr>
            </w:pPr>
            <w:r>
              <w:rPr>
                <w:rFonts w:hint="eastAsia"/>
                <w:lang w:val="en-US" w:eastAsia="zh-CN"/>
              </w:rPr>
              <w:t>（3）大气环境质量现状评价</w:t>
            </w:r>
          </w:p>
          <w:p w14:paraId="7CA829E4">
            <w:pPr>
              <w:pStyle w:val="33"/>
              <w:bidi w:val="0"/>
              <w:rPr>
                <w:rFonts w:hint="eastAsia"/>
                <w:lang w:val="en-US" w:eastAsia="zh-CN"/>
              </w:rPr>
            </w:pPr>
            <w:r>
              <w:rPr>
                <w:rFonts w:hint="eastAsia"/>
                <w:lang w:val="en-US" w:eastAsia="zh-CN"/>
              </w:rPr>
              <w:t>表21    大气其他污染物监测结果</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956"/>
              <w:gridCol w:w="981"/>
              <w:gridCol w:w="1003"/>
              <w:gridCol w:w="1788"/>
              <w:gridCol w:w="1178"/>
              <w:gridCol w:w="1211"/>
              <w:gridCol w:w="867"/>
            </w:tblGrid>
            <w:tr w14:paraId="02D31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jc w:val="center"/>
              </w:trPr>
              <w:tc>
                <w:tcPr>
                  <w:tcW w:w="598" w:type="pct"/>
                  <w:noWrap w:val="0"/>
                  <w:vAlign w:val="center"/>
                </w:tcPr>
                <w:p w14:paraId="6D498A22">
                  <w:pPr>
                    <w:pStyle w:val="53"/>
                    <w:bidi w:val="0"/>
                  </w:pPr>
                  <w:r>
                    <w:rPr>
                      <w:rFonts w:hint="eastAsia"/>
                    </w:rPr>
                    <w:t>监测项目</w:t>
                  </w:r>
                </w:p>
              </w:tc>
              <w:tc>
                <w:tcPr>
                  <w:tcW w:w="614" w:type="pct"/>
                  <w:noWrap w:val="0"/>
                  <w:vAlign w:val="center"/>
                </w:tcPr>
                <w:p w14:paraId="51EEF089">
                  <w:pPr>
                    <w:pStyle w:val="53"/>
                    <w:bidi w:val="0"/>
                  </w:pPr>
                  <w:r>
                    <w:rPr>
                      <w:rFonts w:hint="eastAsia"/>
                    </w:rPr>
                    <w:t>监测点位</w:t>
                  </w:r>
                </w:p>
              </w:tc>
              <w:tc>
                <w:tcPr>
                  <w:tcW w:w="628" w:type="pct"/>
                  <w:noWrap w:val="0"/>
                  <w:vAlign w:val="center"/>
                </w:tcPr>
                <w:p w14:paraId="207A79AD">
                  <w:pPr>
                    <w:pStyle w:val="53"/>
                    <w:bidi w:val="0"/>
                    <w:rPr>
                      <w:color w:val="auto"/>
                    </w:rPr>
                  </w:pPr>
                  <w:r>
                    <w:rPr>
                      <w:rFonts w:hint="eastAsia"/>
                      <w:color w:val="auto"/>
                    </w:rPr>
                    <w:t>平均时段</w:t>
                  </w:r>
                </w:p>
              </w:tc>
              <w:tc>
                <w:tcPr>
                  <w:tcW w:w="1119" w:type="pct"/>
                  <w:noWrap w:val="0"/>
                  <w:vAlign w:val="center"/>
                </w:tcPr>
                <w:p w14:paraId="7185C541">
                  <w:pPr>
                    <w:pStyle w:val="53"/>
                    <w:bidi w:val="0"/>
                    <w:rPr>
                      <w:color w:val="auto"/>
                    </w:rPr>
                  </w:pPr>
                  <w:r>
                    <w:rPr>
                      <w:rFonts w:hint="eastAsia"/>
                      <w:color w:val="auto"/>
                    </w:rPr>
                    <w:t>浓度范围（</w:t>
                  </w:r>
                  <w:r>
                    <w:rPr>
                      <w:rFonts w:hint="default" w:ascii="Times New Roman" w:hAnsi="Times New Roman" w:cs="Times New Roman"/>
                      <w:color w:val="auto"/>
                    </w:rPr>
                    <w:t>µ</w:t>
                  </w:r>
                  <w:r>
                    <w:rPr>
                      <w:color w:val="auto"/>
                    </w:rPr>
                    <w:t>g/m</w:t>
                  </w:r>
                  <w:r>
                    <w:rPr>
                      <w:rFonts w:hint="eastAsia"/>
                      <w:color w:val="auto"/>
                      <w:vertAlign w:val="superscript"/>
                      <w:lang w:val="en-US" w:eastAsia="zh-CN"/>
                    </w:rPr>
                    <w:t>3</w:t>
                  </w:r>
                  <w:r>
                    <w:rPr>
                      <w:color w:val="auto"/>
                    </w:rPr>
                    <w:t>）</w:t>
                  </w:r>
                </w:p>
              </w:tc>
              <w:tc>
                <w:tcPr>
                  <w:tcW w:w="737" w:type="pct"/>
                  <w:noWrap w:val="0"/>
                  <w:vAlign w:val="center"/>
                </w:tcPr>
                <w:p w14:paraId="282C5024">
                  <w:pPr>
                    <w:pStyle w:val="53"/>
                    <w:bidi w:val="0"/>
                    <w:rPr>
                      <w:color w:val="auto"/>
                    </w:rPr>
                  </w:pPr>
                  <w:r>
                    <w:rPr>
                      <w:rFonts w:hint="eastAsia"/>
                      <w:color w:val="auto"/>
                    </w:rPr>
                    <w:t>执行标准（</w:t>
                  </w:r>
                  <w:r>
                    <w:rPr>
                      <w:rFonts w:hint="default" w:ascii="Times New Roman" w:hAnsi="Times New Roman" w:cs="Times New Roman"/>
                      <w:color w:val="auto"/>
                    </w:rPr>
                    <w:t>µ</w:t>
                  </w:r>
                  <w:r>
                    <w:rPr>
                      <w:color w:val="auto"/>
                    </w:rPr>
                    <w:t>g/m</w:t>
                  </w:r>
                  <w:r>
                    <w:rPr>
                      <w:rFonts w:hint="eastAsia"/>
                      <w:color w:val="auto"/>
                      <w:vertAlign w:val="superscript"/>
                      <w:lang w:val="en-US" w:eastAsia="zh-CN"/>
                    </w:rPr>
                    <w:t>3</w:t>
                  </w:r>
                  <w:r>
                    <w:rPr>
                      <w:rFonts w:hint="eastAsia"/>
                      <w:color w:val="auto"/>
                    </w:rPr>
                    <w:t>）</w:t>
                  </w:r>
                </w:p>
              </w:tc>
              <w:tc>
                <w:tcPr>
                  <w:tcW w:w="758" w:type="pct"/>
                  <w:noWrap w:val="0"/>
                  <w:vAlign w:val="center"/>
                </w:tcPr>
                <w:p w14:paraId="0C6ADAB0">
                  <w:pPr>
                    <w:pStyle w:val="53"/>
                    <w:bidi w:val="0"/>
                  </w:pPr>
                  <w:r>
                    <w:rPr>
                      <w:rFonts w:hint="eastAsia"/>
                    </w:rPr>
                    <w:t>最大浓度占标率（</w:t>
                  </w:r>
                  <w:r>
                    <w:rPr>
                      <w:rFonts w:hint="eastAsia" w:ascii="Times New Roman" w:hAnsi="Times New Roman" w:cs="Times New Roman"/>
                      <w:lang w:val="en-US" w:eastAsia="zh-CN"/>
                    </w:rPr>
                    <w:t>%</w:t>
                  </w:r>
                  <w:r>
                    <w:rPr>
                      <w:rFonts w:hint="eastAsia"/>
                    </w:rPr>
                    <w:t>）</w:t>
                  </w:r>
                </w:p>
              </w:tc>
              <w:tc>
                <w:tcPr>
                  <w:tcW w:w="542" w:type="pct"/>
                  <w:noWrap w:val="0"/>
                  <w:vAlign w:val="center"/>
                </w:tcPr>
                <w:p w14:paraId="749F7ED9">
                  <w:pPr>
                    <w:pStyle w:val="53"/>
                    <w:bidi w:val="0"/>
                  </w:pPr>
                  <w:r>
                    <w:rPr>
                      <w:rFonts w:hint="eastAsia"/>
                    </w:rPr>
                    <w:t>超标率（</w:t>
                  </w:r>
                  <w:r>
                    <w:rPr>
                      <w:rFonts w:hint="eastAsia"/>
                      <w:lang w:val="en-US" w:eastAsia="zh-CN"/>
                    </w:rPr>
                    <w:t>%</w:t>
                  </w:r>
                  <w:r>
                    <w:rPr>
                      <w:rFonts w:hint="eastAsia"/>
                    </w:rPr>
                    <w:t>）</w:t>
                  </w:r>
                </w:p>
              </w:tc>
            </w:tr>
            <w:tr w14:paraId="6A89C4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jc w:val="center"/>
              </w:trPr>
              <w:tc>
                <w:tcPr>
                  <w:tcW w:w="598" w:type="pct"/>
                  <w:noWrap w:val="0"/>
                  <w:vAlign w:val="center"/>
                </w:tcPr>
                <w:p w14:paraId="2CDFC5F4">
                  <w:pPr>
                    <w:pStyle w:val="53"/>
                    <w:bidi w:val="0"/>
                  </w:pPr>
                  <w:r>
                    <w:rPr>
                      <w:rFonts w:hint="eastAsia"/>
                    </w:rPr>
                    <w:t>TSP</w:t>
                  </w:r>
                </w:p>
              </w:tc>
              <w:tc>
                <w:tcPr>
                  <w:tcW w:w="614" w:type="pct"/>
                  <w:noWrap w:val="0"/>
                  <w:vAlign w:val="center"/>
                </w:tcPr>
                <w:p w14:paraId="42DA1CD1">
                  <w:pPr>
                    <w:pStyle w:val="53"/>
                    <w:bidi w:val="0"/>
                    <w:rPr>
                      <w:rFonts w:hint="default" w:eastAsia="宋体"/>
                      <w:lang w:val="en-US" w:eastAsia="zh-CN"/>
                    </w:rPr>
                  </w:pPr>
                  <w:r>
                    <w:rPr>
                      <w:rFonts w:hint="eastAsia"/>
                      <w:lang w:val="en-US" w:eastAsia="zh-CN"/>
                    </w:rPr>
                    <w:t>1#</w:t>
                  </w:r>
                </w:p>
              </w:tc>
              <w:tc>
                <w:tcPr>
                  <w:tcW w:w="628" w:type="pct"/>
                  <w:noWrap w:val="0"/>
                  <w:vAlign w:val="center"/>
                </w:tcPr>
                <w:p w14:paraId="078A3B56">
                  <w:pPr>
                    <w:pStyle w:val="53"/>
                    <w:bidi w:val="0"/>
                  </w:pPr>
                  <w:r>
                    <w:rPr>
                      <w:rFonts w:hint="eastAsia"/>
                    </w:rPr>
                    <w:t>日平均</w:t>
                  </w:r>
                </w:p>
              </w:tc>
              <w:tc>
                <w:tcPr>
                  <w:tcW w:w="1119" w:type="pct"/>
                  <w:noWrap w:val="0"/>
                  <w:vAlign w:val="center"/>
                </w:tcPr>
                <w:p w14:paraId="666C8DB5">
                  <w:pPr>
                    <w:pStyle w:val="53"/>
                    <w:bidi w:val="0"/>
                    <w:rPr>
                      <w:rFonts w:hint="default" w:eastAsia="宋体"/>
                      <w:lang w:val="en-US" w:eastAsia="zh-CN"/>
                    </w:rPr>
                  </w:pPr>
                  <w:r>
                    <w:rPr>
                      <w:rFonts w:hint="eastAsia"/>
                      <w:lang w:val="en-US" w:eastAsia="zh-CN"/>
                    </w:rPr>
                    <w:t>229~281</w:t>
                  </w:r>
                </w:p>
              </w:tc>
              <w:tc>
                <w:tcPr>
                  <w:tcW w:w="737" w:type="pct"/>
                  <w:noWrap w:val="0"/>
                  <w:vAlign w:val="center"/>
                </w:tcPr>
                <w:p w14:paraId="78AD1F8F">
                  <w:pPr>
                    <w:pStyle w:val="53"/>
                    <w:bidi w:val="0"/>
                  </w:pPr>
                  <w:r>
                    <w:rPr>
                      <w:rFonts w:hint="eastAsia"/>
                    </w:rPr>
                    <w:t>3</w:t>
                  </w:r>
                  <w:r>
                    <w:t>00</w:t>
                  </w:r>
                </w:p>
              </w:tc>
              <w:tc>
                <w:tcPr>
                  <w:tcW w:w="758" w:type="pct"/>
                  <w:noWrap w:val="0"/>
                  <w:vAlign w:val="center"/>
                </w:tcPr>
                <w:p w14:paraId="45192BA6">
                  <w:pPr>
                    <w:pStyle w:val="53"/>
                    <w:bidi w:val="0"/>
                    <w:rPr>
                      <w:rFonts w:hint="default" w:eastAsia="宋体"/>
                      <w:lang w:val="en-US" w:eastAsia="zh-CN"/>
                    </w:rPr>
                  </w:pPr>
                  <w:r>
                    <w:rPr>
                      <w:rFonts w:hint="eastAsia"/>
                      <w:lang w:val="en-US" w:eastAsia="zh-CN"/>
                    </w:rPr>
                    <w:t>93.7</w:t>
                  </w:r>
                </w:p>
              </w:tc>
              <w:tc>
                <w:tcPr>
                  <w:tcW w:w="542" w:type="pct"/>
                  <w:noWrap w:val="0"/>
                  <w:vAlign w:val="center"/>
                </w:tcPr>
                <w:p w14:paraId="71075460">
                  <w:pPr>
                    <w:pStyle w:val="53"/>
                    <w:bidi w:val="0"/>
                    <w:rPr>
                      <w:rFonts w:hint="eastAsia" w:eastAsia="宋体"/>
                      <w:lang w:val="en-US" w:eastAsia="zh-CN"/>
                    </w:rPr>
                  </w:pPr>
                  <w:r>
                    <w:rPr>
                      <w:rFonts w:hint="eastAsia"/>
                      <w:lang w:val="en-US" w:eastAsia="zh-CN"/>
                    </w:rPr>
                    <w:t>0</w:t>
                  </w:r>
                </w:p>
              </w:tc>
            </w:tr>
          </w:tbl>
          <w:p w14:paraId="513A69F2">
            <w:pPr>
              <w:pStyle w:val="54"/>
              <w:bidi w:val="0"/>
              <w:rPr>
                <w:rFonts w:hint="eastAsia"/>
              </w:rPr>
            </w:pPr>
            <w:r>
              <w:rPr>
                <w:rFonts w:hint="eastAsia"/>
                <w:lang w:val="en-US" w:eastAsia="zh-CN"/>
              </w:rPr>
              <w:t>由上表可知，TSP现状值满足《环境空气质量标准》（GB3095-2012）中的二级标准。</w:t>
            </w:r>
          </w:p>
          <w:p w14:paraId="458CCFA9">
            <w:pPr>
              <w:pStyle w:val="54"/>
              <w:bidi w:val="0"/>
              <w:rPr>
                <w:rFonts w:hint="eastAsia"/>
                <w:lang w:val="en-US" w:eastAsia="zh-CN"/>
              </w:rPr>
            </w:pPr>
            <w:r>
              <w:rPr>
                <w:rFonts w:hint="eastAsia"/>
                <w:b/>
                <w:bCs/>
                <w:lang w:val="en-US" w:eastAsia="zh-CN"/>
              </w:rPr>
              <w:t>2、声环境质量现状</w:t>
            </w:r>
          </w:p>
          <w:p w14:paraId="6161856A">
            <w:pPr>
              <w:pStyle w:val="54"/>
              <w:bidi w:val="0"/>
              <w:rPr>
                <w:rFonts w:hint="eastAsia"/>
                <w:lang w:val="en-US" w:eastAsia="zh-CN"/>
              </w:rPr>
            </w:pPr>
            <w:r>
              <w:rPr>
                <w:rFonts w:hint="eastAsia"/>
                <w:lang w:val="en-US" w:eastAsia="zh-CN"/>
              </w:rPr>
              <w:t>根据《建设项目环境影响报告表编制技术指南（污染影响类）（试行）》，厂界外周边50m范围内存在声环境保护目标的建设项目，应监测保护目标声环境质量现状并评价达标情况。各点位应监测昼夜间噪声，监测时间不少于1天，项目夜间不生产则仅监测昼间噪声。</w:t>
            </w:r>
          </w:p>
          <w:p w14:paraId="4CA526F8">
            <w:pPr>
              <w:pStyle w:val="54"/>
              <w:bidi w:val="0"/>
              <w:rPr>
                <w:rFonts w:hint="eastAsia"/>
                <w:lang w:val="en-US" w:eastAsia="zh-CN"/>
              </w:rPr>
            </w:pPr>
            <w:r>
              <w:rPr>
                <w:rFonts w:hint="eastAsia"/>
                <w:lang w:val="en-US" w:eastAsia="zh-CN"/>
              </w:rPr>
              <w:t>本项目厂界外周边50m范围内无声环境保护目标，不进行声环境质量现状监测。</w:t>
            </w:r>
          </w:p>
          <w:p w14:paraId="06BECD20">
            <w:pPr>
              <w:pStyle w:val="54"/>
              <w:bidi w:val="0"/>
              <w:rPr>
                <w:rFonts w:hint="eastAsia"/>
                <w:lang w:val="en-US" w:eastAsia="zh-CN"/>
              </w:rPr>
            </w:pPr>
            <w:r>
              <w:rPr>
                <w:rFonts w:hint="eastAsia"/>
                <w:b/>
                <w:bCs/>
                <w:lang w:val="en-US" w:eastAsia="zh-CN"/>
              </w:rPr>
              <w:t>3、地表水环境质量</w:t>
            </w:r>
          </w:p>
          <w:p w14:paraId="69E2B9D9">
            <w:pPr>
              <w:pStyle w:val="54"/>
              <w:bidi w:val="0"/>
              <w:rPr>
                <w:rFonts w:hint="eastAsia"/>
                <w:lang w:val="en-US" w:eastAsia="zh-CN"/>
              </w:rPr>
            </w:pPr>
            <w:r>
              <w:rPr>
                <w:rFonts w:hint="eastAsia"/>
                <w:lang w:val="en-US" w:eastAsia="zh-CN"/>
              </w:rPr>
              <w:t>拟建项目周围没有地表水体，且本项目无废水外排，则本项目不开展地表水环境质量现状调查。</w:t>
            </w:r>
          </w:p>
          <w:p w14:paraId="3D234CF7">
            <w:pPr>
              <w:pStyle w:val="54"/>
              <w:bidi w:val="0"/>
              <w:rPr>
                <w:rFonts w:hint="eastAsia"/>
                <w:lang w:val="en-US" w:eastAsia="zh-CN"/>
              </w:rPr>
            </w:pPr>
            <w:r>
              <w:rPr>
                <w:rFonts w:hint="eastAsia"/>
                <w:b/>
                <w:bCs/>
                <w:lang w:val="en-US" w:eastAsia="zh-CN"/>
              </w:rPr>
              <w:t>4、地下水环境、土壤环境</w:t>
            </w:r>
          </w:p>
          <w:p w14:paraId="4605879A">
            <w:pPr>
              <w:pStyle w:val="54"/>
              <w:bidi w:val="0"/>
              <w:rPr>
                <w:rFonts w:hint="eastAsia"/>
                <w:lang w:val="en-US" w:eastAsia="zh-CN"/>
              </w:rPr>
            </w:pPr>
            <w:r>
              <w:rPr>
                <w:rFonts w:hint="eastAsia"/>
                <w:lang w:val="en-US" w:eastAsia="zh-CN"/>
              </w:rPr>
              <w:t>根据《建设项目环境影响报告表编制技术指南（污染影响类）（试行）》要求，报告表原则上不开展地下水、土壤环境质量现状调查。建设项目存在土壤、地下水环境污染途径的，应结合污染源、保护目标分布情况开展现状调查以留作背景值。</w:t>
            </w:r>
          </w:p>
          <w:p w14:paraId="7C1C3D2D">
            <w:pPr>
              <w:pStyle w:val="54"/>
              <w:bidi w:val="0"/>
              <w:rPr>
                <w:rFonts w:hint="default" w:ascii="宋体" w:hAnsi="宋体" w:eastAsia="宋体" w:cs="宋体"/>
                <w:kern w:val="0"/>
                <w:szCs w:val="24"/>
                <w:lang w:val="en-US" w:eastAsia="zh-CN"/>
              </w:rPr>
            </w:pPr>
            <w:r>
              <w:rPr>
                <w:rFonts w:hint="eastAsia"/>
                <w:lang w:val="en-US" w:eastAsia="zh-CN"/>
              </w:rPr>
              <w:t>本项目不涉及地下水、土壤环境污染源，则本项目不开展地下水、土壤环境质量现状调查。</w:t>
            </w:r>
          </w:p>
        </w:tc>
      </w:tr>
      <w:tr w14:paraId="65FFB8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vAlign w:val="center"/>
          </w:tcPr>
          <w:p w14:paraId="657A59BF">
            <w:pPr>
              <w:adjustRightInd w:val="0"/>
              <w:snapToGrid w:val="0"/>
              <w:jc w:val="center"/>
              <w:rPr>
                <w:rFonts w:hint="eastAsia" w:ascii="宋体" w:hAnsi="宋体" w:cs="宋体"/>
                <w:kern w:val="0"/>
                <w:sz w:val="24"/>
                <w:szCs w:val="24"/>
              </w:rPr>
            </w:pPr>
            <w:r>
              <w:rPr>
                <w:rFonts w:hint="eastAsia" w:ascii="宋体" w:hAnsi="宋体" w:cs="宋体"/>
                <w:kern w:val="0"/>
                <w:sz w:val="24"/>
                <w:szCs w:val="24"/>
              </w:rPr>
              <w:t>环境保护目标</w:t>
            </w:r>
          </w:p>
        </w:tc>
        <w:tc>
          <w:tcPr>
            <w:tcW w:w="8200" w:type="dxa"/>
            <w:noWrap w:val="0"/>
            <w:vAlign w:val="center"/>
          </w:tcPr>
          <w:p w14:paraId="6694F5B0">
            <w:pPr>
              <w:pStyle w:val="54"/>
              <w:bidi w:val="0"/>
              <w:rPr>
                <w:rFonts w:hint="eastAsia"/>
                <w:lang w:val="en-US" w:eastAsia="zh-CN"/>
              </w:rPr>
            </w:pPr>
            <w:r>
              <w:rPr>
                <w:rFonts w:hint="eastAsia"/>
                <w:lang w:val="en-US" w:eastAsia="zh-CN"/>
              </w:rPr>
              <w:t>根据《建设项目环境影响报告表编制技术指南（污染影响类）（试行）》（环办环评[2020]33号）规定：</w:t>
            </w:r>
          </w:p>
          <w:p w14:paraId="42E066CE">
            <w:pPr>
              <w:pStyle w:val="54"/>
              <w:bidi w:val="0"/>
              <w:rPr>
                <w:rFonts w:hint="eastAsia"/>
                <w:lang w:val="en-US" w:eastAsia="zh-CN"/>
              </w:rPr>
            </w:pPr>
            <w:r>
              <w:rPr>
                <w:rFonts w:hint="eastAsia"/>
                <w:lang w:val="en-US" w:eastAsia="zh-CN"/>
              </w:rPr>
              <w:t>大气环境保护目标需明确厂界外500m范围内的自然保护区、风景名胜区、居住区、文化区和农村地区中人群较集中的区域等保护目标的名称及与建设项目厂界位置关系。</w:t>
            </w:r>
          </w:p>
          <w:p w14:paraId="72860555">
            <w:pPr>
              <w:pStyle w:val="54"/>
              <w:bidi w:val="0"/>
              <w:rPr>
                <w:rFonts w:hint="eastAsia"/>
                <w:lang w:val="en-US" w:eastAsia="zh-CN"/>
              </w:rPr>
            </w:pPr>
            <w:r>
              <w:rPr>
                <w:rFonts w:hint="eastAsia"/>
                <w:lang w:val="en-US" w:eastAsia="zh-CN"/>
              </w:rPr>
              <w:t>声环境保护目标需明确厂界外50m范围内声环境保护目标。</w:t>
            </w:r>
          </w:p>
          <w:p w14:paraId="3245EC2E">
            <w:pPr>
              <w:pStyle w:val="54"/>
              <w:bidi w:val="0"/>
              <w:rPr>
                <w:rFonts w:hint="eastAsia"/>
                <w:lang w:val="en-US" w:eastAsia="zh-CN"/>
              </w:rPr>
            </w:pPr>
            <w:r>
              <w:rPr>
                <w:rFonts w:hint="eastAsia"/>
                <w:lang w:val="en-US" w:eastAsia="zh-CN"/>
              </w:rPr>
              <w:t>地下水环境保护目标需明确厂界外500m范围内的地下水集中式饮用水水源和热水、矿泉水、温泉等特殊地下水资源。</w:t>
            </w:r>
          </w:p>
          <w:p w14:paraId="28B14345">
            <w:pPr>
              <w:pStyle w:val="54"/>
              <w:bidi w:val="0"/>
              <w:rPr>
                <w:rFonts w:hint="eastAsia"/>
                <w:lang w:val="en-US" w:eastAsia="zh-CN"/>
              </w:rPr>
            </w:pPr>
            <w:r>
              <w:rPr>
                <w:rFonts w:hint="eastAsia"/>
                <w:lang w:val="en-US" w:eastAsia="zh-CN"/>
              </w:rPr>
              <w:t>生态环境保护目标：产业园区外建设项目新增用地的，应明确新增用地范围内生态环境保护目标。</w:t>
            </w:r>
          </w:p>
          <w:p w14:paraId="10C6A007">
            <w:pPr>
              <w:pStyle w:val="54"/>
              <w:bidi w:val="0"/>
              <w:rPr>
                <w:rFonts w:hint="eastAsia"/>
                <w:lang w:val="en-US" w:eastAsia="zh-CN"/>
              </w:rPr>
            </w:pPr>
            <w:r>
              <w:rPr>
                <w:rFonts w:hint="eastAsia"/>
                <w:lang w:val="en-US" w:eastAsia="zh-CN"/>
              </w:rPr>
              <w:t>本项目环境保护目标如下：</w:t>
            </w:r>
          </w:p>
          <w:p w14:paraId="0F8E41CA">
            <w:pPr>
              <w:pStyle w:val="33"/>
              <w:bidi w:val="0"/>
              <w:rPr>
                <w:rFonts w:hint="eastAsia"/>
                <w:lang w:val="en-US" w:eastAsia="zh-CN"/>
              </w:rPr>
            </w:pPr>
            <w:r>
              <w:rPr>
                <w:rFonts w:hint="eastAsia"/>
                <w:lang w:val="en-US" w:eastAsia="zh-CN"/>
              </w:rPr>
              <w:t>表22    环境保护目标一览表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1576"/>
              <w:gridCol w:w="1578"/>
              <w:gridCol w:w="1597"/>
              <w:gridCol w:w="1618"/>
              <w:gridCol w:w="1615"/>
            </w:tblGrid>
            <w:tr w14:paraId="4BDB3B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c>
                <w:tcPr>
                  <w:tcW w:w="986" w:type="pct"/>
                  <w:noWrap w:val="0"/>
                  <w:vAlign w:val="center"/>
                </w:tcPr>
                <w:p w14:paraId="3C765907">
                  <w:pPr>
                    <w:pStyle w:val="53"/>
                    <w:bidi w:val="0"/>
                  </w:pPr>
                  <w:r>
                    <w:t>项目</w:t>
                  </w:r>
                </w:p>
              </w:tc>
              <w:tc>
                <w:tcPr>
                  <w:tcW w:w="988" w:type="pct"/>
                  <w:noWrap w:val="0"/>
                  <w:vAlign w:val="center"/>
                </w:tcPr>
                <w:p w14:paraId="004382B7">
                  <w:pPr>
                    <w:pStyle w:val="53"/>
                    <w:bidi w:val="0"/>
                  </w:pPr>
                  <w:r>
                    <w:t>保护目标</w:t>
                  </w:r>
                </w:p>
              </w:tc>
              <w:tc>
                <w:tcPr>
                  <w:tcW w:w="1000" w:type="pct"/>
                  <w:noWrap w:val="0"/>
                  <w:vAlign w:val="center"/>
                </w:tcPr>
                <w:p w14:paraId="0123AF2F">
                  <w:pPr>
                    <w:pStyle w:val="53"/>
                    <w:bidi w:val="0"/>
                  </w:pPr>
                  <w:r>
                    <w:t>方向</w:t>
                  </w:r>
                </w:p>
              </w:tc>
              <w:tc>
                <w:tcPr>
                  <w:tcW w:w="1013" w:type="pct"/>
                  <w:noWrap w:val="0"/>
                  <w:vAlign w:val="center"/>
                </w:tcPr>
                <w:p w14:paraId="58340F69">
                  <w:pPr>
                    <w:pStyle w:val="53"/>
                    <w:bidi w:val="0"/>
                  </w:pPr>
                  <w:r>
                    <w:t>距离</w:t>
                  </w:r>
                </w:p>
              </w:tc>
              <w:tc>
                <w:tcPr>
                  <w:tcW w:w="1011" w:type="pct"/>
                  <w:noWrap w:val="0"/>
                  <w:vAlign w:val="center"/>
                </w:tcPr>
                <w:p w14:paraId="592AD782">
                  <w:pPr>
                    <w:pStyle w:val="53"/>
                    <w:bidi w:val="0"/>
                  </w:pPr>
                  <w:r>
                    <w:t>人数</w:t>
                  </w:r>
                </w:p>
              </w:tc>
            </w:tr>
            <w:tr w14:paraId="59F85D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c>
                <w:tcPr>
                  <w:tcW w:w="986" w:type="pct"/>
                  <w:noWrap w:val="0"/>
                  <w:vAlign w:val="center"/>
                </w:tcPr>
                <w:p w14:paraId="0DCA1BBB">
                  <w:pPr>
                    <w:pStyle w:val="53"/>
                    <w:bidi w:val="0"/>
                  </w:pPr>
                  <w:r>
                    <w:t>大气环境</w:t>
                  </w:r>
                </w:p>
              </w:tc>
              <w:tc>
                <w:tcPr>
                  <w:tcW w:w="988" w:type="pct"/>
                  <w:noWrap w:val="0"/>
                  <w:vAlign w:val="center"/>
                </w:tcPr>
                <w:p w14:paraId="1E68DDB8">
                  <w:pPr>
                    <w:pStyle w:val="53"/>
                    <w:bidi w:val="0"/>
                    <w:rPr>
                      <w:rFonts w:hint="default" w:eastAsia="宋体"/>
                      <w:lang w:val="en-US" w:eastAsia="zh-CN"/>
                    </w:rPr>
                  </w:pPr>
                  <w:r>
                    <w:rPr>
                      <w:rFonts w:hint="eastAsia"/>
                      <w:lang w:val="en-US" w:eastAsia="zh-CN"/>
                    </w:rPr>
                    <w:t>召湾</w:t>
                  </w:r>
                </w:p>
              </w:tc>
              <w:tc>
                <w:tcPr>
                  <w:tcW w:w="1000" w:type="pct"/>
                  <w:noWrap w:val="0"/>
                  <w:vAlign w:val="center"/>
                </w:tcPr>
                <w:p w14:paraId="1E58535E">
                  <w:pPr>
                    <w:pStyle w:val="53"/>
                    <w:bidi w:val="0"/>
                    <w:rPr>
                      <w:rFonts w:hint="default" w:eastAsia="宋体"/>
                      <w:lang w:val="en-US" w:eastAsia="zh-CN"/>
                    </w:rPr>
                  </w:pPr>
                  <w:r>
                    <w:rPr>
                      <w:rFonts w:hint="eastAsia"/>
                      <w:lang w:val="en-US" w:eastAsia="zh-CN"/>
                    </w:rPr>
                    <w:t>SE</w:t>
                  </w:r>
                </w:p>
              </w:tc>
              <w:tc>
                <w:tcPr>
                  <w:tcW w:w="1013" w:type="pct"/>
                  <w:noWrap w:val="0"/>
                  <w:vAlign w:val="center"/>
                </w:tcPr>
                <w:p w14:paraId="71C0D644">
                  <w:pPr>
                    <w:pStyle w:val="53"/>
                    <w:bidi w:val="0"/>
                  </w:pPr>
                  <w:r>
                    <w:rPr>
                      <w:rFonts w:hint="eastAsia"/>
                      <w:color w:val="auto"/>
                      <w:lang w:val="en-US" w:eastAsia="zh-CN"/>
                    </w:rPr>
                    <w:t>263</w:t>
                  </w:r>
                  <w:r>
                    <w:rPr>
                      <w:rFonts w:hint="eastAsia"/>
                      <w:color w:val="auto"/>
                    </w:rPr>
                    <w:t>m</w:t>
                  </w:r>
                </w:p>
              </w:tc>
              <w:tc>
                <w:tcPr>
                  <w:tcW w:w="1011" w:type="pct"/>
                  <w:noWrap w:val="0"/>
                  <w:vAlign w:val="center"/>
                </w:tcPr>
                <w:p w14:paraId="46A10870">
                  <w:pPr>
                    <w:pStyle w:val="53"/>
                    <w:bidi w:val="0"/>
                    <w:rPr>
                      <w:rFonts w:hint="eastAsia" w:eastAsia="宋体"/>
                      <w:lang w:eastAsia="zh-CN"/>
                    </w:rPr>
                  </w:pPr>
                  <w:r>
                    <w:rPr>
                      <w:rFonts w:hint="eastAsia"/>
                      <w:lang w:val="en-US" w:eastAsia="zh-CN"/>
                    </w:rPr>
                    <w:t>12</w:t>
                  </w:r>
                </w:p>
              </w:tc>
            </w:tr>
            <w:tr w14:paraId="0DFAEB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c>
                <w:tcPr>
                  <w:tcW w:w="986" w:type="pct"/>
                  <w:noWrap w:val="0"/>
                  <w:vAlign w:val="center"/>
                </w:tcPr>
                <w:p w14:paraId="310476D8">
                  <w:pPr>
                    <w:pStyle w:val="53"/>
                    <w:bidi w:val="0"/>
                  </w:pPr>
                  <w:r>
                    <w:t>声环境</w:t>
                  </w:r>
                </w:p>
              </w:tc>
              <w:tc>
                <w:tcPr>
                  <w:tcW w:w="4013" w:type="pct"/>
                  <w:gridSpan w:val="4"/>
                  <w:noWrap w:val="0"/>
                  <w:vAlign w:val="center"/>
                </w:tcPr>
                <w:p w14:paraId="3821A71D">
                  <w:pPr>
                    <w:pStyle w:val="53"/>
                    <w:bidi w:val="0"/>
                    <w:jc w:val="both"/>
                  </w:pPr>
                  <w:r>
                    <w:rPr>
                      <w:rFonts w:hint="eastAsia"/>
                    </w:rPr>
                    <w:t>厂界外5</w:t>
                  </w:r>
                  <w:r>
                    <w:t>0</w:t>
                  </w:r>
                  <w:r>
                    <w:rPr>
                      <w:rFonts w:hint="eastAsia"/>
                    </w:rPr>
                    <w:t>m范围内无声环境保护目标</w:t>
                  </w:r>
                </w:p>
              </w:tc>
            </w:tr>
            <w:tr w14:paraId="605A3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c>
                <w:tcPr>
                  <w:tcW w:w="986" w:type="pct"/>
                  <w:noWrap w:val="0"/>
                  <w:vAlign w:val="center"/>
                </w:tcPr>
                <w:p w14:paraId="1742572E">
                  <w:pPr>
                    <w:pStyle w:val="53"/>
                    <w:bidi w:val="0"/>
                  </w:pPr>
                  <w:r>
                    <w:t>地下水</w:t>
                  </w:r>
                </w:p>
              </w:tc>
              <w:tc>
                <w:tcPr>
                  <w:tcW w:w="4013" w:type="pct"/>
                  <w:gridSpan w:val="4"/>
                  <w:noWrap w:val="0"/>
                  <w:vAlign w:val="center"/>
                </w:tcPr>
                <w:p w14:paraId="77709EA5">
                  <w:pPr>
                    <w:pStyle w:val="53"/>
                    <w:bidi w:val="0"/>
                    <w:jc w:val="both"/>
                  </w:pPr>
                  <w:r>
                    <w:t>厂界外500m范围内</w:t>
                  </w:r>
                  <w:r>
                    <w:rPr>
                      <w:rFonts w:hint="eastAsia"/>
                    </w:rPr>
                    <w:t>无地下水保护目标</w:t>
                  </w:r>
                </w:p>
              </w:tc>
            </w:tr>
            <w:tr w14:paraId="3E069A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c>
                <w:tcPr>
                  <w:tcW w:w="986" w:type="pct"/>
                  <w:noWrap w:val="0"/>
                  <w:vAlign w:val="center"/>
                </w:tcPr>
                <w:p w14:paraId="553C91D8">
                  <w:pPr>
                    <w:pStyle w:val="53"/>
                    <w:bidi w:val="0"/>
                  </w:pPr>
                  <w:r>
                    <w:rPr>
                      <w:rFonts w:hint="eastAsia"/>
                    </w:rPr>
                    <w:t>生态环境</w:t>
                  </w:r>
                </w:p>
              </w:tc>
              <w:tc>
                <w:tcPr>
                  <w:tcW w:w="4013" w:type="pct"/>
                  <w:gridSpan w:val="4"/>
                  <w:noWrap w:val="0"/>
                  <w:vAlign w:val="center"/>
                </w:tcPr>
                <w:p w14:paraId="2A960EBA">
                  <w:pPr>
                    <w:pStyle w:val="53"/>
                    <w:bidi w:val="0"/>
                    <w:jc w:val="both"/>
                  </w:pPr>
                  <w:r>
                    <w:rPr>
                      <w:rFonts w:hint="eastAsia"/>
                    </w:rPr>
                    <w:t>新增用地范围内</w:t>
                  </w:r>
                  <w:r>
                    <w:rPr>
                      <w:rFonts w:hint="eastAsia"/>
                      <w:lang w:val="en-US" w:eastAsia="zh-CN"/>
                    </w:rPr>
                    <w:t>无</w:t>
                  </w:r>
                  <w:r>
                    <w:rPr>
                      <w:rFonts w:hint="eastAsia"/>
                    </w:rPr>
                    <w:t>生态环境保护目标。</w:t>
                  </w:r>
                </w:p>
              </w:tc>
            </w:tr>
          </w:tbl>
          <w:p w14:paraId="6922C28B">
            <w:pPr>
              <w:pStyle w:val="54"/>
              <w:bidi w:val="0"/>
              <w:rPr>
                <w:rFonts w:hint="default" w:ascii="宋体" w:hAnsi="宋体" w:eastAsia="宋体" w:cs="宋体"/>
                <w:kern w:val="0"/>
                <w:szCs w:val="24"/>
                <w:lang w:val="en-US" w:eastAsia="zh-CN"/>
              </w:rPr>
            </w:pPr>
          </w:p>
        </w:tc>
      </w:tr>
      <w:tr w14:paraId="26411B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tcMar>
              <w:left w:w="28" w:type="dxa"/>
              <w:right w:w="28" w:type="dxa"/>
            </w:tcMar>
            <w:vAlign w:val="center"/>
          </w:tcPr>
          <w:p w14:paraId="5024BFCD">
            <w:pPr>
              <w:adjustRightInd w:val="0"/>
              <w:snapToGrid w:val="0"/>
              <w:jc w:val="center"/>
              <w:rPr>
                <w:rFonts w:ascii="宋体" w:hAnsi="宋体" w:cs="宋体"/>
                <w:kern w:val="0"/>
                <w:sz w:val="24"/>
                <w:szCs w:val="24"/>
              </w:rPr>
            </w:pPr>
            <w:r>
              <w:rPr>
                <w:rFonts w:hint="eastAsia" w:ascii="宋体" w:hAnsi="宋体" w:cs="宋体"/>
                <w:kern w:val="0"/>
                <w:sz w:val="24"/>
                <w:szCs w:val="24"/>
              </w:rPr>
              <w:t>污染物排放控制标准</w:t>
            </w:r>
          </w:p>
        </w:tc>
        <w:tc>
          <w:tcPr>
            <w:tcW w:w="8200" w:type="dxa"/>
            <w:noWrap w:val="0"/>
            <w:vAlign w:val="center"/>
          </w:tcPr>
          <w:p w14:paraId="7E42F599">
            <w:pPr>
              <w:pStyle w:val="54"/>
              <w:bidi w:val="0"/>
              <w:rPr>
                <w:rFonts w:hint="default"/>
                <w:lang w:val="en-US" w:eastAsia="zh-CN"/>
              </w:rPr>
            </w:pPr>
            <w:r>
              <w:rPr>
                <w:rFonts w:hint="eastAsia"/>
                <w:b/>
                <w:bCs/>
                <w:lang w:val="en-US" w:eastAsia="zh-CN"/>
              </w:rPr>
              <w:t>1、大气污染物排放标准</w:t>
            </w:r>
          </w:p>
          <w:p w14:paraId="77A7E920">
            <w:pPr>
              <w:pStyle w:val="54"/>
              <w:bidi w:val="0"/>
              <w:rPr>
                <w:rFonts w:hint="eastAsia"/>
                <w:b w:val="0"/>
                <w:bCs w:val="0"/>
                <w:lang w:val="en-US" w:eastAsia="zh-CN"/>
              </w:rPr>
            </w:pPr>
            <w:r>
              <w:rPr>
                <w:rFonts w:hint="eastAsia"/>
                <w:b w:val="0"/>
                <w:bCs w:val="0"/>
                <w:lang w:val="en-US" w:eastAsia="zh-CN"/>
              </w:rPr>
              <w:t>本项目产生的粉尘均以无组织形式排放，不设置排气筒。本项目产生的无组织粉尘的排放执行《水泥工业大气污染物排放标准》（GB4915-2013）无组织排放标准。</w:t>
            </w:r>
          </w:p>
          <w:p w14:paraId="6D809D2B">
            <w:pPr>
              <w:pStyle w:val="33"/>
              <w:bidi w:val="0"/>
              <w:rPr>
                <w:rFonts w:hint="eastAsia"/>
                <w:b w:val="0"/>
                <w:bCs w:val="0"/>
                <w:lang w:val="en-US" w:eastAsia="zh-CN"/>
              </w:rPr>
            </w:pPr>
            <w:r>
              <w:rPr>
                <w:rFonts w:hint="eastAsia"/>
                <w:lang w:val="en-US" w:eastAsia="zh-CN"/>
              </w:rPr>
              <w:t>表23    水泥工业大气污染物排放标准（无组织排放）</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478"/>
              <w:gridCol w:w="4816"/>
              <w:gridCol w:w="1687"/>
            </w:tblGrid>
            <w:tr w14:paraId="34D20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78" w:type="dxa"/>
                  <w:vMerge w:val="restart"/>
                  <w:tcBorders>
                    <w:tl2br w:val="nil"/>
                    <w:tr2bl w:val="nil"/>
                  </w:tcBorders>
                  <w:noWrap w:val="0"/>
                  <w:vAlign w:val="center"/>
                </w:tcPr>
                <w:p w14:paraId="2B4A3A3C">
                  <w:pPr>
                    <w:pStyle w:val="53"/>
                    <w:bidi w:val="0"/>
                    <w:rPr>
                      <w:rFonts w:hint="default"/>
                      <w:lang w:val="en-US" w:eastAsia="zh-CN"/>
                    </w:rPr>
                  </w:pPr>
                  <w:r>
                    <w:t>污染物</w:t>
                  </w:r>
                </w:p>
              </w:tc>
              <w:tc>
                <w:tcPr>
                  <w:tcW w:w="6503" w:type="dxa"/>
                  <w:gridSpan w:val="2"/>
                  <w:tcBorders>
                    <w:tl2br w:val="nil"/>
                    <w:tr2bl w:val="nil"/>
                  </w:tcBorders>
                  <w:noWrap w:val="0"/>
                  <w:vAlign w:val="center"/>
                </w:tcPr>
                <w:p w14:paraId="2FE7619E">
                  <w:pPr>
                    <w:pStyle w:val="53"/>
                    <w:bidi w:val="0"/>
                    <w:rPr>
                      <w:rFonts w:hint="eastAsia"/>
                      <w:lang w:val="en-US" w:eastAsia="zh-CN"/>
                    </w:rPr>
                  </w:pPr>
                  <w:r>
                    <w:t>无组织排放监控点</w:t>
                  </w:r>
                </w:p>
              </w:tc>
            </w:tr>
            <w:tr w14:paraId="45B6B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78" w:type="dxa"/>
                  <w:vMerge w:val="continue"/>
                  <w:tcBorders>
                    <w:tl2br w:val="nil"/>
                    <w:tr2bl w:val="nil"/>
                  </w:tcBorders>
                  <w:noWrap w:val="0"/>
                  <w:vAlign w:val="center"/>
                </w:tcPr>
                <w:p w14:paraId="38B4705E">
                  <w:pPr>
                    <w:pStyle w:val="53"/>
                    <w:bidi w:val="0"/>
                    <w:rPr>
                      <w:rFonts w:hint="default"/>
                    </w:rPr>
                  </w:pPr>
                </w:p>
              </w:tc>
              <w:tc>
                <w:tcPr>
                  <w:tcW w:w="4816" w:type="dxa"/>
                  <w:tcBorders>
                    <w:tl2br w:val="nil"/>
                    <w:tr2bl w:val="nil"/>
                  </w:tcBorders>
                  <w:noWrap w:val="0"/>
                  <w:vAlign w:val="center"/>
                </w:tcPr>
                <w:p w14:paraId="7BDB7735">
                  <w:pPr>
                    <w:pStyle w:val="53"/>
                    <w:bidi w:val="0"/>
                    <w:rPr>
                      <w:rFonts w:hint="default"/>
                    </w:rPr>
                  </w:pPr>
                  <w:r>
                    <w:t>监控点</w:t>
                  </w:r>
                </w:p>
              </w:tc>
              <w:tc>
                <w:tcPr>
                  <w:tcW w:w="1687" w:type="dxa"/>
                  <w:tcBorders>
                    <w:tl2br w:val="nil"/>
                    <w:tr2bl w:val="nil"/>
                  </w:tcBorders>
                  <w:noWrap w:val="0"/>
                  <w:vAlign w:val="center"/>
                </w:tcPr>
                <w:p w14:paraId="2D4E7792">
                  <w:pPr>
                    <w:pStyle w:val="53"/>
                    <w:bidi w:val="0"/>
                    <w:rPr>
                      <w:rFonts w:hint="default"/>
                      <w:lang w:val="en-US" w:eastAsia="zh-CN"/>
                    </w:rPr>
                  </w:pPr>
                  <w:r>
                    <w:t>浓度限值</w:t>
                  </w:r>
                </w:p>
              </w:tc>
            </w:tr>
            <w:tr w14:paraId="2BC1C7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78" w:type="dxa"/>
                  <w:tcBorders>
                    <w:tl2br w:val="nil"/>
                    <w:tr2bl w:val="nil"/>
                  </w:tcBorders>
                  <w:noWrap w:val="0"/>
                  <w:vAlign w:val="center"/>
                </w:tcPr>
                <w:p w14:paraId="3877251F">
                  <w:pPr>
                    <w:pStyle w:val="53"/>
                    <w:bidi w:val="0"/>
                    <w:rPr>
                      <w:rFonts w:hint="eastAsia"/>
                    </w:rPr>
                  </w:pPr>
                  <w:r>
                    <w:t>颗粒物</w:t>
                  </w:r>
                </w:p>
              </w:tc>
              <w:tc>
                <w:tcPr>
                  <w:tcW w:w="4816" w:type="dxa"/>
                  <w:tcBorders>
                    <w:tl2br w:val="nil"/>
                    <w:tr2bl w:val="nil"/>
                  </w:tcBorders>
                  <w:noWrap w:val="0"/>
                  <w:vAlign w:val="center"/>
                </w:tcPr>
                <w:p w14:paraId="04CCD34C">
                  <w:pPr>
                    <w:pStyle w:val="53"/>
                    <w:bidi w:val="0"/>
                    <w:rPr>
                      <w:rFonts w:hint="eastAsia"/>
                    </w:rPr>
                  </w:pPr>
                  <w:r>
                    <w:t>厂界外20</w:t>
                  </w:r>
                  <w:r>
                    <w:rPr>
                      <w:rFonts w:hint="eastAsia"/>
                      <w:lang w:val="en-US" w:eastAsia="zh-CN"/>
                    </w:rPr>
                    <w:t>m</w:t>
                  </w:r>
                  <w:r>
                    <w:t>处上风向设参照点，下风向设监控点</w:t>
                  </w:r>
                </w:p>
              </w:tc>
              <w:tc>
                <w:tcPr>
                  <w:tcW w:w="1687" w:type="dxa"/>
                  <w:tcBorders>
                    <w:tl2br w:val="nil"/>
                    <w:tr2bl w:val="nil"/>
                  </w:tcBorders>
                  <w:noWrap w:val="0"/>
                  <w:vAlign w:val="center"/>
                </w:tcPr>
                <w:p w14:paraId="465A2976">
                  <w:pPr>
                    <w:pStyle w:val="53"/>
                    <w:bidi w:val="0"/>
                    <w:rPr>
                      <w:rFonts w:hint="eastAsia"/>
                      <w:lang w:val="en-US" w:eastAsia="zh-CN"/>
                    </w:rPr>
                  </w:pPr>
                  <w:r>
                    <w:t>0.5mg/m</w:t>
                  </w:r>
                  <w:r>
                    <w:rPr>
                      <w:vertAlign w:val="superscript"/>
                    </w:rPr>
                    <w:t>3</w:t>
                  </w:r>
                </w:p>
              </w:tc>
            </w:tr>
          </w:tbl>
          <w:p w14:paraId="1F945CD0">
            <w:pPr>
              <w:pStyle w:val="54"/>
              <w:bidi w:val="0"/>
              <w:rPr>
                <w:rFonts w:hint="default"/>
                <w:lang w:val="en-US" w:eastAsia="zh-CN"/>
              </w:rPr>
            </w:pPr>
            <w:r>
              <w:rPr>
                <w:rFonts w:hint="eastAsia"/>
                <w:b/>
                <w:bCs/>
                <w:lang w:val="en-US" w:eastAsia="zh-CN"/>
              </w:rPr>
              <w:t>2、噪声排放标准</w:t>
            </w:r>
          </w:p>
          <w:p w14:paraId="09362DDA">
            <w:pPr>
              <w:pStyle w:val="54"/>
              <w:bidi w:val="0"/>
              <w:rPr>
                <w:rFonts w:hint="eastAsia"/>
                <w:lang w:val="en-US" w:eastAsia="zh-CN"/>
              </w:rPr>
            </w:pPr>
            <w:r>
              <w:rPr>
                <w:rFonts w:hint="eastAsia"/>
                <w:lang w:val="en-US" w:eastAsia="zh-CN"/>
              </w:rPr>
              <w:t>施工期执行《建筑施工噪声排放标准》（GB12523-2025）标准限值；运营期厂界噪声执行《工业企业厂界环境噪声排放标准》（GB12348-2008）中的2类标准限值，具体标准值见下表。</w:t>
            </w:r>
          </w:p>
          <w:p w14:paraId="0DC4F3A9">
            <w:pPr>
              <w:pStyle w:val="33"/>
              <w:bidi w:val="0"/>
              <w:rPr>
                <w:rFonts w:hint="eastAsia" w:ascii="Times New Roman" w:hAnsi="Times New Roman" w:eastAsia="宋体" w:cs="Times New Roman"/>
                <w:b w:val="0"/>
                <w:bCs w:val="0"/>
                <w:szCs w:val="24"/>
                <w:lang w:val="en-US" w:eastAsia="zh-CN"/>
              </w:rPr>
            </w:pPr>
            <w:r>
              <w:rPr>
                <w:rFonts w:hint="eastAsia"/>
                <w:lang w:val="en-US" w:eastAsia="zh-CN"/>
              </w:rPr>
              <w:t>表24    噪声排放标准表（单位：dB（A））</w:t>
            </w:r>
          </w:p>
          <w:tbl>
            <w:tblPr>
              <w:tblStyle w:val="18"/>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4148"/>
              <w:gridCol w:w="1398"/>
              <w:gridCol w:w="1376"/>
            </w:tblGrid>
            <w:tr w14:paraId="4746D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5" w:type="pct"/>
                  <w:tcBorders>
                    <w:tl2br w:val="nil"/>
                    <w:tr2bl w:val="nil"/>
                  </w:tcBorders>
                  <w:noWrap w:val="0"/>
                  <w:vAlign w:val="center"/>
                </w:tcPr>
                <w:p w14:paraId="24649440">
                  <w:pPr>
                    <w:pStyle w:val="53"/>
                    <w:bidi w:val="0"/>
                    <w:rPr>
                      <w:rFonts w:hint="default"/>
                      <w:lang w:val="en-US" w:eastAsia="zh-CN"/>
                    </w:rPr>
                  </w:pPr>
                  <w:r>
                    <w:rPr>
                      <w:rFonts w:hint="default"/>
                      <w:lang w:val="en-US" w:eastAsia="zh-CN"/>
                    </w:rPr>
                    <w:t>适用时段</w:t>
                  </w:r>
                </w:p>
              </w:tc>
              <w:tc>
                <w:tcPr>
                  <w:tcW w:w="2597" w:type="pct"/>
                  <w:tcBorders>
                    <w:tl2br w:val="nil"/>
                    <w:tr2bl w:val="nil"/>
                  </w:tcBorders>
                  <w:noWrap w:val="0"/>
                  <w:vAlign w:val="center"/>
                </w:tcPr>
                <w:p w14:paraId="76E1A07D">
                  <w:pPr>
                    <w:pStyle w:val="53"/>
                    <w:bidi w:val="0"/>
                    <w:rPr>
                      <w:rFonts w:hint="default"/>
                      <w:lang w:val="en-US" w:eastAsia="zh-CN"/>
                    </w:rPr>
                  </w:pPr>
                  <w:r>
                    <w:rPr>
                      <w:rFonts w:hint="default"/>
                      <w:lang w:val="en-US" w:eastAsia="zh-CN"/>
                    </w:rPr>
                    <w:t>标准类型</w:t>
                  </w:r>
                </w:p>
              </w:tc>
              <w:tc>
                <w:tcPr>
                  <w:tcW w:w="875" w:type="pct"/>
                  <w:tcBorders>
                    <w:tl2br w:val="nil"/>
                    <w:tr2bl w:val="nil"/>
                  </w:tcBorders>
                  <w:noWrap w:val="0"/>
                  <w:vAlign w:val="center"/>
                </w:tcPr>
                <w:p w14:paraId="15991717">
                  <w:pPr>
                    <w:pStyle w:val="53"/>
                    <w:bidi w:val="0"/>
                    <w:rPr>
                      <w:rFonts w:hint="default"/>
                      <w:lang w:val="en-US" w:eastAsia="zh-CN"/>
                    </w:rPr>
                  </w:pPr>
                  <w:r>
                    <w:rPr>
                      <w:rFonts w:hint="default"/>
                      <w:lang w:val="en-US" w:eastAsia="zh-CN"/>
                    </w:rPr>
                    <w:t>昼间</w:t>
                  </w:r>
                </w:p>
              </w:tc>
              <w:tc>
                <w:tcPr>
                  <w:tcW w:w="861" w:type="pct"/>
                  <w:tcBorders>
                    <w:tl2br w:val="nil"/>
                    <w:tr2bl w:val="nil"/>
                  </w:tcBorders>
                  <w:noWrap w:val="0"/>
                  <w:vAlign w:val="center"/>
                </w:tcPr>
                <w:p w14:paraId="146DECF2">
                  <w:pPr>
                    <w:pStyle w:val="53"/>
                    <w:bidi w:val="0"/>
                    <w:rPr>
                      <w:rFonts w:hint="default"/>
                      <w:lang w:val="en-US" w:eastAsia="zh-CN"/>
                    </w:rPr>
                  </w:pPr>
                  <w:r>
                    <w:rPr>
                      <w:rFonts w:hint="default"/>
                      <w:lang w:val="en-US" w:eastAsia="zh-CN"/>
                    </w:rPr>
                    <w:t>夜间</w:t>
                  </w:r>
                </w:p>
              </w:tc>
            </w:tr>
            <w:tr w14:paraId="0AF83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5" w:type="pct"/>
                  <w:tcBorders>
                    <w:tl2br w:val="nil"/>
                    <w:tr2bl w:val="nil"/>
                  </w:tcBorders>
                  <w:noWrap w:val="0"/>
                  <w:vAlign w:val="center"/>
                </w:tcPr>
                <w:p w14:paraId="76A38F1E">
                  <w:pPr>
                    <w:pStyle w:val="53"/>
                    <w:bidi w:val="0"/>
                    <w:rPr>
                      <w:rFonts w:hint="default"/>
                      <w:lang w:val="en-US" w:eastAsia="zh-CN"/>
                    </w:rPr>
                  </w:pPr>
                  <w:r>
                    <w:rPr>
                      <w:rFonts w:hint="default"/>
                      <w:lang w:val="en-US" w:eastAsia="zh-CN"/>
                    </w:rPr>
                    <w:t>施工期</w:t>
                  </w:r>
                </w:p>
              </w:tc>
              <w:tc>
                <w:tcPr>
                  <w:tcW w:w="2597" w:type="pct"/>
                  <w:tcBorders>
                    <w:tl2br w:val="nil"/>
                    <w:tr2bl w:val="nil"/>
                  </w:tcBorders>
                  <w:noWrap w:val="0"/>
                  <w:vAlign w:val="center"/>
                </w:tcPr>
                <w:p w14:paraId="73CE3166">
                  <w:pPr>
                    <w:pStyle w:val="53"/>
                    <w:bidi w:val="0"/>
                    <w:rPr>
                      <w:rFonts w:hint="default"/>
                      <w:lang w:val="en-US" w:eastAsia="zh-CN"/>
                    </w:rPr>
                  </w:pPr>
                  <w:r>
                    <w:rPr>
                      <w:rFonts w:hint="default"/>
                      <w:lang w:val="en-US" w:eastAsia="zh-CN"/>
                    </w:rPr>
                    <w:t>《建筑施工噪声排放标准》（GB12523-2025）</w:t>
                  </w:r>
                </w:p>
              </w:tc>
              <w:tc>
                <w:tcPr>
                  <w:tcW w:w="875" w:type="pct"/>
                  <w:tcBorders>
                    <w:tl2br w:val="nil"/>
                    <w:tr2bl w:val="nil"/>
                  </w:tcBorders>
                  <w:noWrap w:val="0"/>
                  <w:vAlign w:val="center"/>
                </w:tcPr>
                <w:p w14:paraId="4139EE24">
                  <w:pPr>
                    <w:pStyle w:val="53"/>
                    <w:bidi w:val="0"/>
                    <w:rPr>
                      <w:rFonts w:hint="default"/>
                      <w:lang w:val="en-US" w:eastAsia="zh-CN"/>
                    </w:rPr>
                  </w:pPr>
                  <w:r>
                    <w:rPr>
                      <w:rFonts w:hint="default"/>
                      <w:lang w:val="en-US" w:eastAsia="zh-CN"/>
                    </w:rPr>
                    <w:t>70</w:t>
                  </w:r>
                </w:p>
              </w:tc>
              <w:tc>
                <w:tcPr>
                  <w:tcW w:w="861" w:type="pct"/>
                  <w:tcBorders>
                    <w:tl2br w:val="nil"/>
                    <w:tr2bl w:val="nil"/>
                  </w:tcBorders>
                  <w:noWrap w:val="0"/>
                  <w:vAlign w:val="center"/>
                </w:tcPr>
                <w:p w14:paraId="09F971B2">
                  <w:pPr>
                    <w:pStyle w:val="53"/>
                    <w:bidi w:val="0"/>
                    <w:rPr>
                      <w:rFonts w:hint="default"/>
                      <w:lang w:val="en-US" w:eastAsia="zh-CN"/>
                    </w:rPr>
                  </w:pPr>
                  <w:r>
                    <w:rPr>
                      <w:rFonts w:hint="default"/>
                      <w:lang w:val="en-US" w:eastAsia="zh-CN"/>
                    </w:rPr>
                    <w:t>55</w:t>
                  </w:r>
                </w:p>
              </w:tc>
            </w:tr>
            <w:tr w14:paraId="781D80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5" w:type="pct"/>
                  <w:tcBorders>
                    <w:tl2br w:val="nil"/>
                    <w:tr2bl w:val="nil"/>
                  </w:tcBorders>
                  <w:noWrap w:val="0"/>
                  <w:vAlign w:val="center"/>
                </w:tcPr>
                <w:p w14:paraId="52A00EE1">
                  <w:pPr>
                    <w:pStyle w:val="53"/>
                    <w:bidi w:val="0"/>
                    <w:rPr>
                      <w:rFonts w:hint="default"/>
                      <w:lang w:val="en-US" w:eastAsia="zh-CN"/>
                    </w:rPr>
                  </w:pPr>
                  <w:r>
                    <w:rPr>
                      <w:rFonts w:hint="default"/>
                      <w:lang w:val="en-US" w:eastAsia="zh-CN"/>
                    </w:rPr>
                    <w:t>运营期</w:t>
                  </w:r>
                </w:p>
              </w:tc>
              <w:tc>
                <w:tcPr>
                  <w:tcW w:w="2597" w:type="pct"/>
                  <w:tcBorders>
                    <w:tl2br w:val="nil"/>
                    <w:tr2bl w:val="nil"/>
                  </w:tcBorders>
                  <w:noWrap w:val="0"/>
                  <w:vAlign w:val="center"/>
                </w:tcPr>
                <w:p w14:paraId="78BCADD1">
                  <w:pPr>
                    <w:pStyle w:val="53"/>
                    <w:bidi w:val="0"/>
                    <w:rPr>
                      <w:rFonts w:hint="default"/>
                      <w:lang w:val="en-US" w:eastAsia="zh-CN"/>
                    </w:rPr>
                  </w:pPr>
                  <w:r>
                    <w:rPr>
                      <w:rFonts w:hint="default"/>
                      <w:lang w:val="en-US" w:eastAsia="zh-CN"/>
                    </w:rPr>
                    <w:t>《工业企业厂界环境噪声排放标准》</w:t>
                  </w:r>
                </w:p>
                <w:p w14:paraId="30DD0C48">
                  <w:pPr>
                    <w:pStyle w:val="53"/>
                    <w:bidi w:val="0"/>
                    <w:rPr>
                      <w:rFonts w:hint="default"/>
                      <w:lang w:val="en-US" w:eastAsia="zh-CN"/>
                    </w:rPr>
                  </w:pPr>
                  <w:r>
                    <w:rPr>
                      <w:rFonts w:hint="default"/>
                      <w:lang w:val="en-US" w:eastAsia="zh-CN"/>
                    </w:rPr>
                    <w:t>（GB12348-2008）中</w:t>
                  </w:r>
                  <w:r>
                    <w:rPr>
                      <w:rFonts w:hint="eastAsia"/>
                      <w:lang w:val="en-US" w:eastAsia="zh-CN"/>
                    </w:rPr>
                    <w:t>2</w:t>
                  </w:r>
                  <w:r>
                    <w:rPr>
                      <w:rFonts w:hint="default"/>
                      <w:lang w:val="en-US" w:eastAsia="zh-CN"/>
                    </w:rPr>
                    <w:t>类</w:t>
                  </w:r>
                </w:p>
              </w:tc>
              <w:tc>
                <w:tcPr>
                  <w:tcW w:w="875" w:type="pct"/>
                  <w:tcBorders>
                    <w:tl2br w:val="nil"/>
                    <w:tr2bl w:val="nil"/>
                  </w:tcBorders>
                  <w:noWrap w:val="0"/>
                  <w:vAlign w:val="center"/>
                </w:tcPr>
                <w:p w14:paraId="756366C7">
                  <w:pPr>
                    <w:pStyle w:val="53"/>
                    <w:bidi w:val="0"/>
                    <w:rPr>
                      <w:rFonts w:hint="default"/>
                      <w:lang w:val="en-US" w:eastAsia="zh-CN"/>
                    </w:rPr>
                  </w:pPr>
                  <w:r>
                    <w:rPr>
                      <w:rFonts w:hint="eastAsia"/>
                      <w:lang w:val="en-US" w:eastAsia="zh-CN"/>
                    </w:rPr>
                    <w:t>60</w:t>
                  </w:r>
                </w:p>
              </w:tc>
              <w:tc>
                <w:tcPr>
                  <w:tcW w:w="861" w:type="pct"/>
                  <w:tcBorders>
                    <w:tl2br w:val="nil"/>
                    <w:tr2bl w:val="nil"/>
                  </w:tcBorders>
                  <w:noWrap w:val="0"/>
                  <w:vAlign w:val="center"/>
                </w:tcPr>
                <w:p w14:paraId="188C7DB6">
                  <w:pPr>
                    <w:pStyle w:val="53"/>
                    <w:bidi w:val="0"/>
                    <w:rPr>
                      <w:rFonts w:hint="default"/>
                      <w:lang w:val="en-US" w:eastAsia="zh-CN"/>
                    </w:rPr>
                  </w:pPr>
                  <w:r>
                    <w:rPr>
                      <w:rFonts w:hint="eastAsia"/>
                      <w:lang w:val="en-US" w:eastAsia="zh-CN"/>
                    </w:rPr>
                    <w:t>50</w:t>
                  </w:r>
                </w:p>
              </w:tc>
            </w:tr>
          </w:tbl>
          <w:p w14:paraId="53925236">
            <w:pPr>
              <w:pStyle w:val="54"/>
              <w:bidi w:val="0"/>
              <w:rPr>
                <w:rFonts w:hint="eastAsia"/>
                <w:lang w:val="en-US" w:eastAsia="zh-CN"/>
              </w:rPr>
            </w:pPr>
            <w:r>
              <w:rPr>
                <w:rFonts w:hint="eastAsia"/>
                <w:b/>
                <w:bCs/>
                <w:lang w:val="en-US" w:eastAsia="zh-CN"/>
              </w:rPr>
              <w:t>3、废水排放标准</w:t>
            </w:r>
          </w:p>
          <w:p w14:paraId="7BA379AE">
            <w:pPr>
              <w:bidi w:val="0"/>
              <w:spacing w:line="360" w:lineRule="auto"/>
              <w:ind w:firstLine="480" w:firstLineChars="200"/>
              <w:jc w:val="left"/>
              <w:rPr>
                <w:rFonts w:hint="eastAsia" w:ascii="Times New Roman" w:hAnsi="Times New Roman" w:eastAsia="宋体" w:cs="Times New Roman"/>
                <w:b w:val="0"/>
                <w:bCs w:val="0"/>
                <w:sz w:val="24"/>
                <w:szCs w:val="24"/>
                <w:lang w:val="en-US" w:eastAsia="zh-CN"/>
              </w:rPr>
            </w:pPr>
            <w:r>
              <w:rPr>
                <w:rFonts w:hint="eastAsia" w:ascii="Times New Roman" w:hAnsi="Times New Roman" w:eastAsia="宋体" w:cs="Times New Roman"/>
                <w:b w:val="0"/>
                <w:bCs w:val="0"/>
                <w:sz w:val="24"/>
                <w:szCs w:val="24"/>
                <w:lang w:val="en-US" w:eastAsia="zh-CN"/>
              </w:rPr>
              <w:t>生活污水执行《污水综合排放标准》（GB8978-1996）表4第二类污染物最高允许排放浓度（1998年1月1日后建设的单位）中的三级标准。</w:t>
            </w:r>
          </w:p>
          <w:p w14:paraId="12B91434">
            <w:pPr>
              <w:pStyle w:val="33"/>
              <w:bidi w:val="0"/>
              <w:rPr>
                <w:rFonts w:hint="eastAsia" w:ascii="Times New Roman" w:hAnsi="Times New Roman" w:eastAsia="宋体" w:cs="Times New Roman"/>
                <w:b w:val="0"/>
                <w:bCs w:val="0"/>
                <w:szCs w:val="24"/>
                <w:lang w:val="en-US" w:eastAsia="zh-CN"/>
              </w:rPr>
            </w:pPr>
            <w:r>
              <w:rPr>
                <w:rFonts w:hint="eastAsia"/>
                <w:lang w:val="en-US" w:eastAsia="zh-CN"/>
              </w:rPr>
              <w:t>表25  污水综合排放标准</w:t>
            </w:r>
          </w:p>
          <w:tbl>
            <w:tblPr>
              <w:tblStyle w:val="18"/>
              <w:tblW w:w="797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58"/>
              <w:gridCol w:w="2658"/>
              <w:gridCol w:w="2658"/>
            </w:tblGrid>
            <w:tr w14:paraId="22614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58" w:type="dxa"/>
                  <w:tcBorders>
                    <w:tl2br w:val="nil"/>
                    <w:tr2bl w:val="nil"/>
                  </w:tcBorders>
                  <w:noWrap w:val="0"/>
                  <w:vAlign w:val="top"/>
                </w:tcPr>
                <w:p w14:paraId="2E46BC21">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污染物</w:t>
                  </w:r>
                </w:p>
              </w:tc>
              <w:tc>
                <w:tcPr>
                  <w:tcW w:w="2658" w:type="dxa"/>
                  <w:tcBorders>
                    <w:tl2br w:val="nil"/>
                    <w:tr2bl w:val="nil"/>
                  </w:tcBorders>
                  <w:noWrap w:val="0"/>
                  <w:vAlign w:val="top"/>
                </w:tcPr>
                <w:p w14:paraId="352631A4">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三级排放标准</w:t>
                  </w:r>
                </w:p>
              </w:tc>
              <w:tc>
                <w:tcPr>
                  <w:tcW w:w="2658" w:type="dxa"/>
                  <w:tcBorders>
                    <w:tl2br w:val="nil"/>
                    <w:tr2bl w:val="nil"/>
                  </w:tcBorders>
                  <w:noWrap w:val="0"/>
                  <w:vAlign w:val="top"/>
                </w:tcPr>
                <w:p w14:paraId="25EEA0FA">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备注</w:t>
                  </w:r>
                </w:p>
              </w:tc>
            </w:tr>
            <w:tr w14:paraId="076503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58" w:type="dxa"/>
                  <w:tcBorders>
                    <w:tl2br w:val="nil"/>
                    <w:tr2bl w:val="nil"/>
                  </w:tcBorders>
                  <w:noWrap w:val="0"/>
                  <w:vAlign w:val="top"/>
                </w:tcPr>
                <w:p w14:paraId="5ACBAC7B">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pH</w:t>
                  </w:r>
                </w:p>
              </w:tc>
              <w:tc>
                <w:tcPr>
                  <w:tcW w:w="2658" w:type="dxa"/>
                  <w:tcBorders>
                    <w:tl2br w:val="nil"/>
                    <w:tr2bl w:val="nil"/>
                  </w:tcBorders>
                  <w:noWrap w:val="0"/>
                  <w:vAlign w:val="top"/>
                </w:tcPr>
                <w:p w14:paraId="72F77BEF">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6-9</w:t>
                  </w:r>
                </w:p>
              </w:tc>
              <w:tc>
                <w:tcPr>
                  <w:tcW w:w="2658" w:type="dxa"/>
                  <w:vMerge w:val="restart"/>
                  <w:tcBorders>
                    <w:tl2br w:val="nil"/>
                    <w:tr2bl w:val="nil"/>
                  </w:tcBorders>
                  <w:noWrap w:val="0"/>
                  <w:vAlign w:val="center"/>
                </w:tcPr>
                <w:p w14:paraId="728D59E1">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r>
            <w:tr w14:paraId="298B0D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58" w:type="dxa"/>
                  <w:tcBorders>
                    <w:tl2br w:val="nil"/>
                    <w:tr2bl w:val="nil"/>
                  </w:tcBorders>
                  <w:noWrap w:val="0"/>
                  <w:vAlign w:val="top"/>
                </w:tcPr>
                <w:p w14:paraId="3C0EB349">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COD</w:t>
                  </w:r>
                </w:p>
              </w:tc>
              <w:tc>
                <w:tcPr>
                  <w:tcW w:w="2658" w:type="dxa"/>
                  <w:tcBorders>
                    <w:tl2br w:val="nil"/>
                    <w:tr2bl w:val="nil"/>
                  </w:tcBorders>
                  <w:noWrap w:val="0"/>
                  <w:vAlign w:val="top"/>
                </w:tcPr>
                <w:p w14:paraId="0CA3DD2D">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500</w:t>
                  </w:r>
                </w:p>
              </w:tc>
              <w:tc>
                <w:tcPr>
                  <w:tcW w:w="2658" w:type="dxa"/>
                  <w:vMerge w:val="continue"/>
                  <w:tcBorders>
                    <w:tl2br w:val="nil"/>
                    <w:tr2bl w:val="nil"/>
                  </w:tcBorders>
                  <w:noWrap w:val="0"/>
                  <w:vAlign w:val="top"/>
                </w:tcPr>
                <w:p w14:paraId="3B1C1309">
                  <w:pPr>
                    <w:pStyle w:val="38"/>
                    <w:bidi w:val="0"/>
                    <w:rPr>
                      <w:rFonts w:hint="default" w:ascii="Times New Roman" w:hAnsi="Times New Roman" w:cs="Times New Roman"/>
                      <w:sz w:val="21"/>
                      <w:szCs w:val="21"/>
                      <w:lang w:val="en-US" w:eastAsia="zh-CN"/>
                    </w:rPr>
                  </w:pPr>
                </w:p>
              </w:tc>
            </w:tr>
            <w:tr w14:paraId="574A74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58" w:type="dxa"/>
                  <w:tcBorders>
                    <w:tl2br w:val="nil"/>
                    <w:tr2bl w:val="nil"/>
                  </w:tcBorders>
                  <w:noWrap w:val="0"/>
                  <w:vAlign w:val="top"/>
                </w:tcPr>
                <w:p w14:paraId="66E7E66E">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NH</w:t>
                  </w:r>
                  <w:r>
                    <w:rPr>
                      <w:rFonts w:hint="default" w:ascii="Times New Roman" w:hAnsi="Times New Roman" w:cs="Times New Roman"/>
                      <w:sz w:val="21"/>
                      <w:szCs w:val="21"/>
                      <w:vertAlign w:val="subscript"/>
                      <w:lang w:val="en-US" w:eastAsia="zh-CN"/>
                    </w:rPr>
                    <w:t>3</w:t>
                  </w:r>
                  <w:r>
                    <w:rPr>
                      <w:rFonts w:hint="default" w:ascii="Times New Roman" w:hAnsi="Times New Roman" w:cs="Times New Roman"/>
                      <w:sz w:val="21"/>
                      <w:szCs w:val="21"/>
                      <w:lang w:val="en-US" w:eastAsia="zh-CN"/>
                    </w:rPr>
                    <w:t>-N</w:t>
                  </w:r>
                </w:p>
              </w:tc>
              <w:tc>
                <w:tcPr>
                  <w:tcW w:w="2658" w:type="dxa"/>
                  <w:tcBorders>
                    <w:tl2br w:val="nil"/>
                    <w:tr2bl w:val="nil"/>
                  </w:tcBorders>
                  <w:noWrap w:val="0"/>
                  <w:vAlign w:val="top"/>
                </w:tcPr>
                <w:p w14:paraId="16B0C15E">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2658" w:type="dxa"/>
                  <w:vMerge w:val="continue"/>
                  <w:tcBorders>
                    <w:tl2br w:val="nil"/>
                    <w:tr2bl w:val="nil"/>
                  </w:tcBorders>
                  <w:noWrap w:val="0"/>
                  <w:vAlign w:val="top"/>
                </w:tcPr>
                <w:p w14:paraId="69126CC3">
                  <w:pPr>
                    <w:pStyle w:val="38"/>
                    <w:bidi w:val="0"/>
                    <w:rPr>
                      <w:rFonts w:hint="default" w:ascii="Times New Roman" w:hAnsi="Times New Roman" w:cs="Times New Roman"/>
                      <w:sz w:val="21"/>
                      <w:szCs w:val="21"/>
                      <w:lang w:val="en-US" w:eastAsia="zh-CN"/>
                    </w:rPr>
                  </w:pPr>
                </w:p>
              </w:tc>
            </w:tr>
            <w:tr w14:paraId="784420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58" w:type="dxa"/>
                  <w:tcBorders>
                    <w:tl2br w:val="nil"/>
                    <w:tr2bl w:val="nil"/>
                  </w:tcBorders>
                  <w:noWrap w:val="0"/>
                  <w:vAlign w:val="top"/>
                </w:tcPr>
                <w:p w14:paraId="2F7F3A5A">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SS</w:t>
                  </w:r>
                </w:p>
              </w:tc>
              <w:tc>
                <w:tcPr>
                  <w:tcW w:w="2658" w:type="dxa"/>
                  <w:tcBorders>
                    <w:tl2br w:val="nil"/>
                    <w:tr2bl w:val="nil"/>
                  </w:tcBorders>
                  <w:noWrap w:val="0"/>
                  <w:vAlign w:val="top"/>
                </w:tcPr>
                <w:p w14:paraId="54B5C038">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400</w:t>
                  </w:r>
                </w:p>
              </w:tc>
              <w:tc>
                <w:tcPr>
                  <w:tcW w:w="2658" w:type="dxa"/>
                  <w:vMerge w:val="continue"/>
                  <w:tcBorders>
                    <w:tl2br w:val="nil"/>
                    <w:tr2bl w:val="nil"/>
                  </w:tcBorders>
                  <w:noWrap w:val="0"/>
                  <w:vAlign w:val="top"/>
                </w:tcPr>
                <w:p w14:paraId="038E17EE">
                  <w:pPr>
                    <w:pStyle w:val="38"/>
                    <w:bidi w:val="0"/>
                    <w:rPr>
                      <w:rFonts w:hint="default" w:ascii="Times New Roman" w:hAnsi="Times New Roman" w:cs="Times New Roman"/>
                      <w:sz w:val="21"/>
                      <w:szCs w:val="21"/>
                      <w:lang w:val="en-US" w:eastAsia="zh-CN"/>
                    </w:rPr>
                  </w:pPr>
                </w:p>
              </w:tc>
            </w:tr>
            <w:tr w14:paraId="37FA42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58" w:type="dxa"/>
                  <w:tcBorders>
                    <w:tl2br w:val="nil"/>
                    <w:tr2bl w:val="nil"/>
                  </w:tcBorders>
                  <w:noWrap w:val="0"/>
                  <w:vAlign w:val="top"/>
                </w:tcPr>
                <w:p w14:paraId="65B3CA45">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BOD</w:t>
                  </w:r>
                  <w:r>
                    <w:rPr>
                      <w:rFonts w:hint="default" w:ascii="Times New Roman" w:hAnsi="Times New Roman" w:cs="Times New Roman"/>
                      <w:sz w:val="21"/>
                      <w:szCs w:val="21"/>
                      <w:vertAlign w:val="subscript"/>
                      <w:lang w:val="en-US" w:eastAsia="zh-CN"/>
                    </w:rPr>
                    <w:t>5</w:t>
                  </w:r>
                </w:p>
              </w:tc>
              <w:tc>
                <w:tcPr>
                  <w:tcW w:w="2658" w:type="dxa"/>
                  <w:tcBorders>
                    <w:tl2br w:val="nil"/>
                    <w:tr2bl w:val="nil"/>
                  </w:tcBorders>
                  <w:noWrap w:val="0"/>
                  <w:vAlign w:val="top"/>
                </w:tcPr>
                <w:p w14:paraId="7314C3D6">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300</w:t>
                  </w:r>
                </w:p>
              </w:tc>
              <w:tc>
                <w:tcPr>
                  <w:tcW w:w="2658" w:type="dxa"/>
                  <w:vMerge w:val="continue"/>
                  <w:tcBorders>
                    <w:tl2br w:val="nil"/>
                    <w:tr2bl w:val="nil"/>
                  </w:tcBorders>
                  <w:noWrap w:val="0"/>
                  <w:vAlign w:val="top"/>
                </w:tcPr>
                <w:p w14:paraId="35F52303">
                  <w:pPr>
                    <w:pStyle w:val="38"/>
                    <w:bidi w:val="0"/>
                    <w:rPr>
                      <w:rFonts w:hint="default" w:ascii="Times New Roman" w:hAnsi="Times New Roman" w:cs="Times New Roman"/>
                      <w:sz w:val="21"/>
                      <w:szCs w:val="21"/>
                      <w:lang w:val="en-US" w:eastAsia="zh-CN"/>
                    </w:rPr>
                  </w:pPr>
                </w:p>
              </w:tc>
            </w:tr>
            <w:tr w14:paraId="2AE233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58" w:type="dxa"/>
                  <w:tcBorders>
                    <w:tl2br w:val="nil"/>
                    <w:tr2bl w:val="nil"/>
                  </w:tcBorders>
                  <w:noWrap w:val="0"/>
                  <w:vAlign w:val="top"/>
                </w:tcPr>
                <w:p w14:paraId="67C93A4F">
                  <w:pPr>
                    <w:pStyle w:val="38"/>
                    <w:bidi w:val="0"/>
                    <w:rPr>
                      <w:rFonts w:hint="default" w:ascii="Times New Roman" w:hAnsi="Times New Roman" w:cs="Times New Roman"/>
                      <w:sz w:val="21"/>
                      <w:szCs w:val="21"/>
                      <w:lang w:val="en-US" w:eastAsia="zh-CN"/>
                    </w:rPr>
                  </w:pPr>
                  <w:r>
                    <w:rPr>
                      <w:rFonts w:hint="eastAsia" w:ascii="Times New Roman" w:cs="Times New Roman"/>
                      <w:sz w:val="21"/>
                      <w:szCs w:val="21"/>
                      <w:lang w:val="en-US" w:eastAsia="zh-CN"/>
                    </w:rPr>
                    <w:t>动植物油</w:t>
                  </w:r>
                </w:p>
              </w:tc>
              <w:tc>
                <w:tcPr>
                  <w:tcW w:w="2658" w:type="dxa"/>
                  <w:tcBorders>
                    <w:tl2br w:val="nil"/>
                    <w:tr2bl w:val="nil"/>
                  </w:tcBorders>
                  <w:noWrap w:val="0"/>
                  <w:vAlign w:val="top"/>
                </w:tcPr>
                <w:p w14:paraId="4AB40E06">
                  <w:pPr>
                    <w:pStyle w:val="38"/>
                    <w:bidi w:val="0"/>
                    <w:rPr>
                      <w:rFonts w:hint="default" w:ascii="Times New Roman" w:hAnsi="Times New Roman" w:cs="Times New Roman"/>
                      <w:sz w:val="21"/>
                      <w:szCs w:val="21"/>
                      <w:lang w:val="en-US" w:eastAsia="zh-CN"/>
                    </w:rPr>
                  </w:pPr>
                  <w:r>
                    <w:rPr>
                      <w:rFonts w:hint="eastAsia" w:ascii="Times New Roman" w:cs="Times New Roman"/>
                      <w:sz w:val="21"/>
                      <w:szCs w:val="21"/>
                      <w:lang w:val="en-US" w:eastAsia="zh-CN"/>
                    </w:rPr>
                    <w:t>100</w:t>
                  </w:r>
                </w:p>
              </w:tc>
              <w:tc>
                <w:tcPr>
                  <w:tcW w:w="2658" w:type="dxa"/>
                  <w:vMerge w:val="continue"/>
                  <w:tcBorders>
                    <w:tl2br w:val="nil"/>
                    <w:tr2bl w:val="nil"/>
                  </w:tcBorders>
                  <w:noWrap w:val="0"/>
                  <w:vAlign w:val="top"/>
                </w:tcPr>
                <w:p w14:paraId="6D344CD8">
                  <w:pPr>
                    <w:pStyle w:val="38"/>
                    <w:bidi w:val="0"/>
                    <w:rPr>
                      <w:rFonts w:hint="default" w:ascii="Times New Roman" w:hAnsi="Times New Roman" w:cs="Times New Roman"/>
                      <w:sz w:val="21"/>
                      <w:szCs w:val="21"/>
                      <w:lang w:val="en-US" w:eastAsia="zh-CN"/>
                    </w:rPr>
                  </w:pPr>
                </w:p>
              </w:tc>
            </w:tr>
          </w:tbl>
          <w:p w14:paraId="76DF280A">
            <w:pPr>
              <w:pStyle w:val="54"/>
              <w:bidi w:val="0"/>
              <w:rPr>
                <w:rFonts w:hint="eastAsia"/>
                <w:lang w:val="en-US" w:eastAsia="zh-CN"/>
              </w:rPr>
            </w:pPr>
            <w:r>
              <w:rPr>
                <w:rFonts w:hint="eastAsia"/>
                <w:b/>
                <w:bCs/>
                <w:lang w:val="en-US" w:eastAsia="zh-CN"/>
              </w:rPr>
              <w:t>4、固体废物排放标准</w:t>
            </w:r>
          </w:p>
          <w:p w14:paraId="3A98DC51">
            <w:pPr>
              <w:pStyle w:val="54"/>
              <w:bidi w:val="0"/>
              <w:rPr>
                <w:rFonts w:hint="default" w:ascii="宋体" w:hAnsi="宋体" w:eastAsia="宋体" w:cs="宋体"/>
                <w:kern w:val="0"/>
                <w:szCs w:val="24"/>
                <w:lang w:val="en-US" w:eastAsia="zh-CN"/>
              </w:rPr>
            </w:pPr>
            <w:r>
              <w:rPr>
                <w:rFonts w:hint="eastAsia"/>
                <w:lang w:val="en-US" w:eastAsia="zh-CN"/>
              </w:rPr>
              <w:t>本项目一般固体废物执行《一般工业固体废物贮存和填埋污染控制标准》（GB18599-2020）的有关要求。</w:t>
            </w:r>
          </w:p>
        </w:tc>
      </w:tr>
      <w:tr w14:paraId="150BC4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vAlign w:val="center"/>
          </w:tcPr>
          <w:p w14:paraId="592CAC22">
            <w:pPr>
              <w:adjustRightInd w:val="0"/>
              <w:snapToGrid w:val="0"/>
              <w:jc w:val="center"/>
              <w:rPr>
                <w:rFonts w:ascii="宋体" w:hAnsi="宋体" w:cs="宋体"/>
                <w:kern w:val="0"/>
                <w:sz w:val="24"/>
                <w:szCs w:val="24"/>
              </w:rPr>
            </w:pPr>
            <w:r>
              <w:rPr>
                <w:rFonts w:hint="eastAsia" w:ascii="宋体" w:hAnsi="宋体" w:cs="宋体"/>
                <w:kern w:val="0"/>
                <w:sz w:val="24"/>
                <w:szCs w:val="24"/>
              </w:rPr>
              <w:t>总量控制指标</w:t>
            </w:r>
          </w:p>
        </w:tc>
        <w:tc>
          <w:tcPr>
            <w:tcW w:w="8200" w:type="dxa"/>
            <w:noWrap w:val="0"/>
            <w:vAlign w:val="center"/>
          </w:tcPr>
          <w:p w14:paraId="255890A9">
            <w:pPr>
              <w:pStyle w:val="54"/>
              <w:bidi w:val="0"/>
              <w:rPr>
                <w:rFonts w:hint="default" w:eastAsia="宋体"/>
                <w:color w:val="FF0000"/>
                <w:lang w:val="en-US" w:eastAsia="zh-CN"/>
              </w:rPr>
            </w:pPr>
            <w:r>
              <w:rPr>
                <w:rFonts w:hint="eastAsia"/>
                <w:color w:val="auto"/>
                <w:lang w:val="en-US" w:eastAsia="zh-CN"/>
              </w:rPr>
              <w:t>本项目无组织排放颗粒物3.277t，生产废水全部回用，生活污水经化粪池预处理后，定期拉运至甘其毛都口岸加工园区污水处理厂</w:t>
            </w:r>
            <w:r>
              <w:rPr>
                <w:rFonts w:hint="eastAsia"/>
                <w:color w:val="auto"/>
                <w:sz w:val="24"/>
                <w:lang w:val="en-US" w:eastAsia="zh-CN"/>
              </w:rPr>
              <w:t>。故本项目无需申请大气和水污染物排放总量控制指标。</w:t>
            </w:r>
          </w:p>
          <w:p w14:paraId="506CF9CA">
            <w:pPr>
              <w:pStyle w:val="54"/>
              <w:bidi w:val="0"/>
              <w:rPr>
                <w:rFonts w:hint="eastAsia"/>
                <w:lang w:val="en-US" w:eastAsia="zh-CN"/>
              </w:rPr>
            </w:pPr>
          </w:p>
          <w:p w14:paraId="182B121B">
            <w:pPr>
              <w:pStyle w:val="54"/>
              <w:bidi w:val="0"/>
              <w:rPr>
                <w:rFonts w:hint="eastAsia"/>
                <w:lang w:val="en-US" w:eastAsia="zh-CN"/>
              </w:rPr>
            </w:pPr>
          </w:p>
          <w:p w14:paraId="3CA202E1">
            <w:pPr>
              <w:pStyle w:val="54"/>
              <w:bidi w:val="0"/>
              <w:rPr>
                <w:rFonts w:hint="eastAsia"/>
                <w:lang w:val="en-US" w:eastAsia="zh-CN"/>
              </w:rPr>
            </w:pPr>
          </w:p>
          <w:p w14:paraId="0406E3E3">
            <w:pPr>
              <w:pStyle w:val="54"/>
              <w:bidi w:val="0"/>
              <w:rPr>
                <w:rFonts w:hint="eastAsia"/>
                <w:lang w:val="en-US" w:eastAsia="zh-CN"/>
              </w:rPr>
            </w:pPr>
          </w:p>
          <w:p w14:paraId="3C575778">
            <w:pPr>
              <w:pStyle w:val="54"/>
              <w:bidi w:val="0"/>
              <w:rPr>
                <w:rFonts w:hint="eastAsia"/>
                <w:lang w:val="en-US" w:eastAsia="zh-CN"/>
              </w:rPr>
            </w:pPr>
          </w:p>
          <w:p w14:paraId="177E428A">
            <w:pPr>
              <w:pStyle w:val="54"/>
              <w:bidi w:val="0"/>
              <w:ind w:left="0" w:leftChars="0" w:firstLine="0" w:firstLineChars="0"/>
              <w:rPr>
                <w:rFonts w:hint="default" w:ascii="宋体" w:hAnsi="宋体" w:eastAsia="宋体" w:cs="宋体"/>
                <w:kern w:val="0"/>
                <w:szCs w:val="24"/>
                <w:lang w:val="en-US" w:eastAsia="zh-CN"/>
              </w:rPr>
            </w:pPr>
          </w:p>
          <w:p w14:paraId="58E15FD0">
            <w:pPr>
              <w:pStyle w:val="54"/>
              <w:bidi w:val="0"/>
              <w:ind w:left="0" w:leftChars="0" w:firstLine="0" w:firstLineChars="0"/>
              <w:rPr>
                <w:rFonts w:hint="default" w:ascii="宋体" w:hAnsi="宋体" w:eastAsia="宋体" w:cs="宋体"/>
                <w:kern w:val="0"/>
                <w:szCs w:val="24"/>
                <w:lang w:val="en-US" w:eastAsia="zh-CN"/>
              </w:rPr>
            </w:pPr>
          </w:p>
          <w:p w14:paraId="658B9A15">
            <w:pPr>
              <w:pStyle w:val="54"/>
              <w:bidi w:val="0"/>
              <w:ind w:left="0" w:leftChars="0" w:firstLine="0" w:firstLineChars="0"/>
              <w:rPr>
                <w:rFonts w:hint="default" w:ascii="宋体" w:hAnsi="宋体" w:eastAsia="宋体" w:cs="宋体"/>
                <w:kern w:val="0"/>
                <w:szCs w:val="24"/>
                <w:lang w:val="en-US" w:eastAsia="zh-CN"/>
              </w:rPr>
            </w:pPr>
          </w:p>
          <w:p w14:paraId="63CF7047">
            <w:pPr>
              <w:pStyle w:val="54"/>
              <w:bidi w:val="0"/>
              <w:ind w:left="0" w:leftChars="0" w:firstLine="0" w:firstLineChars="0"/>
              <w:rPr>
                <w:rFonts w:hint="default" w:ascii="宋体" w:hAnsi="宋体" w:eastAsia="宋体" w:cs="宋体"/>
                <w:kern w:val="0"/>
                <w:szCs w:val="24"/>
                <w:lang w:val="en-US" w:eastAsia="zh-CN"/>
              </w:rPr>
            </w:pPr>
          </w:p>
          <w:p w14:paraId="6A20FF09">
            <w:pPr>
              <w:pStyle w:val="54"/>
              <w:bidi w:val="0"/>
              <w:ind w:left="0" w:leftChars="0" w:firstLine="0" w:firstLineChars="0"/>
              <w:rPr>
                <w:rFonts w:hint="default" w:ascii="宋体" w:hAnsi="宋体" w:eastAsia="宋体" w:cs="宋体"/>
                <w:kern w:val="0"/>
                <w:szCs w:val="24"/>
                <w:lang w:val="en-US" w:eastAsia="zh-CN"/>
              </w:rPr>
            </w:pPr>
          </w:p>
          <w:p w14:paraId="40B691AB">
            <w:pPr>
              <w:pStyle w:val="54"/>
              <w:bidi w:val="0"/>
              <w:ind w:left="0" w:leftChars="0" w:firstLine="0" w:firstLineChars="0"/>
              <w:rPr>
                <w:rFonts w:hint="default" w:ascii="宋体" w:hAnsi="宋体" w:eastAsia="宋体" w:cs="宋体"/>
                <w:kern w:val="0"/>
                <w:szCs w:val="24"/>
                <w:lang w:val="en-US" w:eastAsia="zh-CN"/>
              </w:rPr>
            </w:pPr>
          </w:p>
          <w:p w14:paraId="2B577709">
            <w:pPr>
              <w:pStyle w:val="54"/>
              <w:bidi w:val="0"/>
              <w:ind w:left="0" w:leftChars="0" w:firstLine="0" w:firstLineChars="0"/>
              <w:rPr>
                <w:rFonts w:hint="default" w:ascii="宋体" w:hAnsi="宋体" w:eastAsia="宋体" w:cs="宋体"/>
                <w:kern w:val="0"/>
                <w:szCs w:val="24"/>
                <w:lang w:val="en-US" w:eastAsia="zh-CN"/>
              </w:rPr>
            </w:pPr>
          </w:p>
          <w:p w14:paraId="6BBAE4CA">
            <w:pPr>
              <w:pStyle w:val="54"/>
              <w:bidi w:val="0"/>
              <w:ind w:left="0" w:leftChars="0" w:firstLine="0" w:firstLineChars="0"/>
              <w:rPr>
                <w:rFonts w:hint="default" w:ascii="宋体" w:hAnsi="宋体" w:eastAsia="宋体" w:cs="宋体"/>
                <w:kern w:val="0"/>
                <w:szCs w:val="24"/>
                <w:lang w:val="en-US" w:eastAsia="zh-CN"/>
              </w:rPr>
            </w:pPr>
          </w:p>
          <w:p w14:paraId="00CA8E36">
            <w:pPr>
              <w:pStyle w:val="54"/>
              <w:bidi w:val="0"/>
              <w:ind w:left="0" w:leftChars="0" w:firstLine="0" w:firstLineChars="0"/>
              <w:rPr>
                <w:rFonts w:hint="default" w:ascii="宋体" w:hAnsi="宋体" w:eastAsia="宋体" w:cs="宋体"/>
                <w:kern w:val="0"/>
                <w:szCs w:val="24"/>
                <w:lang w:val="en-US" w:eastAsia="zh-CN"/>
              </w:rPr>
            </w:pPr>
          </w:p>
        </w:tc>
      </w:tr>
    </w:tbl>
    <w:p w14:paraId="6281FD09">
      <w:pPr>
        <w:pStyle w:val="13"/>
        <w:jc w:val="center"/>
        <w:outlineLvl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四、主要环境影响和保护措施</w:t>
      </w:r>
    </w:p>
    <w:tbl>
      <w:tblPr>
        <w:tblStyle w:val="17"/>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63D8BB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1" w:hRule="atLeast"/>
          <w:jc w:val="center"/>
        </w:trPr>
        <w:tc>
          <w:tcPr>
            <w:tcW w:w="746" w:type="dxa"/>
            <w:noWrap w:val="0"/>
            <w:tcMar>
              <w:left w:w="28" w:type="dxa"/>
              <w:right w:w="28" w:type="dxa"/>
            </w:tcMar>
            <w:vAlign w:val="center"/>
          </w:tcPr>
          <w:p w14:paraId="76F3D64C">
            <w:pPr>
              <w:pStyle w:val="13"/>
              <w:adjustRightInd w:val="0"/>
              <w:snapToGrid w:val="0"/>
              <w:spacing w:before="0" w:beforeAutospacing="0" w:after="0" w:afterAutospacing="0"/>
              <w:jc w:val="center"/>
              <w:rPr>
                <w:rFonts w:hint="eastAsia" w:cs="宋体"/>
                <w:bCs/>
                <w:kern w:val="2"/>
                <w:sz w:val="24"/>
                <w:szCs w:val="24"/>
              </w:rPr>
            </w:pPr>
            <w:r>
              <w:rPr>
                <w:rFonts w:hint="eastAsia" w:cs="宋体"/>
                <w:kern w:val="2"/>
                <w:sz w:val="24"/>
                <w:szCs w:val="24"/>
              </w:rPr>
              <w:t>施工期环境影响及防治措施</w:t>
            </w:r>
          </w:p>
        </w:tc>
        <w:tc>
          <w:tcPr>
            <w:tcW w:w="8162" w:type="dxa"/>
            <w:noWrap w:val="0"/>
            <w:vAlign w:val="center"/>
          </w:tcPr>
          <w:p w14:paraId="5D76F07F">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lang w:val="en-US" w:eastAsia="zh-CN"/>
              </w:rPr>
            </w:pPr>
            <w:r>
              <w:rPr>
                <w:rFonts w:hint="default"/>
                <w:lang w:val="en-US" w:eastAsia="zh-CN"/>
              </w:rPr>
              <w:t>目前，本项目</w:t>
            </w:r>
            <w:r>
              <w:rPr>
                <w:rFonts w:hint="eastAsia"/>
                <w:lang w:val="en-US" w:eastAsia="zh-CN"/>
              </w:rPr>
              <w:t>厂区</w:t>
            </w:r>
            <w:r>
              <w:rPr>
                <w:rFonts w:hint="default"/>
                <w:lang w:val="en-US" w:eastAsia="zh-CN"/>
              </w:rPr>
              <w:t>已建成1座办公生活区、1座地磅房、1座门房、1座拌合</w:t>
            </w:r>
            <w:r>
              <w:rPr>
                <w:rFonts w:hint="eastAsia"/>
                <w:lang w:val="en-US" w:eastAsia="zh-CN"/>
              </w:rPr>
              <w:t>车间</w:t>
            </w:r>
            <w:r>
              <w:rPr>
                <w:rFonts w:hint="default"/>
                <w:lang w:val="en-US" w:eastAsia="zh-CN"/>
              </w:rPr>
              <w:t>、2个密闭水泥筒仓以及相关计量、输送</w:t>
            </w:r>
            <w:r>
              <w:rPr>
                <w:rFonts w:hint="eastAsia"/>
                <w:lang w:val="en-US" w:eastAsia="zh-CN"/>
              </w:rPr>
              <w:t>、环保</w:t>
            </w:r>
            <w:r>
              <w:rPr>
                <w:rFonts w:hint="default"/>
                <w:lang w:val="en-US" w:eastAsia="zh-CN"/>
              </w:rPr>
              <w:t>设施等。</w:t>
            </w:r>
          </w:p>
          <w:p w14:paraId="50A66FF2">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lang w:val="en-US" w:eastAsia="zh-CN"/>
              </w:rPr>
            </w:pPr>
            <w:r>
              <w:rPr>
                <w:rFonts w:hint="eastAsia"/>
                <w:lang w:val="en-US" w:eastAsia="zh-CN"/>
              </w:rPr>
              <w:t>本</w:t>
            </w:r>
            <w:r>
              <w:rPr>
                <w:rFonts w:hint="default"/>
                <w:lang w:val="en-US" w:eastAsia="zh-CN"/>
              </w:rPr>
              <w:t>项目</w:t>
            </w:r>
            <w:r>
              <w:rPr>
                <w:rFonts w:hint="eastAsia"/>
                <w:lang w:val="en-US" w:eastAsia="zh-CN"/>
              </w:rPr>
              <w:t>骨料仓未进行建设，厂区地面未全部采取硬化措施。</w:t>
            </w:r>
            <w:r>
              <w:rPr>
                <w:rFonts w:hint="default"/>
                <w:lang w:val="en-US" w:eastAsia="zh-CN"/>
              </w:rPr>
              <w:t>施工期污染物主要是施工噪声、施工扬尘、建筑垃圾、生活污水、生活垃圾等。</w:t>
            </w:r>
          </w:p>
          <w:p w14:paraId="48E2F4F9">
            <w:pPr>
              <w:pStyle w:val="54"/>
              <w:keepNext w:val="0"/>
              <w:keepLines w:val="0"/>
              <w:pageBreakBefore w:val="0"/>
              <w:widowControl w:val="0"/>
              <w:numPr>
                <w:ilvl w:val="0"/>
                <w:numId w:val="0"/>
              </w:numPr>
              <w:kinsoku/>
              <w:wordWrap/>
              <w:overflowPunct/>
              <w:topLinePunct/>
              <w:autoSpaceDE/>
              <w:autoSpaceDN/>
              <w:bidi w:val="0"/>
              <w:adjustRightInd/>
              <w:snapToGrid/>
              <w:spacing w:line="336" w:lineRule="auto"/>
              <w:ind w:firstLine="482" w:firstLineChars="200"/>
              <w:textAlignment w:val="auto"/>
              <w:rPr>
                <w:rFonts w:hint="default"/>
                <w:b/>
                <w:bCs/>
                <w:lang w:val="en-US" w:eastAsia="zh-CN"/>
              </w:rPr>
            </w:pPr>
            <w:r>
              <w:rPr>
                <w:rFonts w:hint="default" w:ascii="Times New Roman" w:hAnsi="Times New Roman" w:eastAsia="宋体" w:cs="Times New Roman"/>
                <w:b/>
                <w:bCs/>
                <w:kern w:val="2"/>
                <w:sz w:val="24"/>
                <w:szCs w:val="24"/>
                <w:lang w:val="en-US" w:eastAsia="zh-CN" w:bidi="ar-SA"/>
              </w:rPr>
              <w:t>1、施工期大气环境影响保护措施</w:t>
            </w:r>
          </w:p>
          <w:p w14:paraId="0C0883AF">
            <w:pPr>
              <w:pStyle w:val="54"/>
              <w:keepNext w:val="0"/>
              <w:keepLines w:val="0"/>
              <w:pageBreakBefore w:val="0"/>
              <w:widowControl w:val="0"/>
              <w:numPr>
                <w:ilvl w:val="0"/>
                <w:numId w:val="0"/>
              </w:numPr>
              <w:kinsoku/>
              <w:wordWrap/>
              <w:overflowPunct/>
              <w:topLinePunct/>
              <w:autoSpaceDE/>
              <w:autoSpaceDN/>
              <w:bidi w:val="0"/>
              <w:adjustRightInd/>
              <w:snapToGrid/>
              <w:spacing w:line="336" w:lineRule="auto"/>
              <w:ind w:firstLine="480" w:firstLineChars="200"/>
              <w:textAlignment w:val="auto"/>
              <w:rPr>
                <w:rFonts w:hint="default"/>
                <w:lang w:val="en-US" w:eastAsia="zh-CN"/>
              </w:rPr>
            </w:pPr>
            <w:r>
              <w:rPr>
                <w:rFonts w:hint="default"/>
                <w:lang w:val="en-US" w:eastAsia="zh-CN"/>
              </w:rPr>
              <w:t>本项目施工期主要大气污染物为</w:t>
            </w:r>
            <w:r>
              <w:rPr>
                <w:rFonts w:hint="eastAsia"/>
                <w:lang w:val="en-US" w:eastAsia="zh-CN"/>
              </w:rPr>
              <w:t>施工扬尘、</w:t>
            </w:r>
            <w:r>
              <w:rPr>
                <w:rFonts w:hint="default"/>
                <w:lang w:val="en-US" w:eastAsia="zh-CN"/>
              </w:rPr>
              <w:t>汽车运输扬尘和施工机械尾气。运输道路</w:t>
            </w:r>
            <w:r>
              <w:rPr>
                <w:rFonts w:hint="eastAsia"/>
                <w:lang w:val="en-US" w:eastAsia="zh-CN"/>
              </w:rPr>
              <w:t>和施工场地</w:t>
            </w:r>
            <w:r>
              <w:rPr>
                <w:rFonts w:hint="default"/>
                <w:lang w:val="en-US" w:eastAsia="zh-CN"/>
              </w:rPr>
              <w:t>应经常洒水，以减少扬尘污染，限制车辆行驶速度。施工机械尾气主要含有CO、NOx等污染物，应加强对施工车辆的检修和维护，严禁使用超期服役和尾气超标的车辆。对施工期进出现场车流量进行合理安排，防止施工现场车流量过大。尽可能使用耗油低，排气小的施工车辆，选用优质燃油，减少机械和车辆有害废气排放。</w:t>
            </w:r>
          </w:p>
          <w:p w14:paraId="006D4A86">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lang w:val="en-US" w:eastAsia="zh-CN"/>
              </w:rPr>
            </w:pPr>
            <w:r>
              <w:rPr>
                <w:rFonts w:hint="default"/>
                <w:lang w:val="en-US" w:eastAsia="zh-CN"/>
              </w:rPr>
              <w:t>采取以上措施后，施工废气对周围环境影响较小，随着</w:t>
            </w:r>
            <w:r>
              <w:rPr>
                <w:rFonts w:hint="eastAsia"/>
                <w:lang w:val="en-US" w:eastAsia="zh-CN"/>
              </w:rPr>
              <w:t>施工期</w:t>
            </w:r>
            <w:r>
              <w:rPr>
                <w:rFonts w:hint="default"/>
                <w:lang w:val="en-US" w:eastAsia="zh-CN"/>
              </w:rPr>
              <w:t>结束，其影响将消失。</w:t>
            </w:r>
          </w:p>
          <w:p w14:paraId="1717306D">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b/>
                <w:bCs/>
                <w:lang w:val="en-US" w:eastAsia="zh-CN"/>
              </w:rPr>
            </w:pPr>
            <w:r>
              <w:rPr>
                <w:rFonts w:hint="default"/>
                <w:b/>
                <w:bCs/>
                <w:lang w:val="en-US" w:eastAsia="zh-CN"/>
              </w:rPr>
              <w:t>2、施工期水环境影响保护措施</w:t>
            </w:r>
          </w:p>
          <w:p w14:paraId="7602558D">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lang w:val="en-US" w:eastAsia="zh-CN"/>
              </w:rPr>
            </w:pPr>
            <w:r>
              <w:rPr>
                <w:rFonts w:hint="default"/>
                <w:lang w:val="en-US" w:eastAsia="zh-CN"/>
              </w:rPr>
              <w:t>施工人员生活污水依托厂区现有化粪池收集，拉运至甘其毛都口岸加工园区污水处理厂。</w:t>
            </w:r>
            <w:r>
              <w:rPr>
                <w:rFonts w:hint="eastAsia"/>
                <w:lang w:val="en-US" w:eastAsia="zh-CN"/>
              </w:rPr>
              <w:t>施工废水经沉淀池收集处理后回用。</w:t>
            </w:r>
          </w:p>
          <w:p w14:paraId="3D4075AB">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lang w:val="en-US" w:eastAsia="zh-CN"/>
              </w:rPr>
            </w:pPr>
            <w:r>
              <w:rPr>
                <w:rFonts w:hint="eastAsia"/>
                <w:lang w:val="en-US" w:eastAsia="zh-CN"/>
              </w:rPr>
              <w:t>本项目</w:t>
            </w:r>
            <w:r>
              <w:rPr>
                <w:rFonts w:hint="default"/>
                <w:lang w:val="en-US" w:eastAsia="zh-CN"/>
              </w:rPr>
              <w:t>施工期较短，其影响将随着工程的结束而消失。因此施工期产生的施工废水及生活污水对项目周边水环境影响较小。</w:t>
            </w:r>
          </w:p>
          <w:p w14:paraId="042DFF23">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lang w:val="en-US" w:eastAsia="zh-CN"/>
              </w:rPr>
            </w:pPr>
            <w:r>
              <w:rPr>
                <w:rFonts w:hint="default"/>
                <w:b/>
                <w:bCs/>
                <w:lang w:val="en-US" w:eastAsia="zh-CN"/>
              </w:rPr>
              <w:t>3、施工期声环境影响保护措施</w:t>
            </w:r>
          </w:p>
          <w:p w14:paraId="00A481FE">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lang w:val="en-US" w:eastAsia="zh-CN"/>
              </w:rPr>
            </w:pPr>
            <w:r>
              <w:rPr>
                <w:rFonts w:hint="default"/>
                <w:lang w:val="en-US" w:eastAsia="zh-CN"/>
              </w:rPr>
              <w:t>施工期噪声对周边环境的影响具有暂时性。项目施工结束，噪声污染即消失。建设单位应做好以下几点：</w:t>
            </w:r>
          </w:p>
          <w:p w14:paraId="1CCFB968">
            <w:pPr>
              <w:pStyle w:val="54"/>
              <w:keepNext w:val="0"/>
              <w:keepLines w:val="0"/>
              <w:pageBreakBefore w:val="0"/>
              <w:widowControl w:val="0"/>
              <w:numPr>
                <w:ilvl w:val="0"/>
                <w:numId w:val="0"/>
              </w:numPr>
              <w:kinsoku/>
              <w:wordWrap/>
              <w:overflowPunct/>
              <w:topLinePunct/>
              <w:autoSpaceDE/>
              <w:autoSpaceDN/>
              <w:bidi w:val="0"/>
              <w:adjustRightInd/>
              <w:snapToGrid/>
              <w:spacing w:line="336" w:lineRule="auto"/>
              <w:ind w:firstLine="480" w:firstLineChars="200"/>
              <w:textAlignment w:val="auto"/>
              <w:rPr>
                <w:rFonts w:hint="default"/>
                <w:lang w:val="en-US" w:eastAsia="zh-CN"/>
              </w:rPr>
            </w:pPr>
            <w:r>
              <w:rPr>
                <w:rFonts w:hint="default" w:ascii="Times New Roman" w:hAnsi="Times New Roman" w:eastAsia="宋体" w:cs="Times New Roman"/>
                <w:kern w:val="2"/>
                <w:sz w:val="24"/>
                <w:szCs w:val="24"/>
                <w:lang w:val="en-US" w:eastAsia="zh-CN" w:bidi="ar-SA"/>
              </w:rPr>
              <w:t>1）</w:t>
            </w:r>
            <w:r>
              <w:rPr>
                <w:rFonts w:hint="default"/>
                <w:lang w:val="en-US" w:eastAsia="zh-CN"/>
              </w:rPr>
              <w:t>施工单位应尽量选用先进的低噪声设备，在高噪声设备周围适当设置屏障以减轻噪声对周围环境的影响，控制施工场界噪声不超过《建筑施工噪声排放标准》（GB12523-2025）的相关要求。</w:t>
            </w:r>
          </w:p>
          <w:p w14:paraId="3C7CDAAD">
            <w:pPr>
              <w:pStyle w:val="54"/>
              <w:keepNext w:val="0"/>
              <w:keepLines w:val="0"/>
              <w:pageBreakBefore w:val="0"/>
              <w:widowControl w:val="0"/>
              <w:numPr>
                <w:ilvl w:val="0"/>
                <w:numId w:val="0"/>
              </w:numPr>
              <w:kinsoku/>
              <w:wordWrap/>
              <w:overflowPunct/>
              <w:topLinePunct/>
              <w:autoSpaceDE/>
              <w:autoSpaceDN/>
              <w:bidi w:val="0"/>
              <w:adjustRightInd/>
              <w:snapToGrid/>
              <w:spacing w:line="336" w:lineRule="auto"/>
              <w:ind w:firstLine="480" w:firstLineChars="200"/>
              <w:textAlignment w:val="auto"/>
              <w:rPr>
                <w:rFonts w:hint="default"/>
                <w:lang w:val="en-US" w:eastAsia="zh-CN"/>
              </w:rPr>
            </w:pPr>
            <w:r>
              <w:rPr>
                <w:rFonts w:hint="default" w:ascii="Times New Roman" w:hAnsi="Times New Roman" w:eastAsia="宋体" w:cs="Times New Roman"/>
                <w:kern w:val="2"/>
                <w:sz w:val="24"/>
                <w:szCs w:val="24"/>
                <w:lang w:val="en-US" w:eastAsia="zh-CN" w:bidi="ar-SA"/>
              </w:rPr>
              <w:t>2）</w:t>
            </w:r>
            <w:r>
              <w:rPr>
                <w:rFonts w:hint="default"/>
                <w:lang w:val="en-US" w:eastAsia="zh-CN"/>
              </w:rPr>
              <w:t>施工现场合理布局，以避免局部声级过高，尽可能将施工阶段的噪声减至最低。</w:t>
            </w:r>
          </w:p>
          <w:p w14:paraId="1FB5FBF4">
            <w:pPr>
              <w:pStyle w:val="54"/>
              <w:keepNext w:val="0"/>
              <w:keepLines w:val="0"/>
              <w:pageBreakBefore w:val="0"/>
              <w:widowControl w:val="0"/>
              <w:numPr>
                <w:ilvl w:val="0"/>
                <w:numId w:val="0"/>
              </w:numPr>
              <w:kinsoku/>
              <w:wordWrap/>
              <w:overflowPunct/>
              <w:topLinePunct/>
              <w:autoSpaceDE/>
              <w:autoSpaceDN/>
              <w:bidi w:val="0"/>
              <w:adjustRightInd/>
              <w:snapToGrid/>
              <w:spacing w:line="336" w:lineRule="auto"/>
              <w:ind w:firstLine="480" w:firstLineChars="200"/>
              <w:textAlignment w:val="auto"/>
              <w:rPr>
                <w:rFonts w:hint="default"/>
                <w:lang w:val="en-US" w:eastAsia="zh-CN"/>
              </w:rPr>
            </w:pPr>
            <w:r>
              <w:rPr>
                <w:rFonts w:hint="default" w:ascii="Times New Roman" w:hAnsi="Times New Roman" w:eastAsia="宋体" w:cs="Times New Roman"/>
                <w:kern w:val="2"/>
                <w:sz w:val="24"/>
                <w:szCs w:val="24"/>
                <w:lang w:val="en-US" w:eastAsia="zh-CN" w:bidi="ar-SA"/>
              </w:rPr>
              <w:t>3）</w:t>
            </w:r>
            <w:r>
              <w:rPr>
                <w:rFonts w:hint="default"/>
                <w:lang w:val="en-US" w:eastAsia="zh-CN"/>
              </w:rPr>
              <w:t>现场施工人员要严加管理，在施工建设时要防止互相撞击噪声，要文明施工。</w:t>
            </w:r>
          </w:p>
          <w:p w14:paraId="1649AC7B">
            <w:pPr>
              <w:pStyle w:val="54"/>
              <w:keepNext w:val="0"/>
              <w:keepLines w:val="0"/>
              <w:pageBreakBefore w:val="0"/>
              <w:widowControl w:val="0"/>
              <w:numPr>
                <w:ilvl w:val="0"/>
                <w:numId w:val="0"/>
              </w:numPr>
              <w:kinsoku/>
              <w:wordWrap/>
              <w:overflowPunct/>
              <w:topLinePunct/>
              <w:autoSpaceDE/>
              <w:autoSpaceDN/>
              <w:bidi w:val="0"/>
              <w:adjustRightInd/>
              <w:snapToGrid/>
              <w:spacing w:line="336" w:lineRule="auto"/>
              <w:ind w:firstLine="480" w:firstLineChars="200"/>
              <w:textAlignment w:val="auto"/>
              <w:rPr>
                <w:rFonts w:hint="default"/>
                <w:lang w:val="en-US" w:eastAsia="zh-CN"/>
              </w:rPr>
            </w:pPr>
            <w:r>
              <w:rPr>
                <w:rFonts w:hint="default" w:ascii="Times New Roman" w:hAnsi="Times New Roman" w:eastAsia="宋体" w:cs="Times New Roman"/>
                <w:kern w:val="2"/>
                <w:sz w:val="24"/>
                <w:szCs w:val="24"/>
                <w:lang w:val="en-US" w:eastAsia="zh-CN" w:bidi="ar-SA"/>
              </w:rPr>
              <w:t>4）</w:t>
            </w:r>
            <w:r>
              <w:rPr>
                <w:rFonts w:hint="default"/>
                <w:lang w:val="en-US" w:eastAsia="zh-CN"/>
              </w:rPr>
              <w:t>施工中应加强对施工机械的维护保养，避免由于设备性能差而增大机械噪声的现象发生。</w:t>
            </w:r>
          </w:p>
          <w:p w14:paraId="5ACB6148">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lang w:val="en-US" w:eastAsia="zh-CN"/>
              </w:rPr>
            </w:pPr>
            <w:r>
              <w:rPr>
                <w:rFonts w:hint="eastAsia"/>
                <w:lang w:val="en-US" w:eastAsia="zh-CN"/>
              </w:rPr>
              <w:t>项目施工期</w:t>
            </w:r>
            <w:r>
              <w:rPr>
                <w:rFonts w:hint="default"/>
                <w:lang w:val="en-US" w:eastAsia="zh-CN"/>
              </w:rPr>
              <w:t>严格按照国家和地方环境保护法律法规要求，采取各种有效措施，把施工场地边界噪声控制在《建筑施工噪声排放标准》（GB12523-2025）的指标要求范围内。综上所述，本项目施工噪声对周围环境的影响较小。</w:t>
            </w:r>
          </w:p>
          <w:p w14:paraId="7FFA2EB3">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lang w:val="en-US" w:eastAsia="zh-CN"/>
              </w:rPr>
            </w:pPr>
            <w:r>
              <w:rPr>
                <w:rFonts w:hint="default"/>
                <w:b/>
                <w:bCs/>
                <w:lang w:val="en-US" w:eastAsia="zh-CN"/>
              </w:rPr>
              <w:t>4、施工期固体废物环境影响保护措施</w:t>
            </w:r>
          </w:p>
          <w:p w14:paraId="32AE7666">
            <w:pPr>
              <w:pStyle w:val="54"/>
              <w:keepNext w:val="0"/>
              <w:keepLines w:val="0"/>
              <w:pageBreakBefore w:val="0"/>
              <w:widowControl w:val="0"/>
              <w:kinsoku/>
              <w:wordWrap/>
              <w:overflowPunct/>
              <w:topLinePunct/>
              <w:autoSpaceDE/>
              <w:autoSpaceDN/>
              <w:bidi w:val="0"/>
              <w:adjustRightInd/>
              <w:snapToGrid/>
              <w:spacing w:line="336" w:lineRule="auto"/>
              <w:textAlignment w:val="auto"/>
              <w:rPr>
                <w:rFonts w:hint="default" w:ascii="宋体" w:hAnsi="宋体" w:eastAsia="宋体" w:cs="宋体"/>
                <w:bCs/>
                <w:spacing w:val="-10"/>
                <w:szCs w:val="24"/>
                <w:lang w:val="en-US" w:eastAsia="zh-CN"/>
              </w:rPr>
            </w:pPr>
            <w:r>
              <w:rPr>
                <w:rFonts w:hint="eastAsia"/>
                <w:lang w:val="en-US" w:eastAsia="zh-CN"/>
              </w:rPr>
              <w:t>施工期</w:t>
            </w:r>
            <w:r>
              <w:rPr>
                <w:rFonts w:hint="default"/>
                <w:lang w:val="en-US" w:eastAsia="zh-CN"/>
              </w:rPr>
              <w:t>固体废物</w:t>
            </w:r>
            <w:r>
              <w:rPr>
                <w:rFonts w:hint="eastAsia"/>
                <w:lang w:val="en-US" w:eastAsia="zh-CN"/>
              </w:rPr>
              <w:t>主要为</w:t>
            </w:r>
            <w:r>
              <w:rPr>
                <w:rFonts w:hint="default"/>
                <w:lang w:val="en-US" w:eastAsia="zh-CN"/>
              </w:rPr>
              <w:t>建筑垃圾和生活垃圾。建筑垃圾主要是施工过程产生的各种废建筑材料，尽量回用，不能回用的统一收集后运至相关部门指定地点集中处置；施工人员生活垃圾由厂区现有垃圾桶收集，交由当地环卫部门处理。因此施工期固体废物均得到合理处置，对环境影响较小。</w:t>
            </w:r>
          </w:p>
        </w:tc>
      </w:tr>
      <w:tr w14:paraId="4D44ED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3" w:hRule="atLeast"/>
          <w:jc w:val="center"/>
        </w:trPr>
        <w:tc>
          <w:tcPr>
            <w:tcW w:w="746" w:type="dxa"/>
            <w:noWrap w:val="0"/>
            <w:tcMar>
              <w:left w:w="28" w:type="dxa"/>
              <w:right w:w="28" w:type="dxa"/>
            </w:tcMar>
            <w:vAlign w:val="center"/>
          </w:tcPr>
          <w:p w14:paraId="3E573154">
            <w:pPr>
              <w:adjustRightInd w:val="0"/>
              <w:snapToGrid w:val="0"/>
              <w:jc w:val="center"/>
              <w:rPr>
                <w:rFonts w:ascii="宋体" w:hAnsi="宋体" w:cs="宋体"/>
                <w:bCs/>
                <w:sz w:val="24"/>
                <w:szCs w:val="24"/>
              </w:rPr>
            </w:pPr>
            <w:r>
              <w:rPr>
                <w:rFonts w:hint="eastAsia" w:ascii="宋体" w:hAnsi="宋体" w:cs="宋体"/>
                <w:bCs/>
                <w:sz w:val="24"/>
                <w:szCs w:val="24"/>
              </w:rPr>
              <w:t>运营期环境影响及防治措施</w:t>
            </w:r>
          </w:p>
        </w:tc>
        <w:tc>
          <w:tcPr>
            <w:tcW w:w="8162" w:type="dxa"/>
            <w:noWrap w:val="0"/>
            <w:vAlign w:val="center"/>
          </w:tcPr>
          <w:p w14:paraId="70A55CE8">
            <w:pPr>
              <w:pStyle w:val="54"/>
              <w:bidi w:val="0"/>
              <w:rPr>
                <w:rFonts w:hint="eastAsia"/>
                <w:lang w:val="en-US" w:eastAsia="zh-CN"/>
              </w:rPr>
            </w:pPr>
            <w:r>
              <w:rPr>
                <w:rFonts w:hint="eastAsia"/>
                <w:b/>
                <w:bCs/>
                <w:lang w:val="en-US" w:eastAsia="zh-CN"/>
              </w:rPr>
              <w:t>1、运营期大气环境影响及防治措施</w:t>
            </w:r>
          </w:p>
          <w:p w14:paraId="75056962">
            <w:pPr>
              <w:pStyle w:val="54"/>
              <w:bidi w:val="0"/>
              <w:rPr>
                <w:rFonts w:hint="default" w:eastAsia="宋体"/>
                <w:lang w:val="en-US" w:eastAsia="zh-CN"/>
              </w:rPr>
            </w:pPr>
            <w:r>
              <w:rPr>
                <w:rFonts w:hint="eastAsia"/>
                <w:b/>
                <w:bCs/>
                <w:lang w:val="en-US" w:eastAsia="zh-CN"/>
              </w:rPr>
              <w:t>1.1废气产排情况</w:t>
            </w:r>
          </w:p>
          <w:p w14:paraId="319D5158">
            <w:pPr>
              <w:pStyle w:val="54"/>
              <w:bidi w:val="0"/>
              <w:rPr>
                <w:rFonts w:hint="default"/>
                <w:lang w:val="en-US" w:eastAsia="zh-CN"/>
              </w:rPr>
            </w:pPr>
            <w:r>
              <w:rPr>
                <w:rFonts w:hint="eastAsia"/>
                <w:lang w:val="en-US" w:eastAsia="zh-CN"/>
              </w:rPr>
              <w:t>本项目废气主要为水泥筒仓呼吸粉尘（G</w:t>
            </w:r>
            <w:r>
              <w:rPr>
                <w:rFonts w:hint="eastAsia"/>
                <w:vertAlign w:val="subscript"/>
                <w:lang w:val="en-US" w:eastAsia="zh-CN"/>
              </w:rPr>
              <w:t>1-1</w:t>
            </w:r>
            <w:r>
              <w:rPr>
                <w:rFonts w:hint="eastAsia"/>
                <w:lang w:val="en-US" w:eastAsia="zh-CN"/>
              </w:rPr>
              <w:t>、G</w:t>
            </w:r>
            <w:r>
              <w:rPr>
                <w:rFonts w:hint="eastAsia"/>
                <w:vertAlign w:val="subscript"/>
                <w:lang w:val="en-US" w:eastAsia="zh-CN"/>
              </w:rPr>
              <w:t>1-2</w:t>
            </w:r>
            <w:r>
              <w:rPr>
                <w:rFonts w:hint="eastAsia"/>
                <w:lang w:val="en-US" w:eastAsia="zh-CN"/>
              </w:rPr>
              <w:t>）、石料堆存和装卸料粉尘（G</w:t>
            </w:r>
            <w:r>
              <w:rPr>
                <w:rFonts w:hint="eastAsia"/>
                <w:vertAlign w:val="subscript"/>
                <w:lang w:val="en-US" w:eastAsia="zh-CN"/>
              </w:rPr>
              <w:t>2</w:t>
            </w:r>
            <w:r>
              <w:rPr>
                <w:rFonts w:hint="eastAsia"/>
                <w:lang w:val="en-US" w:eastAsia="zh-CN"/>
              </w:rPr>
              <w:t>）、砂石投料、输送、计量粉尘（G</w:t>
            </w:r>
            <w:r>
              <w:rPr>
                <w:rFonts w:hint="eastAsia"/>
                <w:vertAlign w:val="subscript"/>
                <w:lang w:val="en-US" w:eastAsia="zh-CN"/>
              </w:rPr>
              <w:t>3</w:t>
            </w:r>
            <w:r>
              <w:rPr>
                <w:rFonts w:hint="eastAsia"/>
                <w:lang w:val="en-US" w:eastAsia="zh-CN"/>
              </w:rPr>
              <w:t>）和厂内车辆运输粉尘（G</w:t>
            </w:r>
            <w:r>
              <w:rPr>
                <w:rFonts w:hint="eastAsia"/>
                <w:vertAlign w:val="subscript"/>
                <w:lang w:val="en-US" w:eastAsia="zh-CN"/>
              </w:rPr>
              <w:t>4</w:t>
            </w:r>
            <w:r>
              <w:rPr>
                <w:rFonts w:hint="eastAsia"/>
                <w:lang w:val="en-US" w:eastAsia="zh-CN"/>
              </w:rPr>
              <w:t>）。</w:t>
            </w:r>
          </w:p>
          <w:p w14:paraId="3A45A262">
            <w:pPr>
              <w:pStyle w:val="54"/>
              <w:bidi w:val="0"/>
              <w:rPr>
                <w:rFonts w:hint="eastAsia"/>
                <w:lang w:val="en-US" w:eastAsia="zh-CN"/>
              </w:rPr>
            </w:pPr>
            <w:r>
              <w:rPr>
                <w:rFonts w:hint="eastAsia"/>
                <w:lang w:val="en-US" w:eastAsia="zh-CN"/>
              </w:rPr>
              <w:t>1）水泥筒仓呼吸粉尘</w:t>
            </w:r>
          </w:p>
          <w:p w14:paraId="22E50D42">
            <w:pPr>
              <w:pStyle w:val="54"/>
              <w:bidi w:val="0"/>
              <w:rPr>
                <w:rFonts w:hint="eastAsia"/>
                <w:lang w:val="en-US" w:eastAsia="zh-CN"/>
              </w:rPr>
            </w:pPr>
            <w:r>
              <w:rPr>
                <w:rFonts w:hint="eastAsia"/>
                <w:lang w:val="en-US" w:eastAsia="zh-CN"/>
              </w:rPr>
              <w:t>本项目所使用的水泥原料采用密闭罐车运输至厂区，用输灰管将罐车出料口与筒仓的进料口密闭连接，采用压缩空气将罐车中的原料输送到筒仓内储存，此过程密闭进行。在输送过程中，伴随着仓内压力的增加，压缩空气会通过仓顶呼吸口释放压力，此时会排放一定量的粉尘。</w:t>
            </w:r>
          </w:p>
          <w:p w14:paraId="172A33A2">
            <w:pPr>
              <w:pStyle w:val="54"/>
              <w:bidi w:val="0"/>
              <w:rPr>
                <w:rFonts w:hint="eastAsia"/>
                <w:lang w:val="en-US" w:eastAsia="zh-CN"/>
              </w:rPr>
            </w:pPr>
            <w:r>
              <w:rPr>
                <w:rFonts w:hint="eastAsia"/>
                <w:lang w:val="en-US" w:eastAsia="zh-CN"/>
              </w:rPr>
              <w:t>本项目筒仓呼吸孔粉尘根据“3021、3022、3029水泥制品制造行业系数手册”进行核算，产排污系数表见表26。</w:t>
            </w:r>
          </w:p>
          <w:p w14:paraId="242732EC">
            <w:pPr>
              <w:pStyle w:val="33"/>
              <w:bidi w:val="0"/>
              <w:rPr>
                <w:rFonts w:hint="eastAsia"/>
                <w:lang w:val="en-US" w:eastAsia="zh-CN"/>
              </w:rPr>
            </w:pPr>
            <w:r>
              <w:rPr>
                <w:rFonts w:hint="eastAsia"/>
                <w:lang w:val="en-US" w:eastAsia="zh-CN"/>
              </w:rPr>
              <w:t>表26    水泥制品制造业产排污系数表</w:t>
            </w:r>
          </w:p>
          <w:tbl>
            <w:tblPr>
              <w:tblStyle w:val="18"/>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9"/>
              <w:gridCol w:w="670"/>
              <w:gridCol w:w="900"/>
              <w:gridCol w:w="715"/>
              <w:gridCol w:w="796"/>
              <w:gridCol w:w="473"/>
              <w:gridCol w:w="496"/>
              <w:gridCol w:w="681"/>
              <w:gridCol w:w="704"/>
              <w:gridCol w:w="865"/>
              <w:gridCol w:w="922"/>
            </w:tblGrid>
            <w:tr w14:paraId="0020A3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2" w:type="pct"/>
                  <w:tcBorders>
                    <w:tl2br w:val="nil"/>
                    <w:tr2bl w:val="nil"/>
                  </w:tcBorders>
                  <w:noWrap w:val="0"/>
                  <w:vAlign w:val="center"/>
                </w:tcPr>
                <w:p w14:paraId="6CC7BEF8">
                  <w:pPr>
                    <w:pStyle w:val="53"/>
                    <w:bidi w:val="0"/>
                    <w:rPr>
                      <w:rFonts w:hint="eastAsia"/>
                      <w:lang w:val="en-US" w:eastAsia="zh-CN"/>
                    </w:rPr>
                  </w:pPr>
                  <w:r>
                    <w:rPr>
                      <w:rFonts w:hint="eastAsia"/>
                      <w:lang w:val="en-US" w:eastAsia="zh-CN"/>
                    </w:rPr>
                    <w:t>工段名称</w:t>
                  </w:r>
                </w:p>
              </w:tc>
              <w:tc>
                <w:tcPr>
                  <w:tcW w:w="421" w:type="pct"/>
                  <w:tcBorders>
                    <w:tl2br w:val="nil"/>
                    <w:tr2bl w:val="nil"/>
                  </w:tcBorders>
                  <w:noWrap w:val="0"/>
                  <w:vAlign w:val="center"/>
                </w:tcPr>
                <w:p w14:paraId="1DC48EFD">
                  <w:pPr>
                    <w:pStyle w:val="53"/>
                    <w:bidi w:val="0"/>
                    <w:rPr>
                      <w:rFonts w:hint="eastAsia"/>
                      <w:lang w:val="en-US" w:eastAsia="zh-CN"/>
                    </w:rPr>
                  </w:pPr>
                  <w:r>
                    <w:rPr>
                      <w:rFonts w:hint="eastAsia"/>
                      <w:lang w:val="en-US" w:eastAsia="zh-CN"/>
                    </w:rPr>
                    <w:t>产品名称</w:t>
                  </w:r>
                </w:p>
              </w:tc>
              <w:tc>
                <w:tcPr>
                  <w:tcW w:w="566" w:type="pct"/>
                  <w:tcBorders>
                    <w:tl2br w:val="nil"/>
                    <w:tr2bl w:val="nil"/>
                  </w:tcBorders>
                  <w:noWrap w:val="0"/>
                  <w:vAlign w:val="center"/>
                </w:tcPr>
                <w:p w14:paraId="0988C7DC">
                  <w:pPr>
                    <w:pStyle w:val="53"/>
                    <w:bidi w:val="0"/>
                    <w:rPr>
                      <w:rFonts w:hint="eastAsia"/>
                      <w:lang w:val="en-US" w:eastAsia="zh-CN"/>
                    </w:rPr>
                  </w:pPr>
                  <w:r>
                    <w:rPr>
                      <w:rFonts w:hint="eastAsia"/>
                      <w:lang w:val="en-US" w:eastAsia="zh-CN"/>
                    </w:rPr>
                    <w:t>原料名称</w:t>
                  </w:r>
                </w:p>
              </w:tc>
              <w:tc>
                <w:tcPr>
                  <w:tcW w:w="450" w:type="pct"/>
                  <w:tcBorders>
                    <w:tl2br w:val="nil"/>
                    <w:tr2bl w:val="nil"/>
                  </w:tcBorders>
                  <w:noWrap w:val="0"/>
                  <w:vAlign w:val="center"/>
                </w:tcPr>
                <w:p w14:paraId="5AA6FE5C">
                  <w:pPr>
                    <w:pStyle w:val="53"/>
                    <w:bidi w:val="0"/>
                    <w:rPr>
                      <w:rFonts w:hint="eastAsia"/>
                      <w:lang w:val="en-US" w:eastAsia="zh-CN"/>
                    </w:rPr>
                  </w:pPr>
                  <w:r>
                    <w:rPr>
                      <w:rFonts w:hint="eastAsia"/>
                      <w:lang w:val="en-US" w:eastAsia="zh-CN"/>
                    </w:rPr>
                    <w:t>工艺名称</w:t>
                  </w:r>
                </w:p>
              </w:tc>
              <w:tc>
                <w:tcPr>
                  <w:tcW w:w="501" w:type="pct"/>
                  <w:tcBorders>
                    <w:tl2br w:val="nil"/>
                    <w:tr2bl w:val="nil"/>
                  </w:tcBorders>
                  <w:noWrap w:val="0"/>
                  <w:vAlign w:val="center"/>
                </w:tcPr>
                <w:p w14:paraId="56CA5975">
                  <w:pPr>
                    <w:pStyle w:val="53"/>
                    <w:bidi w:val="0"/>
                    <w:rPr>
                      <w:rFonts w:hint="eastAsia"/>
                      <w:lang w:val="en-US" w:eastAsia="zh-CN"/>
                    </w:rPr>
                  </w:pPr>
                  <w:r>
                    <w:rPr>
                      <w:rFonts w:hint="eastAsia"/>
                      <w:lang w:val="en-US" w:eastAsia="zh-CN"/>
                    </w:rPr>
                    <w:t>规模等级</w:t>
                  </w:r>
                </w:p>
              </w:tc>
              <w:tc>
                <w:tcPr>
                  <w:tcW w:w="610" w:type="pct"/>
                  <w:gridSpan w:val="2"/>
                  <w:tcBorders>
                    <w:tl2br w:val="nil"/>
                    <w:tr2bl w:val="nil"/>
                  </w:tcBorders>
                  <w:noWrap w:val="0"/>
                  <w:vAlign w:val="center"/>
                </w:tcPr>
                <w:p w14:paraId="5A05BC60">
                  <w:pPr>
                    <w:pStyle w:val="53"/>
                    <w:bidi w:val="0"/>
                    <w:rPr>
                      <w:rFonts w:hint="eastAsia"/>
                      <w:lang w:val="en-US" w:eastAsia="zh-CN"/>
                    </w:rPr>
                  </w:pPr>
                  <w:r>
                    <w:rPr>
                      <w:rFonts w:hint="eastAsia"/>
                      <w:lang w:val="en-US" w:eastAsia="zh-CN"/>
                    </w:rPr>
                    <w:t>污染物指标</w:t>
                  </w:r>
                </w:p>
              </w:tc>
              <w:tc>
                <w:tcPr>
                  <w:tcW w:w="428" w:type="pct"/>
                  <w:tcBorders>
                    <w:tl2br w:val="nil"/>
                    <w:tr2bl w:val="nil"/>
                  </w:tcBorders>
                  <w:noWrap w:val="0"/>
                  <w:vAlign w:val="center"/>
                </w:tcPr>
                <w:p w14:paraId="43D4FC67">
                  <w:pPr>
                    <w:pStyle w:val="53"/>
                    <w:bidi w:val="0"/>
                    <w:rPr>
                      <w:rFonts w:hint="eastAsia"/>
                      <w:lang w:val="en-US" w:eastAsia="zh-CN"/>
                    </w:rPr>
                  </w:pPr>
                  <w:r>
                    <w:rPr>
                      <w:rFonts w:hint="eastAsia"/>
                      <w:lang w:val="en-US" w:eastAsia="zh-CN"/>
                    </w:rPr>
                    <w:t>单位</w:t>
                  </w:r>
                </w:p>
              </w:tc>
              <w:tc>
                <w:tcPr>
                  <w:tcW w:w="443" w:type="pct"/>
                  <w:tcBorders>
                    <w:tl2br w:val="nil"/>
                    <w:tr2bl w:val="nil"/>
                  </w:tcBorders>
                  <w:noWrap w:val="0"/>
                  <w:vAlign w:val="center"/>
                </w:tcPr>
                <w:p w14:paraId="3F062C49">
                  <w:pPr>
                    <w:pStyle w:val="53"/>
                    <w:bidi w:val="0"/>
                    <w:rPr>
                      <w:rFonts w:hint="eastAsia"/>
                      <w:lang w:val="en-US" w:eastAsia="zh-CN"/>
                    </w:rPr>
                  </w:pPr>
                  <w:r>
                    <w:rPr>
                      <w:rFonts w:hint="eastAsia"/>
                      <w:lang w:val="en-US" w:eastAsia="zh-CN"/>
                    </w:rPr>
                    <w:t>产污系数</w:t>
                  </w:r>
                </w:p>
              </w:tc>
              <w:tc>
                <w:tcPr>
                  <w:tcW w:w="544" w:type="pct"/>
                  <w:tcBorders>
                    <w:tl2br w:val="nil"/>
                    <w:tr2bl w:val="nil"/>
                  </w:tcBorders>
                  <w:noWrap w:val="0"/>
                  <w:vAlign w:val="center"/>
                </w:tcPr>
                <w:p w14:paraId="0B37D044">
                  <w:pPr>
                    <w:pStyle w:val="53"/>
                    <w:bidi w:val="0"/>
                    <w:rPr>
                      <w:rFonts w:hint="eastAsia"/>
                      <w:lang w:val="en-US" w:eastAsia="zh-CN"/>
                    </w:rPr>
                  </w:pPr>
                  <w:r>
                    <w:rPr>
                      <w:rFonts w:hint="eastAsia"/>
                      <w:lang w:val="en-US" w:eastAsia="zh-CN"/>
                    </w:rPr>
                    <w:t>末端治理技术名称</w:t>
                  </w:r>
                </w:p>
              </w:tc>
              <w:tc>
                <w:tcPr>
                  <w:tcW w:w="580" w:type="pct"/>
                  <w:tcBorders>
                    <w:tl2br w:val="nil"/>
                    <w:tr2bl w:val="nil"/>
                  </w:tcBorders>
                  <w:noWrap w:val="0"/>
                  <w:vAlign w:val="center"/>
                </w:tcPr>
                <w:p w14:paraId="4D8449E5">
                  <w:pPr>
                    <w:pStyle w:val="53"/>
                    <w:bidi w:val="0"/>
                    <w:rPr>
                      <w:rFonts w:hint="eastAsia"/>
                      <w:lang w:val="en-US" w:eastAsia="zh-CN"/>
                    </w:rPr>
                  </w:pPr>
                  <w:r>
                    <w:rPr>
                      <w:rFonts w:hint="eastAsia"/>
                      <w:lang w:val="en-US" w:eastAsia="zh-CN"/>
                    </w:rPr>
                    <w:t>末端治理效率（%）</w:t>
                  </w:r>
                </w:p>
              </w:tc>
            </w:tr>
            <w:tr w14:paraId="7A068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2" w:type="pct"/>
                  <w:vMerge w:val="restart"/>
                  <w:tcBorders>
                    <w:tl2br w:val="nil"/>
                    <w:tr2bl w:val="nil"/>
                  </w:tcBorders>
                  <w:noWrap w:val="0"/>
                  <w:vAlign w:val="center"/>
                </w:tcPr>
                <w:p w14:paraId="52122589">
                  <w:pPr>
                    <w:pStyle w:val="53"/>
                    <w:bidi w:val="0"/>
                    <w:rPr>
                      <w:rFonts w:hint="eastAsia"/>
                      <w:lang w:val="en-US" w:eastAsia="zh-CN"/>
                    </w:rPr>
                  </w:pPr>
                  <w:r>
                    <w:rPr>
                      <w:rFonts w:hint="eastAsia"/>
                      <w:lang w:val="en-US" w:eastAsia="zh-CN"/>
                    </w:rPr>
                    <w:t>物料输送</w:t>
                  </w:r>
                </w:p>
              </w:tc>
              <w:tc>
                <w:tcPr>
                  <w:tcW w:w="421" w:type="pct"/>
                  <w:vMerge w:val="restart"/>
                  <w:tcBorders>
                    <w:tl2br w:val="nil"/>
                    <w:tr2bl w:val="nil"/>
                  </w:tcBorders>
                  <w:noWrap w:val="0"/>
                  <w:vAlign w:val="center"/>
                </w:tcPr>
                <w:p w14:paraId="3A6CFD6E">
                  <w:pPr>
                    <w:pStyle w:val="53"/>
                    <w:bidi w:val="0"/>
                    <w:rPr>
                      <w:rFonts w:hint="eastAsia"/>
                      <w:lang w:val="en-US" w:eastAsia="zh-CN"/>
                    </w:rPr>
                  </w:pPr>
                  <w:r>
                    <w:rPr>
                      <w:rFonts w:hint="eastAsia"/>
                      <w:lang w:val="en-US" w:eastAsia="zh-CN"/>
                    </w:rPr>
                    <w:t>混凝土制品</w:t>
                  </w:r>
                </w:p>
              </w:tc>
              <w:tc>
                <w:tcPr>
                  <w:tcW w:w="566" w:type="pct"/>
                  <w:vMerge w:val="restart"/>
                  <w:tcBorders>
                    <w:tl2br w:val="nil"/>
                    <w:tr2bl w:val="nil"/>
                  </w:tcBorders>
                  <w:noWrap w:val="0"/>
                  <w:vAlign w:val="center"/>
                </w:tcPr>
                <w:p w14:paraId="74460308">
                  <w:pPr>
                    <w:pStyle w:val="53"/>
                    <w:bidi w:val="0"/>
                    <w:rPr>
                      <w:rFonts w:hint="eastAsia"/>
                      <w:lang w:val="en-US" w:eastAsia="zh-CN"/>
                    </w:rPr>
                  </w:pPr>
                  <w:r>
                    <w:rPr>
                      <w:rFonts w:hint="eastAsia"/>
                      <w:lang w:val="en-US" w:eastAsia="zh-CN"/>
                    </w:rPr>
                    <w:t>水泥、砂子、石子等</w:t>
                  </w:r>
                </w:p>
              </w:tc>
              <w:tc>
                <w:tcPr>
                  <w:tcW w:w="450" w:type="pct"/>
                  <w:vMerge w:val="restart"/>
                  <w:tcBorders>
                    <w:tl2br w:val="nil"/>
                    <w:tr2bl w:val="nil"/>
                  </w:tcBorders>
                  <w:noWrap w:val="0"/>
                  <w:vAlign w:val="center"/>
                </w:tcPr>
                <w:p w14:paraId="0D32823C">
                  <w:pPr>
                    <w:pStyle w:val="53"/>
                    <w:bidi w:val="0"/>
                    <w:rPr>
                      <w:rFonts w:hint="eastAsia"/>
                      <w:lang w:val="en-US" w:eastAsia="zh-CN"/>
                    </w:rPr>
                  </w:pPr>
                  <w:r>
                    <w:rPr>
                      <w:rFonts w:hint="eastAsia"/>
                      <w:lang w:val="en-US" w:eastAsia="zh-CN"/>
                    </w:rPr>
                    <w:t>物料输送储存</w:t>
                  </w:r>
                </w:p>
              </w:tc>
              <w:tc>
                <w:tcPr>
                  <w:tcW w:w="501" w:type="pct"/>
                  <w:vMerge w:val="restart"/>
                  <w:tcBorders>
                    <w:tl2br w:val="nil"/>
                    <w:tr2bl w:val="nil"/>
                  </w:tcBorders>
                  <w:noWrap w:val="0"/>
                  <w:vAlign w:val="center"/>
                </w:tcPr>
                <w:p w14:paraId="0AF4276B">
                  <w:pPr>
                    <w:pStyle w:val="53"/>
                    <w:bidi w:val="0"/>
                    <w:rPr>
                      <w:rFonts w:hint="eastAsia"/>
                      <w:lang w:val="en-US" w:eastAsia="zh-CN"/>
                    </w:rPr>
                  </w:pPr>
                  <w:r>
                    <w:rPr>
                      <w:rFonts w:hint="eastAsia"/>
                      <w:lang w:val="en-US" w:eastAsia="zh-CN"/>
                    </w:rPr>
                    <w:t>所有规模</w:t>
                  </w:r>
                </w:p>
              </w:tc>
              <w:tc>
                <w:tcPr>
                  <w:tcW w:w="297" w:type="pct"/>
                  <w:vMerge w:val="restart"/>
                  <w:tcBorders>
                    <w:tl2br w:val="nil"/>
                    <w:tr2bl w:val="nil"/>
                  </w:tcBorders>
                  <w:noWrap w:val="0"/>
                  <w:vAlign w:val="center"/>
                </w:tcPr>
                <w:p w14:paraId="04645DFA">
                  <w:pPr>
                    <w:pStyle w:val="53"/>
                    <w:bidi w:val="0"/>
                    <w:rPr>
                      <w:rFonts w:hint="eastAsia"/>
                      <w:lang w:val="en-US" w:eastAsia="zh-CN"/>
                    </w:rPr>
                  </w:pPr>
                  <w:r>
                    <w:rPr>
                      <w:rFonts w:hint="eastAsia"/>
                      <w:lang w:val="en-US" w:eastAsia="zh-CN"/>
                    </w:rPr>
                    <w:t>废气</w:t>
                  </w:r>
                </w:p>
              </w:tc>
              <w:tc>
                <w:tcPr>
                  <w:tcW w:w="312" w:type="pct"/>
                  <w:vMerge w:val="restart"/>
                  <w:tcBorders>
                    <w:tl2br w:val="nil"/>
                    <w:tr2bl w:val="nil"/>
                  </w:tcBorders>
                  <w:noWrap w:val="0"/>
                  <w:vAlign w:val="center"/>
                </w:tcPr>
                <w:p w14:paraId="0BC82B2B">
                  <w:pPr>
                    <w:pStyle w:val="53"/>
                    <w:bidi w:val="0"/>
                    <w:rPr>
                      <w:rFonts w:hint="eastAsia"/>
                      <w:lang w:val="en-US" w:eastAsia="zh-CN"/>
                    </w:rPr>
                  </w:pPr>
                  <w:r>
                    <w:rPr>
                      <w:rFonts w:hint="eastAsia"/>
                      <w:lang w:val="en-US" w:eastAsia="zh-CN"/>
                    </w:rPr>
                    <w:t>颗粒物</w:t>
                  </w:r>
                </w:p>
              </w:tc>
              <w:tc>
                <w:tcPr>
                  <w:tcW w:w="428" w:type="pct"/>
                  <w:vMerge w:val="restart"/>
                  <w:tcBorders>
                    <w:tl2br w:val="nil"/>
                    <w:tr2bl w:val="nil"/>
                  </w:tcBorders>
                  <w:noWrap w:val="0"/>
                  <w:vAlign w:val="center"/>
                </w:tcPr>
                <w:p w14:paraId="5C48D777">
                  <w:pPr>
                    <w:pStyle w:val="53"/>
                    <w:bidi w:val="0"/>
                    <w:rPr>
                      <w:rFonts w:hint="eastAsia"/>
                      <w:lang w:val="en-US" w:eastAsia="zh-CN"/>
                    </w:rPr>
                  </w:pPr>
                  <w:r>
                    <w:rPr>
                      <w:rFonts w:hint="eastAsia"/>
                      <w:lang w:val="en-US" w:eastAsia="zh-CN"/>
                    </w:rPr>
                    <w:t>千克/吨-产品</w:t>
                  </w:r>
                </w:p>
              </w:tc>
              <w:tc>
                <w:tcPr>
                  <w:tcW w:w="443" w:type="pct"/>
                  <w:vMerge w:val="restart"/>
                  <w:tcBorders>
                    <w:tl2br w:val="nil"/>
                    <w:tr2bl w:val="nil"/>
                  </w:tcBorders>
                  <w:noWrap w:val="0"/>
                  <w:vAlign w:val="center"/>
                </w:tcPr>
                <w:p w14:paraId="37C4AFC1">
                  <w:pPr>
                    <w:pStyle w:val="53"/>
                    <w:bidi w:val="0"/>
                    <w:rPr>
                      <w:rFonts w:hint="eastAsia"/>
                      <w:lang w:val="en-US" w:eastAsia="zh-CN"/>
                    </w:rPr>
                  </w:pPr>
                  <w:r>
                    <w:rPr>
                      <w:rFonts w:hint="eastAsia"/>
                      <w:lang w:val="en-US" w:eastAsia="zh-CN"/>
                    </w:rPr>
                    <w:t>0.12</w:t>
                  </w:r>
                </w:p>
              </w:tc>
              <w:tc>
                <w:tcPr>
                  <w:tcW w:w="544" w:type="pct"/>
                  <w:tcBorders>
                    <w:tl2br w:val="nil"/>
                    <w:tr2bl w:val="nil"/>
                  </w:tcBorders>
                  <w:noWrap w:val="0"/>
                  <w:vAlign w:val="center"/>
                </w:tcPr>
                <w:p w14:paraId="605ED1F5">
                  <w:pPr>
                    <w:pStyle w:val="53"/>
                    <w:bidi w:val="0"/>
                    <w:rPr>
                      <w:rFonts w:hint="eastAsia"/>
                      <w:lang w:val="en-US" w:eastAsia="zh-CN"/>
                    </w:rPr>
                  </w:pPr>
                  <w:r>
                    <w:rPr>
                      <w:rFonts w:hint="eastAsia"/>
                      <w:lang w:val="en-US" w:eastAsia="zh-CN"/>
                    </w:rPr>
                    <w:t>袋式除尘</w:t>
                  </w:r>
                </w:p>
              </w:tc>
              <w:tc>
                <w:tcPr>
                  <w:tcW w:w="580" w:type="pct"/>
                  <w:tcBorders>
                    <w:tl2br w:val="nil"/>
                    <w:tr2bl w:val="nil"/>
                  </w:tcBorders>
                  <w:noWrap w:val="0"/>
                  <w:vAlign w:val="center"/>
                </w:tcPr>
                <w:p w14:paraId="4A0F952A">
                  <w:pPr>
                    <w:pStyle w:val="53"/>
                    <w:bidi w:val="0"/>
                    <w:rPr>
                      <w:rFonts w:hint="eastAsia"/>
                      <w:lang w:val="en-US" w:eastAsia="zh-CN"/>
                    </w:rPr>
                  </w:pPr>
                  <w:r>
                    <w:rPr>
                      <w:rFonts w:hint="eastAsia"/>
                      <w:lang w:val="en-US" w:eastAsia="zh-CN"/>
                    </w:rPr>
                    <w:t>99.7</w:t>
                  </w:r>
                </w:p>
              </w:tc>
            </w:tr>
            <w:tr w14:paraId="6F99AD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2" w:type="pct"/>
                  <w:vMerge w:val="continue"/>
                  <w:tcBorders>
                    <w:tl2br w:val="nil"/>
                    <w:tr2bl w:val="nil"/>
                  </w:tcBorders>
                  <w:noWrap w:val="0"/>
                  <w:vAlign w:val="center"/>
                </w:tcPr>
                <w:p w14:paraId="1D075E26">
                  <w:pPr>
                    <w:pStyle w:val="53"/>
                    <w:bidi w:val="0"/>
                    <w:rPr>
                      <w:rFonts w:hint="eastAsia"/>
                      <w:lang w:val="en-US" w:eastAsia="zh-CN"/>
                    </w:rPr>
                  </w:pPr>
                </w:p>
              </w:tc>
              <w:tc>
                <w:tcPr>
                  <w:tcW w:w="421" w:type="pct"/>
                  <w:vMerge w:val="continue"/>
                  <w:tcBorders>
                    <w:tl2br w:val="nil"/>
                    <w:tr2bl w:val="nil"/>
                  </w:tcBorders>
                  <w:noWrap w:val="0"/>
                  <w:vAlign w:val="center"/>
                </w:tcPr>
                <w:p w14:paraId="78082CBC">
                  <w:pPr>
                    <w:pStyle w:val="53"/>
                    <w:bidi w:val="0"/>
                    <w:rPr>
                      <w:rFonts w:hint="eastAsia"/>
                      <w:lang w:val="en-US" w:eastAsia="zh-CN"/>
                    </w:rPr>
                  </w:pPr>
                </w:p>
              </w:tc>
              <w:tc>
                <w:tcPr>
                  <w:tcW w:w="566" w:type="pct"/>
                  <w:vMerge w:val="continue"/>
                  <w:tcBorders>
                    <w:tl2br w:val="nil"/>
                    <w:tr2bl w:val="nil"/>
                  </w:tcBorders>
                  <w:noWrap w:val="0"/>
                  <w:vAlign w:val="center"/>
                </w:tcPr>
                <w:p w14:paraId="5FD11BD6">
                  <w:pPr>
                    <w:pStyle w:val="53"/>
                    <w:bidi w:val="0"/>
                    <w:rPr>
                      <w:rFonts w:hint="eastAsia"/>
                      <w:lang w:val="en-US" w:eastAsia="zh-CN"/>
                    </w:rPr>
                  </w:pPr>
                </w:p>
              </w:tc>
              <w:tc>
                <w:tcPr>
                  <w:tcW w:w="450" w:type="pct"/>
                  <w:vMerge w:val="continue"/>
                  <w:tcBorders>
                    <w:tl2br w:val="nil"/>
                    <w:tr2bl w:val="nil"/>
                  </w:tcBorders>
                  <w:noWrap w:val="0"/>
                  <w:vAlign w:val="center"/>
                </w:tcPr>
                <w:p w14:paraId="5577191E">
                  <w:pPr>
                    <w:pStyle w:val="53"/>
                    <w:bidi w:val="0"/>
                    <w:rPr>
                      <w:rFonts w:hint="eastAsia"/>
                      <w:lang w:val="en-US" w:eastAsia="zh-CN"/>
                    </w:rPr>
                  </w:pPr>
                </w:p>
              </w:tc>
              <w:tc>
                <w:tcPr>
                  <w:tcW w:w="501" w:type="pct"/>
                  <w:vMerge w:val="continue"/>
                  <w:tcBorders>
                    <w:tl2br w:val="nil"/>
                    <w:tr2bl w:val="nil"/>
                  </w:tcBorders>
                  <w:noWrap w:val="0"/>
                  <w:vAlign w:val="center"/>
                </w:tcPr>
                <w:p w14:paraId="049C6A44">
                  <w:pPr>
                    <w:pStyle w:val="53"/>
                    <w:bidi w:val="0"/>
                    <w:rPr>
                      <w:rFonts w:hint="eastAsia"/>
                      <w:lang w:val="en-US" w:eastAsia="zh-CN"/>
                    </w:rPr>
                  </w:pPr>
                </w:p>
              </w:tc>
              <w:tc>
                <w:tcPr>
                  <w:tcW w:w="297" w:type="pct"/>
                  <w:vMerge w:val="continue"/>
                  <w:tcBorders>
                    <w:tl2br w:val="nil"/>
                    <w:tr2bl w:val="nil"/>
                  </w:tcBorders>
                  <w:noWrap w:val="0"/>
                  <w:vAlign w:val="center"/>
                </w:tcPr>
                <w:p w14:paraId="5AFCE231">
                  <w:pPr>
                    <w:pStyle w:val="53"/>
                    <w:bidi w:val="0"/>
                    <w:rPr>
                      <w:rFonts w:hint="eastAsia"/>
                      <w:lang w:val="en-US" w:eastAsia="zh-CN"/>
                    </w:rPr>
                  </w:pPr>
                </w:p>
              </w:tc>
              <w:tc>
                <w:tcPr>
                  <w:tcW w:w="312" w:type="pct"/>
                  <w:vMerge w:val="continue"/>
                  <w:tcBorders>
                    <w:tl2br w:val="nil"/>
                    <w:tr2bl w:val="nil"/>
                  </w:tcBorders>
                  <w:noWrap w:val="0"/>
                  <w:vAlign w:val="center"/>
                </w:tcPr>
                <w:p w14:paraId="7F24CE04">
                  <w:pPr>
                    <w:pStyle w:val="53"/>
                    <w:bidi w:val="0"/>
                    <w:rPr>
                      <w:rFonts w:hint="eastAsia"/>
                      <w:lang w:val="en-US" w:eastAsia="zh-CN"/>
                    </w:rPr>
                  </w:pPr>
                </w:p>
              </w:tc>
              <w:tc>
                <w:tcPr>
                  <w:tcW w:w="428" w:type="pct"/>
                  <w:vMerge w:val="continue"/>
                  <w:tcBorders>
                    <w:tl2br w:val="nil"/>
                    <w:tr2bl w:val="nil"/>
                  </w:tcBorders>
                  <w:noWrap w:val="0"/>
                  <w:vAlign w:val="center"/>
                </w:tcPr>
                <w:p w14:paraId="03C27C4E">
                  <w:pPr>
                    <w:pStyle w:val="53"/>
                    <w:bidi w:val="0"/>
                    <w:rPr>
                      <w:rFonts w:hint="eastAsia"/>
                      <w:lang w:val="en-US" w:eastAsia="zh-CN"/>
                    </w:rPr>
                  </w:pPr>
                </w:p>
              </w:tc>
              <w:tc>
                <w:tcPr>
                  <w:tcW w:w="443" w:type="pct"/>
                  <w:vMerge w:val="continue"/>
                  <w:tcBorders>
                    <w:tl2br w:val="nil"/>
                    <w:tr2bl w:val="nil"/>
                  </w:tcBorders>
                  <w:noWrap w:val="0"/>
                  <w:vAlign w:val="center"/>
                </w:tcPr>
                <w:p w14:paraId="21EC3A24">
                  <w:pPr>
                    <w:pStyle w:val="53"/>
                    <w:bidi w:val="0"/>
                    <w:rPr>
                      <w:rFonts w:hint="eastAsia"/>
                      <w:lang w:val="en-US" w:eastAsia="zh-CN"/>
                    </w:rPr>
                  </w:pPr>
                </w:p>
              </w:tc>
              <w:tc>
                <w:tcPr>
                  <w:tcW w:w="544" w:type="pct"/>
                  <w:tcBorders>
                    <w:tl2br w:val="nil"/>
                    <w:tr2bl w:val="nil"/>
                  </w:tcBorders>
                  <w:noWrap w:val="0"/>
                  <w:vAlign w:val="center"/>
                </w:tcPr>
                <w:p w14:paraId="00F420FF">
                  <w:pPr>
                    <w:pStyle w:val="53"/>
                    <w:bidi w:val="0"/>
                    <w:rPr>
                      <w:rFonts w:hint="default"/>
                      <w:lang w:val="en-US" w:eastAsia="zh-CN"/>
                    </w:rPr>
                  </w:pPr>
                  <w:r>
                    <w:rPr>
                      <w:rFonts w:hint="eastAsia"/>
                      <w:lang w:val="en-US" w:eastAsia="zh-CN"/>
                    </w:rPr>
                    <w:t>直排</w:t>
                  </w:r>
                </w:p>
              </w:tc>
              <w:tc>
                <w:tcPr>
                  <w:tcW w:w="580" w:type="pct"/>
                  <w:tcBorders>
                    <w:tl2br w:val="nil"/>
                    <w:tr2bl w:val="nil"/>
                  </w:tcBorders>
                  <w:noWrap w:val="0"/>
                  <w:vAlign w:val="center"/>
                </w:tcPr>
                <w:p w14:paraId="523EB2FC">
                  <w:pPr>
                    <w:pStyle w:val="53"/>
                    <w:bidi w:val="0"/>
                    <w:rPr>
                      <w:rFonts w:hint="default"/>
                      <w:lang w:val="en-US" w:eastAsia="zh-CN"/>
                    </w:rPr>
                  </w:pPr>
                  <w:r>
                    <w:rPr>
                      <w:rFonts w:hint="eastAsia"/>
                      <w:lang w:val="en-US" w:eastAsia="zh-CN"/>
                    </w:rPr>
                    <w:t>/</w:t>
                  </w:r>
                </w:p>
              </w:tc>
            </w:tr>
          </w:tbl>
          <w:p w14:paraId="124E67AE">
            <w:pPr>
              <w:pStyle w:val="54"/>
              <w:bidi w:val="0"/>
              <w:rPr>
                <w:rFonts w:hint="eastAsia"/>
                <w:lang w:val="en-US" w:eastAsia="zh-CN"/>
              </w:rPr>
            </w:pPr>
            <w:r>
              <w:rPr>
                <w:rFonts w:hint="eastAsia"/>
                <w:lang w:val="en-US" w:eastAsia="zh-CN"/>
              </w:rPr>
              <w:t>根据企业提供资料，本项目原料水泥用量为18520t/a，则颗粒物产生量为2.22t/a。本项目拟建设2个水泥筒仓，每辆散装水泥罐车可装原料35t，每年水泥运输、装料530次。每装完一车原料的时间约为40min，则每年水泥装罐时间为354h。每个筒仓设有1台仓顶除尘器（除尘器除尘效率≥99.7%），处理后以无组织形式排放，水泥筒仓仓顶无排气筒。</w:t>
            </w:r>
          </w:p>
          <w:p w14:paraId="02AE422E">
            <w:pPr>
              <w:pStyle w:val="54"/>
              <w:bidi w:val="0"/>
              <w:rPr>
                <w:rFonts w:hint="eastAsia"/>
                <w:lang w:val="en-US" w:eastAsia="zh-CN"/>
              </w:rPr>
            </w:pPr>
            <w:r>
              <w:rPr>
                <w:rFonts w:hint="eastAsia"/>
                <w:lang w:val="en-US" w:eastAsia="zh-CN"/>
              </w:rPr>
              <w:t>筒仓呼吸产生的粉尘经仓顶除尘器处理后，排放量为0.007t/a，无组织粉尘排放满足《水泥工业大气污染物排放标准》（GB4915-2013）表3大气污染物无组织排放限值。</w:t>
            </w:r>
          </w:p>
          <w:p w14:paraId="29BFA568">
            <w:pPr>
              <w:pStyle w:val="54"/>
              <w:bidi w:val="0"/>
              <w:rPr>
                <w:rFonts w:hint="eastAsia"/>
                <w:color w:val="FF0000"/>
                <w:lang w:val="en-US" w:eastAsia="zh-CN"/>
              </w:rPr>
            </w:pPr>
            <w:r>
              <w:rPr>
                <w:rFonts w:hint="eastAsia"/>
                <w:b w:val="0"/>
                <w:bCs w:val="0"/>
                <w:color w:val="auto"/>
                <w:lang w:val="en-US" w:eastAsia="zh-CN"/>
              </w:rPr>
              <w:t>2）砂石</w:t>
            </w:r>
            <w:r>
              <w:rPr>
                <w:rFonts w:hint="eastAsia"/>
                <w:color w:val="auto"/>
                <w:lang w:val="en-US" w:eastAsia="zh-CN"/>
              </w:rPr>
              <w:t>堆存及装卸过程产生的粉尘</w:t>
            </w:r>
          </w:p>
          <w:p w14:paraId="4C18A1EA">
            <w:pPr>
              <w:pStyle w:val="54"/>
              <w:bidi w:val="0"/>
              <w:rPr>
                <w:rFonts w:hint="eastAsia"/>
                <w:color w:val="auto"/>
                <w:lang w:val="en-US" w:eastAsia="zh-CN"/>
              </w:rPr>
            </w:pPr>
            <w:r>
              <w:rPr>
                <w:rFonts w:hint="eastAsia"/>
                <w:color w:val="auto"/>
                <w:lang w:val="en-US" w:eastAsia="zh-CN"/>
              </w:rPr>
              <w:t>本项目砂石料存放在全封闭骨料仓内，堆存装卸过程产生的无组织颗粒物参考《排放源统计调查产排污核算方法和系数手册》中“附表2工业源固体物料堆场颗粒物核算系数手册”颗粒物产生量计算方法，公式如下：</w:t>
            </w:r>
          </w:p>
          <w:p w14:paraId="13A0F344">
            <w:pPr>
              <w:pStyle w:val="54"/>
              <w:bidi w:val="0"/>
              <w:ind w:left="0" w:leftChars="0" w:firstLine="0" w:firstLineChars="0"/>
              <w:jc w:val="center"/>
              <w:rPr>
                <w:color w:val="auto"/>
              </w:rPr>
            </w:pPr>
            <w:r>
              <w:rPr>
                <w:i/>
                <w:iCs/>
                <w:color w:val="auto"/>
              </w:rPr>
              <w:t>P</w:t>
            </w:r>
            <w:r>
              <w:rPr>
                <w:color w:val="auto"/>
              </w:rPr>
              <w:t>=</w:t>
            </w:r>
            <w:r>
              <w:rPr>
                <w:i/>
                <w:iCs/>
                <w:color w:val="auto"/>
              </w:rPr>
              <w:t>ZC</w:t>
            </w:r>
            <w:r>
              <w:rPr>
                <w:i/>
                <w:iCs/>
                <w:color w:val="auto"/>
                <w:vertAlign w:val="subscript"/>
              </w:rPr>
              <w:t>y</w:t>
            </w:r>
            <w:r>
              <w:rPr>
                <w:color w:val="auto"/>
              </w:rPr>
              <w:t>+</w:t>
            </w:r>
            <w:r>
              <w:rPr>
                <w:i/>
                <w:iCs/>
                <w:color w:val="auto"/>
              </w:rPr>
              <w:t>FC</w:t>
            </w:r>
            <w:r>
              <w:rPr>
                <w:i/>
                <w:iCs/>
                <w:color w:val="auto"/>
                <w:vertAlign w:val="subscript"/>
              </w:rPr>
              <w:t>y</w:t>
            </w:r>
            <w:r>
              <w:rPr>
                <w:color w:val="auto"/>
              </w:rPr>
              <w:t>={</w:t>
            </w:r>
            <w:r>
              <w:rPr>
                <w:i/>
                <w:iCs/>
                <w:color w:val="auto"/>
              </w:rPr>
              <w:t>N</w:t>
            </w:r>
            <w:r>
              <w:rPr>
                <w:i/>
                <w:iCs/>
                <w:color w:val="auto"/>
                <w:vertAlign w:val="subscript"/>
              </w:rPr>
              <w:t>c</w:t>
            </w:r>
            <w:r>
              <w:rPr>
                <w:color w:val="auto"/>
              </w:rPr>
              <w:t>×</w:t>
            </w:r>
            <w:r>
              <w:rPr>
                <w:i/>
                <w:iCs/>
                <w:color w:val="auto"/>
              </w:rPr>
              <w:t>D</w:t>
            </w:r>
            <w:r>
              <w:rPr>
                <w:color w:val="auto"/>
              </w:rPr>
              <w:t>×（a/b）+2×</w:t>
            </w:r>
            <w:r>
              <w:rPr>
                <w:i/>
                <w:iCs/>
                <w:color w:val="auto"/>
              </w:rPr>
              <w:t>E</w:t>
            </w:r>
            <w:r>
              <w:rPr>
                <w:i/>
                <w:iCs/>
                <w:color w:val="auto"/>
                <w:vertAlign w:val="subscript"/>
              </w:rPr>
              <w:t>f</w:t>
            </w:r>
            <w:r>
              <w:rPr>
                <w:color w:val="auto"/>
              </w:rPr>
              <w:t>×</w:t>
            </w:r>
            <w:r>
              <w:rPr>
                <w:i/>
                <w:iCs/>
                <w:color w:val="auto"/>
              </w:rPr>
              <w:t>S</w:t>
            </w:r>
            <w:r>
              <w:rPr>
                <w:color w:val="auto"/>
              </w:rPr>
              <w:t>}×10</w:t>
            </w:r>
            <w:r>
              <w:rPr>
                <w:color w:val="auto"/>
                <w:vertAlign w:val="superscript"/>
              </w:rPr>
              <w:t>-3</w:t>
            </w:r>
          </w:p>
          <w:p w14:paraId="4896F3B0">
            <w:pPr>
              <w:pStyle w:val="54"/>
              <w:bidi w:val="0"/>
              <w:rPr>
                <w:color w:val="auto"/>
              </w:rPr>
            </w:pPr>
            <w:r>
              <w:rPr>
                <w:color w:val="auto"/>
              </w:rPr>
              <w:t>式中：</w:t>
            </w:r>
            <w:r>
              <w:rPr>
                <w:i/>
                <w:iCs/>
                <w:color w:val="auto"/>
              </w:rPr>
              <w:t>P</w:t>
            </w:r>
            <w:r>
              <w:rPr>
                <w:color w:val="auto"/>
              </w:rPr>
              <w:t>—颗粒物产生量，t；</w:t>
            </w:r>
          </w:p>
          <w:p w14:paraId="5A18FB60">
            <w:pPr>
              <w:pStyle w:val="54"/>
              <w:bidi w:val="0"/>
              <w:ind w:firstLine="1200" w:firstLineChars="500"/>
              <w:rPr>
                <w:color w:val="auto"/>
              </w:rPr>
            </w:pPr>
            <w:r>
              <w:rPr>
                <w:i/>
                <w:iCs/>
                <w:color w:val="auto"/>
              </w:rPr>
              <w:t>ZC</w:t>
            </w:r>
            <w:r>
              <w:rPr>
                <w:i/>
                <w:iCs/>
                <w:color w:val="auto"/>
                <w:vertAlign w:val="subscript"/>
              </w:rPr>
              <w:t>y</w:t>
            </w:r>
            <w:r>
              <w:rPr>
                <w:color w:val="auto"/>
              </w:rPr>
              <w:t>—装卸扬尘产生量，t；</w:t>
            </w:r>
          </w:p>
          <w:p w14:paraId="4A263559">
            <w:pPr>
              <w:pStyle w:val="54"/>
              <w:bidi w:val="0"/>
              <w:ind w:firstLine="1200" w:firstLineChars="500"/>
              <w:rPr>
                <w:color w:val="auto"/>
              </w:rPr>
            </w:pPr>
            <w:r>
              <w:rPr>
                <w:i/>
                <w:iCs/>
                <w:color w:val="auto"/>
              </w:rPr>
              <w:t>FC</w:t>
            </w:r>
            <w:r>
              <w:rPr>
                <w:i/>
                <w:iCs/>
                <w:color w:val="auto"/>
                <w:vertAlign w:val="subscript"/>
              </w:rPr>
              <w:t>y</w:t>
            </w:r>
            <w:r>
              <w:rPr>
                <w:color w:val="auto"/>
              </w:rPr>
              <w:t>—风蚀扬尘产生量，t；</w:t>
            </w:r>
          </w:p>
          <w:p w14:paraId="17166425">
            <w:pPr>
              <w:pStyle w:val="54"/>
              <w:bidi w:val="0"/>
              <w:ind w:firstLine="1200" w:firstLineChars="500"/>
              <w:rPr>
                <w:color w:val="auto"/>
              </w:rPr>
            </w:pPr>
            <w:r>
              <w:rPr>
                <w:i/>
                <w:iCs/>
                <w:color w:val="auto"/>
              </w:rPr>
              <w:t>N</w:t>
            </w:r>
            <w:r>
              <w:rPr>
                <w:i/>
                <w:iCs/>
                <w:color w:val="auto"/>
                <w:vertAlign w:val="subscript"/>
              </w:rPr>
              <w:t>c</w:t>
            </w:r>
            <w:r>
              <w:rPr>
                <w:color w:val="auto"/>
              </w:rPr>
              <w:t>—年物料运载车次，车；</w:t>
            </w:r>
          </w:p>
          <w:p w14:paraId="664E1538">
            <w:pPr>
              <w:pStyle w:val="54"/>
              <w:bidi w:val="0"/>
              <w:ind w:firstLine="1200" w:firstLineChars="500"/>
              <w:rPr>
                <w:color w:val="auto"/>
              </w:rPr>
            </w:pPr>
            <w:r>
              <w:rPr>
                <w:i/>
                <w:iCs/>
                <w:color w:val="auto"/>
              </w:rPr>
              <w:t>D</w:t>
            </w:r>
            <w:r>
              <w:rPr>
                <w:color w:val="auto"/>
              </w:rPr>
              <w:t>—单车平均运载量，t/车；</w:t>
            </w:r>
          </w:p>
          <w:p w14:paraId="0B094BFF">
            <w:pPr>
              <w:pStyle w:val="54"/>
              <w:bidi w:val="0"/>
              <w:ind w:firstLine="1200" w:firstLineChars="500"/>
              <w:rPr>
                <w:color w:val="auto"/>
              </w:rPr>
            </w:pPr>
            <w:r>
              <w:rPr>
                <w:color w:val="auto"/>
              </w:rPr>
              <w:t>（a/b）—装卸扬尘概化系数，kg/t；</w:t>
            </w:r>
          </w:p>
          <w:p w14:paraId="614F85FE">
            <w:pPr>
              <w:pStyle w:val="54"/>
              <w:bidi w:val="0"/>
              <w:ind w:firstLine="1200" w:firstLineChars="500"/>
              <w:rPr>
                <w:color w:val="auto"/>
              </w:rPr>
            </w:pPr>
            <w:r>
              <w:rPr>
                <w:color w:val="auto"/>
              </w:rPr>
              <w:t>a—各省风速概化系数；</w:t>
            </w:r>
          </w:p>
          <w:p w14:paraId="3CB1CB92">
            <w:pPr>
              <w:pStyle w:val="54"/>
              <w:bidi w:val="0"/>
              <w:ind w:firstLine="1200" w:firstLineChars="500"/>
              <w:rPr>
                <w:color w:val="auto"/>
              </w:rPr>
            </w:pPr>
            <w:r>
              <w:rPr>
                <w:color w:val="auto"/>
              </w:rPr>
              <w:t>b—物料含水率概化系数；</w:t>
            </w:r>
          </w:p>
          <w:p w14:paraId="26DF13F3">
            <w:pPr>
              <w:pStyle w:val="54"/>
              <w:bidi w:val="0"/>
              <w:ind w:firstLine="1200" w:firstLineChars="500"/>
              <w:rPr>
                <w:color w:val="auto"/>
              </w:rPr>
            </w:pPr>
            <w:r>
              <w:rPr>
                <w:i/>
                <w:iCs/>
                <w:color w:val="auto"/>
              </w:rPr>
              <w:t>E</w:t>
            </w:r>
            <w:r>
              <w:rPr>
                <w:i/>
                <w:iCs/>
                <w:color w:val="auto"/>
                <w:vertAlign w:val="subscript"/>
              </w:rPr>
              <w:t>f</w:t>
            </w:r>
            <w:r>
              <w:rPr>
                <w:color w:val="auto"/>
              </w:rPr>
              <w:t>—堆场风蚀扬尘概化系数，kg/m</w:t>
            </w:r>
            <w:r>
              <w:rPr>
                <w:color w:val="auto"/>
                <w:vertAlign w:val="superscript"/>
              </w:rPr>
              <w:t>2</w:t>
            </w:r>
            <w:r>
              <w:rPr>
                <w:color w:val="auto"/>
              </w:rPr>
              <w:t>；</w:t>
            </w:r>
          </w:p>
          <w:p w14:paraId="0FFCEA04">
            <w:pPr>
              <w:pStyle w:val="54"/>
              <w:bidi w:val="0"/>
              <w:ind w:firstLine="1200" w:firstLineChars="500"/>
              <w:rPr>
                <w:rFonts w:hint="eastAsia"/>
                <w:color w:val="FF0000"/>
                <w:lang w:val="en-US" w:eastAsia="zh-CN"/>
              </w:rPr>
            </w:pPr>
            <w:r>
              <w:rPr>
                <w:i/>
                <w:iCs/>
                <w:color w:val="auto"/>
              </w:rPr>
              <w:t>S</w:t>
            </w:r>
            <w:r>
              <w:rPr>
                <w:color w:val="auto"/>
              </w:rPr>
              <w:t>—堆场占地面积，m</w:t>
            </w:r>
            <w:r>
              <w:rPr>
                <w:color w:val="auto"/>
                <w:vertAlign w:val="superscript"/>
              </w:rPr>
              <w:t>2</w:t>
            </w:r>
            <w:r>
              <w:rPr>
                <w:color w:val="auto"/>
              </w:rPr>
              <w:t>。</w:t>
            </w:r>
          </w:p>
          <w:p w14:paraId="120D98C3">
            <w:pPr>
              <w:pStyle w:val="54"/>
              <w:rPr>
                <w:rFonts w:hint="eastAsia"/>
                <w:color w:val="auto"/>
              </w:rPr>
            </w:pPr>
            <w:r>
              <w:rPr>
                <w:rFonts w:hint="eastAsia"/>
              </w:rPr>
              <w:t>本项目骨料仓内年储存砂石骨料共计</w:t>
            </w:r>
            <w:r>
              <w:rPr>
                <w:rFonts w:hint="eastAsia"/>
                <w:lang w:val="en-US" w:eastAsia="zh-CN"/>
              </w:rPr>
              <w:t>46.3万</w:t>
            </w:r>
            <w:r>
              <w:rPr>
                <w:rFonts w:hint="eastAsia"/>
              </w:rPr>
              <w:t>t</w:t>
            </w:r>
            <w:r>
              <w:rPr>
                <w:rFonts w:hint="eastAsia"/>
                <w:lang w:val="en-US" w:eastAsia="zh-CN"/>
              </w:rPr>
              <w:t>/a</w:t>
            </w:r>
            <w:r>
              <w:rPr>
                <w:rFonts w:hint="eastAsia"/>
              </w:rPr>
              <w:t>，利用</w:t>
            </w:r>
            <w:r>
              <w:rPr>
                <w:rFonts w:hint="eastAsia"/>
                <w:lang w:val="en-US" w:eastAsia="zh-CN"/>
              </w:rPr>
              <w:t>35</w:t>
            </w:r>
            <w:r>
              <w:rPr>
                <w:rFonts w:hint="eastAsia"/>
              </w:rPr>
              <w:t>t自卸卡车拉运（</w:t>
            </w:r>
            <w:r>
              <w:rPr>
                <w:rFonts w:hint="eastAsia"/>
                <w:i/>
                <w:iCs/>
              </w:rPr>
              <w:t>D</w:t>
            </w:r>
            <w:r>
              <w:rPr>
                <w:rFonts w:hint="eastAsia"/>
              </w:rPr>
              <w:t>为</w:t>
            </w:r>
            <w:r>
              <w:rPr>
                <w:rFonts w:hint="eastAsia"/>
                <w:lang w:val="en-US" w:eastAsia="zh-CN"/>
              </w:rPr>
              <w:t>35</w:t>
            </w:r>
            <w:r>
              <w:rPr>
                <w:rFonts w:hint="eastAsia"/>
              </w:rPr>
              <w:t>）；共需</w:t>
            </w:r>
            <w:r>
              <w:rPr>
                <w:rFonts w:hint="eastAsia"/>
                <w:lang w:val="en-US" w:eastAsia="zh-CN"/>
              </w:rPr>
              <w:t>4630</w:t>
            </w:r>
            <w:r>
              <w:rPr>
                <w:rFonts w:hint="eastAsia"/>
              </w:rPr>
              <w:t>车次（</w:t>
            </w:r>
            <w:r>
              <w:rPr>
                <w:rFonts w:hint="eastAsia"/>
                <w:i/>
                <w:iCs/>
              </w:rPr>
              <w:t>N</w:t>
            </w:r>
            <w:r>
              <w:rPr>
                <w:rFonts w:hint="eastAsia"/>
                <w:i/>
                <w:iCs/>
                <w:vertAlign w:val="subscript"/>
              </w:rPr>
              <w:t>c</w:t>
            </w:r>
            <w:r>
              <w:rPr>
                <w:rFonts w:hint="eastAsia"/>
              </w:rPr>
              <w:t>为</w:t>
            </w:r>
            <w:r>
              <w:rPr>
                <w:rFonts w:hint="eastAsia"/>
                <w:lang w:val="en-US" w:eastAsia="zh-CN"/>
              </w:rPr>
              <w:t>13229</w:t>
            </w:r>
            <w:r>
              <w:rPr>
                <w:rFonts w:hint="eastAsia"/>
              </w:rPr>
              <w:t>）；根据系数手册中“附录1”，确定风速概化系数a（内蒙古自治区）为0.0017；根据系数手册中“附录2”，参照“堆存物料类型-各种石灰石产品”，确定物料含水率概化系数b为0.0017；根据系数手册中“附录3”“堆存物料类型-各种石灰石产品”，确定风蚀扬尘概化系数</w:t>
            </w:r>
            <w:r>
              <w:rPr>
                <w:rFonts w:hint="eastAsia"/>
                <w:i/>
                <w:iCs/>
              </w:rPr>
              <w:t>E</w:t>
            </w:r>
            <w:r>
              <w:rPr>
                <w:rFonts w:hint="eastAsia"/>
                <w:i/>
                <w:iCs/>
                <w:vertAlign w:val="subscript"/>
              </w:rPr>
              <w:t>f</w:t>
            </w:r>
            <w:r>
              <w:rPr>
                <w:rFonts w:hint="eastAsia"/>
              </w:rPr>
              <w:t>为3</w:t>
            </w:r>
            <w:r>
              <w:rPr>
                <w:rFonts w:hint="eastAsia"/>
                <w:color w:val="auto"/>
              </w:rPr>
              <w:t>.6062；项目骨料仓面积S为</w:t>
            </w:r>
            <w:r>
              <w:rPr>
                <w:rFonts w:hint="eastAsia"/>
                <w:color w:val="auto"/>
                <w:lang w:val="en-US" w:eastAsia="zh-CN"/>
              </w:rPr>
              <w:t>7700</w:t>
            </w:r>
            <w:r>
              <w:rPr>
                <w:rFonts w:hint="eastAsia"/>
                <w:color w:val="auto"/>
              </w:rPr>
              <w:t>m</w:t>
            </w:r>
            <w:r>
              <w:rPr>
                <w:rFonts w:hint="eastAsia"/>
                <w:color w:val="auto"/>
                <w:vertAlign w:val="superscript"/>
              </w:rPr>
              <w:t>2</w:t>
            </w:r>
            <w:r>
              <w:rPr>
                <w:rFonts w:hint="eastAsia"/>
                <w:color w:val="auto"/>
              </w:rPr>
              <w:t>。经计算，颗粒物产生量为</w:t>
            </w:r>
            <w:r>
              <w:rPr>
                <w:rFonts w:hint="eastAsia"/>
                <w:color w:val="auto"/>
                <w:lang w:val="en-US" w:eastAsia="zh-CN"/>
              </w:rPr>
              <w:t>518.55</w:t>
            </w:r>
            <w:r>
              <w:rPr>
                <w:rFonts w:hint="eastAsia"/>
                <w:color w:val="auto"/>
              </w:rPr>
              <w:t>t/</w:t>
            </w:r>
            <w:r>
              <w:rPr>
                <w:rFonts w:hint="eastAsia"/>
                <w:color w:val="auto"/>
                <w:lang w:val="en-US" w:eastAsia="zh-CN"/>
              </w:rPr>
              <w:t>a</w:t>
            </w:r>
            <w:r>
              <w:rPr>
                <w:rFonts w:hint="eastAsia"/>
                <w:color w:val="auto"/>
              </w:rPr>
              <w:t>。</w:t>
            </w:r>
          </w:p>
          <w:p w14:paraId="43EA4C18">
            <w:pPr>
              <w:pStyle w:val="54"/>
              <w:rPr>
                <w:rFonts w:hint="eastAsia"/>
              </w:rPr>
            </w:pPr>
            <w:r>
              <w:rPr>
                <w:rFonts w:hint="eastAsia"/>
              </w:rPr>
              <w:t>参考《排放源统计调查产排污核算方法和系数手册》中“附表2工业源固体物料堆场颗粒物核算系数手册”颗粒物排放量计算方法，公式如下：</w:t>
            </w:r>
          </w:p>
          <w:p w14:paraId="1F5E501C">
            <w:pPr>
              <w:pStyle w:val="54"/>
              <w:ind w:firstLine="0" w:firstLineChars="0"/>
              <w:jc w:val="center"/>
              <w:rPr>
                <w:rFonts w:hint="eastAsia"/>
              </w:rPr>
            </w:pPr>
            <w:r>
              <w:rPr>
                <w:rFonts w:hint="eastAsia"/>
                <w:i/>
                <w:iCs/>
              </w:rPr>
              <w:t>U</w:t>
            </w:r>
            <w:r>
              <w:rPr>
                <w:rFonts w:hint="eastAsia"/>
                <w:i/>
                <w:iCs/>
                <w:vertAlign w:val="subscript"/>
              </w:rPr>
              <w:t>c</w:t>
            </w:r>
            <w:r>
              <w:rPr>
                <w:rFonts w:hint="eastAsia"/>
              </w:rPr>
              <w:t>=</w:t>
            </w:r>
            <w:r>
              <w:rPr>
                <w:rFonts w:hint="eastAsia"/>
                <w:i/>
                <w:iCs/>
              </w:rPr>
              <w:t>P</w:t>
            </w:r>
            <w:r>
              <w:rPr>
                <w:rFonts w:hint="eastAsia"/>
              </w:rPr>
              <w:t>×（1-</w:t>
            </w:r>
            <w:r>
              <w:rPr>
                <w:rFonts w:hint="eastAsia"/>
                <w:i/>
                <w:iCs/>
              </w:rPr>
              <w:t>C</w:t>
            </w:r>
            <w:r>
              <w:rPr>
                <w:rFonts w:hint="eastAsia"/>
                <w:i/>
                <w:iCs/>
                <w:vertAlign w:val="subscript"/>
              </w:rPr>
              <w:t>m</w:t>
            </w:r>
            <w:r>
              <w:rPr>
                <w:rFonts w:hint="eastAsia"/>
              </w:rPr>
              <w:t>）×（1-</w:t>
            </w:r>
            <w:r>
              <w:rPr>
                <w:rFonts w:hint="eastAsia"/>
                <w:i/>
                <w:iCs/>
              </w:rPr>
              <w:t>T</w:t>
            </w:r>
            <w:r>
              <w:rPr>
                <w:rFonts w:hint="eastAsia"/>
                <w:i/>
                <w:iCs/>
                <w:vertAlign w:val="subscript"/>
              </w:rPr>
              <w:t>m</w:t>
            </w:r>
            <w:r>
              <w:rPr>
                <w:rFonts w:hint="eastAsia"/>
              </w:rPr>
              <w:t>）</w:t>
            </w:r>
          </w:p>
          <w:p w14:paraId="4CFBF922">
            <w:pPr>
              <w:pStyle w:val="54"/>
              <w:rPr>
                <w:rFonts w:hint="eastAsia"/>
              </w:rPr>
            </w:pPr>
            <w:r>
              <w:rPr>
                <w:rFonts w:hint="eastAsia"/>
              </w:rPr>
              <w:t>式中：</w:t>
            </w:r>
            <w:r>
              <w:rPr>
                <w:rFonts w:hint="eastAsia"/>
                <w:i/>
                <w:iCs/>
              </w:rPr>
              <w:t>P</w:t>
            </w:r>
            <w:r>
              <w:rPr>
                <w:rFonts w:hint="eastAsia"/>
              </w:rPr>
              <w:t>—颗粒物产生量，t；</w:t>
            </w:r>
          </w:p>
          <w:p w14:paraId="4D8490C1">
            <w:pPr>
              <w:pStyle w:val="54"/>
              <w:rPr>
                <w:rFonts w:hint="eastAsia"/>
              </w:rPr>
            </w:pPr>
            <w:r>
              <w:rPr>
                <w:rFonts w:hint="eastAsia"/>
                <w:i/>
                <w:iCs/>
              </w:rPr>
              <w:t>U</w:t>
            </w:r>
            <w:r>
              <w:rPr>
                <w:rFonts w:hint="eastAsia"/>
                <w:i/>
                <w:iCs/>
                <w:vertAlign w:val="subscript"/>
              </w:rPr>
              <w:t>c</w:t>
            </w:r>
            <w:r>
              <w:rPr>
                <w:rFonts w:hint="eastAsia"/>
              </w:rPr>
              <w:t>—颗粒物排放量，t；</w:t>
            </w:r>
          </w:p>
          <w:p w14:paraId="122BB2F6">
            <w:pPr>
              <w:pStyle w:val="54"/>
              <w:rPr>
                <w:rFonts w:hint="eastAsia"/>
              </w:rPr>
            </w:pPr>
            <w:r>
              <w:rPr>
                <w:rFonts w:hint="eastAsia"/>
                <w:i/>
                <w:iCs/>
              </w:rPr>
              <w:t>C</w:t>
            </w:r>
            <w:r>
              <w:rPr>
                <w:rFonts w:hint="eastAsia"/>
                <w:i/>
                <w:iCs/>
                <w:vertAlign w:val="subscript"/>
              </w:rPr>
              <w:t>m</w:t>
            </w:r>
            <w:r>
              <w:rPr>
                <w:rFonts w:hint="eastAsia"/>
              </w:rPr>
              <w:t>—颗粒物控制措施控制效率，%；</w:t>
            </w:r>
          </w:p>
          <w:p w14:paraId="5411DF0E">
            <w:pPr>
              <w:pStyle w:val="54"/>
              <w:rPr>
                <w:rFonts w:hint="eastAsia"/>
              </w:rPr>
            </w:pPr>
            <w:r>
              <w:rPr>
                <w:rFonts w:hint="eastAsia"/>
                <w:i/>
                <w:iCs/>
              </w:rPr>
              <w:t>T</w:t>
            </w:r>
            <w:r>
              <w:rPr>
                <w:rFonts w:hint="eastAsia"/>
                <w:i/>
                <w:iCs/>
                <w:vertAlign w:val="subscript"/>
              </w:rPr>
              <w:t>m</w:t>
            </w:r>
            <w:r>
              <w:rPr>
                <w:rFonts w:hint="eastAsia"/>
              </w:rPr>
              <w:t>—堆场类型控制效率，%。</w:t>
            </w:r>
          </w:p>
          <w:p w14:paraId="0DF5CE96">
            <w:pPr>
              <w:pStyle w:val="54"/>
              <w:rPr>
                <w:rFonts w:hint="eastAsia"/>
              </w:rPr>
            </w:pPr>
            <w:r>
              <w:rPr>
                <w:rFonts w:hint="eastAsia"/>
              </w:rPr>
              <w:t>项目颗粒物产生量</w:t>
            </w:r>
            <w:r>
              <w:rPr>
                <w:rFonts w:hint="eastAsia"/>
                <w:i/>
                <w:iCs/>
              </w:rPr>
              <w:t>P</w:t>
            </w:r>
            <w:r>
              <w:rPr>
                <w:rFonts w:hint="eastAsia"/>
              </w:rPr>
              <w:t>为</w:t>
            </w:r>
            <w:r>
              <w:rPr>
                <w:rFonts w:hint="eastAsia"/>
                <w:color w:val="auto"/>
                <w:lang w:val="en-US" w:eastAsia="zh-CN"/>
              </w:rPr>
              <w:t>518.55</w:t>
            </w:r>
            <w:r>
              <w:rPr>
                <w:rFonts w:hint="eastAsia"/>
                <w:color w:val="auto"/>
              </w:rPr>
              <w:t>t/</w:t>
            </w:r>
            <w:r>
              <w:rPr>
                <w:rFonts w:hint="eastAsia"/>
                <w:color w:val="auto"/>
                <w:lang w:val="en-US" w:eastAsia="zh-CN"/>
              </w:rPr>
              <w:t>a</w:t>
            </w:r>
            <w:r>
              <w:rPr>
                <w:rFonts w:hint="eastAsia"/>
              </w:rPr>
              <w:t>；根据系数手册中“附录4”，确定洒水抑尘的控制效率</w:t>
            </w:r>
            <w:r>
              <w:rPr>
                <w:rFonts w:hint="eastAsia"/>
                <w:i/>
                <w:iCs/>
              </w:rPr>
              <w:t>C</w:t>
            </w:r>
            <w:r>
              <w:rPr>
                <w:rFonts w:hint="eastAsia"/>
                <w:i/>
                <w:iCs/>
                <w:vertAlign w:val="subscript"/>
              </w:rPr>
              <w:t>m</w:t>
            </w:r>
            <w:r>
              <w:rPr>
                <w:rFonts w:hint="eastAsia"/>
              </w:rPr>
              <w:t>为74%；因</w:t>
            </w:r>
            <w:r>
              <w:rPr>
                <w:rFonts w:hint="eastAsia"/>
                <w:lang w:val="en-US" w:eastAsia="zh-CN"/>
              </w:rPr>
              <w:t>本项目砂石料粒径较大，产尘料较少，且储存于</w:t>
            </w:r>
            <w:r>
              <w:rPr>
                <w:rFonts w:hint="eastAsia"/>
              </w:rPr>
              <w:t>全封闭骨料仓</w:t>
            </w:r>
            <w:r>
              <w:rPr>
                <w:rFonts w:hint="eastAsia"/>
                <w:lang w:val="en-US" w:eastAsia="zh-CN"/>
              </w:rPr>
              <w:t>内，</w:t>
            </w:r>
            <w:r>
              <w:rPr>
                <w:rFonts w:hint="eastAsia"/>
              </w:rPr>
              <w:t>根据系数手册中“附录5”，密闭式</w:t>
            </w:r>
            <w:r>
              <w:rPr>
                <w:rFonts w:hint="eastAsia"/>
                <w:lang w:val="en-US" w:eastAsia="zh-CN"/>
              </w:rPr>
              <w:t>堆场</w:t>
            </w:r>
            <w:r>
              <w:rPr>
                <w:rFonts w:hint="eastAsia"/>
              </w:rPr>
              <w:t>控制效率</w:t>
            </w:r>
            <w:r>
              <w:rPr>
                <w:rFonts w:hint="eastAsia"/>
                <w:i/>
                <w:iCs/>
              </w:rPr>
              <w:t>T</w:t>
            </w:r>
            <w:r>
              <w:rPr>
                <w:rFonts w:hint="eastAsia"/>
                <w:i/>
                <w:iCs/>
                <w:vertAlign w:val="subscript"/>
              </w:rPr>
              <w:t>m</w:t>
            </w:r>
            <w:r>
              <w:rPr>
                <w:rFonts w:hint="eastAsia"/>
              </w:rPr>
              <w:t>为99%，。经计算，物料堆存装卸粉尘无组织颗粒物排放量为</w:t>
            </w:r>
            <w:r>
              <w:rPr>
                <w:rFonts w:hint="eastAsia"/>
                <w:lang w:val="en-US" w:eastAsia="zh-CN"/>
              </w:rPr>
              <w:t>1.35</w:t>
            </w:r>
            <w:r>
              <w:rPr>
                <w:rFonts w:hint="eastAsia"/>
              </w:rPr>
              <w:t>t/</w:t>
            </w:r>
            <w:r>
              <w:rPr>
                <w:rFonts w:hint="eastAsia"/>
                <w:lang w:val="en-US" w:eastAsia="zh-CN"/>
              </w:rPr>
              <w:t>a</w:t>
            </w:r>
            <w:r>
              <w:rPr>
                <w:rFonts w:hint="eastAsia"/>
              </w:rPr>
              <w:t>。</w:t>
            </w:r>
          </w:p>
          <w:p w14:paraId="2F02F23F">
            <w:pPr>
              <w:pStyle w:val="54"/>
              <w:bidi w:val="0"/>
              <w:rPr>
                <w:rFonts w:hint="eastAsia"/>
                <w:lang w:val="en-US" w:eastAsia="zh-CN"/>
              </w:rPr>
            </w:pPr>
            <w:r>
              <w:rPr>
                <w:rFonts w:hint="eastAsia"/>
              </w:rPr>
              <w:t>项目砂石料通过车辆外运入厂，运输过程加盖苫布；砂石骨料均存放在全封闭骨料仓内，骨料仓内设</w:t>
            </w:r>
            <w:r>
              <w:rPr>
                <w:rFonts w:hint="eastAsia"/>
                <w:lang w:val="en-US" w:eastAsia="zh-CN"/>
              </w:rPr>
              <w:t>2</w:t>
            </w:r>
            <w:r>
              <w:rPr>
                <w:rFonts w:hint="eastAsia"/>
              </w:rPr>
              <w:t>台雾炮机抑尘，</w:t>
            </w:r>
            <w:r>
              <w:rPr>
                <w:rFonts w:hint="eastAsia"/>
                <w:lang w:val="en-US" w:eastAsia="zh-CN"/>
              </w:rPr>
              <w:t>装卸和堆存过程中使用雾炮机降尘，雾炮机</w:t>
            </w:r>
            <w:r>
              <w:rPr>
                <w:rFonts w:hint="eastAsia"/>
              </w:rPr>
              <w:t>能够覆盖整个骨料仓，粉尘大多沉降到骨料仓内地面上；骨料计量斗位于骨料仓，砂石骨料输料皮带全封闭。</w:t>
            </w:r>
            <w:r>
              <w:rPr>
                <w:rFonts w:hint="eastAsia"/>
                <w:lang w:val="en-US" w:eastAsia="zh-CN"/>
              </w:rPr>
              <w:t>厂区四周设置防风抑尘网。</w:t>
            </w:r>
            <w:r>
              <w:rPr>
                <w:rFonts w:hint="eastAsia"/>
              </w:rPr>
              <w:t>采取以上措施后，无组织粉尘排放浓度可满足《水泥工业大气污染物排放标准》（GB4915-2013）表3无组织排放限值要求。</w:t>
            </w:r>
          </w:p>
          <w:p w14:paraId="6B432513">
            <w:pPr>
              <w:pStyle w:val="54"/>
              <w:bidi w:val="0"/>
              <w:rPr>
                <w:rFonts w:hint="eastAsia"/>
                <w:color w:val="auto"/>
                <w:lang w:val="en-US" w:eastAsia="zh-CN"/>
              </w:rPr>
            </w:pPr>
            <w:r>
              <w:rPr>
                <w:rFonts w:hint="eastAsia"/>
                <w:color w:val="auto"/>
                <w:lang w:val="en-US" w:eastAsia="zh-CN"/>
              </w:rPr>
              <w:t>3）投料、输送、计量粉尘</w:t>
            </w:r>
          </w:p>
          <w:p w14:paraId="03E93D3F">
            <w:pPr>
              <w:pStyle w:val="54"/>
              <w:bidi w:val="0"/>
              <w:rPr>
                <w:rFonts w:hint="eastAsia"/>
                <w:color w:val="auto"/>
                <w:lang w:val="en-US" w:eastAsia="zh-CN"/>
              </w:rPr>
            </w:pPr>
            <w:r>
              <w:rPr>
                <w:rFonts w:hint="eastAsia"/>
                <w:color w:val="auto"/>
                <w:lang w:val="en-US" w:eastAsia="zh-CN"/>
              </w:rPr>
              <w:t>项目原料在水稳站内投料、输送、计量配料过程中有一定的无组织粉尘排放。参考《北京市混凝土搅拌站扬尘排放因子及排放清单》（中国环境科学2017.37（10）：3699~3707）表3混凝土搅拌站各环节无控制措施扬尘排放因子进行核算扬尘产生源强，碎石卸料、配料上料、皮带输送环节的粉尘产生量均按0.0035kg/t（碎石）计算，本项目使用砂石料</w:t>
            </w:r>
            <w:r>
              <w:rPr>
                <w:rFonts w:hint="eastAsia"/>
                <w:lang w:val="en-US" w:eastAsia="zh-CN"/>
              </w:rPr>
              <w:t>46.3万</w:t>
            </w:r>
            <w:r>
              <w:rPr>
                <w:rFonts w:hint="eastAsia"/>
              </w:rPr>
              <w:t>t</w:t>
            </w:r>
            <w:r>
              <w:rPr>
                <w:rFonts w:hint="eastAsia"/>
                <w:lang w:val="en-US" w:eastAsia="zh-CN"/>
              </w:rPr>
              <w:t>/a</w:t>
            </w:r>
            <w:r>
              <w:rPr>
                <w:rFonts w:hint="eastAsia"/>
                <w:color w:val="auto"/>
                <w:lang w:val="en-US" w:eastAsia="zh-CN"/>
              </w:rPr>
              <w:t>，故投料、输送、计量过程产生的粉尘量约为1.62t/a。</w:t>
            </w:r>
          </w:p>
          <w:p w14:paraId="4F65119D">
            <w:pPr>
              <w:pStyle w:val="54"/>
              <w:bidi w:val="0"/>
              <w:rPr>
                <w:rFonts w:hint="eastAsia"/>
                <w:color w:val="FF0000"/>
                <w:lang w:val="en-US" w:eastAsia="zh-CN"/>
              </w:rPr>
            </w:pPr>
            <w:r>
              <w:rPr>
                <w:rFonts w:hint="eastAsia"/>
                <w:color w:val="auto"/>
                <w:lang w:val="en-US" w:eastAsia="zh-CN"/>
              </w:rPr>
              <w:t>本项目砂石骨料储存于全封闭骨料仓内，厂区四周设置防风抑尘网，骨料仓内设置雾炮机降尘，在装载机投料过程中使用雾炮机抑尘，砂石骨料为湿润状态，输送带两侧和上部为封闭结构，且本项目砂石骨料粒径较大，通过以上措施砂石投料、输送粉尘排放量可削减约85%以上，可有效减少砂石配料过程粉尘的无组织排放，无组织排放量约为0.24t/a。</w:t>
            </w:r>
          </w:p>
          <w:p w14:paraId="4A4B787A">
            <w:pPr>
              <w:pStyle w:val="54"/>
              <w:bidi w:val="0"/>
              <w:rPr>
                <w:rFonts w:hint="eastAsia"/>
                <w:lang w:val="en-US" w:eastAsia="zh-CN"/>
              </w:rPr>
            </w:pPr>
            <w:r>
              <w:rPr>
                <w:rFonts w:hint="eastAsia"/>
                <w:lang w:val="en-US" w:eastAsia="zh-CN"/>
              </w:rPr>
              <w:t>4）搅拌粉尘</w:t>
            </w:r>
          </w:p>
          <w:p w14:paraId="72034359">
            <w:pPr>
              <w:pStyle w:val="54"/>
              <w:bidi w:val="0"/>
              <w:rPr>
                <w:rFonts w:hint="eastAsia"/>
                <w:color w:val="auto"/>
                <w:lang w:val="en-US" w:eastAsia="zh-CN"/>
              </w:rPr>
            </w:pPr>
            <w:r>
              <w:rPr>
                <w:rFonts w:hint="eastAsia"/>
                <w:color w:val="auto"/>
                <w:lang w:val="en-US" w:eastAsia="zh-CN"/>
              </w:rPr>
              <w:t>本项目共设置1台全封闭搅拌机，搅拌过程中加盖密封、加水进行搅拌，故无粉尘外排。</w:t>
            </w:r>
          </w:p>
          <w:p w14:paraId="7F610356">
            <w:pPr>
              <w:pStyle w:val="54"/>
              <w:bidi w:val="0"/>
              <w:rPr>
                <w:rFonts w:hint="eastAsia"/>
                <w:lang w:val="en-US" w:eastAsia="zh-CN"/>
              </w:rPr>
            </w:pPr>
            <w:r>
              <w:rPr>
                <w:rFonts w:hint="eastAsia"/>
                <w:lang w:val="en-US" w:eastAsia="zh-CN"/>
              </w:rPr>
              <w:t>5）运输车辆产生的道路扬尘</w:t>
            </w:r>
          </w:p>
          <w:p w14:paraId="218EED13">
            <w:pPr>
              <w:pStyle w:val="54"/>
              <w:bidi w:val="0"/>
              <w:rPr>
                <w:rFonts w:hint="eastAsia"/>
                <w:lang w:val="en-US" w:eastAsia="zh-CN"/>
              </w:rPr>
            </w:pPr>
            <w:r>
              <w:rPr>
                <w:rFonts w:hint="eastAsia"/>
                <w:lang w:val="en-US" w:eastAsia="zh-CN"/>
              </w:rPr>
              <w:t>车辆行驶产生的扬尘，在完全干燥情况下，可按下列经验公式计算：</w:t>
            </w:r>
          </w:p>
          <w:p w14:paraId="1B307E54">
            <w:pPr>
              <w:pStyle w:val="54"/>
              <w:bidi w:val="0"/>
              <w:ind w:left="0" w:leftChars="0" w:firstLine="0" w:firstLineChars="0"/>
              <w:jc w:val="center"/>
              <w:rPr>
                <w:rFonts w:hint="eastAsia"/>
                <w:lang w:val="en-US" w:eastAsia="zh-CN"/>
              </w:rPr>
            </w:pPr>
            <w:r>
              <w:drawing>
                <wp:inline distT="0" distB="0" distL="114300" distR="114300">
                  <wp:extent cx="1941830" cy="431165"/>
                  <wp:effectExtent l="0" t="0" r="1270" b="6985"/>
                  <wp:docPr id="8"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90"/>
                          <pic:cNvPicPr>
                            <a:picLocks noChangeAspect="1"/>
                          </pic:cNvPicPr>
                        </pic:nvPicPr>
                        <pic:blipFill>
                          <a:blip r:embed="rId28"/>
                          <a:srcRect l="12561" t="48946" b="21324"/>
                          <a:stretch>
                            <a:fillRect/>
                          </a:stretch>
                        </pic:blipFill>
                        <pic:spPr>
                          <a:xfrm>
                            <a:off x="0" y="0"/>
                            <a:ext cx="1941830" cy="431165"/>
                          </a:xfrm>
                          <a:prstGeom prst="rect">
                            <a:avLst/>
                          </a:prstGeom>
                          <a:noFill/>
                          <a:ln>
                            <a:noFill/>
                          </a:ln>
                        </pic:spPr>
                      </pic:pic>
                    </a:graphicData>
                  </a:graphic>
                </wp:inline>
              </w:drawing>
            </w:r>
          </w:p>
          <w:p w14:paraId="70E97CF6">
            <w:pPr>
              <w:pStyle w:val="54"/>
              <w:bidi w:val="0"/>
              <w:rPr>
                <w:rFonts w:hint="default"/>
                <w:lang w:val="en-US" w:eastAsia="zh-CN"/>
              </w:rPr>
            </w:pPr>
            <w:r>
              <w:rPr>
                <w:rFonts w:hint="default"/>
                <w:lang w:val="en-US" w:eastAsia="zh-CN"/>
              </w:rPr>
              <w:t>式中：</w:t>
            </w:r>
            <w:r>
              <w:rPr>
                <w:rFonts w:hint="eastAsia"/>
                <w:i/>
                <w:iCs/>
                <w:lang w:val="en-US" w:eastAsia="zh-CN"/>
              </w:rPr>
              <w:t>Q</w:t>
            </w:r>
            <w:r>
              <w:rPr>
                <w:rFonts w:hint="eastAsia"/>
                <w:i/>
                <w:iCs/>
                <w:vertAlign w:val="subscript"/>
                <w:lang w:val="en-US" w:eastAsia="zh-CN"/>
              </w:rPr>
              <w:t>p</w:t>
            </w:r>
            <w:r>
              <w:rPr>
                <w:rFonts w:hint="default"/>
                <w:lang w:val="en-US" w:eastAsia="zh-CN"/>
              </w:rPr>
              <w:t>——交通运输起尘量，kg/km</w:t>
            </w:r>
            <w:r>
              <w:rPr>
                <w:rFonts w:hint="default" w:ascii="Times New Roman" w:hAnsi="Times New Roman" w:cs="Times New Roman"/>
                <w:lang w:val="en-US" w:eastAsia="zh-CN"/>
              </w:rPr>
              <w:t>·</w:t>
            </w:r>
            <w:r>
              <w:rPr>
                <w:rFonts w:hint="default"/>
                <w:lang w:val="en-US" w:eastAsia="zh-CN"/>
              </w:rPr>
              <w:t>辆；</w:t>
            </w:r>
          </w:p>
          <w:p w14:paraId="43D23097">
            <w:pPr>
              <w:pStyle w:val="54"/>
              <w:bidi w:val="0"/>
              <w:ind w:firstLine="1200" w:firstLineChars="500"/>
              <w:rPr>
                <w:rFonts w:hint="default"/>
                <w:lang w:val="en-US" w:eastAsia="zh-CN"/>
              </w:rPr>
            </w:pPr>
            <w:r>
              <w:rPr>
                <w:rFonts w:hint="default"/>
                <w:i/>
                <w:iCs/>
                <w:lang w:val="en-US" w:eastAsia="zh-CN"/>
              </w:rPr>
              <w:t>V</w:t>
            </w:r>
            <w:r>
              <w:rPr>
                <w:rFonts w:hint="default"/>
                <w:lang w:val="en-US" w:eastAsia="zh-CN"/>
              </w:rPr>
              <w:t>——车辆行驶速度，km/h；</w:t>
            </w:r>
          </w:p>
          <w:p w14:paraId="55D55AC1">
            <w:pPr>
              <w:pStyle w:val="54"/>
              <w:bidi w:val="0"/>
              <w:ind w:firstLine="1200" w:firstLineChars="500"/>
              <w:rPr>
                <w:rFonts w:hint="default"/>
                <w:lang w:val="en-US" w:eastAsia="zh-CN"/>
              </w:rPr>
            </w:pPr>
            <w:r>
              <w:rPr>
                <w:rFonts w:hint="default"/>
                <w:i/>
                <w:iCs/>
                <w:lang w:val="en-US" w:eastAsia="zh-CN"/>
              </w:rPr>
              <w:t>M</w:t>
            </w:r>
            <w:r>
              <w:rPr>
                <w:rFonts w:hint="default"/>
                <w:lang w:val="en-US" w:eastAsia="zh-CN"/>
              </w:rPr>
              <w:t>——车辆载重，t/辆；</w:t>
            </w:r>
          </w:p>
          <w:p w14:paraId="3BA682CE">
            <w:pPr>
              <w:pStyle w:val="54"/>
              <w:bidi w:val="0"/>
              <w:ind w:firstLine="1200" w:firstLineChars="500"/>
              <w:rPr>
                <w:rFonts w:hint="default"/>
                <w:lang w:val="en-US" w:eastAsia="zh-CN"/>
              </w:rPr>
            </w:pPr>
            <w:r>
              <w:rPr>
                <w:rFonts w:hint="default"/>
                <w:i/>
                <w:iCs/>
                <w:lang w:val="en-US" w:eastAsia="zh-CN"/>
              </w:rPr>
              <w:t>P</w:t>
            </w:r>
            <w:r>
              <w:rPr>
                <w:rFonts w:hint="default"/>
                <w:lang w:val="en-US" w:eastAsia="zh-CN"/>
              </w:rPr>
              <w:t>——路面状况，以每平方米路面灰尘覆盖率表示，kg/m</w:t>
            </w:r>
            <w:r>
              <w:rPr>
                <w:rFonts w:hint="default"/>
                <w:vertAlign w:val="superscript"/>
                <w:lang w:val="en-US" w:eastAsia="zh-CN"/>
              </w:rPr>
              <w:t>2</w:t>
            </w:r>
            <w:r>
              <w:rPr>
                <w:rFonts w:hint="default"/>
                <w:lang w:val="en-US" w:eastAsia="zh-CN"/>
              </w:rPr>
              <w:t>。</w:t>
            </w:r>
          </w:p>
          <w:p w14:paraId="20B800D8">
            <w:pPr>
              <w:pStyle w:val="33"/>
              <w:bidi w:val="0"/>
              <w:rPr>
                <w:rFonts w:hint="default"/>
                <w:lang w:val="en-US" w:eastAsia="zh-CN"/>
              </w:rPr>
            </w:pPr>
            <w:r>
              <w:rPr>
                <w:rFonts w:hint="eastAsia"/>
                <w:lang w:val="en-US" w:eastAsia="zh-CN"/>
              </w:rPr>
              <w:t>表27    交通运输起尘量估算表</w:t>
            </w:r>
          </w:p>
          <w:tbl>
            <w:tblPr>
              <w:tblStyle w:val="1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2"/>
              <w:gridCol w:w="1616"/>
              <w:gridCol w:w="1651"/>
              <w:gridCol w:w="1756"/>
              <w:gridCol w:w="1786"/>
            </w:tblGrid>
            <w:tr w14:paraId="2207A6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restart"/>
                  <w:tcBorders>
                    <w:tl2br w:val="nil"/>
                    <w:tr2bl w:val="nil"/>
                  </w:tcBorders>
                  <w:noWrap w:val="0"/>
                  <w:vAlign w:val="center"/>
                </w:tcPr>
                <w:p w14:paraId="33E7CD20">
                  <w:pPr>
                    <w:pStyle w:val="53"/>
                    <w:bidi w:val="0"/>
                    <w:rPr>
                      <w:rFonts w:hint="default"/>
                      <w:lang w:val="en-US" w:eastAsia="zh-CN"/>
                    </w:rPr>
                  </w:pPr>
                  <w:r>
                    <w:rPr>
                      <w:rFonts w:hint="eastAsia"/>
                      <w:lang w:val="en-US" w:eastAsia="zh-CN"/>
                    </w:rPr>
                    <w:t>原料运输</w:t>
                  </w:r>
                </w:p>
              </w:tc>
              <w:tc>
                <w:tcPr>
                  <w:tcW w:w="1017" w:type="pct"/>
                  <w:tcBorders>
                    <w:tl2br w:val="nil"/>
                    <w:tr2bl w:val="nil"/>
                  </w:tcBorders>
                  <w:noWrap w:val="0"/>
                  <w:vAlign w:val="center"/>
                </w:tcPr>
                <w:p w14:paraId="58BB07CF">
                  <w:pPr>
                    <w:pStyle w:val="53"/>
                    <w:bidi w:val="0"/>
                    <w:rPr>
                      <w:rFonts w:hint="eastAsia"/>
                      <w:lang w:val="en-US" w:eastAsia="zh-CN"/>
                    </w:rPr>
                  </w:pPr>
                  <w:r>
                    <w:rPr>
                      <w:rFonts w:hint="eastAsia"/>
                      <w:lang w:val="en-US" w:eastAsia="zh-CN"/>
                    </w:rPr>
                    <w:t>P（kg/m</w:t>
                  </w:r>
                  <w:r>
                    <w:rPr>
                      <w:rFonts w:hint="eastAsia"/>
                      <w:vertAlign w:val="superscript"/>
                      <w:lang w:val="en-US" w:eastAsia="zh-CN"/>
                    </w:rPr>
                    <w:t>2</w:t>
                  </w:r>
                  <w:r>
                    <w:rPr>
                      <w:rFonts w:hint="eastAsia"/>
                      <w:lang w:val="en-US" w:eastAsia="zh-CN"/>
                    </w:rPr>
                    <w:t>）</w:t>
                  </w:r>
                </w:p>
              </w:tc>
              <w:tc>
                <w:tcPr>
                  <w:tcW w:w="1039" w:type="pct"/>
                  <w:tcBorders>
                    <w:tl2br w:val="nil"/>
                    <w:tr2bl w:val="nil"/>
                  </w:tcBorders>
                  <w:noWrap w:val="0"/>
                  <w:vAlign w:val="center"/>
                </w:tcPr>
                <w:p w14:paraId="44D81123">
                  <w:pPr>
                    <w:pStyle w:val="53"/>
                    <w:bidi w:val="0"/>
                    <w:rPr>
                      <w:rFonts w:hint="eastAsia"/>
                      <w:lang w:val="en-US" w:eastAsia="zh-CN"/>
                    </w:rPr>
                  </w:pPr>
                  <w:r>
                    <w:rPr>
                      <w:rFonts w:hint="eastAsia"/>
                      <w:lang w:val="en-US" w:eastAsia="zh-CN"/>
                    </w:rPr>
                    <w:t>V（km/h）</w:t>
                  </w:r>
                </w:p>
              </w:tc>
              <w:tc>
                <w:tcPr>
                  <w:tcW w:w="1105" w:type="pct"/>
                  <w:tcBorders>
                    <w:tl2br w:val="nil"/>
                    <w:tr2bl w:val="nil"/>
                  </w:tcBorders>
                  <w:noWrap w:val="0"/>
                  <w:vAlign w:val="center"/>
                </w:tcPr>
                <w:p w14:paraId="1815F528">
                  <w:pPr>
                    <w:pStyle w:val="53"/>
                    <w:bidi w:val="0"/>
                    <w:rPr>
                      <w:rFonts w:hint="eastAsia"/>
                      <w:lang w:val="en-US" w:eastAsia="zh-CN"/>
                    </w:rPr>
                  </w:pPr>
                  <w:r>
                    <w:rPr>
                      <w:rFonts w:hint="eastAsia"/>
                      <w:lang w:val="en-US" w:eastAsia="zh-CN"/>
                    </w:rPr>
                    <w:t>M（t/辆）</w:t>
                  </w:r>
                </w:p>
              </w:tc>
              <w:tc>
                <w:tcPr>
                  <w:tcW w:w="1124" w:type="pct"/>
                  <w:tcBorders>
                    <w:tl2br w:val="nil"/>
                    <w:tr2bl w:val="nil"/>
                  </w:tcBorders>
                  <w:noWrap w:val="0"/>
                  <w:vAlign w:val="center"/>
                </w:tcPr>
                <w:p w14:paraId="3FC3FFB2">
                  <w:pPr>
                    <w:pStyle w:val="53"/>
                    <w:bidi w:val="0"/>
                    <w:rPr>
                      <w:rFonts w:hint="eastAsia"/>
                      <w:lang w:val="en-US" w:eastAsia="zh-CN"/>
                    </w:rPr>
                  </w:pPr>
                  <w:r>
                    <w:rPr>
                      <w:rFonts w:hint="eastAsia"/>
                      <w:i/>
                      <w:iCs/>
                      <w:lang w:val="en-US" w:eastAsia="zh-CN"/>
                    </w:rPr>
                    <w:t>Q</w:t>
                  </w:r>
                  <w:r>
                    <w:rPr>
                      <w:rFonts w:hint="eastAsia"/>
                      <w:i/>
                      <w:iCs/>
                      <w:vertAlign w:val="subscript"/>
                      <w:lang w:val="en-US" w:eastAsia="zh-CN"/>
                    </w:rPr>
                    <w:t>p</w:t>
                  </w:r>
                </w:p>
              </w:tc>
            </w:tr>
            <w:tr w14:paraId="2E9E4B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3" w:type="pct"/>
                  <w:vMerge w:val="continue"/>
                  <w:tcBorders>
                    <w:tl2br w:val="nil"/>
                    <w:tr2bl w:val="nil"/>
                  </w:tcBorders>
                  <w:noWrap w:val="0"/>
                  <w:vAlign w:val="center"/>
                </w:tcPr>
                <w:p w14:paraId="5AC8F224">
                  <w:pPr>
                    <w:pStyle w:val="53"/>
                    <w:bidi w:val="0"/>
                    <w:rPr>
                      <w:rFonts w:hint="eastAsia"/>
                      <w:lang w:val="en-US" w:eastAsia="zh-CN"/>
                    </w:rPr>
                  </w:pPr>
                </w:p>
              </w:tc>
              <w:tc>
                <w:tcPr>
                  <w:tcW w:w="1017" w:type="pct"/>
                  <w:tcBorders>
                    <w:tl2br w:val="nil"/>
                    <w:tr2bl w:val="nil"/>
                  </w:tcBorders>
                  <w:noWrap w:val="0"/>
                  <w:vAlign w:val="center"/>
                </w:tcPr>
                <w:p w14:paraId="1AFD0908">
                  <w:pPr>
                    <w:pStyle w:val="53"/>
                    <w:bidi w:val="0"/>
                    <w:rPr>
                      <w:rFonts w:hint="default"/>
                      <w:lang w:val="en-US" w:eastAsia="zh-CN"/>
                    </w:rPr>
                  </w:pPr>
                  <w:r>
                    <w:rPr>
                      <w:rFonts w:hint="eastAsia"/>
                      <w:lang w:val="en-US" w:eastAsia="zh-CN"/>
                    </w:rPr>
                    <w:t>0.2</w:t>
                  </w:r>
                </w:p>
              </w:tc>
              <w:tc>
                <w:tcPr>
                  <w:tcW w:w="1039" w:type="pct"/>
                  <w:tcBorders>
                    <w:tl2br w:val="nil"/>
                    <w:tr2bl w:val="nil"/>
                  </w:tcBorders>
                  <w:noWrap w:val="0"/>
                  <w:vAlign w:val="center"/>
                </w:tcPr>
                <w:p w14:paraId="4F3CE466">
                  <w:pPr>
                    <w:pStyle w:val="53"/>
                    <w:bidi w:val="0"/>
                    <w:rPr>
                      <w:rFonts w:hint="default"/>
                      <w:lang w:val="en-US" w:eastAsia="zh-CN"/>
                    </w:rPr>
                  </w:pPr>
                  <w:r>
                    <w:rPr>
                      <w:rFonts w:hint="eastAsia"/>
                      <w:lang w:val="en-US" w:eastAsia="zh-CN"/>
                    </w:rPr>
                    <w:t>20</w:t>
                  </w:r>
                </w:p>
              </w:tc>
              <w:tc>
                <w:tcPr>
                  <w:tcW w:w="1105" w:type="pct"/>
                  <w:tcBorders>
                    <w:tl2br w:val="nil"/>
                    <w:tr2bl w:val="nil"/>
                  </w:tcBorders>
                  <w:noWrap w:val="0"/>
                  <w:vAlign w:val="center"/>
                </w:tcPr>
                <w:p w14:paraId="39ADBF22">
                  <w:pPr>
                    <w:pStyle w:val="53"/>
                    <w:bidi w:val="0"/>
                    <w:rPr>
                      <w:rFonts w:hint="default"/>
                      <w:lang w:val="en-US" w:eastAsia="zh-CN"/>
                    </w:rPr>
                  </w:pPr>
                  <w:r>
                    <w:rPr>
                      <w:rFonts w:hint="eastAsia"/>
                      <w:lang w:val="en-US" w:eastAsia="zh-CN"/>
                    </w:rPr>
                    <w:t>35</w:t>
                  </w:r>
                </w:p>
              </w:tc>
              <w:tc>
                <w:tcPr>
                  <w:tcW w:w="1124" w:type="pct"/>
                  <w:tcBorders>
                    <w:tl2br w:val="nil"/>
                    <w:tr2bl w:val="nil"/>
                  </w:tcBorders>
                  <w:noWrap w:val="0"/>
                  <w:vAlign w:val="center"/>
                </w:tcPr>
                <w:p w14:paraId="44F0EBC2">
                  <w:pPr>
                    <w:pStyle w:val="53"/>
                    <w:bidi w:val="0"/>
                    <w:rPr>
                      <w:rFonts w:hint="default"/>
                      <w:lang w:val="en-US" w:eastAsia="zh-CN"/>
                    </w:rPr>
                  </w:pPr>
                  <w:r>
                    <w:rPr>
                      <w:rFonts w:hint="eastAsia"/>
                      <w:lang w:val="en-US" w:eastAsia="zh-CN"/>
                    </w:rPr>
                    <w:t>1.02</w:t>
                  </w:r>
                </w:p>
              </w:tc>
            </w:tr>
          </w:tbl>
          <w:p w14:paraId="6C21F615">
            <w:pPr>
              <w:pStyle w:val="54"/>
              <w:bidi w:val="0"/>
              <w:rPr>
                <w:rFonts w:hint="eastAsia"/>
                <w:color w:val="auto"/>
                <w:lang w:val="en-US" w:eastAsia="zh-CN"/>
              </w:rPr>
            </w:pPr>
            <w:r>
              <w:rPr>
                <w:rFonts w:hint="default"/>
                <w:color w:val="auto"/>
                <w:lang w:val="en-US" w:eastAsia="zh-CN"/>
              </w:rPr>
              <w:t>本</w:t>
            </w:r>
            <w:r>
              <w:rPr>
                <w:rFonts w:hint="eastAsia"/>
                <w:color w:val="auto"/>
                <w:lang w:val="en-US" w:eastAsia="zh-CN"/>
              </w:rPr>
              <w:t>项目</w:t>
            </w:r>
            <w:r>
              <w:rPr>
                <w:rFonts w:hint="default"/>
                <w:color w:val="auto"/>
                <w:lang w:val="en-US" w:eastAsia="zh-CN"/>
              </w:rPr>
              <w:t>采用</w:t>
            </w:r>
            <w:r>
              <w:rPr>
                <w:rFonts w:hint="eastAsia"/>
                <w:color w:val="auto"/>
                <w:lang w:val="en-US" w:eastAsia="zh-CN"/>
              </w:rPr>
              <w:t>35t车辆运输</w:t>
            </w:r>
            <w:r>
              <w:rPr>
                <w:rFonts w:hint="default"/>
                <w:color w:val="auto"/>
                <w:lang w:val="en-US" w:eastAsia="zh-CN"/>
              </w:rPr>
              <w:t>，</w:t>
            </w:r>
            <w:r>
              <w:rPr>
                <w:rFonts w:hint="eastAsia"/>
                <w:color w:val="auto"/>
                <w:lang w:val="en-US" w:eastAsia="zh-CN"/>
              </w:rPr>
              <w:t>运输量为</w:t>
            </w:r>
            <w:r>
              <w:rPr>
                <w:rFonts w:hint="eastAsia"/>
                <w:lang w:val="en-US" w:eastAsia="zh-CN"/>
              </w:rPr>
              <w:t>481520</w:t>
            </w:r>
            <w:r>
              <w:rPr>
                <w:rFonts w:hint="eastAsia"/>
              </w:rPr>
              <w:t>t</w:t>
            </w:r>
            <w:r>
              <w:rPr>
                <w:rFonts w:hint="eastAsia"/>
                <w:lang w:val="en-US" w:eastAsia="zh-CN"/>
              </w:rPr>
              <w:t>/a</w:t>
            </w:r>
            <w:r>
              <w:rPr>
                <w:rFonts w:hint="eastAsia"/>
                <w:color w:val="auto"/>
                <w:lang w:val="en-US" w:eastAsia="zh-CN"/>
              </w:rPr>
              <w:t>，运输27515辆次/a，厂区内运输道路约0.15km。经计算，本项目运输过程中产生的粉尘为4.21t/a。运行期厂区内地面和运输沿线进行定时洒水降尘、及时清扫，厂区四周设置防风抑尘网。运输车辆车轮车身，经冲洗清洁后方可驶出，严禁车辆带泥带尘上路或沿路撒漏。采取上述措施后，能降低60%左右的扬尘，则排放的运输粉尘约为1.68t/a，为无组织排放。</w:t>
            </w:r>
          </w:p>
          <w:p w14:paraId="43D7EC3D">
            <w:pPr>
              <w:pStyle w:val="54"/>
              <w:bidi w:val="0"/>
              <w:rPr>
                <w:rFonts w:hint="default" w:ascii="宋体" w:hAnsi="宋体" w:eastAsia="宋体" w:cs="宋体"/>
                <w:bCs/>
                <w:spacing w:val="-10"/>
                <w:szCs w:val="24"/>
                <w:lang w:val="en-US" w:eastAsia="zh-CN"/>
              </w:rPr>
            </w:pPr>
            <w:r>
              <w:rPr>
                <w:rFonts w:hint="eastAsia"/>
                <w:color w:val="auto"/>
                <w:lang w:val="en-US" w:eastAsia="zh-CN"/>
              </w:rPr>
              <w:t>本项目大气污染物产排污情况及处理措施见表28。</w:t>
            </w:r>
          </w:p>
        </w:tc>
      </w:tr>
    </w:tbl>
    <w:p w14:paraId="640A0354">
      <w:pPr>
        <w:adjustRightInd w:val="0"/>
        <w:snapToGrid w:val="0"/>
        <w:spacing w:line="360" w:lineRule="auto"/>
        <w:rPr>
          <w:rFonts w:hint="eastAsia" w:ascii="宋体" w:cs="宋体"/>
          <w:b/>
          <w:kern w:val="0"/>
          <w:sz w:val="28"/>
          <w:szCs w:val="28"/>
        </w:rPr>
        <w:sectPr>
          <w:pgSz w:w="11907" w:h="16840"/>
          <w:pgMar w:top="1701" w:right="1531" w:bottom="2127" w:left="1531" w:header="851" w:footer="1757" w:gutter="0"/>
          <w:pgBorders>
            <w:top w:val="none" w:sz="0" w:space="0"/>
            <w:left w:val="none" w:sz="0" w:space="0"/>
            <w:bottom w:val="none" w:sz="0" w:space="0"/>
            <w:right w:val="none" w:sz="0" w:space="0"/>
          </w:pgBorders>
          <w:pgNumType w:fmt="decimal"/>
          <w:cols w:space="720" w:num="1"/>
          <w:docGrid w:linePitch="312" w:charSpace="0"/>
        </w:sectPr>
      </w:pPr>
    </w:p>
    <w:p w14:paraId="4305F008">
      <w:pPr>
        <w:pStyle w:val="33"/>
        <w:bidi w:val="0"/>
        <w:rPr>
          <w:rFonts w:hint="eastAsia"/>
        </w:rPr>
      </w:pPr>
      <w:r>
        <w:rPr>
          <w:rFonts w:hint="eastAsia"/>
        </w:rPr>
        <w:t>表</w:t>
      </w:r>
      <w:r>
        <w:rPr>
          <w:rFonts w:hint="eastAsia"/>
          <w:lang w:val="en-US" w:eastAsia="zh-CN"/>
        </w:rPr>
        <w:t xml:space="preserve">28    </w:t>
      </w:r>
      <w:r>
        <w:rPr>
          <w:rFonts w:hint="eastAsia"/>
        </w:rPr>
        <w:t>废气污染物产排污情况及处理措施一览表</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029"/>
        <w:gridCol w:w="667"/>
        <w:gridCol w:w="773"/>
        <w:gridCol w:w="782"/>
        <w:gridCol w:w="778"/>
        <w:gridCol w:w="691"/>
        <w:gridCol w:w="566"/>
        <w:gridCol w:w="721"/>
        <w:gridCol w:w="508"/>
        <w:gridCol w:w="2255"/>
        <w:gridCol w:w="725"/>
        <w:gridCol w:w="732"/>
        <w:gridCol w:w="704"/>
        <w:gridCol w:w="774"/>
        <w:gridCol w:w="777"/>
      </w:tblGrid>
      <w:tr w14:paraId="451E9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0" w:type="pct"/>
            <w:vMerge w:val="restart"/>
            <w:noWrap w:val="0"/>
            <w:vAlign w:val="center"/>
          </w:tcPr>
          <w:p w14:paraId="5E48E6D1">
            <w:pPr>
              <w:pStyle w:val="53"/>
              <w:bidi w:val="0"/>
            </w:pPr>
            <w:r>
              <w:t>序号</w:t>
            </w:r>
          </w:p>
        </w:tc>
        <w:tc>
          <w:tcPr>
            <w:tcW w:w="389" w:type="pct"/>
            <w:vMerge w:val="restart"/>
            <w:noWrap w:val="0"/>
            <w:vAlign w:val="center"/>
          </w:tcPr>
          <w:p w14:paraId="686770B3">
            <w:pPr>
              <w:pStyle w:val="53"/>
              <w:bidi w:val="0"/>
            </w:pPr>
            <w:r>
              <w:rPr>
                <w:rFonts w:hint="eastAsia"/>
              </w:rPr>
              <w:t>污染源</w:t>
            </w:r>
          </w:p>
        </w:tc>
        <w:tc>
          <w:tcPr>
            <w:tcW w:w="252" w:type="pct"/>
            <w:vMerge w:val="restart"/>
            <w:noWrap w:val="0"/>
            <w:vAlign w:val="center"/>
          </w:tcPr>
          <w:p w14:paraId="3A1E9B76">
            <w:pPr>
              <w:pStyle w:val="53"/>
              <w:bidi w:val="0"/>
            </w:pPr>
            <w:r>
              <w:t>污染物种类</w:t>
            </w:r>
          </w:p>
        </w:tc>
        <w:tc>
          <w:tcPr>
            <w:tcW w:w="882" w:type="pct"/>
            <w:gridSpan w:val="3"/>
            <w:noWrap w:val="0"/>
            <w:vAlign w:val="center"/>
          </w:tcPr>
          <w:p w14:paraId="55FF0859">
            <w:pPr>
              <w:pStyle w:val="53"/>
              <w:bidi w:val="0"/>
            </w:pPr>
            <w:r>
              <w:t>污染物产生情况</w:t>
            </w:r>
          </w:p>
        </w:tc>
        <w:tc>
          <w:tcPr>
            <w:tcW w:w="261" w:type="pct"/>
            <w:vMerge w:val="restart"/>
            <w:noWrap w:val="0"/>
            <w:vAlign w:val="center"/>
          </w:tcPr>
          <w:p w14:paraId="192EB1E9">
            <w:pPr>
              <w:pStyle w:val="53"/>
              <w:bidi w:val="0"/>
            </w:pPr>
            <w:r>
              <w:t>排放形式</w:t>
            </w:r>
          </w:p>
        </w:tc>
        <w:tc>
          <w:tcPr>
            <w:tcW w:w="678" w:type="pct"/>
            <w:gridSpan w:val="3"/>
            <w:noWrap w:val="0"/>
            <w:vAlign w:val="center"/>
          </w:tcPr>
          <w:p w14:paraId="506520B4">
            <w:pPr>
              <w:pStyle w:val="53"/>
              <w:bidi w:val="0"/>
            </w:pPr>
            <w:r>
              <w:t>排气筒信息</w:t>
            </w:r>
          </w:p>
        </w:tc>
        <w:tc>
          <w:tcPr>
            <w:tcW w:w="1126" w:type="pct"/>
            <w:gridSpan w:val="2"/>
            <w:noWrap w:val="0"/>
            <w:vAlign w:val="center"/>
          </w:tcPr>
          <w:p w14:paraId="4FB27C82">
            <w:pPr>
              <w:pStyle w:val="53"/>
              <w:bidi w:val="0"/>
            </w:pPr>
            <w:r>
              <w:t>污染治理设施</w:t>
            </w:r>
          </w:p>
        </w:tc>
        <w:tc>
          <w:tcPr>
            <w:tcW w:w="835" w:type="pct"/>
            <w:gridSpan w:val="3"/>
            <w:noWrap w:val="0"/>
            <w:vAlign w:val="center"/>
          </w:tcPr>
          <w:p w14:paraId="37769D04">
            <w:pPr>
              <w:pStyle w:val="53"/>
              <w:bidi w:val="0"/>
            </w:pPr>
            <w:r>
              <w:t>污染物排放情况</w:t>
            </w:r>
          </w:p>
        </w:tc>
        <w:tc>
          <w:tcPr>
            <w:tcW w:w="293" w:type="pct"/>
            <w:vMerge w:val="restart"/>
            <w:noWrap w:val="0"/>
            <w:vAlign w:val="center"/>
          </w:tcPr>
          <w:p w14:paraId="1EE9CD42">
            <w:pPr>
              <w:pStyle w:val="53"/>
              <w:bidi w:val="0"/>
            </w:pPr>
            <w:r>
              <w:rPr>
                <w:rFonts w:hint="eastAsia"/>
              </w:rPr>
              <w:t>标准值</w:t>
            </w:r>
          </w:p>
        </w:tc>
      </w:tr>
      <w:tr w14:paraId="0CB196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0" w:type="pct"/>
            <w:vMerge w:val="continue"/>
            <w:noWrap w:val="0"/>
            <w:vAlign w:val="center"/>
          </w:tcPr>
          <w:p w14:paraId="696E80CF">
            <w:pPr>
              <w:pStyle w:val="53"/>
              <w:bidi w:val="0"/>
            </w:pPr>
          </w:p>
        </w:tc>
        <w:tc>
          <w:tcPr>
            <w:tcW w:w="389" w:type="pct"/>
            <w:vMerge w:val="continue"/>
            <w:noWrap w:val="0"/>
            <w:vAlign w:val="center"/>
          </w:tcPr>
          <w:p w14:paraId="2EF9A936">
            <w:pPr>
              <w:pStyle w:val="53"/>
              <w:bidi w:val="0"/>
            </w:pPr>
          </w:p>
        </w:tc>
        <w:tc>
          <w:tcPr>
            <w:tcW w:w="252" w:type="pct"/>
            <w:vMerge w:val="continue"/>
            <w:noWrap w:val="0"/>
            <w:vAlign w:val="center"/>
          </w:tcPr>
          <w:p w14:paraId="134F3C57">
            <w:pPr>
              <w:pStyle w:val="53"/>
              <w:bidi w:val="0"/>
            </w:pPr>
          </w:p>
        </w:tc>
        <w:tc>
          <w:tcPr>
            <w:tcW w:w="292" w:type="pct"/>
            <w:noWrap w:val="0"/>
            <w:vAlign w:val="center"/>
          </w:tcPr>
          <w:p w14:paraId="747638D0">
            <w:pPr>
              <w:pStyle w:val="53"/>
              <w:bidi w:val="0"/>
              <w:rPr>
                <w:rFonts w:hint="default" w:eastAsia="宋体"/>
                <w:lang w:val="en-US" w:eastAsia="zh-CN"/>
              </w:rPr>
            </w:pPr>
            <w:r>
              <w:t>产生量t</w:t>
            </w:r>
            <w:r>
              <w:rPr>
                <w:rFonts w:hint="eastAsia"/>
                <w:lang w:val="en-US" w:eastAsia="zh-CN"/>
              </w:rPr>
              <w:t>/a</w:t>
            </w:r>
          </w:p>
        </w:tc>
        <w:tc>
          <w:tcPr>
            <w:tcW w:w="295" w:type="pct"/>
            <w:noWrap w:val="0"/>
            <w:vAlign w:val="center"/>
          </w:tcPr>
          <w:p w14:paraId="55E89CD6">
            <w:pPr>
              <w:pStyle w:val="53"/>
              <w:bidi w:val="0"/>
            </w:pPr>
            <w:r>
              <w:t>速率kg/h</w:t>
            </w:r>
          </w:p>
        </w:tc>
        <w:tc>
          <w:tcPr>
            <w:tcW w:w="294" w:type="pct"/>
            <w:noWrap w:val="0"/>
            <w:vAlign w:val="center"/>
          </w:tcPr>
          <w:p w14:paraId="6B310830">
            <w:pPr>
              <w:pStyle w:val="53"/>
              <w:bidi w:val="0"/>
            </w:pPr>
            <w:r>
              <w:t>浓度</w:t>
            </w:r>
          </w:p>
          <w:p w14:paraId="75D5ECC8">
            <w:pPr>
              <w:pStyle w:val="53"/>
              <w:bidi w:val="0"/>
              <w:rPr>
                <w:rFonts w:hint="eastAsia" w:eastAsia="宋体"/>
                <w:lang w:eastAsia="zh-CN"/>
              </w:rPr>
            </w:pPr>
            <w:r>
              <w:t>mg/m</w:t>
            </w:r>
            <w:r>
              <w:rPr>
                <w:rFonts w:hint="eastAsia"/>
                <w:vertAlign w:val="superscript"/>
                <w:lang w:val="en-US" w:eastAsia="zh-CN"/>
              </w:rPr>
              <w:t>3</w:t>
            </w:r>
          </w:p>
        </w:tc>
        <w:tc>
          <w:tcPr>
            <w:tcW w:w="261" w:type="pct"/>
            <w:vMerge w:val="continue"/>
            <w:noWrap w:val="0"/>
            <w:vAlign w:val="center"/>
          </w:tcPr>
          <w:p w14:paraId="4AE3FA4C">
            <w:pPr>
              <w:pStyle w:val="53"/>
              <w:bidi w:val="0"/>
            </w:pPr>
          </w:p>
        </w:tc>
        <w:tc>
          <w:tcPr>
            <w:tcW w:w="214" w:type="pct"/>
            <w:noWrap w:val="0"/>
            <w:vAlign w:val="center"/>
          </w:tcPr>
          <w:p w14:paraId="1EB90DF6">
            <w:pPr>
              <w:pStyle w:val="53"/>
              <w:bidi w:val="0"/>
            </w:pPr>
            <w:r>
              <w:t>编号</w:t>
            </w:r>
          </w:p>
        </w:tc>
        <w:tc>
          <w:tcPr>
            <w:tcW w:w="272" w:type="pct"/>
            <w:noWrap w:val="0"/>
            <w:vAlign w:val="center"/>
          </w:tcPr>
          <w:p w14:paraId="42A181E2">
            <w:pPr>
              <w:pStyle w:val="53"/>
              <w:bidi w:val="0"/>
            </w:pPr>
            <w:r>
              <w:t>高度</w:t>
            </w:r>
          </w:p>
        </w:tc>
        <w:tc>
          <w:tcPr>
            <w:tcW w:w="192" w:type="pct"/>
            <w:noWrap w:val="0"/>
            <w:vAlign w:val="center"/>
          </w:tcPr>
          <w:p w14:paraId="379422A1">
            <w:pPr>
              <w:pStyle w:val="53"/>
              <w:bidi w:val="0"/>
            </w:pPr>
            <w:r>
              <w:t>内径</w:t>
            </w:r>
          </w:p>
        </w:tc>
        <w:tc>
          <w:tcPr>
            <w:tcW w:w="852" w:type="pct"/>
            <w:noWrap w:val="0"/>
            <w:vAlign w:val="center"/>
          </w:tcPr>
          <w:p w14:paraId="2231A394">
            <w:pPr>
              <w:pStyle w:val="53"/>
              <w:bidi w:val="0"/>
            </w:pPr>
            <w:r>
              <w:t>工艺名称或方式</w:t>
            </w:r>
          </w:p>
        </w:tc>
        <w:tc>
          <w:tcPr>
            <w:tcW w:w="274" w:type="pct"/>
            <w:noWrap w:val="0"/>
            <w:vAlign w:val="center"/>
          </w:tcPr>
          <w:p w14:paraId="43A3DEF4">
            <w:pPr>
              <w:pStyle w:val="53"/>
              <w:bidi w:val="0"/>
            </w:pPr>
            <w:r>
              <w:t>处理效率</w:t>
            </w:r>
          </w:p>
        </w:tc>
        <w:tc>
          <w:tcPr>
            <w:tcW w:w="276" w:type="pct"/>
            <w:noWrap w:val="0"/>
            <w:vAlign w:val="center"/>
          </w:tcPr>
          <w:p w14:paraId="0A4251C8">
            <w:pPr>
              <w:pStyle w:val="53"/>
              <w:bidi w:val="0"/>
              <w:rPr>
                <w:rFonts w:hint="default" w:eastAsia="宋体"/>
                <w:lang w:val="en-US" w:eastAsia="zh-CN"/>
              </w:rPr>
            </w:pPr>
            <w:r>
              <w:t>排放量t</w:t>
            </w:r>
            <w:r>
              <w:rPr>
                <w:rFonts w:hint="eastAsia"/>
                <w:lang w:val="en-US" w:eastAsia="zh-CN"/>
              </w:rPr>
              <w:t>/a</w:t>
            </w:r>
          </w:p>
        </w:tc>
        <w:tc>
          <w:tcPr>
            <w:tcW w:w="266" w:type="pct"/>
            <w:noWrap w:val="0"/>
            <w:vAlign w:val="center"/>
          </w:tcPr>
          <w:p w14:paraId="08FC15BC">
            <w:pPr>
              <w:pStyle w:val="53"/>
              <w:bidi w:val="0"/>
            </w:pPr>
            <w:r>
              <w:t>速率kg/h</w:t>
            </w:r>
          </w:p>
        </w:tc>
        <w:tc>
          <w:tcPr>
            <w:tcW w:w="292" w:type="pct"/>
            <w:noWrap w:val="0"/>
            <w:vAlign w:val="center"/>
          </w:tcPr>
          <w:p w14:paraId="2B598F67">
            <w:pPr>
              <w:pStyle w:val="53"/>
              <w:bidi w:val="0"/>
            </w:pPr>
            <w:r>
              <w:t>浓度</w:t>
            </w:r>
          </w:p>
          <w:p w14:paraId="0656F6AF">
            <w:pPr>
              <w:pStyle w:val="53"/>
              <w:bidi w:val="0"/>
            </w:pPr>
            <w:r>
              <w:t>mg/m³</w:t>
            </w:r>
          </w:p>
        </w:tc>
        <w:tc>
          <w:tcPr>
            <w:tcW w:w="293" w:type="pct"/>
            <w:vMerge w:val="continue"/>
            <w:noWrap w:val="0"/>
            <w:vAlign w:val="center"/>
          </w:tcPr>
          <w:p w14:paraId="29F12F36">
            <w:pPr>
              <w:pStyle w:val="53"/>
              <w:bidi w:val="0"/>
            </w:pPr>
          </w:p>
        </w:tc>
      </w:tr>
      <w:tr w14:paraId="2250F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0" w:type="pct"/>
            <w:noWrap w:val="0"/>
            <w:vAlign w:val="center"/>
          </w:tcPr>
          <w:p w14:paraId="4482AA94">
            <w:pPr>
              <w:pStyle w:val="53"/>
              <w:bidi w:val="0"/>
              <w:rPr>
                <w:rFonts w:hint="default" w:eastAsia="宋体"/>
                <w:kern w:val="2"/>
                <w:sz w:val="21"/>
                <w:szCs w:val="24"/>
                <w:lang w:val="en-US" w:eastAsia="zh-CN" w:bidi="ar-SA"/>
              </w:rPr>
            </w:pPr>
            <w:r>
              <w:rPr>
                <w:rFonts w:hint="eastAsia"/>
                <w:lang w:val="en-US" w:eastAsia="zh-CN"/>
              </w:rPr>
              <w:t>G</w:t>
            </w:r>
            <w:r>
              <w:rPr>
                <w:rFonts w:hint="eastAsia"/>
                <w:vertAlign w:val="subscript"/>
                <w:lang w:val="en-US" w:eastAsia="zh-CN"/>
              </w:rPr>
              <w:t>1-1</w:t>
            </w:r>
            <w:r>
              <w:rPr>
                <w:rFonts w:hint="eastAsia"/>
                <w:lang w:val="en-US" w:eastAsia="zh-CN"/>
              </w:rPr>
              <w:t>、G</w:t>
            </w:r>
            <w:r>
              <w:rPr>
                <w:rFonts w:hint="eastAsia"/>
                <w:vertAlign w:val="subscript"/>
                <w:lang w:val="en-US" w:eastAsia="zh-CN"/>
              </w:rPr>
              <w:t>1-2</w:t>
            </w:r>
          </w:p>
        </w:tc>
        <w:tc>
          <w:tcPr>
            <w:tcW w:w="389" w:type="pct"/>
            <w:noWrap w:val="0"/>
            <w:vAlign w:val="center"/>
          </w:tcPr>
          <w:p w14:paraId="0D328214">
            <w:pPr>
              <w:pStyle w:val="53"/>
              <w:bidi w:val="0"/>
              <w:rPr>
                <w:rFonts w:hint="default" w:eastAsia="宋体"/>
                <w:lang w:val="en-US" w:eastAsia="zh-CN"/>
              </w:rPr>
            </w:pPr>
            <w:r>
              <w:rPr>
                <w:rFonts w:hint="eastAsia"/>
                <w:lang w:val="en-US" w:eastAsia="zh-CN"/>
              </w:rPr>
              <w:t>水泥筒仓</w:t>
            </w:r>
          </w:p>
        </w:tc>
        <w:tc>
          <w:tcPr>
            <w:tcW w:w="252" w:type="pct"/>
            <w:noWrap w:val="0"/>
            <w:vAlign w:val="center"/>
          </w:tcPr>
          <w:p w14:paraId="5FA4B54C">
            <w:pPr>
              <w:pStyle w:val="53"/>
              <w:bidi w:val="0"/>
              <w:rPr>
                <w:rFonts w:hint="eastAsia" w:eastAsia="宋体"/>
                <w:lang w:val="en-US" w:eastAsia="zh-CN"/>
              </w:rPr>
            </w:pPr>
            <w:r>
              <w:rPr>
                <w:rFonts w:hint="eastAsia"/>
                <w:lang w:val="en-US" w:eastAsia="zh-CN"/>
              </w:rPr>
              <w:t>颗粒物</w:t>
            </w:r>
          </w:p>
        </w:tc>
        <w:tc>
          <w:tcPr>
            <w:tcW w:w="292" w:type="pct"/>
            <w:noWrap w:val="0"/>
            <w:vAlign w:val="center"/>
          </w:tcPr>
          <w:p w14:paraId="40AF85F7">
            <w:pPr>
              <w:pStyle w:val="53"/>
              <w:bidi w:val="0"/>
              <w:ind w:firstLine="0" w:firstLineChars="0"/>
              <w:rPr>
                <w:rFonts w:hint="default"/>
                <w:lang w:val="en-US" w:eastAsia="zh-CN"/>
              </w:rPr>
            </w:pPr>
            <w:r>
              <w:rPr>
                <w:rFonts w:hint="default"/>
                <w:lang w:val="en-US" w:eastAsia="zh-CN"/>
              </w:rPr>
              <w:t>2.22</w:t>
            </w:r>
          </w:p>
        </w:tc>
        <w:tc>
          <w:tcPr>
            <w:tcW w:w="295" w:type="pct"/>
            <w:noWrap w:val="0"/>
            <w:vAlign w:val="center"/>
          </w:tcPr>
          <w:p w14:paraId="23591226">
            <w:pPr>
              <w:pStyle w:val="53"/>
              <w:bidi w:val="0"/>
              <w:ind w:firstLine="0" w:firstLineChars="0"/>
              <w:rPr>
                <w:rFonts w:hint="default" w:eastAsia="宋体"/>
                <w:lang w:val="en-US" w:eastAsia="zh-CN"/>
              </w:rPr>
            </w:pPr>
            <w:r>
              <w:rPr>
                <w:rFonts w:hint="eastAsia"/>
                <w:lang w:val="en-US" w:eastAsia="zh-CN"/>
              </w:rPr>
              <w:t>6.27</w:t>
            </w:r>
          </w:p>
        </w:tc>
        <w:tc>
          <w:tcPr>
            <w:tcW w:w="294" w:type="pct"/>
            <w:noWrap w:val="0"/>
            <w:vAlign w:val="center"/>
          </w:tcPr>
          <w:p w14:paraId="42D2E434">
            <w:pPr>
              <w:pStyle w:val="53"/>
              <w:bidi w:val="0"/>
              <w:ind w:firstLine="0" w:firstLineChars="0"/>
              <w:rPr>
                <w:rFonts w:hint="default" w:eastAsia="宋体"/>
                <w:lang w:val="en-US" w:eastAsia="zh-CN"/>
              </w:rPr>
            </w:pPr>
            <w:r>
              <w:rPr>
                <w:rFonts w:hint="eastAsia"/>
                <w:lang w:val="en-US" w:eastAsia="zh-CN"/>
              </w:rPr>
              <w:t>/</w:t>
            </w:r>
          </w:p>
        </w:tc>
        <w:tc>
          <w:tcPr>
            <w:tcW w:w="261" w:type="pct"/>
            <w:noWrap w:val="0"/>
            <w:vAlign w:val="center"/>
          </w:tcPr>
          <w:p w14:paraId="4BD58724">
            <w:pPr>
              <w:pStyle w:val="53"/>
              <w:bidi w:val="0"/>
              <w:rPr>
                <w:rFonts w:hint="eastAsia" w:eastAsia="宋体"/>
                <w:lang w:val="en-US" w:eastAsia="zh-CN"/>
              </w:rPr>
            </w:pPr>
            <w:r>
              <w:rPr>
                <w:rFonts w:hint="eastAsia"/>
                <w:lang w:val="en-US" w:eastAsia="zh-CN"/>
              </w:rPr>
              <w:t>无组织</w:t>
            </w:r>
          </w:p>
        </w:tc>
        <w:tc>
          <w:tcPr>
            <w:tcW w:w="214" w:type="pct"/>
            <w:noWrap w:val="0"/>
            <w:vAlign w:val="center"/>
          </w:tcPr>
          <w:p w14:paraId="4190063E">
            <w:pPr>
              <w:pStyle w:val="53"/>
              <w:bidi w:val="0"/>
              <w:rPr>
                <w:rFonts w:hint="default" w:eastAsia="宋体"/>
                <w:lang w:val="en-US" w:eastAsia="zh-CN"/>
              </w:rPr>
            </w:pPr>
            <w:r>
              <w:rPr>
                <w:rFonts w:hint="eastAsia"/>
                <w:lang w:val="en-US" w:eastAsia="zh-CN"/>
              </w:rPr>
              <w:t>/</w:t>
            </w:r>
          </w:p>
        </w:tc>
        <w:tc>
          <w:tcPr>
            <w:tcW w:w="272" w:type="pct"/>
            <w:noWrap w:val="0"/>
            <w:vAlign w:val="center"/>
          </w:tcPr>
          <w:p w14:paraId="7E9BB8C2">
            <w:pPr>
              <w:pStyle w:val="53"/>
              <w:bidi w:val="0"/>
              <w:rPr>
                <w:rFonts w:hint="default" w:eastAsia="宋体"/>
                <w:lang w:val="en-US" w:eastAsia="zh-CN"/>
              </w:rPr>
            </w:pPr>
            <w:r>
              <w:rPr>
                <w:rFonts w:hint="eastAsia"/>
                <w:lang w:val="en-US" w:eastAsia="zh-CN"/>
              </w:rPr>
              <w:t>/</w:t>
            </w:r>
          </w:p>
        </w:tc>
        <w:tc>
          <w:tcPr>
            <w:tcW w:w="192" w:type="pct"/>
            <w:noWrap w:val="0"/>
            <w:vAlign w:val="center"/>
          </w:tcPr>
          <w:p w14:paraId="0EA86C73">
            <w:pPr>
              <w:pStyle w:val="53"/>
              <w:bidi w:val="0"/>
              <w:rPr>
                <w:rFonts w:hint="default" w:eastAsia="宋体"/>
                <w:lang w:val="en-US" w:eastAsia="zh-CN"/>
              </w:rPr>
            </w:pPr>
            <w:r>
              <w:rPr>
                <w:rFonts w:hint="eastAsia"/>
                <w:lang w:val="en-US" w:eastAsia="zh-CN"/>
              </w:rPr>
              <w:t>/</w:t>
            </w:r>
          </w:p>
        </w:tc>
        <w:tc>
          <w:tcPr>
            <w:tcW w:w="852" w:type="pct"/>
            <w:noWrap w:val="0"/>
            <w:vAlign w:val="center"/>
          </w:tcPr>
          <w:p w14:paraId="34A4A691">
            <w:pPr>
              <w:pStyle w:val="53"/>
              <w:bidi w:val="0"/>
              <w:jc w:val="center"/>
              <w:rPr>
                <w:rFonts w:hint="default"/>
                <w:lang w:val="en-US"/>
              </w:rPr>
            </w:pPr>
            <w:r>
              <w:rPr>
                <w:rFonts w:hint="eastAsia"/>
              </w:rPr>
              <w:t>密闭筒仓+</w:t>
            </w:r>
            <w:r>
              <w:rPr>
                <w:rFonts w:hint="eastAsia"/>
                <w:lang w:val="en-US" w:eastAsia="zh-CN"/>
              </w:rPr>
              <w:t>仓顶除尘器</w:t>
            </w:r>
          </w:p>
        </w:tc>
        <w:tc>
          <w:tcPr>
            <w:tcW w:w="274" w:type="pct"/>
            <w:noWrap w:val="0"/>
            <w:vAlign w:val="center"/>
          </w:tcPr>
          <w:p w14:paraId="113B60A7">
            <w:pPr>
              <w:pStyle w:val="53"/>
              <w:bidi w:val="0"/>
              <w:rPr>
                <w:rFonts w:hint="default" w:eastAsia="宋体"/>
                <w:lang w:val="en-US" w:eastAsia="zh-CN"/>
              </w:rPr>
            </w:pPr>
            <w:r>
              <w:rPr>
                <w:rFonts w:hint="eastAsia"/>
                <w:lang w:val="en-US" w:eastAsia="zh-CN"/>
              </w:rPr>
              <w:t>99.7%</w:t>
            </w:r>
          </w:p>
        </w:tc>
        <w:tc>
          <w:tcPr>
            <w:tcW w:w="276" w:type="pct"/>
            <w:noWrap w:val="0"/>
            <w:vAlign w:val="center"/>
          </w:tcPr>
          <w:p w14:paraId="35D04470">
            <w:pPr>
              <w:pStyle w:val="53"/>
              <w:bidi w:val="0"/>
              <w:ind w:firstLine="0" w:firstLineChars="0"/>
              <w:rPr>
                <w:rFonts w:hint="default"/>
                <w:lang w:val="en-US" w:eastAsia="zh-CN"/>
              </w:rPr>
            </w:pPr>
            <w:r>
              <w:rPr>
                <w:rFonts w:hint="eastAsia"/>
                <w:lang w:val="en-US" w:eastAsia="zh-CN"/>
              </w:rPr>
              <w:t>0.007</w:t>
            </w:r>
          </w:p>
        </w:tc>
        <w:tc>
          <w:tcPr>
            <w:tcW w:w="266" w:type="pct"/>
            <w:noWrap w:val="0"/>
            <w:vAlign w:val="center"/>
          </w:tcPr>
          <w:p w14:paraId="1A6F7EEA">
            <w:pPr>
              <w:pStyle w:val="53"/>
              <w:bidi w:val="0"/>
              <w:ind w:firstLine="0" w:firstLineChars="0"/>
              <w:rPr>
                <w:rFonts w:hint="default" w:eastAsia="宋体"/>
                <w:lang w:val="en-US" w:eastAsia="zh-CN"/>
              </w:rPr>
            </w:pPr>
            <w:r>
              <w:rPr>
                <w:rFonts w:hint="eastAsia"/>
                <w:lang w:val="en-US" w:eastAsia="zh-CN"/>
              </w:rPr>
              <w:t>0.02</w:t>
            </w:r>
          </w:p>
        </w:tc>
        <w:tc>
          <w:tcPr>
            <w:tcW w:w="292" w:type="pct"/>
            <w:tcBorders>
              <w:bottom w:val="single" w:color="auto" w:sz="4" w:space="0"/>
            </w:tcBorders>
            <w:noWrap w:val="0"/>
            <w:vAlign w:val="center"/>
          </w:tcPr>
          <w:p w14:paraId="7D9C1424">
            <w:pPr>
              <w:pStyle w:val="53"/>
              <w:bidi w:val="0"/>
              <w:rPr>
                <w:rFonts w:hint="default"/>
                <w:lang w:val="en-US" w:eastAsia="zh-CN"/>
              </w:rPr>
            </w:pPr>
            <w:r>
              <w:rPr>
                <w:rFonts w:hint="eastAsia"/>
                <w:lang w:val="en-US" w:eastAsia="zh-CN"/>
              </w:rPr>
              <w:t>/</w:t>
            </w:r>
          </w:p>
        </w:tc>
        <w:tc>
          <w:tcPr>
            <w:tcW w:w="293" w:type="pct"/>
            <w:vMerge w:val="restart"/>
            <w:noWrap w:val="0"/>
            <w:vAlign w:val="center"/>
          </w:tcPr>
          <w:p w14:paraId="115497E9">
            <w:pPr>
              <w:pStyle w:val="53"/>
              <w:bidi w:val="0"/>
              <w:rPr>
                <w:rFonts w:hint="default"/>
                <w:lang w:val="en-US" w:eastAsia="zh-CN"/>
              </w:rPr>
            </w:pPr>
            <w:r>
              <w:rPr>
                <w:rFonts w:hint="eastAsia"/>
                <w:lang w:val="en-US" w:eastAsia="zh-CN"/>
              </w:rPr>
              <w:t>0.5</w:t>
            </w:r>
          </w:p>
          <w:p w14:paraId="2F1A2E6D">
            <w:pPr>
              <w:pStyle w:val="53"/>
              <w:bidi w:val="0"/>
            </w:pPr>
            <w:r>
              <w:rPr>
                <w:rFonts w:hint="eastAsia"/>
              </w:rPr>
              <w:t>mg/m</w:t>
            </w:r>
            <w:r>
              <w:rPr>
                <w:rFonts w:hint="eastAsia"/>
                <w:vertAlign w:val="superscript"/>
              </w:rPr>
              <w:t>3</w:t>
            </w:r>
          </w:p>
        </w:tc>
      </w:tr>
      <w:tr w14:paraId="2044A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0" w:type="pct"/>
            <w:noWrap/>
            <w:vAlign w:val="center"/>
          </w:tcPr>
          <w:p w14:paraId="6A2793DC">
            <w:pPr>
              <w:pStyle w:val="53"/>
              <w:bidi w:val="0"/>
              <w:rPr>
                <w:rFonts w:hint="default" w:eastAsia="宋体"/>
                <w:lang w:val="en-US" w:eastAsia="zh-CN"/>
              </w:rPr>
            </w:pPr>
            <w:r>
              <w:rPr>
                <w:rFonts w:hint="eastAsia"/>
                <w:lang w:val="en-US" w:eastAsia="zh-CN"/>
              </w:rPr>
              <w:t>G</w:t>
            </w:r>
            <w:r>
              <w:rPr>
                <w:rFonts w:hint="eastAsia"/>
                <w:vertAlign w:val="subscript"/>
                <w:lang w:val="en-US" w:eastAsia="zh-CN"/>
              </w:rPr>
              <w:t>2</w:t>
            </w:r>
          </w:p>
        </w:tc>
        <w:tc>
          <w:tcPr>
            <w:tcW w:w="389" w:type="pct"/>
            <w:noWrap w:val="0"/>
            <w:vAlign w:val="center"/>
          </w:tcPr>
          <w:p w14:paraId="6B9D5F39">
            <w:pPr>
              <w:pStyle w:val="53"/>
              <w:bidi w:val="0"/>
            </w:pPr>
            <w:r>
              <w:rPr>
                <w:rFonts w:hint="eastAsia"/>
              </w:rPr>
              <w:t>砂石料堆存和装卸料粉尘</w:t>
            </w:r>
          </w:p>
        </w:tc>
        <w:tc>
          <w:tcPr>
            <w:tcW w:w="252" w:type="pct"/>
            <w:noWrap w:val="0"/>
            <w:vAlign w:val="center"/>
          </w:tcPr>
          <w:p w14:paraId="3D8A7092">
            <w:pPr>
              <w:pStyle w:val="53"/>
              <w:bidi w:val="0"/>
              <w:rPr>
                <w:rFonts w:hint="eastAsia" w:eastAsia="宋体"/>
                <w:lang w:val="en-US" w:eastAsia="zh-CN"/>
              </w:rPr>
            </w:pPr>
            <w:r>
              <w:rPr>
                <w:rFonts w:hint="eastAsia"/>
                <w:lang w:val="en-US" w:eastAsia="zh-CN"/>
              </w:rPr>
              <w:t>颗粒物</w:t>
            </w:r>
          </w:p>
        </w:tc>
        <w:tc>
          <w:tcPr>
            <w:tcW w:w="292" w:type="pct"/>
            <w:noWrap w:val="0"/>
            <w:vAlign w:val="center"/>
          </w:tcPr>
          <w:p w14:paraId="608D02FC">
            <w:pPr>
              <w:pStyle w:val="53"/>
              <w:bidi w:val="0"/>
              <w:rPr>
                <w:rFonts w:hint="default" w:eastAsia="宋体"/>
                <w:lang w:val="en-US" w:eastAsia="zh-CN"/>
              </w:rPr>
            </w:pPr>
            <w:r>
              <w:rPr>
                <w:rFonts w:hint="default" w:eastAsia="宋体"/>
                <w:lang w:val="en-US" w:eastAsia="zh-CN"/>
              </w:rPr>
              <w:t>518.55</w:t>
            </w:r>
          </w:p>
        </w:tc>
        <w:tc>
          <w:tcPr>
            <w:tcW w:w="295" w:type="pct"/>
            <w:noWrap w:val="0"/>
            <w:vAlign w:val="center"/>
          </w:tcPr>
          <w:p w14:paraId="5E91EBB0">
            <w:pPr>
              <w:pStyle w:val="53"/>
              <w:bidi w:val="0"/>
              <w:rPr>
                <w:rFonts w:hint="default" w:eastAsia="宋体"/>
                <w:lang w:val="en-US" w:eastAsia="zh-CN"/>
              </w:rPr>
            </w:pPr>
            <w:r>
              <w:rPr>
                <w:rFonts w:hint="eastAsia"/>
                <w:lang w:val="en-US" w:eastAsia="zh-CN"/>
              </w:rPr>
              <w:t>308.66</w:t>
            </w:r>
          </w:p>
        </w:tc>
        <w:tc>
          <w:tcPr>
            <w:tcW w:w="294" w:type="pct"/>
            <w:noWrap w:val="0"/>
            <w:vAlign w:val="center"/>
          </w:tcPr>
          <w:p w14:paraId="0A1472CA">
            <w:pPr>
              <w:pStyle w:val="53"/>
              <w:bidi w:val="0"/>
              <w:rPr>
                <w:rFonts w:hint="eastAsia"/>
                <w:lang w:val="en-US" w:eastAsia="zh-CN"/>
              </w:rPr>
            </w:pPr>
            <w:r>
              <w:rPr>
                <w:rFonts w:hint="eastAsia"/>
                <w:lang w:val="en-US" w:eastAsia="zh-CN"/>
              </w:rPr>
              <w:t>/</w:t>
            </w:r>
          </w:p>
        </w:tc>
        <w:tc>
          <w:tcPr>
            <w:tcW w:w="261" w:type="pct"/>
            <w:noWrap w:val="0"/>
            <w:vAlign w:val="center"/>
          </w:tcPr>
          <w:p w14:paraId="12E782A8">
            <w:pPr>
              <w:pStyle w:val="53"/>
              <w:bidi w:val="0"/>
              <w:rPr>
                <w:rFonts w:hint="eastAsia" w:eastAsia="宋体"/>
                <w:lang w:val="en-US" w:eastAsia="zh-CN"/>
              </w:rPr>
            </w:pPr>
            <w:r>
              <w:rPr>
                <w:rFonts w:hint="eastAsia"/>
                <w:lang w:val="en-US" w:eastAsia="zh-CN"/>
              </w:rPr>
              <w:t>无组织</w:t>
            </w:r>
          </w:p>
        </w:tc>
        <w:tc>
          <w:tcPr>
            <w:tcW w:w="214" w:type="pct"/>
            <w:noWrap w:val="0"/>
            <w:vAlign w:val="center"/>
          </w:tcPr>
          <w:p w14:paraId="3D192EAA">
            <w:pPr>
              <w:pStyle w:val="53"/>
              <w:bidi w:val="0"/>
              <w:rPr>
                <w:rFonts w:hint="eastAsia" w:eastAsia="宋体"/>
                <w:lang w:val="en-US" w:eastAsia="zh-CN"/>
              </w:rPr>
            </w:pPr>
            <w:r>
              <w:rPr>
                <w:rFonts w:hint="eastAsia"/>
                <w:lang w:val="en-US" w:eastAsia="zh-CN"/>
              </w:rPr>
              <w:t>/</w:t>
            </w:r>
          </w:p>
        </w:tc>
        <w:tc>
          <w:tcPr>
            <w:tcW w:w="272" w:type="pct"/>
            <w:noWrap w:val="0"/>
            <w:vAlign w:val="center"/>
          </w:tcPr>
          <w:p w14:paraId="2B14C303">
            <w:pPr>
              <w:pStyle w:val="53"/>
              <w:bidi w:val="0"/>
              <w:rPr>
                <w:rFonts w:hint="eastAsia" w:eastAsia="宋体"/>
                <w:lang w:val="en-US" w:eastAsia="zh-CN"/>
              </w:rPr>
            </w:pPr>
            <w:r>
              <w:rPr>
                <w:rFonts w:hint="eastAsia"/>
                <w:lang w:val="en-US" w:eastAsia="zh-CN"/>
              </w:rPr>
              <w:t>/</w:t>
            </w:r>
          </w:p>
        </w:tc>
        <w:tc>
          <w:tcPr>
            <w:tcW w:w="192" w:type="pct"/>
            <w:noWrap w:val="0"/>
            <w:vAlign w:val="center"/>
          </w:tcPr>
          <w:p w14:paraId="6ABC2A46">
            <w:pPr>
              <w:pStyle w:val="53"/>
              <w:bidi w:val="0"/>
              <w:rPr>
                <w:rFonts w:hint="eastAsia" w:eastAsia="宋体"/>
                <w:lang w:val="en-US" w:eastAsia="zh-CN"/>
              </w:rPr>
            </w:pPr>
            <w:r>
              <w:rPr>
                <w:rFonts w:hint="eastAsia"/>
                <w:lang w:val="en-US" w:eastAsia="zh-CN"/>
              </w:rPr>
              <w:t>/</w:t>
            </w:r>
          </w:p>
        </w:tc>
        <w:tc>
          <w:tcPr>
            <w:tcW w:w="852" w:type="pct"/>
            <w:noWrap w:val="0"/>
            <w:vAlign w:val="center"/>
          </w:tcPr>
          <w:p w14:paraId="7E28B490">
            <w:pPr>
              <w:pStyle w:val="53"/>
              <w:bidi w:val="0"/>
              <w:jc w:val="center"/>
              <w:rPr>
                <w:rFonts w:hint="default"/>
                <w:lang w:val="en-US"/>
              </w:rPr>
            </w:pPr>
            <w:r>
              <w:rPr>
                <w:rFonts w:hint="eastAsia"/>
                <w:lang w:val="en-US" w:eastAsia="zh-CN"/>
              </w:rPr>
              <w:t>全封闭骨料仓+在堆存和装卸过程使用雾炮机抑尘+厂区四周设置防风抑尘网</w:t>
            </w:r>
          </w:p>
        </w:tc>
        <w:tc>
          <w:tcPr>
            <w:tcW w:w="274" w:type="pct"/>
            <w:noWrap w:val="0"/>
            <w:vAlign w:val="center"/>
          </w:tcPr>
          <w:p w14:paraId="2DD0F231">
            <w:pPr>
              <w:pStyle w:val="53"/>
              <w:bidi w:val="0"/>
              <w:rPr>
                <w:rFonts w:hint="eastAsia"/>
                <w:lang w:val="en-US" w:eastAsia="zh-CN"/>
              </w:rPr>
            </w:pPr>
            <w:r>
              <w:rPr>
                <w:rFonts w:hint="eastAsia"/>
                <w:lang w:val="en-US" w:eastAsia="zh-CN"/>
              </w:rPr>
              <w:t>96.1%</w:t>
            </w:r>
          </w:p>
        </w:tc>
        <w:tc>
          <w:tcPr>
            <w:tcW w:w="276" w:type="pct"/>
            <w:noWrap w:val="0"/>
            <w:vAlign w:val="center"/>
          </w:tcPr>
          <w:p w14:paraId="638A203A">
            <w:pPr>
              <w:pStyle w:val="53"/>
              <w:bidi w:val="0"/>
              <w:rPr>
                <w:rFonts w:hint="default" w:eastAsia="宋体"/>
                <w:lang w:val="en-US" w:eastAsia="zh-CN"/>
              </w:rPr>
            </w:pPr>
            <w:r>
              <w:rPr>
                <w:rFonts w:hint="eastAsia"/>
                <w:lang w:val="en-US" w:eastAsia="zh-CN"/>
              </w:rPr>
              <w:t>1.35</w:t>
            </w:r>
          </w:p>
        </w:tc>
        <w:tc>
          <w:tcPr>
            <w:tcW w:w="266" w:type="pct"/>
            <w:noWrap w:val="0"/>
            <w:vAlign w:val="center"/>
          </w:tcPr>
          <w:p w14:paraId="5984ECA5">
            <w:pPr>
              <w:pStyle w:val="53"/>
              <w:bidi w:val="0"/>
              <w:rPr>
                <w:rFonts w:hint="default" w:eastAsia="宋体"/>
                <w:lang w:val="en-US" w:eastAsia="zh-CN"/>
              </w:rPr>
            </w:pPr>
            <w:r>
              <w:rPr>
                <w:rFonts w:hint="eastAsia"/>
                <w:lang w:val="en-US" w:eastAsia="zh-CN"/>
              </w:rPr>
              <w:t>0.8</w:t>
            </w:r>
          </w:p>
        </w:tc>
        <w:tc>
          <w:tcPr>
            <w:tcW w:w="292" w:type="pct"/>
            <w:tcBorders>
              <w:top w:val="single" w:color="auto" w:sz="4" w:space="0"/>
            </w:tcBorders>
            <w:noWrap w:val="0"/>
            <w:vAlign w:val="center"/>
          </w:tcPr>
          <w:p w14:paraId="260A5436">
            <w:pPr>
              <w:pStyle w:val="53"/>
              <w:bidi w:val="0"/>
              <w:rPr>
                <w:rFonts w:hint="eastAsia"/>
                <w:lang w:val="en-US" w:eastAsia="zh-CN"/>
              </w:rPr>
            </w:pPr>
            <w:r>
              <w:rPr>
                <w:rFonts w:hint="eastAsia"/>
                <w:lang w:val="en-US" w:eastAsia="zh-CN"/>
              </w:rPr>
              <w:t>/</w:t>
            </w:r>
          </w:p>
        </w:tc>
        <w:tc>
          <w:tcPr>
            <w:tcW w:w="293" w:type="pct"/>
            <w:vMerge w:val="continue"/>
            <w:noWrap w:val="0"/>
            <w:vAlign w:val="center"/>
          </w:tcPr>
          <w:p w14:paraId="33B8EBC9">
            <w:pPr>
              <w:pStyle w:val="53"/>
              <w:bidi w:val="0"/>
            </w:pPr>
          </w:p>
        </w:tc>
      </w:tr>
      <w:tr w14:paraId="2649B2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0" w:type="pct"/>
            <w:noWrap/>
            <w:vAlign w:val="center"/>
          </w:tcPr>
          <w:p w14:paraId="280D9443">
            <w:pPr>
              <w:pStyle w:val="53"/>
              <w:bidi w:val="0"/>
              <w:rPr>
                <w:rFonts w:hint="default" w:eastAsia="宋体"/>
                <w:lang w:val="en-US" w:eastAsia="zh-CN"/>
              </w:rPr>
            </w:pPr>
            <w:r>
              <w:rPr>
                <w:rFonts w:hint="eastAsia"/>
                <w:lang w:val="en-US" w:eastAsia="zh-CN"/>
              </w:rPr>
              <w:t>G</w:t>
            </w:r>
            <w:r>
              <w:rPr>
                <w:rFonts w:hint="eastAsia"/>
                <w:vertAlign w:val="subscript"/>
                <w:lang w:val="en-US" w:eastAsia="zh-CN"/>
              </w:rPr>
              <w:t>3</w:t>
            </w:r>
          </w:p>
        </w:tc>
        <w:tc>
          <w:tcPr>
            <w:tcW w:w="389" w:type="pct"/>
            <w:noWrap w:val="0"/>
            <w:vAlign w:val="center"/>
          </w:tcPr>
          <w:p w14:paraId="00FD8AAA">
            <w:pPr>
              <w:pStyle w:val="53"/>
              <w:bidi w:val="0"/>
            </w:pPr>
            <w:r>
              <w:rPr>
                <w:rFonts w:hint="eastAsia"/>
                <w:lang w:val="en-US" w:eastAsia="zh-CN"/>
              </w:rPr>
              <w:t>砂石料</w:t>
            </w:r>
            <w:r>
              <w:rPr>
                <w:rFonts w:hint="eastAsia"/>
              </w:rPr>
              <w:t>投料、输送、计量粉尘</w:t>
            </w:r>
          </w:p>
        </w:tc>
        <w:tc>
          <w:tcPr>
            <w:tcW w:w="252" w:type="pct"/>
            <w:noWrap w:val="0"/>
            <w:vAlign w:val="center"/>
          </w:tcPr>
          <w:p w14:paraId="2D8A375F">
            <w:pPr>
              <w:pStyle w:val="53"/>
              <w:bidi w:val="0"/>
              <w:rPr>
                <w:rFonts w:hint="eastAsia" w:eastAsia="宋体"/>
                <w:lang w:val="en-US" w:eastAsia="zh-CN"/>
              </w:rPr>
            </w:pPr>
            <w:r>
              <w:rPr>
                <w:rFonts w:hint="eastAsia"/>
                <w:lang w:val="en-US" w:eastAsia="zh-CN"/>
              </w:rPr>
              <w:t>颗粒物</w:t>
            </w:r>
          </w:p>
        </w:tc>
        <w:tc>
          <w:tcPr>
            <w:tcW w:w="292" w:type="pct"/>
            <w:noWrap w:val="0"/>
            <w:vAlign w:val="center"/>
          </w:tcPr>
          <w:p w14:paraId="69856168">
            <w:pPr>
              <w:pStyle w:val="53"/>
              <w:bidi w:val="0"/>
              <w:rPr>
                <w:rFonts w:hint="default" w:eastAsia="宋体"/>
                <w:lang w:val="en-US" w:eastAsia="zh-CN"/>
              </w:rPr>
            </w:pPr>
            <w:r>
              <w:rPr>
                <w:rFonts w:hint="default" w:eastAsia="宋体"/>
                <w:lang w:val="en-US" w:eastAsia="zh-CN"/>
              </w:rPr>
              <w:t>1.62</w:t>
            </w:r>
          </w:p>
        </w:tc>
        <w:tc>
          <w:tcPr>
            <w:tcW w:w="295" w:type="pct"/>
            <w:noWrap w:val="0"/>
            <w:vAlign w:val="center"/>
          </w:tcPr>
          <w:p w14:paraId="53403EF1">
            <w:pPr>
              <w:pStyle w:val="53"/>
              <w:bidi w:val="0"/>
              <w:rPr>
                <w:rFonts w:hint="default" w:eastAsia="宋体"/>
                <w:lang w:val="en-US" w:eastAsia="zh-CN"/>
              </w:rPr>
            </w:pPr>
            <w:r>
              <w:rPr>
                <w:rFonts w:hint="eastAsia"/>
                <w:lang w:val="en-US" w:eastAsia="zh-CN"/>
              </w:rPr>
              <w:t>0.96</w:t>
            </w:r>
          </w:p>
        </w:tc>
        <w:tc>
          <w:tcPr>
            <w:tcW w:w="294" w:type="pct"/>
            <w:noWrap w:val="0"/>
            <w:vAlign w:val="center"/>
          </w:tcPr>
          <w:p w14:paraId="76BA39E0">
            <w:pPr>
              <w:pStyle w:val="53"/>
              <w:bidi w:val="0"/>
              <w:rPr>
                <w:rFonts w:hint="eastAsia"/>
                <w:lang w:val="en-US" w:eastAsia="zh-CN"/>
              </w:rPr>
            </w:pPr>
            <w:r>
              <w:rPr>
                <w:rFonts w:hint="eastAsia"/>
                <w:lang w:val="en-US" w:eastAsia="zh-CN"/>
              </w:rPr>
              <w:t>/</w:t>
            </w:r>
          </w:p>
        </w:tc>
        <w:tc>
          <w:tcPr>
            <w:tcW w:w="261" w:type="pct"/>
            <w:noWrap w:val="0"/>
            <w:vAlign w:val="center"/>
          </w:tcPr>
          <w:p w14:paraId="3BB65E86">
            <w:pPr>
              <w:pStyle w:val="53"/>
              <w:bidi w:val="0"/>
            </w:pPr>
            <w:r>
              <w:rPr>
                <w:rFonts w:hint="eastAsia"/>
                <w:lang w:val="en-US" w:eastAsia="zh-CN"/>
              </w:rPr>
              <w:t>无组织</w:t>
            </w:r>
          </w:p>
        </w:tc>
        <w:tc>
          <w:tcPr>
            <w:tcW w:w="214" w:type="pct"/>
            <w:noWrap w:val="0"/>
            <w:vAlign w:val="center"/>
          </w:tcPr>
          <w:p w14:paraId="4F7E1DB0">
            <w:pPr>
              <w:pStyle w:val="53"/>
              <w:bidi w:val="0"/>
              <w:rPr>
                <w:rFonts w:hint="eastAsia" w:eastAsia="宋体"/>
                <w:lang w:val="en-US" w:eastAsia="zh-CN"/>
              </w:rPr>
            </w:pPr>
            <w:r>
              <w:rPr>
                <w:rFonts w:hint="eastAsia"/>
                <w:lang w:val="en-US" w:eastAsia="zh-CN"/>
              </w:rPr>
              <w:t>/</w:t>
            </w:r>
          </w:p>
        </w:tc>
        <w:tc>
          <w:tcPr>
            <w:tcW w:w="272" w:type="pct"/>
            <w:noWrap w:val="0"/>
            <w:vAlign w:val="center"/>
          </w:tcPr>
          <w:p w14:paraId="0C2AD472">
            <w:pPr>
              <w:pStyle w:val="53"/>
              <w:bidi w:val="0"/>
              <w:rPr>
                <w:rFonts w:hint="eastAsia" w:eastAsia="宋体"/>
                <w:lang w:val="en-US" w:eastAsia="zh-CN"/>
              </w:rPr>
            </w:pPr>
            <w:r>
              <w:rPr>
                <w:rFonts w:hint="eastAsia"/>
                <w:lang w:val="en-US" w:eastAsia="zh-CN"/>
              </w:rPr>
              <w:t>/</w:t>
            </w:r>
          </w:p>
        </w:tc>
        <w:tc>
          <w:tcPr>
            <w:tcW w:w="192" w:type="pct"/>
            <w:noWrap w:val="0"/>
            <w:vAlign w:val="center"/>
          </w:tcPr>
          <w:p w14:paraId="20601BF6">
            <w:pPr>
              <w:pStyle w:val="53"/>
              <w:bidi w:val="0"/>
              <w:rPr>
                <w:rFonts w:hint="eastAsia" w:eastAsia="宋体"/>
                <w:lang w:val="en-US" w:eastAsia="zh-CN"/>
              </w:rPr>
            </w:pPr>
            <w:r>
              <w:rPr>
                <w:rFonts w:hint="eastAsia"/>
                <w:lang w:val="en-US" w:eastAsia="zh-CN"/>
              </w:rPr>
              <w:t>/</w:t>
            </w:r>
          </w:p>
        </w:tc>
        <w:tc>
          <w:tcPr>
            <w:tcW w:w="852" w:type="pct"/>
            <w:noWrap w:val="0"/>
            <w:vAlign w:val="center"/>
          </w:tcPr>
          <w:p w14:paraId="2841C1DC">
            <w:pPr>
              <w:pStyle w:val="53"/>
              <w:bidi w:val="0"/>
              <w:jc w:val="center"/>
            </w:pPr>
            <w:r>
              <w:rPr>
                <w:rFonts w:hint="default"/>
              </w:rPr>
              <w:t>全封闭骨料仓、输送带+在装载机投料过程中使用雾炮机抑尘+厂区四周设置防风抑尘网</w:t>
            </w:r>
          </w:p>
        </w:tc>
        <w:tc>
          <w:tcPr>
            <w:tcW w:w="274" w:type="pct"/>
            <w:noWrap w:val="0"/>
            <w:vAlign w:val="center"/>
          </w:tcPr>
          <w:p w14:paraId="44C6B99C">
            <w:pPr>
              <w:pStyle w:val="53"/>
              <w:bidi w:val="0"/>
              <w:rPr>
                <w:rFonts w:hint="default" w:eastAsia="宋体"/>
                <w:lang w:val="en-US" w:eastAsia="zh-CN"/>
              </w:rPr>
            </w:pPr>
            <w:r>
              <w:rPr>
                <w:rFonts w:hint="eastAsia"/>
                <w:lang w:val="en-US" w:eastAsia="zh-CN"/>
              </w:rPr>
              <w:t>85%</w:t>
            </w:r>
          </w:p>
        </w:tc>
        <w:tc>
          <w:tcPr>
            <w:tcW w:w="276" w:type="pct"/>
            <w:noWrap w:val="0"/>
            <w:vAlign w:val="center"/>
          </w:tcPr>
          <w:p w14:paraId="52574F54">
            <w:pPr>
              <w:pStyle w:val="53"/>
              <w:bidi w:val="0"/>
              <w:rPr>
                <w:rFonts w:hint="default"/>
                <w:lang w:val="en-US" w:eastAsia="zh-CN"/>
              </w:rPr>
            </w:pPr>
            <w:r>
              <w:rPr>
                <w:rFonts w:hint="eastAsia"/>
                <w:lang w:val="en-US" w:eastAsia="zh-CN"/>
              </w:rPr>
              <w:t>0.24</w:t>
            </w:r>
          </w:p>
        </w:tc>
        <w:tc>
          <w:tcPr>
            <w:tcW w:w="266" w:type="pct"/>
            <w:noWrap w:val="0"/>
            <w:vAlign w:val="center"/>
          </w:tcPr>
          <w:p w14:paraId="252829AC">
            <w:pPr>
              <w:pStyle w:val="53"/>
              <w:bidi w:val="0"/>
              <w:rPr>
                <w:rFonts w:hint="default"/>
                <w:lang w:val="en-US" w:eastAsia="zh-CN"/>
              </w:rPr>
            </w:pPr>
            <w:r>
              <w:rPr>
                <w:rFonts w:hint="eastAsia"/>
                <w:lang w:val="en-US" w:eastAsia="zh-CN"/>
              </w:rPr>
              <w:t>0.14</w:t>
            </w:r>
          </w:p>
        </w:tc>
        <w:tc>
          <w:tcPr>
            <w:tcW w:w="292" w:type="pct"/>
            <w:noWrap w:val="0"/>
            <w:vAlign w:val="center"/>
          </w:tcPr>
          <w:p w14:paraId="79CD98B6">
            <w:pPr>
              <w:pStyle w:val="53"/>
              <w:bidi w:val="0"/>
              <w:rPr>
                <w:rFonts w:hint="default"/>
                <w:lang w:val="en-US" w:eastAsia="zh-CN"/>
              </w:rPr>
            </w:pPr>
            <w:r>
              <w:rPr>
                <w:rFonts w:hint="eastAsia"/>
                <w:lang w:val="en-US" w:eastAsia="zh-CN"/>
              </w:rPr>
              <w:t>/</w:t>
            </w:r>
          </w:p>
        </w:tc>
        <w:tc>
          <w:tcPr>
            <w:tcW w:w="293" w:type="pct"/>
            <w:vMerge w:val="continue"/>
            <w:noWrap w:val="0"/>
            <w:vAlign w:val="center"/>
          </w:tcPr>
          <w:p w14:paraId="38AE7A0A">
            <w:pPr>
              <w:pStyle w:val="53"/>
              <w:bidi w:val="0"/>
            </w:pPr>
          </w:p>
        </w:tc>
      </w:tr>
      <w:tr w14:paraId="79E191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0" w:type="pct"/>
            <w:noWrap/>
            <w:vAlign w:val="center"/>
          </w:tcPr>
          <w:p w14:paraId="079B7E62">
            <w:pPr>
              <w:pStyle w:val="53"/>
              <w:bidi w:val="0"/>
              <w:rPr>
                <w:rFonts w:hint="default" w:eastAsia="宋体"/>
                <w:lang w:val="en-US" w:eastAsia="zh-CN"/>
              </w:rPr>
            </w:pPr>
            <w:r>
              <w:rPr>
                <w:rFonts w:hint="eastAsia"/>
                <w:lang w:val="en-US" w:eastAsia="zh-CN"/>
              </w:rPr>
              <w:t>G</w:t>
            </w:r>
            <w:r>
              <w:rPr>
                <w:rFonts w:hint="eastAsia"/>
                <w:vertAlign w:val="subscript"/>
                <w:lang w:val="en-US" w:eastAsia="zh-CN"/>
              </w:rPr>
              <w:t>4</w:t>
            </w:r>
          </w:p>
        </w:tc>
        <w:tc>
          <w:tcPr>
            <w:tcW w:w="389" w:type="pct"/>
            <w:noWrap w:val="0"/>
            <w:vAlign w:val="center"/>
          </w:tcPr>
          <w:p w14:paraId="3BA9D90D">
            <w:pPr>
              <w:pStyle w:val="53"/>
              <w:bidi w:val="0"/>
              <w:rPr>
                <w:rFonts w:hint="default" w:eastAsia="宋体"/>
                <w:lang w:val="en-US" w:eastAsia="zh-CN"/>
              </w:rPr>
            </w:pPr>
            <w:r>
              <w:rPr>
                <w:rFonts w:hint="eastAsia"/>
                <w:lang w:val="en-US" w:eastAsia="zh-CN"/>
              </w:rPr>
              <w:t>运输扬尘</w:t>
            </w:r>
          </w:p>
        </w:tc>
        <w:tc>
          <w:tcPr>
            <w:tcW w:w="252" w:type="pct"/>
            <w:noWrap w:val="0"/>
            <w:vAlign w:val="center"/>
          </w:tcPr>
          <w:p w14:paraId="2AC7C4B7">
            <w:pPr>
              <w:pStyle w:val="53"/>
              <w:bidi w:val="0"/>
              <w:rPr>
                <w:rFonts w:hint="eastAsia" w:eastAsia="宋体"/>
                <w:lang w:val="en-US" w:eastAsia="zh-CN"/>
              </w:rPr>
            </w:pPr>
            <w:r>
              <w:rPr>
                <w:rFonts w:hint="eastAsia"/>
                <w:lang w:val="en-US" w:eastAsia="zh-CN"/>
              </w:rPr>
              <w:t>颗粒物</w:t>
            </w:r>
          </w:p>
        </w:tc>
        <w:tc>
          <w:tcPr>
            <w:tcW w:w="292" w:type="pct"/>
            <w:noWrap w:val="0"/>
            <w:vAlign w:val="center"/>
          </w:tcPr>
          <w:p w14:paraId="24EEB8FE">
            <w:pPr>
              <w:pStyle w:val="53"/>
              <w:bidi w:val="0"/>
              <w:rPr>
                <w:rFonts w:hint="default" w:eastAsia="宋体"/>
                <w:lang w:val="en-US" w:eastAsia="zh-CN"/>
              </w:rPr>
            </w:pPr>
            <w:r>
              <w:rPr>
                <w:rFonts w:hint="default" w:eastAsia="宋体"/>
                <w:lang w:val="en-US" w:eastAsia="zh-CN"/>
              </w:rPr>
              <w:t>4.21</w:t>
            </w:r>
          </w:p>
        </w:tc>
        <w:tc>
          <w:tcPr>
            <w:tcW w:w="295" w:type="pct"/>
            <w:noWrap w:val="0"/>
            <w:vAlign w:val="center"/>
          </w:tcPr>
          <w:p w14:paraId="09374E2B">
            <w:pPr>
              <w:pStyle w:val="53"/>
              <w:bidi w:val="0"/>
              <w:rPr>
                <w:rFonts w:hint="default" w:eastAsia="宋体"/>
                <w:lang w:val="en-US" w:eastAsia="zh-CN"/>
              </w:rPr>
            </w:pPr>
            <w:r>
              <w:rPr>
                <w:rFonts w:hint="eastAsia"/>
                <w:lang w:val="en-US" w:eastAsia="zh-CN"/>
              </w:rPr>
              <w:t>2.51</w:t>
            </w:r>
          </w:p>
        </w:tc>
        <w:tc>
          <w:tcPr>
            <w:tcW w:w="294" w:type="pct"/>
            <w:noWrap w:val="0"/>
            <w:vAlign w:val="center"/>
          </w:tcPr>
          <w:p w14:paraId="13E2E2FB">
            <w:pPr>
              <w:pStyle w:val="53"/>
              <w:bidi w:val="0"/>
              <w:rPr>
                <w:rFonts w:hint="eastAsia"/>
                <w:lang w:val="en-US" w:eastAsia="zh-CN"/>
              </w:rPr>
            </w:pPr>
            <w:r>
              <w:rPr>
                <w:rFonts w:hint="eastAsia"/>
                <w:lang w:val="en-US" w:eastAsia="zh-CN"/>
              </w:rPr>
              <w:t>/</w:t>
            </w:r>
          </w:p>
        </w:tc>
        <w:tc>
          <w:tcPr>
            <w:tcW w:w="261" w:type="pct"/>
            <w:noWrap w:val="0"/>
            <w:vAlign w:val="center"/>
          </w:tcPr>
          <w:p w14:paraId="7B419700">
            <w:pPr>
              <w:pStyle w:val="53"/>
              <w:bidi w:val="0"/>
              <w:rPr>
                <w:rFonts w:hint="eastAsia" w:eastAsia="宋体"/>
                <w:lang w:val="en-US" w:eastAsia="zh-CN"/>
              </w:rPr>
            </w:pPr>
            <w:r>
              <w:rPr>
                <w:rFonts w:hint="eastAsia"/>
                <w:lang w:val="en-US" w:eastAsia="zh-CN"/>
              </w:rPr>
              <w:t>无组织</w:t>
            </w:r>
          </w:p>
        </w:tc>
        <w:tc>
          <w:tcPr>
            <w:tcW w:w="214" w:type="pct"/>
            <w:noWrap w:val="0"/>
            <w:vAlign w:val="center"/>
          </w:tcPr>
          <w:p w14:paraId="49CA54FC">
            <w:pPr>
              <w:pStyle w:val="53"/>
              <w:bidi w:val="0"/>
              <w:rPr>
                <w:rFonts w:hint="eastAsia" w:eastAsia="宋体"/>
                <w:lang w:val="en-US" w:eastAsia="zh-CN"/>
              </w:rPr>
            </w:pPr>
            <w:r>
              <w:rPr>
                <w:rFonts w:hint="eastAsia"/>
                <w:lang w:val="en-US" w:eastAsia="zh-CN"/>
              </w:rPr>
              <w:t>/</w:t>
            </w:r>
          </w:p>
        </w:tc>
        <w:tc>
          <w:tcPr>
            <w:tcW w:w="272" w:type="pct"/>
            <w:noWrap w:val="0"/>
            <w:vAlign w:val="center"/>
          </w:tcPr>
          <w:p w14:paraId="083BF4B7">
            <w:pPr>
              <w:pStyle w:val="53"/>
              <w:bidi w:val="0"/>
              <w:rPr>
                <w:rFonts w:hint="eastAsia" w:eastAsia="宋体"/>
                <w:lang w:val="en-US" w:eastAsia="zh-CN"/>
              </w:rPr>
            </w:pPr>
            <w:r>
              <w:rPr>
                <w:rFonts w:hint="eastAsia"/>
                <w:lang w:val="en-US" w:eastAsia="zh-CN"/>
              </w:rPr>
              <w:t>/</w:t>
            </w:r>
          </w:p>
        </w:tc>
        <w:tc>
          <w:tcPr>
            <w:tcW w:w="192" w:type="pct"/>
            <w:noWrap w:val="0"/>
            <w:vAlign w:val="center"/>
          </w:tcPr>
          <w:p w14:paraId="364817C5">
            <w:pPr>
              <w:pStyle w:val="53"/>
              <w:bidi w:val="0"/>
              <w:rPr>
                <w:rFonts w:hint="eastAsia" w:eastAsia="宋体"/>
                <w:lang w:val="en-US" w:eastAsia="zh-CN"/>
              </w:rPr>
            </w:pPr>
            <w:r>
              <w:rPr>
                <w:rFonts w:hint="eastAsia"/>
                <w:lang w:val="en-US" w:eastAsia="zh-CN"/>
              </w:rPr>
              <w:t>/</w:t>
            </w:r>
          </w:p>
        </w:tc>
        <w:tc>
          <w:tcPr>
            <w:tcW w:w="852" w:type="pct"/>
            <w:noWrap w:val="0"/>
            <w:vAlign w:val="center"/>
          </w:tcPr>
          <w:p w14:paraId="273013E5">
            <w:pPr>
              <w:pStyle w:val="53"/>
              <w:bidi w:val="0"/>
            </w:pPr>
            <w:r>
              <w:rPr>
                <w:rFonts w:hint="eastAsia"/>
                <w:lang w:val="en-US" w:eastAsia="zh-CN"/>
              </w:rPr>
              <w:t>洒水车</w:t>
            </w:r>
            <w:r>
              <w:rPr>
                <w:rFonts w:hint="eastAsia"/>
              </w:rPr>
              <w:t>洒水抑尘</w:t>
            </w:r>
            <w:r>
              <w:rPr>
                <w:rFonts w:hint="eastAsia"/>
                <w:lang w:val="en-US" w:eastAsia="zh-CN"/>
              </w:rPr>
              <w:t>+</w:t>
            </w:r>
            <w:r>
              <w:rPr>
                <w:rFonts w:hint="eastAsia"/>
              </w:rPr>
              <w:t>清洗运输车辆</w:t>
            </w:r>
            <w:r>
              <w:rPr>
                <w:rFonts w:hint="eastAsia"/>
                <w:lang w:val="en-US" w:eastAsia="zh-CN"/>
              </w:rPr>
              <w:t>+厂区四周设置防风抑尘网</w:t>
            </w:r>
          </w:p>
        </w:tc>
        <w:tc>
          <w:tcPr>
            <w:tcW w:w="274" w:type="pct"/>
            <w:noWrap w:val="0"/>
            <w:vAlign w:val="center"/>
          </w:tcPr>
          <w:p w14:paraId="063C97B4">
            <w:pPr>
              <w:pStyle w:val="53"/>
              <w:bidi w:val="0"/>
              <w:rPr>
                <w:rFonts w:hint="default" w:eastAsia="宋体"/>
                <w:lang w:val="en-US" w:eastAsia="zh-CN"/>
              </w:rPr>
            </w:pPr>
            <w:r>
              <w:rPr>
                <w:rFonts w:hint="eastAsia"/>
                <w:lang w:val="en-US" w:eastAsia="zh-CN"/>
              </w:rPr>
              <w:t>60%</w:t>
            </w:r>
          </w:p>
        </w:tc>
        <w:tc>
          <w:tcPr>
            <w:tcW w:w="276" w:type="pct"/>
            <w:noWrap w:val="0"/>
            <w:vAlign w:val="center"/>
          </w:tcPr>
          <w:p w14:paraId="1C578661">
            <w:pPr>
              <w:pStyle w:val="53"/>
              <w:bidi w:val="0"/>
              <w:rPr>
                <w:rFonts w:hint="default" w:eastAsia="宋体"/>
                <w:lang w:val="en-US" w:eastAsia="zh-CN"/>
              </w:rPr>
            </w:pPr>
            <w:r>
              <w:rPr>
                <w:rFonts w:hint="eastAsia"/>
                <w:lang w:val="en-US" w:eastAsia="zh-CN"/>
              </w:rPr>
              <w:t>1.68</w:t>
            </w:r>
          </w:p>
        </w:tc>
        <w:tc>
          <w:tcPr>
            <w:tcW w:w="266" w:type="pct"/>
            <w:noWrap w:val="0"/>
            <w:vAlign w:val="center"/>
          </w:tcPr>
          <w:p w14:paraId="7E8DCCC6">
            <w:pPr>
              <w:pStyle w:val="53"/>
              <w:bidi w:val="0"/>
              <w:rPr>
                <w:rFonts w:hint="default" w:eastAsia="宋体"/>
                <w:lang w:val="en-US" w:eastAsia="zh-CN"/>
              </w:rPr>
            </w:pPr>
            <w:r>
              <w:rPr>
                <w:rFonts w:hint="eastAsia"/>
                <w:lang w:val="en-US" w:eastAsia="zh-CN"/>
              </w:rPr>
              <w:t>1</w:t>
            </w:r>
          </w:p>
        </w:tc>
        <w:tc>
          <w:tcPr>
            <w:tcW w:w="292" w:type="pct"/>
            <w:noWrap w:val="0"/>
            <w:vAlign w:val="center"/>
          </w:tcPr>
          <w:p w14:paraId="079F80EB">
            <w:pPr>
              <w:pStyle w:val="53"/>
              <w:bidi w:val="0"/>
              <w:rPr>
                <w:rFonts w:hint="eastAsia"/>
                <w:lang w:val="en-US" w:eastAsia="zh-CN"/>
              </w:rPr>
            </w:pPr>
            <w:r>
              <w:rPr>
                <w:rFonts w:hint="eastAsia"/>
                <w:lang w:val="en-US" w:eastAsia="zh-CN"/>
              </w:rPr>
              <w:t>/</w:t>
            </w:r>
          </w:p>
        </w:tc>
        <w:tc>
          <w:tcPr>
            <w:tcW w:w="293" w:type="pct"/>
            <w:vMerge w:val="continue"/>
            <w:noWrap w:val="0"/>
            <w:vAlign w:val="center"/>
          </w:tcPr>
          <w:p w14:paraId="4A960FD9">
            <w:pPr>
              <w:pStyle w:val="53"/>
              <w:bidi w:val="0"/>
            </w:pPr>
          </w:p>
        </w:tc>
      </w:tr>
    </w:tbl>
    <w:p w14:paraId="3ACE0544">
      <w:pPr>
        <w:pStyle w:val="54"/>
        <w:bidi w:val="0"/>
        <w:ind w:left="0" w:leftChars="0" w:firstLine="0" w:firstLineChars="0"/>
        <w:rPr>
          <w:rFonts w:hint="eastAsia"/>
        </w:rPr>
        <w:sectPr>
          <w:pgSz w:w="16840" w:h="11907" w:orient="landscape"/>
          <w:pgMar w:top="1531" w:right="1701" w:bottom="1531" w:left="2127"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17"/>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91"/>
        <w:gridCol w:w="8690"/>
      </w:tblGrid>
      <w:tr w14:paraId="7EFD10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1" w:type="dxa"/>
            <w:noWrap w:val="0"/>
            <w:tcMar>
              <w:left w:w="28" w:type="dxa"/>
              <w:right w:w="28" w:type="dxa"/>
            </w:tcMar>
            <w:vAlign w:val="center"/>
          </w:tcPr>
          <w:p w14:paraId="3D26944B">
            <w:pPr>
              <w:adjustRightInd w:val="0"/>
              <w:snapToGrid w:val="0"/>
              <w:jc w:val="center"/>
              <w:rPr>
                <w:rFonts w:ascii="宋体" w:hAnsi="宋体" w:cs="宋体"/>
                <w:bCs/>
                <w:sz w:val="24"/>
                <w:szCs w:val="24"/>
              </w:rPr>
            </w:pPr>
            <w:r>
              <w:rPr>
                <w:rFonts w:hint="eastAsia" w:ascii="宋体" w:hAnsi="宋体" w:cs="宋体"/>
                <w:bCs/>
                <w:sz w:val="24"/>
                <w:szCs w:val="24"/>
              </w:rPr>
              <w:t>运营期环境影响和保护措施</w:t>
            </w:r>
          </w:p>
        </w:tc>
        <w:tc>
          <w:tcPr>
            <w:tcW w:w="8690" w:type="dxa"/>
            <w:noWrap w:val="0"/>
            <w:vAlign w:val="center"/>
          </w:tcPr>
          <w:p w14:paraId="7180B5F6">
            <w:pPr>
              <w:pStyle w:val="54"/>
              <w:bidi w:val="0"/>
              <w:rPr>
                <w:rFonts w:hint="default"/>
                <w:color w:val="auto"/>
                <w:lang w:val="en-US" w:eastAsia="zh-CN"/>
              </w:rPr>
            </w:pPr>
            <w:r>
              <w:rPr>
                <w:rFonts w:hint="eastAsia"/>
                <w:b/>
                <w:bCs/>
                <w:color w:val="auto"/>
                <w:lang w:val="en-US" w:eastAsia="zh-CN"/>
              </w:rPr>
              <w:t>1.2废气污染物防治措施</w:t>
            </w:r>
          </w:p>
          <w:p w14:paraId="20CC8AAA">
            <w:pPr>
              <w:pStyle w:val="54"/>
              <w:bidi w:val="0"/>
              <w:rPr>
                <w:rFonts w:hint="eastAsia"/>
                <w:lang w:val="en-US" w:eastAsia="zh-CN"/>
              </w:rPr>
            </w:pPr>
            <w:r>
              <w:rPr>
                <w:rFonts w:hint="eastAsia"/>
                <w:lang w:val="en-US" w:eastAsia="zh-CN"/>
              </w:rPr>
              <w:t>经查阅《排污许可证申请与核发技术规范 水泥工业》（HJ847-2017），其中没有水泥制品废气可行技术要求，因此，本项目废气防治措施可行性分析如下：</w:t>
            </w:r>
          </w:p>
          <w:p w14:paraId="08902A94">
            <w:pPr>
              <w:pStyle w:val="54"/>
              <w:bidi w:val="0"/>
              <w:rPr>
                <w:rFonts w:hint="eastAsia"/>
                <w:lang w:val="en-US" w:eastAsia="zh-CN"/>
              </w:rPr>
            </w:pPr>
            <w:r>
              <w:rPr>
                <w:rFonts w:hint="eastAsia"/>
                <w:lang w:val="en-US" w:eastAsia="zh-CN"/>
              </w:rPr>
              <w:t>1）水泥筒仓废气防治措施及可行性分析</w:t>
            </w:r>
          </w:p>
          <w:p w14:paraId="7CF7FB7C">
            <w:pPr>
              <w:pStyle w:val="54"/>
              <w:bidi w:val="0"/>
              <w:rPr>
                <w:rFonts w:hint="eastAsia"/>
                <w:lang w:val="en-US" w:eastAsia="zh-CN"/>
              </w:rPr>
            </w:pPr>
            <w:r>
              <w:rPr>
                <w:rFonts w:hint="eastAsia"/>
                <w:lang w:val="en-US" w:eastAsia="zh-CN"/>
              </w:rPr>
              <w:t>本项目水泥筒仓均设置仓顶除尘器，颗粒物经仓顶除尘器处理后排放。</w:t>
            </w:r>
          </w:p>
          <w:p w14:paraId="59844857">
            <w:pPr>
              <w:pStyle w:val="54"/>
              <w:bidi w:val="0"/>
              <w:rPr>
                <w:rFonts w:hint="eastAsia"/>
                <w:lang w:val="en-US" w:eastAsia="zh-CN"/>
              </w:rPr>
            </w:pPr>
            <w:r>
              <w:rPr>
                <w:rFonts w:hint="eastAsia"/>
                <w:lang w:val="en-US" w:eastAsia="zh-CN"/>
              </w:rPr>
              <w:t>仓顶式除尘器简介：</w:t>
            </w:r>
          </w:p>
          <w:p w14:paraId="729B4362">
            <w:pPr>
              <w:pStyle w:val="54"/>
              <w:bidi w:val="0"/>
              <w:rPr>
                <w:rFonts w:hint="eastAsia"/>
                <w:lang w:val="en-US" w:eastAsia="zh-CN"/>
              </w:rPr>
            </w:pPr>
            <w:r>
              <w:rPr>
                <w:rFonts w:hint="eastAsia"/>
                <w:lang w:val="en-US" w:eastAsia="zh-CN"/>
              </w:rPr>
              <w:t>仓顶除尘器是一种用在料仓中的除尘设备。这种除尘器主要应用于采矿、冶金、建材、机械、化工、粮食加工等工矿企业。并广泛用于过滤气体中细小的，非纤维性的干燥粉尘或在工艺流程中回收干燥粉料的一种除尘设备。通过除尘滤芯将料仓内漂浮的粉尘颗粒隔离开，并将干净的空气排放到大气中，以此来保护环境。为了防止滤芯被粉尘颗粒堵塞，清灰装置将附着在除尘滤芯上的粉尘自动清理下来。仓顶除尘器的滤尘是通过滤袋进行的，当含尘空气通过时，即可有效的使用固相与气相分离开来，所含微粒触及滤袋外壁绒毛而发生旋转，由于碰撞筛滤作用、使气流中的微粒吸附在滤袋上或沉降下来，净化后的空气即可排出，为了清除附着和沉入滤袋的灰尘，在每班通风机停止运行时（每隔约2-4小时）顺序振动三组滤袋，每次振动20下左右。</w:t>
            </w:r>
          </w:p>
          <w:p w14:paraId="7AE2C7CE">
            <w:pPr>
              <w:pStyle w:val="54"/>
              <w:bidi w:val="0"/>
              <w:rPr>
                <w:rFonts w:hint="eastAsia"/>
                <w:lang w:val="en-US" w:eastAsia="zh-CN"/>
              </w:rPr>
            </w:pPr>
            <w:r>
              <w:rPr>
                <w:rFonts w:hint="eastAsia"/>
                <w:lang w:val="en-US" w:eastAsia="zh-CN"/>
              </w:rPr>
              <w:t>根据《排放源统计调查产排污核算方法和系数手册》（公告2021年第24号）--3021水泥制品制造（含3022砼结构构件制造、3029其他水泥类似制品制造）行业系数手册，末端治理技术为袋式除尘，本项目水泥筒仓废气经仓顶除尘器处理后，粉尘排放满足《水泥工业大气污染物排放标准》（GB4915-2013）表3大气污染物无组织排放限值，治理措施可行。</w:t>
            </w:r>
          </w:p>
          <w:p w14:paraId="74D8D4A1">
            <w:pPr>
              <w:pStyle w:val="54"/>
              <w:bidi w:val="0"/>
              <w:rPr>
                <w:rFonts w:hint="eastAsia"/>
                <w:color w:val="auto"/>
                <w:lang w:val="en-US" w:eastAsia="zh-CN"/>
              </w:rPr>
            </w:pPr>
            <w:r>
              <w:rPr>
                <w:rFonts w:hint="eastAsia"/>
                <w:lang w:val="en-US" w:eastAsia="zh-CN"/>
              </w:rPr>
              <w:t>2）其他无组织废气防治措施及可行性分析</w:t>
            </w:r>
          </w:p>
          <w:p w14:paraId="6C44D537">
            <w:pPr>
              <w:pStyle w:val="54"/>
              <w:bidi w:val="0"/>
              <w:rPr>
                <w:rFonts w:hint="eastAsia"/>
                <w:color w:val="auto"/>
                <w:lang w:val="en-US" w:eastAsia="zh-CN"/>
              </w:rPr>
            </w:pPr>
            <w:r>
              <w:rPr>
                <w:rFonts w:hint="eastAsia"/>
                <w:color w:val="auto"/>
                <w:lang w:val="en-US" w:eastAsia="zh-CN"/>
              </w:rPr>
              <w:t>根据《排污许可证申请与核发技术规范 总则》（HJ942-2018）6.2.1.2，“无组织排放的运行管理按照国家和地方污染物排放标准要求执行”。本项目无组织大气污染物排放执行《水泥工业大气污染物排放标准》（GB4915-2013），根据无组织排放标准要求，“水泥工业企业的处理、输送、装卸、储存过程应当封闭，对块石、粘石物料、浆料以及船装卸过程也可采取其他有效抑尘措施。”本项目砂石料堆放在密闭骨料仓内，装卸也在密闭骨料仓进行，厂区四周设置防风抑尘网，符合标准要求。砂石原料利用装载机运至计量斗，输送带两侧和上部为全封闭结构，骨料仓内设置2台雾炮机，符合标准要求。</w:t>
            </w:r>
          </w:p>
          <w:p w14:paraId="6D2D03E1">
            <w:pPr>
              <w:pStyle w:val="54"/>
              <w:bidi w:val="0"/>
              <w:rPr>
                <w:rFonts w:hint="default"/>
                <w:lang w:val="en-US" w:eastAsia="zh-CN"/>
              </w:rPr>
            </w:pPr>
            <w:r>
              <w:rPr>
                <w:rFonts w:hint="eastAsia"/>
                <w:b/>
                <w:bCs/>
                <w:lang w:val="en-US" w:eastAsia="zh-CN"/>
              </w:rPr>
              <w:t>1.3非正常工况</w:t>
            </w:r>
          </w:p>
          <w:p w14:paraId="3B44923B">
            <w:pPr>
              <w:pStyle w:val="54"/>
              <w:bidi w:val="0"/>
              <w:rPr>
                <w:rFonts w:hint="default" w:ascii="Times New Roman" w:hAnsi="Times New Roman" w:cs="Times New Roman"/>
                <w:szCs w:val="24"/>
              </w:rPr>
            </w:pPr>
            <w:r>
              <w:rPr>
                <w:rFonts w:hint="default"/>
              </w:rPr>
              <w:t>本项目非正常工况为</w:t>
            </w:r>
            <w:r>
              <w:rPr>
                <w:rFonts w:hint="default"/>
                <w:lang w:val="en-US" w:eastAsia="zh-CN"/>
              </w:rPr>
              <w:t>环保措施</w:t>
            </w:r>
            <w:r>
              <w:rPr>
                <w:rFonts w:hint="default"/>
              </w:rPr>
              <w:t>发生故障，导致去除效率为0，废气直接排放。</w:t>
            </w:r>
          </w:p>
          <w:p w14:paraId="2FDC6891">
            <w:pPr>
              <w:pStyle w:val="33"/>
              <w:bidi w:val="0"/>
              <w:rPr>
                <w:b/>
                <w:bCs/>
              </w:rPr>
            </w:pPr>
            <w:r>
              <w:rPr>
                <w:rFonts w:hint="default"/>
              </w:rPr>
              <w:t>表</w:t>
            </w:r>
            <w:r>
              <w:rPr>
                <w:rFonts w:hint="eastAsia"/>
                <w:lang w:val="en-US" w:eastAsia="zh-CN"/>
              </w:rPr>
              <w:t xml:space="preserve">29    </w:t>
            </w:r>
            <w:r>
              <w:rPr>
                <w:rFonts w:hint="default"/>
              </w:rPr>
              <w:t>非正常工况排放情况</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4"/>
              <w:gridCol w:w="865"/>
              <w:gridCol w:w="669"/>
              <w:gridCol w:w="681"/>
              <w:gridCol w:w="669"/>
              <w:gridCol w:w="854"/>
              <w:gridCol w:w="3879"/>
            </w:tblGrid>
            <w:tr w14:paraId="04096D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4" w:type="pct"/>
                  <w:tcBorders>
                    <w:tl2br w:val="nil"/>
                    <w:tr2bl w:val="nil"/>
                  </w:tcBorders>
                  <w:noWrap w:val="0"/>
                  <w:vAlign w:val="center"/>
                </w:tcPr>
                <w:p w14:paraId="15A66803">
                  <w:pPr>
                    <w:pStyle w:val="53"/>
                    <w:bidi w:val="0"/>
                    <w:rPr>
                      <w:rFonts w:hint="default"/>
                    </w:rPr>
                  </w:pPr>
                  <w:r>
                    <w:rPr>
                      <w:rFonts w:hint="default"/>
                    </w:rPr>
                    <w:t>非正常情况类型</w:t>
                  </w:r>
                </w:p>
              </w:tc>
              <w:tc>
                <w:tcPr>
                  <w:tcW w:w="510" w:type="pct"/>
                  <w:tcBorders>
                    <w:tl2br w:val="nil"/>
                    <w:tr2bl w:val="nil"/>
                  </w:tcBorders>
                  <w:noWrap w:val="0"/>
                  <w:vAlign w:val="center"/>
                </w:tcPr>
                <w:p w14:paraId="63BF8F7E">
                  <w:pPr>
                    <w:pStyle w:val="53"/>
                    <w:bidi w:val="0"/>
                    <w:rPr>
                      <w:rFonts w:hint="default"/>
                    </w:rPr>
                  </w:pPr>
                  <w:r>
                    <w:rPr>
                      <w:rFonts w:hint="default"/>
                    </w:rPr>
                    <w:t>排放源</w:t>
                  </w:r>
                </w:p>
              </w:tc>
              <w:tc>
                <w:tcPr>
                  <w:tcW w:w="394" w:type="pct"/>
                  <w:tcBorders>
                    <w:tl2br w:val="nil"/>
                    <w:tr2bl w:val="nil"/>
                  </w:tcBorders>
                  <w:noWrap w:val="0"/>
                  <w:vAlign w:val="center"/>
                </w:tcPr>
                <w:p w14:paraId="1105784E">
                  <w:pPr>
                    <w:pStyle w:val="53"/>
                    <w:bidi w:val="0"/>
                    <w:rPr>
                      <w:rFonts w:hint="default"/>
                    </w:rPr>
                  </w:pPr>
                  <w:r>
                    <w:rPr>
                      <w:rFonts w:hint="default"/>
                    </w:rPr>
                    <w:t>污染物</w:t>
                  </w:r>
                </w:p>
              </w:tc>
              <w:tc>
                <w:tcPr>
                  <w:tcW w:w="401" w:type="pct"/>
                  <w:tcBorders>
                    <w:tl2br w:val="nil"/>
                    <w:tr2bl w:val="nil"/>
                  </w:tcBorders>
                  <w:noWrap w:val="0"/>
                  <w:vAlign w:val="center"/>
                </w:tcPr>
                <w:p w14:paraId="244ED1F1">
                  <w:pPr>
                    <w:pStyle w:val="53"/>
                    <w:bidi w:val="0"/>
                    <w:rPr>
                      <w:rFonts w:hint="default"/>
                    </w:rPr>
                  </w:pPr>
                  <w:r>
                    <w:rPr>
                      <w:rFonts w:hint="default"/>
                    </w:rPr>
                    <w:t>频次</w:t>
                  </w:r>
                </w:p>
              </w:tc>
              <w:tc>
                <w:tcPr>
                  <w:tcW w:w="394" w:type="pct"/>
                  <w:tcBorders>
                    <w:tl2br w:val="nil"/>
                    <w:tr2bl w:val="nil"/>
                  </w:tcBorders>
                  <w:noWrap w:val="0"/>
                  <w:vAlign w:val="center"/>
                </w:tcPr>
                <w:p w14:paraId="670EA098">
                  <w:pPr>
                    <w:pStyle w:val="53"/>
                    <w:bidi w:val="0"/>
                    <w:rPr>
                      <w:rFonts w:hint="default"/>
                    </w:rPr>
                  </w:pPr>
                  <w:r>
                    <w:rPr>
                      <w:rFonts w:hint="default"/>
                    </w:rPr>
                    <w:t>持续时间</w:t>
                  </w:r>
                </w:p>
              </w:tc>
              <w:tc>
                <w:tcPr>
                  <w:tcW w:w="504" w:type="pct"/>
                  <w:tcBorders>
                    <w:tl2br w:val="nil"/>
                    <w:tr2bl w:val="nil"/>
                  </w:tcBorders>
                  <w:noWrap w:val="0"/>
                  <w:vAlign w:val="center"/>
                </w:tcPr>
                <w:p w14:paraId="26A71448">
                  <w:pPr>
                    <w:pStyle w:val="53"/>
                    <w:bidi w:val="0"/>
                    <w:rPr>
                      <w:rFonts w:hint="eastAsia" w:eastAsia="宋体"/>
                      <w:lang w:eastAsia="zh-CN"/>
                    </w:rPr>
                  </w:pPr>
                  <w:r>
                    <w:rPr>
                      <w:rFonts w:hint="default"/>
                    </w:rPr>
                    <w:t>排放量</w:t>
                  </w:r>
                  <w:r>
                    <w:rPr>
                      <w:rFonts w:hint="eastAsia"/>
                      <w:lang w:val="en-US" w:eastAsia="zh-CN"/>
                    </w:rPr>
                    <w:t>kg</w:t>
                  </w:r>
                  <w:r>
                    <w:rPr>
                      <w:rFonts w:hint="default"/>
                    </w:rPr>
                    <w:t>/</w:t>
                  </w:r>
                  <w:r>
                    <w:rPr>
                      <w:rFonts w:hint="eastAsia"/>
                      <w:lang w:val="en-US" w:eastAsia="zh-CN"/>
                    </w:rPr>
                    <w:t>h</w:t>
                  </w:r>
                </w:p>
              </w:tc>
              <w:tc>
                <w:tcPr>
                  <w:tcW w:w="2289" w:type="pct"/>
                  <w:tcBorders>
                    <w:tl2br w:val="nil"/>
                    <w:tr2bl w:val="nil"/>
                  </w:tcBorders>
                  <w:noWrap w:val="0"/>
                  <w:vAlign w:val="center"/>
                </w:tcPr>
                <w:p w14:paraId="108812A0">
                  <w:pPr>
                    <w:pStyle w:val="53"/>
                    <w:bidi w:val="0"/>
                    <w:rPr>
                      <w:rFonts w:hint="default"/>
                    </w:rPr>
                  </w:pPr>
                  <w:r>
                    <w:rPr>
                      <w:rFonts w:hint="default"/>
                    </w:rPr>
                    <w:t>措施</w:t>
                  </w:r>
                </w:p>
              </w:tc>
            </w:tr>
            <w:tr w14:paraId="2CC641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5" w:hRule="atLeast"/>
                <w:jc w:val="center"/>
              </w:trPr>
              <w:tc>
                <w:tcPr>
                  <w:tcW w:w="504" w:type="pct"/>
                  <w:vMerge w:val="restart"/>
                  <w:tcBorders>
                    <w:tl2br w:val="nil"/>
                    <w:tr2bl w:val="nil"/>
                  </w:tcBorders>
                  <w:noWrap w:val="0"/>
                  <w:vAlign w:val="center"/>
                </w:tcPr>
                <w:p w14:paraId="54565690">
                  <w:pPr>
                    <w:pStyle w:val="53"/>
                    <w:bidi w:val="0"/>
                    <w:rPr>
                      <w:rFonts w:hint="default" w:eastAsia="宋体"/>
                      <w:lang w:val="en-US" w:eastAsia="zh-CN"/>
                    </w:rPr>
                  </w:pPr>
                  <w:r>
                    <w:rPr>
                      <w:rFonts w:hint="eastAsia"/>
                      <w:lang w:val="en-US" w:eastAsia="zh-CN"/>
                    </w:rPr>
                    <w:t>废气处理系统异常</w:t>
                  </w:r>
                </w:p>
              </w:tc>
              <w:tc>
                <w:tcPr>
                  <w:tcW w:w="510" w:type="pct"/>
                  <w:tcBorders>
                    <w:tl2br w:val="nil"/>
                    <w:tr2bl w:val="nil"/>
                  </w:tcBorders>
                  <w:noWrap w:val="0"/>
                  <w:vAlign w:val="center"/>
                </w:tcPr>
                <w:p w14:paraId="3C2B1B10">
                  <w:pPr>
                    <w:pStyle w:val="53"/>
                    <w:bidi w:val="0"/>
                    <w:rPr>
                      <w:rFonts w:hint="eastAsia" w:eastAsia="宋体"/>
                      <w:lang w:val="en-US" w:eastAsia="zh-CN"/>
                    </w:rPr>
                  </w:pPr>
                  <w:r>
                    <w:rPr>
                      <w:rFonts w:hint="eastAsia"/>
                      <w:lang w:val="en-US" w:eastAsia="zh-CN"/>
                    </w:rPr>
                    <w:t>1#水泥筒仓</w:t>
                  </w:r>
                </w:p>
              </w:tc>
              <w:tc>
                <w:tcPr>
                  <w:tcW w:w="394" w:type="pct"/>
                  <w:tcBorders>
                    <w:tl2br w:val="nil"/>
                    <w:tr2bl w:val="nil"/>
                  </w:tcBorders>
                  <w:noWrap w:val="0"/>
                  <w:vAlign w:val="center"/>
                </w:tcPr>
                <w:p w14:paraId="44FEAFDF">
                  <w:pPr>
                    <w:pStyle w:val="53"/>
                    <w:bidi w:val="0"/>
                    <w:rPr>
                      <w:rFonts w:hint="eastAsia" w:eastAsia="宋体"/>
                      <w:lang w:val="en-US" w:eastAsia="zh-CN"/>
                    </w:rPr>
                  </w:pPr>
                  <w:r>
                    <w:rPr>
                      <w:rFonts w:hint="eastAsia"/>
                      <w:lang w:val="en-US" w:eastAsia="zh-CN"/>
                    </w:rPr>
                    <w:t>颗粒物</w:t>
                  </w:r>
                </w:p>
              </w:tc>
              <w:tc>
                <w:tcPr>
                  <w:tcW w:w="401" w:type="pct"/>
                  <w:tcBorders>
                    <w:tl2br w:val="nil"/>
                    <w:tr2bl w:val="nil"/>
                  </w:tcBorders>
                  <w:noWrap w:val="0"/>
                  <w:vAlign w:val="center"/>
                </w:tcPr>
                <w:p w14:paraId="2EB496E7">
                  <w:pPr>
                    <w:pStyle w:val="53"/>
                    <w:bidi w:val="0"/>
                    <w:rPr>
                      <w:rFonts w:hint="default" w:eastAsia="宋体"/>
                      <w:lang w:val="en-US" w:eastAsia="zh-CN"/>
                    </w:rPr>
                  </w:pPr>
                  <w:r>
                    <w:rPr>
                      <w:rFonts w:hint="eastAsia"/>
                      <w:lang w:val="en-US" w:eastAsia="zh-CN"/>
                    </w:rPr>
                    <w:t>1次/年</w:t>
                  </w:r>
                </w:p>
              </w:tc>
              <w:tc>
                <w:tcPr>
                  <w:tcW w:w="394" w:type="pct"/>
                  <w:tcBorders>
                    <w:tl2br w:val="nil"/>
                    <w:tr2bl w:val="nil"/>
                  </w:tcBorders>
                  <w:noWrap w:val="0"/>
                  <w:vAlign w:val="center"/>
                </w:tcPr>
                <w:p w14:paraId="28467F0B">
                  <w:pPr>
                    <w:pStyle w:val="53"/>
                    <w:bidi w:val="0"/>
                    <w:rPr>
                      <w:rFonts w:hint="default" w:eastAsia="宋体"/>
                      <w:lang w:val="en-US" w:eastAsia="zh-CN"/>
                    </w:rPr>
                  </w:pPr>
                  <w:r>
                    <w:rPr>
                      <w:rFonts w:hint="eastAsia"/>
                      <w:lang w:val="en-US" w:eastAsia="zh-CN"/>
                    </w:rPr>
                    <w:t>1h</w:t>
                  </w:r>
                </w:p>
              </w:tc>
              <w:tc>
                <w:tcPr>
                  <w:tcW w:w="504" w:type="pct"/>
                  <w:tcBorders>
                    <w:tl2br w:val="nil"/>
                    <w:tr2bl w:val="nil"/>
                  </w:tcBorders>
                  <w:noWrap w:val="0"/>
                  <w:vAlign w:val="center"/>
                </w:tcPr>
                <w:p w14:paraId="340D3475">
                  <w:pPr>
                    <w:pStyle w:val="53"/>
                    <w:bidi w:val="0"/>
                    <w:rPr>
                      <w:rFonts w:hint="default" w:eastAsia="宋体"/>
                      <w:lang w:val="en-US" w:eastAsia="zh-CN"/>
                    </w:rPr>
                  </w:pPr>
                  <w:r>
                    <w:rPr>
                      <w:rFonts w:hint="eastAsia"/>
                      <w:lang w:val="en-US" w:eastAsia="zh-CN"/>
                    </w:rPr>
                    <w:t>3.14</w:t>
                  </w:r>
                </w:p>
              </w:tc>
              <w:tc>
                <w:tcPr>
                  <w:tcW w:w="2289" w:type="pct"/>
                  <w:vMerge w:val="restart"/>
                  <w:tcBorders>
                    <w:tl2br w:val="nil"/>
                    <w:tr2bl w:val="nil"/>
                  </w:tcBorders>
                  <w:noWrap w:val="0"/>
                  <w:vAlign w:val="center"/>
                </w:tcPr>
                <w:p w14:paraId="37C05BC4">
                  <w:pPr>
                    <w:pStyle w:val="53"/>
                    <w:bidi w:val="0"/>
                    <w:jc w:val="both"/>
                    <w:rPr>
                      <w:rFonts w:hint="default"/>
                    </w:rPr>
                  </w:pPr>
                  <w:r>
                    <w:rPr>
                      <w:rFonts w:hint="default"/>
                    </w:rPr>
                    <w:t>定期对设备进行维修和保养，确保废气处理系统在正常工况下运行；为避免非正常工况的发生，要在非工作时间段相关设施进行彻底检修，力争将非正常工况污染物排放量降低到最低限度，从而把非正常工况污染物对环境产生的影响控制到最小。</w:t>
                  </w:r>
                </w:p>
              </w:tc>
            </w:tr>
            <w:tr w14:paraId="494E4B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4" w:type="pct"/>
                  <w:vMerge w:val="continue"/>
                  <w:tcBorders>
                    <w:tl2br w:val="nil"/>
                    <w:tr2bl w:val="nil"/>
                  </w:tcBorders>
                  <w:noWrap w:val="0"/>
                  <w:vAlign w:val="center"/>
                </w:tcPr>
                <w:p w14:paraId="2594C3EB">
                  <w:pPr>
                    <w:pStyle w:val="53"/>
                    <w:bidi w:val="0"/>
                    <w:rPr>
                      <w:rFonts w:hint="default" w:eastAsia="宋体"/>
                      <w:lang w:val="en-US" w:eastAsia="zh-CN"/>
                    </w:rPr>
                  </w:pPr>
                </w:p>
              </w:tc>
              <w:tc>
                <w:tcPr>
                  <w:tcW w:w="510" w:type="pct"/>
                  <w:tcBorders>
                    <w:tl2br w:val="nil"/>
                    <w:tr2bl w:val="nil"/>
                  </w:tcBorders>
                  <w:noWrap w:val="0"/>
                  <w:vAlign w:val="center"/>
                </w:tcPr>
                <w:p w14:paraId="7058EA16">
                  <w:pPr>
                    <w:pStyle w:val="53"/>
                    <w:bidi w:val="0"/>
                    <w:ind w:firstLine="0" w:firstLineChars="0"/>
                    <w:rPr>
                      <w:rFonts w:hint="default"/>
                    </w:rPr>
                  </w:pPr>
                  <w:r>
                    <w:rPr>
                      <w:rFonts w:hint="eastAsia"/>
                      <w:lang w:val="en-US" w:eastAsia="zh-CN"/>
                    </w:rPr>
                    <w:t>1#水泥筒仓</w:t>
                  </w:r>
                </w:p>
              </w:tc>
              <w:tc>
                <w:tcPr>
                  <w:tcW w:w="394" w:type="pct"/>
                  <w:tcBorders>
                    <w:tl2br w:val="nil"/>
                    <w:tr2bl w:val="nil"/>
                  </w:tcBorders>
                  <w:noWrap w:val="0"/>
                  <w:vAlign w:val="center"/>
                </w:tcPr>
                <w:p w14:paraId="7708F23A">
                  <w:pPr>
                    <w:pStyle w:val="53"/>
                    <w:bidi w:val="0"/>
                    <w:ind w:firstLine="0" w:firstLineChars="0"/>
                    <w:rPr>
                      <w:rFonts w:hint="default"/>
                      <w:lang w:val="en-US" w:eastAsia="zh-CN"/>
                    </w:rPr>
                  </w:pPr>
                  <w:r>
                    <w:rPr>
                      <w:rFonts w:hint="eastAsia"/>
                      <w:lang w:val="en-US" w:eastAsia="zh-CN"/>
                    </w:rPr>
                    <w:t>颗粒物</w:t>
                  </w:r>
                </w:p>
              </w:tc>
              <w:tc>
                <w:tcPr>
                  <w:tcW w:w="401" w:type="pct"/>
                  <w:tcBorders>
                    <w:tl2br w:val="nil"/>
                    <w:tr2bl w:val="nil"/>
                  </w:tcBorders>
                  <w:noWrap w:val="0"/>
                  <w:vAlign w:val="center"/>
                </w:tcPr>
                <w:p w14:paraId="692E3FD3">
                  <w:pPr>
                    <w:pStyle w:val="53"/>
                    <w:bidi w:val="0"/>
                    <w:ind w:firstLine="0" w:firstLineChars="0"/>
                    <w:rPr>
                      <w:rFonts w:hint="default"/>
                      <w:lang w:val="en-US" w:eastAsia="zh-CN"/>
                    </w:rPr>
                  </w:pPr>
                  <w:r>
                    <w:rPr>
                      <w:rFonts w:hint="eastAsia"/>
                      <w:lang w:val="en-US" w:eastAsia="zh-CN"/>
                    </w:rPr>
                    <w:t>1次/年</w:t>
                  </w:r>
                </w:p>
              </w:tc>
              <w:tc>
                <w:tcPr>
                  <w:tcW w:w="394" w:type="pct"/>
                  <w:tcBorders>
                    <w:tl2br w:val="nil"/>
                    <w:tr2bl w:val="nil"/>
                  </w:tcBorders>
                  <w:noWrap w:val="0"/>
                  <w:vAlign w:val="center"/>
                </w:tcPr>
                <w:p w14:paraId="790E6005">
                  <w:pPr>
                    <w:pStyle w:val="53"/>
                    <w:bidi w:val="0"/>
                    <w:ind w:firstLine="0" w:firstLineChars="0"/>
                    <w:rPr>
                      <w:rFonts w:hint="eastAsia" w:eastAsia="宋体"/>
                      <w:lang w:eastAsia="zh-CN"/>
                    </w:rPr>
                  </w:pPr>
                  <w:r>
                    <w:rPr>
                      <w:rFonts w:hint="eastAsia"/>
                      <w:lang w:val="en-US" w:eastAsia="zh-CN"/>
                    </w:rPr>
                    <w:t>1h</w:t>
                  </w:r>
                </w:p>
              </w:tc>
              <w:tc>
                <w:tcPr>
                  <w:tcW w:w="504" w:type="pct"/>
                  <w:tcBorders>
                    <w:tl2br w:val="nil"/>
                    <w:tr2bl w:val="nil"/>
                  </w:tcBorders>
                  <w:noWrap w:val="0"/>
                  <w:vAlign w:val="center"/>
                </w:tcPr>
                <w:p w14:paraId="5E429993">
                  <w:pPr>
                    <w:pStyle w:val="53"/>
                    <w:bidi w:val="0"/>
                    <w:ind w:firstLine="0" w:firstLineChars="0"/>
                    <w:rPr>
                      <w:rFonts w:hint="default"/>
                      <w:lang w:val="en-US"/>
                    </w:rPr>
                  </w:pPr>
                  <w:r>
                    <w:rPr>
                      <w:rFonts w:hint="eastAsia"/>
                      <w:lang w:val="en-US" w:eastAsia="zh-CN"/>
                    </w:rPr>
                    <w:t>3.14</w:t>
                  </w:r>
                </w:p>
              </w:tc>
              <w:tc>
                <w:tcPr>
                  <w:tcW w:w="2289" w:type="pct"/>
                  <w:vMerge w:val="continue"/>
                  <w:tcBorders>
                    <w:tl2br w:val="nil"/>
                    <w:tr2bl w:val="nil"/>
                  </w:tcBorders>
                  <w:noWrap w:val="0"/>
                  <w:vAlign w:val="center"/>
                </w:tcPr>
                <w:p w14:paraId="05343AFF">
                  <w:pPr>
                    <w:pStyle w:val="53"/>
                    <w:bidi w:val="0"/>
                    <w:ind w:firstLine="0" w:firstLineChars="0"/>
                    <w:rPr>
                      <w:rFonts w:hint="default"/>
                      <w:lang w:val="en-US" w:eastAsia="zh-CN"/>
                    </w:rPr>
                  </w:pPr>
                </w:p>
              </w:tc>
            </w:tr>
          </w:tbl>
          <w:p w14:paraId="6F1B5470">
            <w:pPr>
              <w:pStyle w:val="54"/>
              <w:bidi w:val="0"/>
              <w:rPr>
                <w:rFonts w:hint="eastAsia"/>
                <w:lang w:val="en-US" w:eastAsia="zh-CN"/>
              </w:rPr>
            </w:pPr>
            <w:r>
              <w:rPr>
                <w:rFonts w:hint="eastAsia"/>
                <w:b/>
                <w:bCs/>
                <w:lang w:val="en-US" w:eastAsia="zh-CN"/>
              </w:rPr>
              <w:t>2、运营期水环境影响及防治措施</w:t>
            </w:r>
          </w:p>
          <w:p w14:paraId="0DE3F136">
            <w:pPr>
              <w:pStyle w:val="54"/>
              <w:bidi w:val="0"/>
              <w:rPr>
                <w:rFonts w:hint="eastAsia"/>
                <w:lang w:val="en-US" w:eastAsia="zh-CN"/>
              </w:rPr>
            </w:pPr>
            <w:r>
              <w:rPr>
                <w:rFonts w:hint="eastAsia"/>
                <w:b/>
                <w:bCs/>
                <w:lang w:val="en-US" w:eastAsia="zh-CN"/>
              </w:rPr>
              <w:t>2.1废水产排情况</w:t>
            </w:r>
          </w:p>
          <w:p w14:paraId="7092AA9A">
            <w:pPr>
              <w:pStyle w:val="54"/>
              <w:bidi w:val="0"/>
              <w:rPr>
                <w:rFonts w:hint="eastAsia"/>
                <w:lang w:val="en-US" w:eastAsia="zh-CN"/>
              </w:rPr>
            </w:pPr>
            <w:r>
              <w:rPr>
                <w:rFonts w:hint="eastAsia"/>
                <w:lang w:val="en-US" w:eastAsia="zh-CN"/>
              </w:rPr>
              <w:t>本项目运营期产生的废水为生活污水、全封闭搅拌机清洗废水及混凝土运输车清洗废水。</w:t>
            </w:r>
          </w:p>
          <w:p w14:paraId="0A207E70">
            <w:pPr>
              <w:pStyle w:val="54"/>
              <w:bidi w:val="0"/>
              <w:rPr>
                <w:rFonts w:hint="eastAsia"/>
                <w:lang w:val="en-US" w:eastAsia="zh-CN"/>
              </w:rPr>
            </w:pPr>
            <w:r>
              <w:rPr>
                <w:rFonts w:hint="eastAsia"/>
                <w:lang w:val="en-US" w:eastAsia="zh-CN"/>
              </w:rPr>
              <w:t>1）生活污水</w:t>
            </w:r>
          </w:p>
          <w:p w14:paraId="5E45B9B7">
            <w:pPr>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本项目劳动定员为</w:t>
            </w:r>
            <w:r>
              <w:rPr>
                <w:rFonts w:hint="eastAsia" w:cs="Times New Roman"/>
                <w:sz w:val="24"/>
                <w:szCs w:val="24"/>
                <w:lang w:val="en-US" w:eastAsia="zh-CN"/>
              </w:rPr>
              <w:t>8</w:t>
            </w:r>
            <w:r>
              <w:rPr>
                <w:rFonts w:hint="default" w:ascii="Times New Roman" w:hAnsi="Times New Roman" w:eastAsia="宋体" w:cs="Times New Roman"/>
                <w:sz w:val="24"/>
                <w:szCs w:val="24"/>
                <w:lang w:val="en-US" w:eastAsia="zh-CN"/>
              </w:rPr>
              <w:t>人，人员用水标准按</w:t>
            </w:r>
            <w:r>
              <w:rPr>
                <w:rFonts w:hint="eastAsia" w:cs="Times New Roman"/>
                <w:sz w:val="24"/>
                <w:szCs w:val="24"/>
                <w:lang w:val="en-US" w:eastAsia="zh-CN"/>
              </w:rPr>
              <w:t>60</w:t>
            </w:r>
            <w:r>
              <w:rPr>
                <w:rFonts w:hint="default" w:ascii="Times New Roman" w:hAnsi="Times New Roman" w:eastAsia="宋体" w:cs="Times New Roman"/>
                <w:sz w:val="24"/>
                <w:szCs w:val="24"/>
                <w:lang w:val="en-US" w:eastAsia="zh-CN"/>
              </w:rPr>
              <w:t>L/人•d计，每天用水量为</w:t>
            </w:r>
            <w:r>
              <w:rPr>
                <w:rFonts w:hint="eastAsia" w:cs="Times New Roman"/>
                <w:sz w:val="24"/>
                <w:szCs w:val="24"/>
                <w:lang w:val="en-US" w:eastAsia="zh-CN"/>
              </w:rPr>
              <w:t>0.48</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/d，全年工作</w:t>
            </w:r>
            <w:r>
              <w:rPr>
                <w:rFonts w:hint="eastAsia" w:cs="Times New Roman"/>
                <w:sz w:val="24"/>
                <w:szCs w:val="24"/>
                <w:lang w:val="en-US" w:eastAsia="zh-CN"/>
              </w:rPr>
              <w:t>210</w:t>
            </w:r>
            <w:r>
              <w:rPr>
                <w:rFonts w:hint="default" w:ascii="Times New Roman" w:hAnsi="Times New Roman" w:eastAsia="宋体" w:cs="Times New Roman"/>
                <w:sz w:val="24"/>
                <w:szCs w:val="24"/>
                <w:lang w:val="en-US" w:eastAsia="zh-CN"/>
              </w:rPr>
              <w:t>天，全年总用水量为</w:t>
            </w:r>
            <w:r>
              <w:rPr>
                <w:rFonts w:hint="eastAsia" w:cs="Times New Roman"/>
                <w:sz w:val="24"/>
                <w:szCs w:val="24"/>
                <w:lang w:val="en-US" w:eastAsia="zh-CN"/>
              </w:rPr>
              <w:t>100.8</w:t>
            </w:r>
            <w:r>
              <w:rPr>
                <w:rFonts w:hint="default" w:ascii="Times New Roman" w:hAnsi="Times New Roman" w:eastAsia="宋体" w:cs="Times New Roman"/>
                <w:sz w:val="24"/>
                <w:szCs w:val="24"/>
                <w:lang w:val="en-US" w:eastAsia="zh-CN"/>
              </w:rPr>
              <w:t>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/a；生活污水的排放系数按80%计，则本项目生活污水排放量为0.384m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/d（80.64m</w:t>
            </w:r>
            <w:r>
              <w:rPr>
                <w:rFonts w:hint="default" w:ascii="Times New Roman" w:hAnsi="Times New Roman" w:eastAsia="宋体" w:cs="Times New Roman"/>
                <w:sz w:val="24"/>
                <w:szCs w:val="24"/>
                <w:vertAlign w:val="superscript"/>
                <w:lang w:val="en-US" w:eastAsia="zh-CN"/>
              </w:rPr>
              <w:t>3</w:t>
            </w:r>
            <w:r>
              <w:rPr>
                <w:rFonts w:hint="default" w:ascii="Times New Roman" w:hAnsi="Times New Roman" w:eastAsia="宋体" w:cs="Times New Roman"/>
                <w:sz w:val="24"/>
                <w:szCs w:val="24"/>
                <w:lang w:val="en-US" w:eastAsia="zh-CN"/>
              </w:rPr>
              <w:t>/a），根据《城市污水回用技术手册》（化学工业出版社2004年），中等浓度生活污水水质COD为400mg/L、BOD</w:t>
            </w:r>
            <w:r>
              <w:rPr>
                <w:rFonts w:hint="default" w:ascii="Times New Roman" w:hAnsi="Times New Roman" w:eastAsia="宋体" w:cs="Times New Roman"/>
                <w:sz w:val="24"/>
                <w:szCs w:val="24"/>
                <w:vertAlign w:val="subscript"/>
                <w:lang w:val="en-US" w:eastAsia="zh-CN"/>
              </w:rPr>
              <w:t>5</w:t>
            </w:r>
            <w:r>
              <w:rPr>
                <w:rFonts w:hint="default" w:ascii="Times New Roman" w:hAnsi="Times New Roman" w:eastAsia="宋体" w:cs="Times New Roman"/>
                <w:sz w:val="24"/>
                <w:szCs w:val="24"/>
                <w:lang w:val="en-US" w:eastAsia="zh-CN"/>
              </w:rPr>
              <w:t>为200mg/L、SS为220mg/L、氨氮为15mg/L，低等浓度生活污水水质COD为250mg/L、BOD</w:t>
            </w:r>
            <w:r>
              <w:rPr>
                <w:rFonts w:hint="default" w:ascii="Times New Roman" w:hAnsi="Times New Roman" w:eastAsia="宋体" w:cs="Times New Roman"/>
                <w:sz w:val="24"/>
                <w:szCs w:val="24"/>
                <w:vertAlign w:val="subscript"/>
                <w:lang w:val="en-US" w:eastAsia="zh-CN"/>
              </w:rPr>
              <w:t>5</w:t>
            </w:r>
            <w:r>
              <w:rPr>
                <w:rFonts w:hint="default" w:ascii="Times New Roman" w:hAnsi="Times New Roman" w:eastAsia="宋体" w:cs="Times New Roman"/>
                <w:sz w:val="24"/>
                <w:szCs w:val="24"/>
                <w:lang w:val="en-US" w:eastAsia="zh-CN"/>
              </w:rPr>
              <w:t>为100mg/L、SS为100mg/L、氨氮为8mg/L。本项目取中浓度和低浓度的平均值，故COD为325mg/L、BOD</w:t>
            </w:r>
            <w:r>
              <w:rPr>
                <w:rFonts w:hint="default" w:ascii="Times New Roman" w:hAnsi="Times New Roman" w:eastAsia="宋体" w:cs="Times New Roman"/>
                <w:sz w:val="24"/>
                <w:szCs w:val="24"/>
                <w:vertAlign w:val="subscript"/>
                <w:lang w:val="en-US" w:eastAsia="zh-CN"/>
              </w:rPr>
              <w:t>5</w:t>
            </w:r>
            <w:r>
              <w:rPr>
                <w:rFonts w:hint="default" w:ascii="Times New Roman" w:hAnsi="Times New Roman" w:eastAsia="宋体" w:cs="Times New Roman"/>
                <w:sz w:val="24"/>
                <w:szCs w:val="24"/>
                <w:lang w:val="en-US" w:eastAsia="zh-CN"/>
              </w:rPr>
              <w:t>为150mg/L、SS为160mg/L、氨氮为12mg/L。生活污水经化粪池</w:t>
            </w:r>
            <w:r>
              <w:rPr>
                <w:rFonts w:hint="eastAsia" w:cs="Times New Roman"/>
                <w:sz w:val="24"/>
                <w:szCs w:val="24"/>
                <w:lang w:val="en-US" w:eastAsia="zh-CN"/>
              </w:rPr>
              <w:t>预</w:t>
            </w:r>
            <w:r>
              <w:rPr>
                <w:rFonts w:hint="default" w:ascii="Times New Roman" w:hAnsi="Times New Roman" w:eastAsia="宋体" w:cs="Times New Roman"/>
                <w:sz w:val="24"/>
                <w:szCs w:val="24"/>
                <w:lang w:val="en-US" w:eastAsia="zh-CN"/>
              </w:rPr>
              <w:t>处理后，定期</w:t>
            </w:r>
            <w:r>
              <w:rPr>
                <w:rFonts w:hint="eastAsia" w:cs="Times New Roman"/>
                <w:sz w:val="24"/>
                <w:szCs w:val="24"/>
                <w:lang w:val="en-US" w:eastAsia="zh-CN"/>
              </w:rPr>
              <w:t>拉运</w:t>
            </w:r>
            <w:r>
              <w:rPr>
                <w:rFonts w:hint="default" w:ascii="Times New Roman" w:hAnsi="Times New Roman" w:eastAsia="宋体" w:cs="Times New Roman"/>
                <w:sz w:val="24"/>
                <w:szCs w:val="24"/>
                <w:lang w:val="en-US" w:eastAsia="zh-CN"/>
              </w:rPr>
              <w:t>至甘其毛都口岸加工园区污水处理厂。生活污水水质及排污见表</w:t>
            </w:r>
            <w:r>
              <w:rPr>
                <w:rFonts w:hint="eastAsia" w:cs="Times New Roman"/>
                <w:sz w:val="24"/>
                <w:szCs w:val="24"/>
                <w:lang w:val="en-US" w:eastAsia="zh-CN"/>
              </w:rPr>
              <w:t>30</w:t>
            </w:r>
            <w:r>
              <w:rPr>
                <w:rFonts w:hint="default" w:ascii="Times New Roman" w:hAnsi="Times New Roman" w:eastAsia="宋体" w:cs="Times New Roman"/>
                <w:sz w:val="24"/>
                <w:szCs w:val="24"/>
                <w:lang w:val="en-US" w:eastAsia="zh-CN"/>
              </w:rPr>
              <w:t>。</w:t>
            </w:r>
          </w:p>
          <w:p w14:paraId="5646D5B8">
            <w:pPr>
              <w:pStyle w:val="33"/>
              <w:bidi w:val="0"/>
              <w:rPr>
                <w:rFonts w:hint="default" w:ascii="Times New Roman" w:hAnsi="Times New Roman" w:eastAsia="宋体" w:cs="Times New Roman"/>
                <w:szCs w:val="24"/>
                <w:lang w:val="en-US" w:eastAsia="zh-CN"/>
              </w:rPr>
            </w:pPr>
            <w:r>
              <w:rPr>
                <w:rFonts w:hint="default"/>
                <w:lang w:val="en-US" w:eastAsia="zh-CN"/>
              </w:rPr>
              <w:t>表</w:t>
            </w:r>
            <w:r>
              <w:rPr>
                <w:rFonts w:hint="eastAsia"/>
                <w:lang w:val="en-US" w:eastAsia="zh-CN"/>
              </w:rPr>
              <w:t xml:space="preserve">30    </w:t>
            </w:r>
            <w:r>
              <w:rPr>
                <w:rFonts w:hint="default"/>
                <w:lang w:val="en-US" w:eastAsia="zh-CN"/>
              </w:rPr>
              <w:t>生活污水水质及排污一览表</w:t>
            </w:r>
          </w:p>
          <w:tbl>
            <w:tblPr>
              <w:tblStyle w:val="18"/>
              <w:tblW w:w="84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339"/>
              <w:gridCol w:w="1419"/>
              <w:gridCol w:w="1373"/>
              <w:gridCol w:w="1327"/>
              <w:gridCol w:w="1227"/>
            </w:tblGrid>
            <w:tr w14:paraId="6359A1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9" w:type="dxa"/>
                  <w:tcBorders>
                    <w:tl2br w:val="nil"/>
                    <w:tr2bl w:val="nil"/>
                  </w:tcBorders>
                  <w:vAlign w:val="center"/>
                </w:tcPr>
                <w:p w14:paraId="12F1F796">
                  <w:pPr>
                    <w:pStyle w:val="53"/>
                    <w:bidi w:val="0"/>
                    <w:rPr>
                      <w:rFonts w:hint="default"/>
                      <w:lang w:val="en-US" w:eastAsia="zh-CN"/>
                    </w:rPr>
                  </w:pPr>
                  <w:r>
                    <w:rPr>
                      <w:rFonts w:hint="default"/>
                      <w:lang w:val="en-US" w:eastAsia="zh-CN"/>
                    </w:rPr>
                    <w:t>项目</w:t>
                  </w:r>
                </w:p>
              </w:tc>
              <w:tc>
                <w:tcPr>
                  <w:tcW w:w="1339" w:type="dxa"/>
                  <w:tcBorders>
                    <w:tl2br w:val="nil"/>
                    <w:tr2bl w:val="nil"/>
                  </w:tcBorders>
                  <w:vAlign w:val="center"/>
                </w:tcPr>
                <w:p w14:paraId="26625367">
                  <w:pPr>
                    <w:pStyle w:val="53"/>
                    <w:bidi w:val="0"/>
                    <w:rPr>
                      <w:rFonts w:hint="default"/>
                      <w:lang w:val="en-US" w:eastAsia="zh-CN"/>
                    </w:rPr>
                  </w:pPr>
                  <w:r>
                    <w:rPr>
                      <w:rFonts w:hint="default"/>
                      <w:lang w:val="en-US" w:eastAsia="zh-CN"/>
                    </w:rPr>
                    <w:t>pH</w:t>
                  </w:r>
                </w:p>
              </w:tc>
              <w:tc>
                <w:tcPr>
                  <w:tcW w:w="1419" w:type="dxa"/>
                  <w:tcBorders>
                    <w:tl2br w:val="nil"/>
                    <w:tr2bl w:val="nil"/>
                  </w:tcBorders>
                  <w:vAlign w:val="center"/>
                </w:tcPr>
                <w:p w14:paraId="44AB943E">
                  <w:pPr>
                    <w:pStyle w:val="53"/>
                    <w:bidi w:val="0"/>
                    <w:rPr>
                      <w:rFonts w:hint="default"/>
                      <w:lang w:val="en-US" w:eastAsia="zh-CN"/>
                    </w:rPr>
                  </w:pPr>
                  <w:r>
                    <w:rPr>
                      <w:rFonts w:hint="default"/>
                      <w:lang w:val="en-US" w:eastAsia="zh-CN"/>
                    </w:rPr>
                    <w:t>COD</w:t>
                  </w:r>
                </w:p>
              </w:tc>
              <w:tc>
                <w:tcPr>
                  <w:tcW w:w="1373" w:type="dxa"/>
                  <w:tcBorders>
                    <w:tl2br w:val="nil"/>
                    <w:tr2bl w:val="nil"/>
                  </w:tcBorders>
                  <w:vAlign w:val="center"/>
                </w:tcPr>
                <w:p w14:paraId="3998FE2C">
                  <w:pPr>
                    <w:pStyle w:val="53"/>
                    <w:bidi w:val="0"/>
                    <w:rPr>
                      <w:rFonts w:hint="default"/>
                      <w:lang w:val="en-US" w:eastAsia="zh-CN"/>
                    </w:rPr>
                  </w:pPr>
                  <w:r>
                    <w:rPr>
                      <w:rFonts w:hint="default"/>
                      <w:lang w:val="en-US" w:eastAsia="zh-CN"/>
                    </w:rPr>
                    <w:t>SS</w:t>
                  </w:r>
                </w:p>
              </w:tc>
              <w:tc>
                <w:tcPr>
                  <w:tcW w:w="1327" w:type="dxa"/>
                  <w:tcBorders>
                    <w:tl2br w:val="nil"/>
                    <w:tr2bl w:val="nil"/>
                  </w:tcBorders>
                  <w:vAlign w:val="center"/>
                </w:tcPr>
                <w:p w14:paraId="7E0AFA35">
                  <w:pPr>
                    <w:pStyle w:val="53"/>
                    <w:bidi w:val="0"/>
                    <w:rPr>
                      <w:rFonts w:hint="default"/>
                      <w:lang w:val="en-US" w:eastAsia="zh-CN"/>
                    </w:rPr>
                  </w:pPr>
                  <w:r>
                    <w:rPr>
                      <w:rFonts w:hint="default"/>
                      <w:lang w:val="en-US" w:eastAsia="zh-CN"/>
                    </w:rPr>
                    <w:t>BOD</w:t>
                  </w:r>
                  <w:r>
                    <w:rPr>
                      <w:rFonts w:hint="default"/>
                      <w:vertAlign w:val="subscript"/>
                      <w:lang w:val="en-US" w:eastAsia="zh-CN"/>
                    </w:rPr>
                    <w:t>5</w:t>
                  </w:r>
                </w:p>
              </w:tc>
              <w:tc>
                <w:tcPr>
                  <w:tcW w:w="1227" w:type="dxa"/>
                  <w:tcBorders>
                    <w:tl2br w:val="nil"/>
                    <w:tr2bl w:val="nil"/>
                  </w:tcBorders>
                  <w:vAlign w:val="center"/>
                </w:tcPr>
                <w:p w14:paraId="52523FBB">
                  <w:pPr>
                    <w:pStyle w:val="53"/>
                    <w:bidi w:val="0"/>
                    <w:rPr>
                      <w:rFonts w:hint="default"/>
                      <w:lang w:val="en-US" w:eastAsia="zh-CN"/>
                    </w:rPr>
                  </w:pPr>
                  <w:r>
                    <w:rPr>
                      <w:rFonts w:hint="default"/>
                      <w:lang w:val="en-US" w:eastAsia="zh-CN"/>
                    </w:rPr>
                    <w:t>NH</w:t>
                  </w:r>
                  <w:r>
                    <w:rPr>
                      <w:rFonts w:hint="default"/>
                      <w:vertAlign w:val="subscript"/>
                      <w:lang w:val="en-US" w:eastAsia="zh-CN"/>
                    </w:rPr>
                    <w:t>3</w:t>
                  </w:r>
                  <w:r>
                    <w:rPr>
                      <w:rFonts w:hint="default"/>
                      <w:lang w:val="en-US" w:eastAsia="zh-CN"/>
                    </w:rPr>
                    <w:t>-N</w:t>
                  </w:r>
                </w:p>
              </w:tc>
            </w:tr>
            <w:tr w14:paraId="4D759E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9" w:type="dxa"/>
                  <w:tcBorders>
                    <w:tl2br w:val="nil"/>
                    <w:tr2bl w:val="nil"/>
                  </w:tcBorders>
                  <w:vAlign w:val="center"/>
                </w:tcPr>
                <w:p w14:paraId="46D45E9C">
                  <w:pPr>
                    <w:pStyle w:val="53"/>
                    <w:bidi w:val="0"/>
                    <w:rPr>
                      <w:rFonts w:hint="default"/>
                      <w:lang w:val="en-US" w:eastAsia="zh-CN"/>
                    </w:rPr>
                  </w:pPr>
                  <w:r>
                    <w:rPr>
                      <w:rFonts w:hint="default"/>
                      <w:lang w:val="en-US" w:eastAsia="zh-CN"/>
                    </w:rPr>
                    <w:t>产生浓度mg/L</w:t>
                  </w:r>
                </w:p>
              </w:tc>
              <w:tc>
                <w:tcPr>
                  <w:tcW w:w="1339" w:type="dxa"/>
                  <w:tcBorders>
                    <w:tl2br w:val="nil"/>
                    <w:tr2bl w:val="nil"/>
                  </w:tcBorders>
                  <w:vAlign w:val="center"/>
                </w:tcPr>
                <w:p w14:paraId="352C22E1">
                  <w:pPr>
                    <w:pStyle w:val="53"/>
                    <w:bidi w:val="0"/>
                    <w:rPr>
                      <w:rFonts w:hint="default"/>
                      <w:lang w:val="en-US" w:eastAsia="zh-CN"/>
                    </w:rPr>
                  </w:pPr>
                  <w:r>
                    <w:rPr>
                      <w:rFonts w:hint="eastAsia"/>
                      <w:lang w:val="en-US" w:eastAsia="zh-CN"/>
                    </w:rPr>
                    <w:t>6-9</w:t>
                  </w:r>
                </w:p>
              </w:tc>
              <w:tc>
                <w:tcPr>
                  <w:tcW w:w="1419" w:type="dxa"/>
                  <w:tcBorders>
                    <w:tl2br w:val="nil"/>
                    <w:tr2bl w:val="nil"/>
                  </w:tcBorders>
                  <w:vAlign w:val="center"/>
                </w:tcPr>
                <w:p w14:paraId="0B74478C">
                  <w:pPr>
                    <w:pStyle w:val="53"/>
                    <w:bidi w:val="0"/>
                    <w:rPr>
                      <w:rFonts w:hint="default"/>
                      <w:lang w:val="en-US" w:eastAsia="zh-CN"/>
                    </w:rPr>
                  </w:pPr>
                  <w:r>
                    <w:rPr>
                      <w:rFonts w:hint="eastAsia"/>
                      <w:lang w:val="en-US" w:eastAsia="zh-CN"/>
                    </w:rPr>
                    <w:t>325</w:t>
                  </w:r>
                </w:p>
              </w:tc>
              <w:tc>
                <w:tcPr>
                  <w:tcW w:w="1373" w:type="dxa"/>
                  <w:tcBorders>
                    <w:tl2br w:val="nil"/>
                    <w:tr2bl w:val="nil"/>
                  </w:tcBorders>
                  <w:vAlign w:val="center"/>
                </w:tcPr>
                <w:p w14:paraId="53A468E0">
                  <w:pPr>
                    <w:pStyle w:val="53"/>
                    <w:bidi w:val="0"/>
                    <w:rPr>
                      <w:rFonts w:hint="default"/>
                      <w:lang w:val="en-US" w:eastAsia="zh-CN"/>
                    </w:rPr>
                  </w:pPr>
                  <w:r>
                    <w:rPr>
                      <w:rFonts w:hint="eastAsia"/>
                      <w:lang w:val="en-US" w:eastAsia="zh-CN"/>
                    </w:rPr>
                    <w:t>160</w:t>
                  </w:r>
                </w:p>
              </w:tc>
              <w:tc>
                <w:tcPr>
                  <w:tcW w:w="1327" w:type="dxa"/>
                  <w:tcBorders>
                    <w:tl2br w:val="nil"/>
                    <w:tr2bl w:val="nil"/>
                  </w:tcBorders>
                  <w:vAlign w:val="center"/>
                </w:tcPr>
                <w:p w14:paraId="3C650D20">
                  <w:pPr>
                    <w:pStyle w:val="53"/>
                    <w:bidi w:val="0"/>
                    <w:rPr>
                      <w:rFonts w:hint="default"/>
                      <w:lang w:val="en-US" w:eastAsia="zh-CN"/>
                    </w:rPr>
                  </w:pPr>
                  <w:r>
                    <w:rPr>
                      <w:rFonts w:hint="eastAsia"/>
                      <w:lang w:val="en-US" w:eastAsia="zh-CN"/>
                    </w:rPr>
                    <w:t>150</w:t>
                  </w:r>
                </w:p>
              </w:tc>
              <w:tc>
                <w:tcPr>
                  <w:tcW w:w="1227" w:type="dxa"/>
                  <w:tcBorders>
                    <w:tl2br w:val="nil"/>
                    <w:tr2bl w:val="nil"/>
                  </w:tcBorders>
                  <w:vAlign w:val="center"/>
                </w:tcPr>
                <w:p w14:paraId="03F1BE1E">
                  <w:pPr>
                    <w:pStyle w:val="53"/>
                    <w:bidi w:val="0"/>
                    <w:rPr>
                      <w:rFonts w:hint="default"/>
                      <w:lang w:val="en-US" w:eastAsia="zh-CN"/>
                    </w:rPr>
                  </w:pPr>
                  <w:r>
                    <w:rPr>
                      <w:rFonts w:hint="eastAsia"/>
                      <w:lang w:val="en-US" w:eastAsia="zh-CN"/>
                    </w:rPr>
                    <w:t>12</w:t>
                  </w:r>
                </w:p>
              </w:tc>
            </w:tr>
            <w:tr w14:paraId="6051FD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9" w:type="dxa"/>
                  <w:tcBorders>
                    <w:tl2br w:val="nil"/>
                    <w:tr2bl w:val="nil"/>
                  </w:tcBorders>
                  <w:vAlign w:val="center"/>
                </w:tcPr>
                <w:p w14:paraId="7388E4FE">
                  <w:pPr>
                    <w:pStyle w:val="53"/>
                    <w:bidi w:val="0"/>
                    <w:rPr>
                      <w:rFonts w:hint="default"/>
                      <w:lang w:val="en-US" w:eastAsia="zh-CN"/>
                    </w:rPr>
                  </w:pPr>
                  <w:r>
                    <w:rPr>
                      <w:rFonts w:hint="default"/>
                      <w:lang w:val="en-US" w:eastAsia="zh-CN"/>
                    </w:rPr>
                    <w:t>产生量t/a</w:t>
                  </w:r>
                </w:p>
              </w:tc>
              <w:tc>
                <w:tcPr>
                  <w:tcW w:w="1339" w:type="dxa"/>
                  <w:tcBorders>
                    <w:tl2br w:val="nil"/>
                    <w:tr2bl w:val="nil"/>
                  </w:tcBorders>
                  <w:vAlign w:val="center"/>
                </w:tcPr>
                <w:p w14:paraId="444B9A39">
                  <w:pPr>
                    <w:pStyle w:val="53"/>
                    <w:bidi w:val="0"/>
                    <w:rPr>
                      <w:rFonts w:hint="default"/>
                      <w:lang w:val="en-US" w:eastAsia="zh-CN"/>
                    </w:rPr>
                  </w:pPr>
                  <w:r>
                    <w:rPr>
                      <w:rFonts w:hint="eastAsia"/>
                      <w:lang w:val="en-US" w:eastAsia="zh-CN"/>
                    </w:rPr>
                    <w:t>/</w:t>
                  </w:r>
                </w:p>
              </w:tc>
              <w:tc>
                <w:tcPr>
                  <w:tcW w:w="1419" w:type="dxa"/>
                  <w:tcBorders>
                    <w:tl2br w:val="nil"/>
                    <w:tr2bl w:val="nil"/>
                  </w:tcBorders>
                  <w:vAlign w:val="center"/>
                </w:tcPr>
                <w:p w14:paraId="02CA5046">
                  <w:pPr>
                    <w:pStyle w:val="53"/>
                    <w:bidi w:val="0"/>
                    <w:rPr>
                      <w:rFonts w:hint="default"/>
                      <w:lang w:val="en-US" w:eastAsia="zh-CN"/>
                    </w:rPr>
                  </w:pPr>
                  <w:r>
                    <w:rPr>
                      <w:rFonts w:hint="eastAsia"/>
                      <w:lang w:val="en-US" w:eastAsia="zh-CN"/>
                    </w:rPr>
                    <w:t>0.026</w:t>
                  </w:r>
                </w:p>
              </w:tc>
              <w:tc>
                <w:tcPr>
                  <w:tcW w:w="1373" w:type="dxa"/>
                  <w:tcBorders>
                    <w:tl2br w:val="nil"/>
                    <w:tr2bl w:val="nil"/>
                  </w:tcBorders>
                  <w:vAlign w:val="center"/>
                </w:tcPr>
                <w:p w14:paraId="118ACE6B">
                  <w:pPr>
                    <w:pStyle w:val="53"/>
                    <w:bidi w:val="0"/>
                    <w:rPr>
                      <w:rFonts w:hint="default"/>
                      <w:lang w:val="en-US" w:eastAsia="zh-CN"/>
                    </w:rPr>
                  </w:pPr>
                  <w:r>
                    <w:rPr>
                      <w:rFonts w:hint="eastAsia"/>
                      <w:lang w:val="en-US" w:eastAsia="zh-CN"/>
                    </w:rPr>
                    <w:t>0.013</w:t>
                  </w:r>
                </w:p>
              </w:tc>
              <w:tc>
                <w:tcPr>
                  <w:tcW w:w="1327" w:type="dxa"/>
                  <w:tcBorders>
                    <w:tl2br w:val="nil"/>
                    <w:tr2bl w:val="nil"/>
                  </w:tcBorders>
                  <w:vAlign w:val="center"/>
                </w:tcPr>
                <w:p w14:paraId="1F6FE898">
                  <w:pPr>
                    <w:pStyle w:val="53"/>
                    <w:bidi w:val="0"/>
                    <w:rPr>
                      <w:rFonts w:hint="default"/>
                      <w:lang w:val="en-US" w:eastAsia="zh-CN"/>
                    </w:rPr>
                  </w:pPr>
                  <w:r>
                    <w:rPr>
                      <w:rFonts w:hint="eastAsia"/>
                      <w:lang w:val="en-US" w:eastAsia="zh-CN"/>
                    </w:rPr>
                    <w:t>0.0121</w:t>
                  </w:r>
                </w:p>
              </w:tc>
              <w:tc>
                <w:tcPr>
                  <w:tcW w:w="1227" w:type="dxa"/>
                  <w:tcBorders>
                    <w:tl2br w:val="nil"/>
                    <w:tr2bl w:val="nil"/>
                  </w:tcBorders>
                  <w:vAlign w:val="center"/>
                </w:tcPr>
                <w:p w14:paraId="3C2D4303">
                  <w:pPr>
                    <w:pStyle w:val="53"/>
                    <w:bidi w:val="0"/>
                    <w:rPr>
                      <w:rFonts w:hint="default"/>
                      <w:lang w:val="en-US" w:eastAsia="zh-CN"/>
                    </w:rPr>
                  </w:pPr>
                  <w:r>
                    <w:rPr>
                      <w:rFonts w:hint="eastAsia"/>
                      <w:lang w:val="en-US" w:eastAsia="zh-CN"/>
                    </w:rPr>
                    <w:t>0.00097</w:t>
                  </w:r>
                </w:p>
              </w:tc>
            </w:tr>
            <w:tr w14:paraId="66CBE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9" w:type="dxa"/>
                  <w:tcBorders>
                    <w:tl2br w:val="nil"/>
                    <w:tr2bl w:val="nil"/>
                  </w:tcBorders>
                  <w:vAlign w:val="center"/>
                </w:tcPr>
                <w:p w14:paraId="29C07C1A">
                  <w:pPr>
                    <w:pStyle w:val="53"/>
                    <w:bidi w:val="0"/>
                    <w:rPr>
                      <w:rFonts w:hint="default"/>
                      <w:lang w:val="en-US" w:eastAsia="zh-CN"/>
                    </w:rPr>
                  </w:pPr>
                  <w:r>
                    <w:rPr>
                      <w:rFonts w:hint="default"/>
                      <w:lang w:val="en-US" w:eastAsia="zh-CN"/>
                    </w:rPr>
                    <w:t>化粪池处理效率</w:t>
                  </w:r>
                </w:p>
              </w:tc>
              <w:tc>
                <w:tcPr>
                  <w:tcW w:w="1339" w:type="dxa"/>
                  <w:tcBorders>
                    <w:tl2br w:val="nil"/>
                    <w:tr2bl w:val="nil"/>
                  </w:tcBorders>
                  <w:vAlign w:val="center"/>
                </w:tcPr>
                <w:p w14:paraId="7E69AFFB">
                  <w:pPr>
                    <w:pStyle w:val="53"/>
                    <w:bidi w:val="0"/>
                    <w:rPr>
                      <w:rFonts w:hint="default"/>
                      <w:lang w:val="en-US" w:eastAsia="zh-CN"/>
                    </w:rPr>
                  </w:pPr>
                  <w:r>
                    <w:rPr>
                      <w:rFonts w:hint="eastAsia"/>
                      <w:lang w:val="en-US" w:eastAsia="zh-CN"/>
                    </w:rPr>
                    <w:t>/</w:t>
                  </w:r>
                </w:p>
              </w:tc>
              <w:tc>
                <w:tcPr>
                  <w:tcW w:w="1419" w:type="dxa"/>
                  <w:tcBorders>
                    <w:tl2br w:val="nil"/>
                    <w:tr2bl w:val="nil"/>
                  </w:tcBorders>
                  <w:vAlign w:val="center"/>
                </w:tcPr>
                <w:p w14:paraId="3CB16D11">
                  <w:pPr>
                    <w:pStyle w:val="53"/>
                    <w:bidi w:val="0"/>
                    <w:rPr>
                      <w:rFonts w:hint="default"/>
                      <w:lang w:val="en-US" w:eastAsia="zh-CN"/>
                    </w:rPr>
                  </w:pPr>
                  <w:r>
                    <w:rPr>
                      <w:rFonts w:hint="eastAsia"/>
                      <w:lang w:val="en-US" w:eastAsia="zh-CN"/>
                    </w:rPr>
                    <w:t>15%</w:t>
                  </w:r>
                </w:p>
              </w:tc>
              <w:tc>
                <w:tcPr>
                  <w:tcW w:w="1373" w:type="dxa"/>
                  <w:tcBorders>
                    <w:tl2br w:val="nil"/>
                    <w:tr2bl w:val="nil"/>
                  </w:tcBorders>
                  <w:vAlign w:val="center"/>
                </w:tcPr>
                <w:p w14:paraId="01FDFFFC">
                  <w:pPr>
                    <w:pStyle w:val="53"/>
                    <w:bidi w:val="0"/>
                    <w:rPr>
                      <w:rFonts w:hint="default"/>
                      <w:lang w:val="en-US" w:eastAsia="zh-CN"/>
                    </w:rPr>
                  </w:pPr>
                  <w:r>
                    <w:rPr>
                      <w:rFonts w:hint="eastAsia"/>
                      <w:lang w:val="en-US" w:eastAsia="zh-CN"/>
                    </w:rPr>
                    <w:t>30%</w:t>
                  </w:r>
                </w:p>
              </w:tc>
              <w:tc>
                <w:tcPr>
                  <w:tcW w:w="1327" w:type="dxa"/>
                  <w:tcBorders>
                    <w:tl2br w:val="nil"/>
                    <w:tr2bl w:val="nil"/>
                  </w:tcBorders>
                  <w:vAlign w:val="center"/>
                </w:tcPr>
                <w:p w14:paraId="0273C484">
                  <w:pPr>
                    <w:pStyle w:val="53"/>
                    <w:bidi w:val="0"/>
                    <w:rPr>
                      <w:rFonts w:hint="default"/>
                      <w:lang w:val="en-US" w:eastAsia="zh-CN"/>
                    </w:rPr>
                  </w:pPr>
                  <w:r>
                    <w:rPr>
                      <w:rFonts w:hint="eastAsia"/>
                      <w:lang w:val="en-US" w:eastAsia="zh-CN"/>
                    </w:rPr>
                    <w:t>9%</w:t>
                  </w:r>
                </w:p>
              </w:tc>
              <w:tc>
                <w:tcPr>
                  <w:tcW w:w="1227" w:type="dxa"/>
                  <w:tcBorders>
                    <w:tl2br w:val="nil"/>
                    <w:tr2bl w:val="nil"/>
                  </w:tcBorders>
                  <w:vAlign w:val="center"/>
                </w:tcPr>
                <w:p w14:paraId="6DCF86FD">
                  <w:pPr>
                    <w:pStyle w:val="53"/>
                    <w:bidi w:val="0"/>
                    <w:rPr>
                      <w:rFonts w:hint="default"/>
                      <w:lang w:val="en-US" w:eastAsia="zh-CN"/>
                    </w:rPr>
                  </w:pPr>
                  <w:r>
                    <w:rPr>
                      <w:rFonts w:hint="eastAsia"/>
                      <w:lang w:val="en-US" w:eastAsia="zh-CN"/>
                    </w:rPr>
                    <w:t>3%</w:t>
                  </w:r>
                </w:p>
              </w:tc>
            </w:tr>
            <w:tr w14:paraId="462BF7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9" w:type="dxa"/>
                  <w:tcBorders>
                    <w:tl2br w:val="nil"/>
                    <w:tr2bl w:val="nil"/>
                  </w:tcBorders>
                  <w:vAlign w:val="center"/>
                </w:tcPr>
                <w:p w14:paraId="72C3E16A">
                  <w:pPr>
                    <w:pStyle w:val="53"/>
                    <w:bidi w:val="0"/>
                    <w:rPr>
                      <w:rFonts w:hint="default"/>
                      <w:lang w:val="en-US" w:eastAsia="zh-CN"/>
                    </w:rPr>
                  </w:pPr>
                  <w:r>
                    <w:rPr>
                      <w:rFonts w:hint="default"/>
                      <w:lang w:val="en-US" w:eastAsia="zh-CN"/>
                    </w:rPr>
                    <w:t>排放浓度mg/L</w:t>
                  </w:r>
                </w:p>
              </w:tc>
              <w:tc>
                <w:tcPr>
                  <w:tcW w:w="1339" w:type="dxa"/>
                  <w:tcBorders>
                    <w:tl2br w:val="nil"/>
                    <w:tr2bl w:val="nil"/>
                  </w:tcBorders>
                  <w:vAlign w:val="center"/>
                </w:tcPr>
                <w:p w14:paraId="2EDF2CAE">
                  <w:pPr>
                    <w:pStyle w:val="53"/>
                    <w:bidi w:val="0"/>
                    <w:rPr>
                      <w:rFonts w:hint="default"/>
                      <w:lang w:val="en-US" w:eastAsia="zh-CN"/>
                    </w:rPr>
                  </w:pPr>
                  <w:r>
                    <w:rPr>
                      <w:rFonts w:hint="eastAsia"/>
                      <w:lang w:val="en-US" w:eastAsia="zh-CN"/>
                    </w:rPr>
                    <w:t>6-9</w:t>
                  </w:r>
                </w:p>
              </w:tc>
              <w:tc>
                <w:tcPr>
                  <w:tcW w:w="1419" w:type="dxa"/>
                  <w:tcBorders>
                    <w:tl2br w:val="nil"/>
                    <w:tr2bl w:val="nil"/>
                  </w:tcBorders>
                  <w:vAlign w:val="center"/>
                </w:tcPr>
                <w:p w14:paraId="53E3A47B">
                  <w:pPr>
                    <w:pStyle w:val="53"/>
                    <w:bidi w:val="0"/>
                    <w:rPr>
                      <w:rFonts w:hint="default"/>
                      <w:lang w:val="en-US" w:eastAsia="zh-CN"/>
                    </w:rPr>
                  </w:pPr>
                  <w:r>
                    <w:rPr>
                      <w:rFonts w:hint="eastAsia"/>
                      <w:lang w:val="en-US" w:eastAsia="zh-CN"/>
                    </w:rPr>
                    <w:t>276.25</w:t>
                  </w:r>
                </w:p>
              </w:tc>
              <w:tc>
                <w:tcPr>
                  <w:tcW w:w="1373" w:type="dxa"/>
                  <w:tcBorders>
                    <w:tl2br w:val="nil"/>
                    <w:tr2bl w:val="nil"/>
                  </w:tcBorders>
                  <w:vAlign w:val="center"/>
                </w:tcPr>
                <w:p w14:paraId="4C49C13C">
                  <w:pPr>
                    <w:pStyle w:val="53"/>
                    <w:bidi w:val="0"/>
                    <w:rPr>
                      <w:rFonts w:hint="default"/>
                      <w:lang w:val="en-US" w:eastAsia="zh-CN"/>
                    </w:rPr>
                  </w:pPr>
                  <w:r>
                    <w:rPr>
                      <w:rFonts w:hint="eastAsia"/>
                      <w:lang w:val="en-US" w:eastAsia="zh-CN"/>
                    </w:rPr>
                    <w:t>112</w:t>
                  </w:r>
                </w:p>
              </w:tc>
              <w:tc>
                <w:tcPr>
                  <w:tcW w:w="1327" w:type="dxa"/>
                  <w:tcBorders>
                    <w:tl2br w:val="nil"/>
                    <w:tr2bl w:val="nil"/>
                  </w:tcBorders>
                  <w:vAlign w:val="center"/>
                </w:tcPr>
                <w:p w14:paraId="02BC5EE3">
                  <w:pPr>
                    <w:pStyle w:val="53"/>
                    <w:bidi w:val="0"/>
                    <w:rPr>
                      <w:rFonts w:hint="default"/>
                      <w:lang w:val="en-US" w:eastAsia="zh-CN"/>
                    </w:rPr>
                  </w:pPr>
                  <w:r>
                    <w:rPr>
                      <w:rFonts w:hint="eastAsia"/>
                      <w:lang w:val="en-US" w:eastAsia="zh-CN"/>
                    </w:rPr>
                    <w:t>136.5</w:t>
                  </w:r>
                </w:p>
              </w:tc>
              <w:tc>
                <w:tcPr>
                  <w:tcW w:w="1227" w:type="dxa"/>
                  <w:tcBorders>
                    <w:tl2br w:val="nil"/>
                    <w:tr2bl w:val="nil"/>
                  </w:tcBorders>
                  <w:vAlign w:val="center"/>
                </w:tcPr>
                <w:p w14:paraId="1A71A05B">
                  <w:pPr>
                    <w:pStyle w:val="53"/>
                    <w:bidi w:val="0"/>
                    <w:rPr>
                      <w:rFonts w:hint="default"/>
                      <w:lang w:val="en-US" w:eastAsia="zh-CN"/>
                    </w:rPr>
                  </w:pPr>
                  <w:r>
                    <w:rPr>
                      <w:rFonts w:hint="eastAsia"/>
                      <w:lang w:val="en-US" w:eastAsia="zh-CN"/>
                    </w:rPr>
                    <w:t>11.64</w:t>
                  </w:r>
                </w:p>
              </w:tc>
            </w:tr>
            <w:tr w14:paraId="66BA2E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89" w:type="dxa"/>
                  <w:tcBorders>
                    <w:tl2br w:val="nil"/>
                    <w:tr2bl w:val="nil"/>
                  </w:tcBorders>
                  <w:vAlign w:val="center"/>
                </w:tcPr>
                <w:p w14:paraId="5D0AAD1A">
                  <w:pPr>
                    <w:pStyle w:val="53"/>
                    <w:bidi w:val="0"/>
                    <w:rPr>
                      <w:rFonts w:hint="default"/>
                      <w:lang w:val="en-US" w:eastAsia="zh-CN"/>
                    </w:rPr>
                  </w:pPr>
                  <w:r>
                    <w:rPr>
                      <w:rFonts w:hint="default"/>
                      <w:lang w:val="en-US" w:eastAsia="zh-CN"/>
                    </w:rPr>
                    <w:t>排放量t/a</w:t>
                  </w:r>
                </w:p>
              </w:tc>
              <w:tc>
                <w:tcPr>
                  <w:tcW w:w="1339" w:type="dxa"/>
                  <w:tcBorders>
                    <w:tl2br w:val="nil"/>
                    <w:tr2bl w:val="nil"/>
                  </w:tcBorders>
                  <w:vAlign w:val="center"/>
                </w:tcPr>
                <w:p w14:paraId="65369C74">
                  <w:pPr>
                    <w:pStyle w:val="53"/>
                    <w:bidi w:val="0"/>
                    <w:rPr>
                      <w:rFonts w:hint="default"/>
                      <w:lang w:val="en-US" w:eastAsia="zh-CN"/>
                    </w:rPr>
                  </w:pPr>
                  <w:r>
                    <w:rPr>
                      <w:rFonts w:hint="eastAsia"/>
                      <w:lang w:val="en-US" w:eastAsia="zh-CN"/>
                    </w:rPr>
                    <w:t>/</w:t>
                  </w:r>
                </w:p>
              </w:tc>
              <w:tc>
                <w:tcPr>
                  <w:tcW w:w="1419" w:type="dxa"/>
                  <w:tcBorders>
                    <w:tl2br w:val="nil"/>
                    <w:tr2bl w:val="nil"/>
                  </w:tcBorders>
                  <w:vAlign w:val="center"/>
                </w:tcPr>
                <w:p w14:paraId="4206CCFA">
                  <w:pPr>
                    <w:pStyle w:val="53"/>
                    <w:bidi w:val="0"/>
                    <w:rPr>
                      <w:rFonts w:hint="default"/>
                      <w:lang w:val="en-US" w:eastAsia="zh-CN"/>
                    </w:rPr>
                  </w:pPr>
                  <w:r>
                    <w:rPr>
                      <w:rFonts w:hint="eastAsia"/>
                      <w:lang w:val="en-US" w:eastAsia="zh-CN"/>
                    </w:rPr>
                    <w:t>0.022</w:t>
                  </w:r>
                </w:p>
              </w:tc>
              <w:tc>
                <w:tcPr>
                  <w:tcW w:w="1373" w:type="dxa"/>
                  <w:tcBorders>
                    <w:tl2br w:val="nil"/>
                    <w:tr2bl w:val="nil"/>
                  </w:tcBorders>
                  <w:vAlign w:val="center"/>
                </w:tcPr>
                <w:p w14:paraId="58E7284F">
                  <w:pPr>
                    <w:pStyle w:val="53"/>
                    <w:bidi w:val="0"/>
                    <w:rPr>
                      <w:rFonts w:hint="default"/>
                      <w:lang w:val="en-US" w:eastAsia="zh-CN"/>
                    </w:rPr>
                  </w:pPr>
                  <w:r>
                    <w:rPr>
                      <w:rFonts w:hint="eastAsia"/>
                      <w:lang w:val="en-US" w:eastAsia="zh-CN"/>
                    </w:rPr>
                    <w:t>0.0091</w:t>
                  </w:r>
                </w:p>
              </w:tc>
              <w:tc>
                <w:tcPr>
                  <w:tcW w:w="1327" w:type="dxa"/>
                  <w:tcBorders>
                    <w:tl2br w:val="nil"/>
                    <w:tr2bl w:val="nil"/>
                  </w:tcBorders>
                  <w:vAlign w:val="center"/>
                </w:tcPr>
                <w:p w14:paraId="689385A1">
                  <w:pPr>
                    <w:pStyle w:val="53"/>
                    <w:bidi w:val="0"/>
                    <w:rPr>
                      <w:rFonts w:hint="default"/>
                      <w:lang w:val="en-US" w:eastAsia="zh-CN"/>
                    </w:rPr>
                  </w:pPr>
                  <w:r>
                    <w:rPr>
                      <w:rFonts w:hint="eastAsia"/>
                      <w:lang w:val="en-US" w:eastAsia="zh-CN"/>
                    </w:rPr>
                    <w:t>0.011</w:t>
                  </w:r>
                </w:p>
              </w:tc>
              <w:tc>
                <w:tcPr>
                  <w:tcW w:w="1227" w:type="dxa"/>
                  <w:tcBorders>
                    <w:tl2br w:val="nil"/>
                    <w:tr2bl w:val="nil"/>
                  </w:tcBorders>
                  <w:vAlign w:val="center"/>
                </w:tcPr>
                <w:p w14:paraId="157D80DA">
                  <w:pPr>
                    <w:pStyle w:val="53"/>
                    <w:bidi w:val="0"/>
                    <w:rPr>
                      <w:rFonts w:hint="default"/>
                      <w:lang w:val="en-US" w:eastAsia="zh-CN"/>
                    </w:rPr>
                  </w:pPr>
                  <w:r>
                    <w:rPr>
                      <w:rFonts w:hint="eastAsia"/>
                      <w:lang w:val="en-US" w:eastAsia="zh-CN"/>
                    </w:rPr>
                    <w:t>0.00094</w:t>
                  </w:r>
                </w:p>
              </w:tc>
            </w:tr>
          </w:tbl>
          <w:p w14:paraId="7EF2C219">
            <w:pPr>
              <w:pStyle w:val="54"/>
              <w:bidi w:val="0"/>
              <w:rPr>
                <w:rFonts w:hint="default"/>
                <w:lang w:val="en-US" w:eastAsia="zh-CN"/>
              </w:rPr>
            </w:pPr>
            <w:r>
              <w:rPr>
                <w:rFonts w:hint="eastAsia"/>
                <w:lang w:val="en-US" w:eastAsia="zh-CN"/>
              </w:rPr>
              <w:t>2</w:t>
            </w:r>
            <w:r>
              <w:rPr>
                <w:rFonts w:hint="default"/>
                <w:lang w:val="en-US" w:eastAsia="zh-CN"/>
              </w:rPr>
              <w:t>）搅拌机清洗废水</w:t>
            </w:r>
          </w:p>
          <w:p w14:paraId="400AEF81">
            <w:pPr>
              <w:pStyle w:val="54"/>
              <w:bidi w:val="0"/>
              <w:rPr>
                <w:rFonts w:hint="default"/>
                <w:lang w:val="en-US" w:eastAsia="zh-CN"/>
              </w:rPr>
            </w:pPr>
            <w:r>
              <w:rPr>
                <w:rFonts w:hint="default"/>
                <w:lang w:val="en-US" w:eastAsia="zh-CN"/>
              </w:rPr>
              <w:t>搅拌机清洗废水产生量按用水量的80%计，产生量为</w:t>
            </w:r>
            <w:r>
              <w:rPr>
                <w:rFonts w:hint="eastAsia"/>
                <w:lang w:val="en-US" w:eastAsia="zh-CN"/>
              </w:rPr>
              <w:t>1.6</w:t>
            </w:r>
            <w:r>
              <w:rPr>
                <w:rFonts w:hint="default"/>
                <w:lang w:val="en-US" w:eastAsia="zh-CN"/>
              </w:rPr>
              <w:t>m</w:t>
            </w:r>
            <w:r>
              <w:rPr>
                <w:rFonts w:hint="default"/>
                <w:vertAlign w:val="superscript"/>
                <w:lang w:val="en-US" w:eastAsia="zh-CN"/>
              </w:rPr>
              <w:t>3</w:t>
            </w:r>
            <w:r>
              <w:rPr>
                <w:rFonts w:hint="default"/>
                <w:lang w:val="en-US" w:eastAsia="zh-CN"/>
              </w:rPr>
              <w:t>/d（</w:t>
            </w:r>
            <w:r>
              <w:rPr>
                <w:rFonts w:hint="eastAsia"/>
                <w:lang w:val="en-US" w:eastAsia="zh-CN"/>
              </w:rPr>
              <w:t>336</w:t>
            </w:r>
            <w:r>
              <w:rPr>
                <w:rFonts w:hint="default"/>
                <w:lang w:val="en-US" w:eastAsia="zh-CN"/>
              </w:rPr>
              <w:t>m</w:t>
            </w:r>
            <w:r>
              <w:rPr>
                <w:rFonts w:hint="default"/>
                <w:vertAlign w:val="superscript"/>
                <w:lang w:val="en-US" w:eastAsia="zh-CN"/>
              </w:rPr>
              <w:t>3</w:t>
            </w:r>
            <w:r>
              <w:rPr>
                <w:rFonts w:hint="default"/>
                <w:lang w:val="en-US" w:eastAsia="zh-CN"/>
              </w:rPr>
              <w:t>/a），排入厂区的沉淀池内，沉淀后上清液全部回用于搅拌机和混凝土运输车清洗，不外排。</w:t>
            </w:r>
          </w:p>
          <w:p w14:paraId="700CDD0D">
            <w:pPr>
              <w:pStyle w:val="54"/>
              <w:bidi w:val="0"/>
              <w:rPr>
                <w:rFonts w:hint="default"/>
                <w:lang w:val="en-US" w:eastAsia="zh-CN"/>
              </w:rPr>
            </w:pPr>
            <w:r>
              <w:rPr>
                <w:rFonts w:hint="eastAsia"/>
                <w:lang w:val="en-US" w:eastAsia="zh-CN"/>
              </w:rPr>
              <w:t>3</w:t>
            </w:r>
            <w:r>
              <w:rPr>
                <w:rFonts w:hint="default"/>
                <w:lang w:val="en-US" w:eastAsia="zh-CN"/>
              </w:rPr>
              <w:t>）混凝土运输车清洗废水</w:t>
            </w:r>
          </w:p>
          <w:p w14:paraId="0455C6C6">
            <w:pPr>
              <w:pStyle w:val="54"/>
              <w:bidi w:val="0"/>
              <w:rPr>
                <w:rFonts w:hint="default"/>
                <w:lang w:val="en-US" w:eastAsia="zh-CN"/>
              </w:rPr>
            </w:pPr>
            <w:r>
              <w:rPr>
                <w:rFonts w:hint="default"/>
                <w:lang w:val="en-US" w:eastAsia="zh-CN"/>
              </w:rPr>
              <w:t>混凝土运输车清洗废水产生量按用水量的80%计，产生量为</w:t>
            </w:r>
            <w:r>
              <w:rPr>
                <w:rFonts w:hint="eastAsia"/>
                <w:lang w:val="en-US" w:eastAsia="zh-CN"/>
              </w:rPr>
              <w:t>2.86</w:t>
            </w:r>
            <w:r>
              <w:rPr>
                <w:rFonts w:hint="default"/>
                <w:lang w:val="en-US" w:eastAsia="zh-CN"/>
              </w:rPr>
              <w:t>m</w:t>
            </w:r>
            <w:r>
              <w:rPr>
                <w:rFonts w:hint="default"/>
                <w:vertAlign w:val="superscript"/>
                <w:lang w:val="en-US" w:eastAsia="zh-CN"/>
              </w:rPr>
              <w:t>3</w:t>
            </w:r>
            <w:r>
              <w:rPr>
                <w:rFonts w:hint="default"/>
                <w:lang w:val="en-US" w:eastAsia="zh-CN"/>
              </w:rPr>
              <w:t>/d（</w:t>
            </w:r>
            <w:r>
              <w:rPr>
                <w:rFonts w:hint="eastAsia"/>
                <w:lang w:val="en-US" w:eastAsia="zh-CN"/>
              </w:rPr>
              <w:t>600.6</w:t>
            </w:r>
            <w:r>
              <w:rPr>
                <w:rFonts w:hint="default"/>
                <w:lang w:val="en-US" w:eastAsia="zh-CN"/>
              </w:rPr>
              <w:t>m</w:t>
            </w:r>
            <w:r>
              <w:rPr>
                <w:rFonts w:hint="default"/>
                <w:vertAlign w:val="superscript"/>
                <w:lang w:val="en-US" w:eastAsia="zh-CN"/>
              </w:rPr>
              <w:t>3</w:t>
            </w:r>
            <w:r>
              <w:rPr>
                <w:rFonts w:hint="default"/>
                <w:lang w:val="en-US" w:eastAsia="zh-CN"/>
              </w:rPr>
              <w:t>/a），排入厂区的沉淀池内，沉淀后上清液全部回用于搅拌机和混凝土运输车清洗，不外排。</w:t>
            </w:r>
          </w:p>
          <w:p w14:paraId="6680D0E8">
            <w:pPr>
              <w:pStyle w:val="54"/>
              <w:bidi w:val="0"/>
              <w:rPr>
                <w:rFonts w:hint="default"/>
                <w:lang w:val="en-US" w:eastAsia="zh-CN"/>
              </w:rPr>
            </w:pPr>
            <w:r>
              <w:rPr>
                <w:rFonts w:hint="default"/>
                <w:b/>
                <w:bCs/>
                <w:lang w:val="en-US" w:eastAsia="zh-CN"/>
              </w:rPr>
              <w:t>2.</w:t>
            </w:r>
            <w:r>
              <w:rPr>
                <w:rFonts w:hint="eastAsia"/>
                <w:b/>
                <w:bCs/>
                <w:lang w:val="en-US" w:eastAsia="zh-CN"/>
              </w:rPr>
              <w:t>2</w:t>
            </w:r>
            <w:r>
              <w:rPr>
                <w:rFonts w:hint="default"/>
                <w:b/>
                <w:bCs/>
                <w:lang w:val="en-US" w:eastAsia="zh-CN"/>
              </w:rPr>
              <w:t>依托污水处理设施的可行性分析</w:t>
            </w:r>
          </w:p>
          <w:p w14:paraId="5196EEB6">
            <w:pPr>
              <w:pStyle w:val="54"/>
              <w:bidi w:val="0"/>
              <w:rPr>
                <w:rFonts w:hint="default"/>
                <w:lang w:val="en-US" w:eastAsia="zh-CN"/>
              </w:rPr>
            </w:pPr>
            <w:r>
              <w:rPr>
                <w:rFonts w:hint="eastAsia"/>
                <w:lang w:val="en-US" w:eastAsia="zh-CN"/>
              </w:rPr>
              <w:t>2025年4月，</w:t>
            </w:r>
            <w:r>
              <w:rPr>
                <w:rFonts w:hint="default"/>
                <w:lang w:val="en-US" w:eastAsia="zh-CN"/>
              </w:rPr>
              <w:t>甘其毛都口岸加工园区</w:t>
            </w:r>
            <w:r>
              <w:rPr>
                <w:rFonts w:hint="eastAsia"/>
                <w:lang w:val="en-US" w:eastAsia="zh-CN"/>
              </w:rPr>
              <w:t>利用</w:t>
            </w:r>
            <w:r>
              <w:rPr>
                <w:rFonts w:hint="default"/>
                <w:lang w:val="en-US" w:eastAsia="zh-CN"/>
              </w:rPr>
              <w:t>现有建成的污水处理厂的进水粗格栅间、集水池、清水池、污泥浓缩池及污泥脱水装置等设施设备，通过改造现有建成的均质池及新建配套的附属建筑，建设一套生活污水处理系统，建设规模4000m</w:t>
            </w:r>
            <w:r>
              <w:rPr>
                <w:rFonts w:hint="eastAsia"/>
                <w:vertAlign w:val="superscript"/>
                <w:lang w:val="en-US" w:eastAsia="zh-CN"/>
              </w:rPr>
              <w:t>3</w:t>
            </w:r>
            <w:r>
              <w:rPr>
                <w:rFonts w:hint="default"/>
                <w:lang w:val="en-US" w:eastAsia="zh-CN"/>
              </w:rPr>
              <w:t>/d，设2组处理量2000m</w:t>
            </w:r>
            <w:r>
              <w:rPr>
                <w:rFonts w:hint="eastAsia"/>
                <w:vertAlign w:val="superscript"/>
                <w:lang w:val="en-US" w:eastAsia="zh-CN"/>
              </w:rPr>
              <w:t>3</w:t>
            </w:r>
            <w:r>
              <w:rPr>
                <w:rFonts w:hint="default"/>
                <w:lang w:val="en-US" w:eastAsia="zh-CN"/>
              </w:rPr>
              <w:t>/d处理系统，可单独启用</w:t>
            </w:r>
            <w:r>
              <w:rPr>
                <w:rFonts w:hint="eastAsia"/>
                <w:lang w:val="en-US" w:eastAsia="zh-CN"/>
              </w:rPr>
              <w:t>，</w:t>
            </w:r>
            <w:r>
              <w:rPr>
                <w:rFonts w:hint="default"/>
                <w:lang w:val="en-US" w:eastAsia="zh-CN"/>
              </w:rPr>
              <w:t>废水处理采用</w:t>
            </w:r>
            <w:r>
              <w:rPr>
                <w:rFonts w:hint="eastAsia"/>
                <w:lang w:val="en-US" w:eastAsia="zh-CN"/>
              </w:rPr>
              <w:t>“</w:t>
            </w:r>
            <w:r>
              <w:rPr>
                <w:rFonts w:hint="default"/>
                <w:lang w:val="en-US" w:eastAsia="zh-CN"/>
              </w:rPr>
              <w:t>A</w:t>
            </w:r>
            <w:r>
              <w:rPr>
                <w:rFonts w:hint="eastAsia"/>
                <w:vertAlign w:val="superscript"/>
                <w:lang w:val="en-US" w:eastAsia="zh-CN"/>
              </w:rPr>
              <w:t>2</w:t>
            </w:r>
            <w:r>
              <w:rPr>
                <w:rFonts w:hint="default"/>
                <w:lang w:val="en-US" w:eastAsia="zh-CN"/>
              </w:rPr>
              <w:t>O+BSFR内置二沉池+深度处理</w:t>
            </w:r>
            <w:r>
              <w:rPr>
                <w:rFonts w:hint="eastAsia"/>
                <w:lang w:val="en-US" w:eastAsia="zh-CN"/>
              </w:rPr>
              <w:t>”</w:t>
            </w:r>
            <w:r>
              <w:rPr>
                <w:rFonts w:hint="default"/>
                <w:lang w:val="en-US" w:eastAsia="zh-CN"/>
              </w:rPr>
              <w:t>工艺</w:t>
            </w:r>
            <w:r>
              <w:rPr>
                <w:rFonts w:hint="eastAsia"/>
                <w:lang w:val="en-US" w:eastAsia="zh-CN"/>
              </w:rPr>
              <w:t>，现已调试运行</w:t>
            </w:r>
            <w:r>
              <w:rPr>
                <w:rFonts w:hint="default"/>
                <w:lang w:val="en-US" w:eastAsia="zh-CN"/>
              </w:rPr>
              <w:t>。</w:t>
            </w:r>
          </w:p>
          <w:p w14:paraId="76A7E160">
            <w:pPr>
              <w:pStyle w:val="54"/>
              <w:bidi w:val="0"/>
              <w:rPr>
                <w:rFonts w:hint="default"/>
                <w:lang w:val="en-US" w:eastAsia="zh-CN"/>
              </w:rPr>
            </w:pPr>
            <w:r>
              <w:rPr>
                <w:rFonts w:hint="default"/>
                <w:lang w:val="en-US" w:eastAsia="zh-CN"/>
              </w:rPr>
              <w:t>本项目生活污水产生量较少，仅为0.384m</w:t>
            </w:r>
            <w:r>
              <w:rPr>
                <w:rFonts w:hint="default"/>
                <w:vertAlign w:val="superscript"/>
                <w:lang w:val="en-US" w:eastAsia="zh-CN"/>
              </w:rPr>
              <w:t>3</w:t>
            </w:r>
            <w:r>
              <w:rPr>
                <w:rFonts w:hint="default"/>
              </w:rPr>
              <w:t>/</w:t>
            </w:r>
            <w:r>
              <w:rPr>
                <w:rFonts w:hint="default"/>
                <w:lang w:eastAsia="zh-CN"/>
              </w:rPr>
              <w:t>d</w:t>
            </w:r>
            <w:r>
              <w:rPr>
                <w:rFonts w:hint="default"/>
                <w:lang w:val="en-US" w:eastAsia="zh-CN"/>
              </w:rPr>
              <w:t>，远小于园区污水处理厂剩余日均处理水量能力，剩余处理能力可以接纳本项目排水。</w:t>
            </w:r>
            <w:r>
              <w:rPr>
                <w:rFonts w:hint="eastAsia"/>
                <w:lang w:val="en-US" w:eastAsia="zh-CN"/>
              </w:rPr>
              <w:t>本项目生活污水采用罐车拉运至甘其毛都口岸加工园区污水处理厂，甘其毛都口岸加工园区污水处理厂位于本项目厂区东南侧7.3km处，距离较近，拉运可行。</w:t>
            </w:r>
          </w:p>
          <w:p w14:paraId="047F7CA2">
            <w:pPr>
              <w:pStyle w:val="54"/>
              <w:bidi w:val="0"/>
              <w:rPr>
                <w:rFonts w:hint="eastAsia"/>
                <w:lang w:val="en-US" w:eastAsia="zh-CN"/>
              </w:rPr>
            </w:pPr>
            <w:r>
              <w:rPr>
                <w:rFonts w:hint="default"/>
                <w:lang w:val="en-US" w:eastAsia="zh-CN"/>
              </w:rPr>
              <w:t>综上所述，本项目生活污水产生量较少</w:t>
            </w:r>
            <w:r>
              <w:rPr>
                <w:rFonts w:hint="default"/>
                <w:lang w:eastAsia="zh-CN"/>
              </w:rPr>
              <w:t>，</w:t>
            </w:r>
            <w:r>
              <w:rPr>
                <w:rFonts w:hint="default"/>
                <w:lang w:val="en-US" w:eastAsia="zh-CN"/>
              </w:rPr>
              <w:t>不会超出园区污水处理厂的处理能力负荷，符合园区污水处理厂的纳管要求，不会对园区污水处理厂造成冲击，依托处理可行</w:t>
            </w:r>
            <w:r>
              <w:rPr>
                <w:rFonts w:hint="default"/>
                <w:lang w:val="en-US"/>
              </w:rPr>
              <w:t>。</w:t>
            </w:r>
          </w:p>
          <w:p w14:paraId="1C0F458C">
            <w:pPr>
              <w:pStyle w:val="54"/>
              <w:bidi w:val="0"/>
              <w:rPr>
                <w:rFonts w:hint="eastAsia"/>
                <w:lang w:val="en-US" w:eastAsia="zh-CN"/>
              </w:rPr>
            </w:pPr>
            <w:r>
              <w:rPr>
                <w:rFonts w:hint="eastAsia"/>
                <w:b/>
                <w:bCs/>
                <w:lang w:val="en-US" w:eastAsia="zh-CN"/>
              </w:rPr>
              <w:t>3、运营期噪声环境影响及防治措施</w:t>
            </w:r>
          </w:p>
          <w:p w14:paraId="1B57BE5F">
            <w:pPr>
              <w:adjustRightInd w:val="0"/>
              <w:snapToGrid w:val="0"/>
              <w:spacing w:line="360" w:lineRule="auto"/>
              <w:ind w:firstLine="440" w:firstLineChars="200"/>
              <w:rPr>
                <w:rFonts w:hint="eastAsia" w:ascii="Times New Roman" w:hAnsi="Times New Roman" w:cs="Times New Roman"/>
                <w:b w:val="0"/>
                <w:bCs/>
                <w:spacing w:val="-10"/>
                <w:sz w:val="24"/>
                <w:szCs w:val="24"/>
                <w:lang w:val="en-US" w:eastAsia="zh-CN"/>
              </w:rPr>
            </w:pPr>
            <w:r>
              <w:rPr>
                <w:rFonts w:hint="eastAsia" w:ascii="Times New Roman" w:hAnsi="Times New Roman" w:cs="Times New Roman"/>
                <w:b w:val="0"/>
                <w:bCs/>
                <w:spacing w:val="-10"/>
                <w:sz w:val="24"/>
                <w:szCs w:val="24"/>
                <w:lang w:val="en-US" w:eastAsia="zh-CN"/>
              </w:rPr>
              <w:t>本项目运营期产生的噪声主要为生产机械设备噪声及运输车辆产生的噪声。</w:t>
            </w:r>
          </w:p>
          <w:p w14:paraId="268F5A94">
            <w:pPr>
              <w:adjustRightInd w:val="0"/>
              <w:snapToGrid w:val="0"/>
              <w:spacing w:line="360" w:lineRule="auto"/>
              <w:ind w:firstLine="440" w:firstLineChars="200"/>
              <w:rPr>
                <w:rFonts w:hint="default" w:ascii="Times New Roman" w:hAnsi="Times New Roman" w:cs="Times New Roman"/>
                <w:b w:val="0"/>
                <w:bCs/>
                <w:spacing w:val="-10"/>
                <w:sz w:val="24"/>
                <w:szCs w:val="24"/>
                <w:lang w:val="en-US" w:eastAsia="zh-CN"/>
              </w:rPr>
            </w:pPr>
            <w:r>
              <w:rPr>
                <w:rFonts w:hint="eastAsia" w:ascii="Times New Roman" w:hAnsi="Times New Roman" w:cs="Times New Roman"/>
                <w:b w:val="0"/>
                <w:bCs/>
                <w:spacing w:val="-10"/>
                <w:sz w:val="24"/>
                <w:szCs w:val="24"/>
                <w:lang w:val="en-US" w:eastAsia="zh-CN"/>
              </w:rPr>
              <w:t>1）机械设备噪声</w:t>
            </w:r>
          </w:p>
          <w:p w14:paraId="41BC735C">
            <w:pPr>
              <w:bidi w:val="0"/>
              <w:spacing w:line="360" w:lineRule="auto"/>
              <w:ind w:firstLine="480" w:firstLineChars="200"/>
              <w:rPr>
                <w:rFonts w:hint="eastAsia" w:ascii="Times New Roman" w:hAnsi="Times New Roman" w:cs="Times New Roman"/>
                <w:b w:val="0"/>
                <w:bCs/>
                <w:spacing w:val="-10"/>
                <w:szCs w:val="24"/>
                <w:lang w:val="en-US" w:eastAsia="zh-CN"/>
              </w:rPr>
            </w:pPr>
            <w:r>
              <w:rPr>
                <w:rFonts w:hint="eastAsia" w:cs="Times New Roman"/>
                <w:sz w:val="24"/>
                <w:szCs w:val="24"/>
                <w:lang w:val="en-US" w:eastAsia="zh-CN"/>
              </w:rPr>
              <w:t>本</w:t>
            </w:r>
            <w:r>
              <w:rPr>
                <w:rFonts w:hint="default" w:ascii="Times New Roman" w:hAnsi="Times New Roman" w:cs="Times New Roman"/>
                <w:sz w:val="24"/>
                <w:szCs w:val="24"/>
                <w:lang w:val="en-US" w:eastAsia="zh-CN"/>
              </w:rPr>
              <w:t>项目主要生产机械设备噪声源情况见下表。</w:t>
            </w:r>
          </w:p>
          <w:p w14:paraId="26054FC6">
            <w:pPr>
              <w:pStyle w:val="33"/>
              <w:bidi w:val="0"/>
              <w:rPr>
                <w:rFonts w:hint="default" w:ascii="宋体" w:hAnsi="宋体" w:cs="宋体"/>
                <w:b/>
                <w:bCs w:val="0"/>
                <w:szCs w:val="24"/>
                <w:lang w:val="en-US" w:eastAsia="zh-CN"/>
              </w:rPr>
            </w:pPr>
            <w:r>
              <w:rPr>
                <w:rFonts w:hint="default"/>
                <w:lang w:val="en-US" w:eastAsia="zh-CN"/>
              </w:rPr>
              <w:t>表</w:t>
            </w:r>
            <w:r>
              <w:rPr>
                <w:rFonts w:hint="eastAsia"/>
                <w:lang w:val="en-US" w:eastAsia="zh-CN"/>
              </w:rPr>
              <w:t>31</w:t>
            </w:r>
            <w:r>
              <w:rPr>
                <w:rFonts w:hint="default"/>
                <w:lang w:val="en-US" w:eastAsia="zh-CN"/>
              </w:rPr>
              <w:t xml:space="preserve"> </w:t>
            </w:r>
            <w:r>
              <w:rPr>
                <w:rFonts w:hint="eastAsia"/>
                <w:lang w:val="en-US" w:eastAsia="zh-CN"/>
              </w:rPr>
              <w:t xml:space="preserve">  </w:t>
            </w:r>
            <w:r>
              <w:rPr>
                <w:rFonts w:hint="default"/>
                <w:lang w:val="en-US" w:eastAsia="zh-CN"/>
              </w:rPr>
              <w:t xml:space="preserve"> 项目噪声源强产排情况一览表   单位：dB（A）</w:t>
            </w:r>
          </w:p>
          <w:tbl>
            <w:tblPr>
              <w:tblStyle w:val="1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889"/>
              <w:gridCol w:w="784"/>
              <w:gridCol w:w="1337"/>
              <w:gridCol w:w="681"/>
              <w:gridCol w:w="900"/>
              <w:gridCol w:w="959"/>
              <w:gridCol w:w="897"/>
              <w:gridCol w:w="730"/>
              <w:gridCol w:w="867"/>
            </w:tblGrid>
            <w:tr w14:paraId="4387DD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0" w:type="pct"/>
                  <w:vMerge w:val="restart"/>
                  <w:tcBorders>
                    <w:tl2br w:val="nil"/>
                    <w:tr2bl w:val="nil"/>
                  </w:tcBorders>
                  <w:noWrap w:val="0"/>
                  <w:vAlign w:val="center"/>
                </w:tcPr>
                <w:p w14:paraId="057BEE43">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序号</w:t>
                  </w:r>
                </w:p>
              </w:tc>
              <w:tc>
                <w:tcPr>
                  <w:tcW w:w="524" w:type="pct"/>
                  <w:vMerge w:val="restart"/>
                  <w:tcBorders>
                    <w:tl2br w:val="nil"/>
                    <w:tr2bl w:val="nil"/>
                  </w:tcBorders>
                  <w:noWrap w:val="0"/>
                  <w:vAlign w:val="center"/>
                </w:tcPr>
                <w:p w14:paraId="50BA266B">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设备名称</w:t>
                  </w:r>
                </w:p>
              </w:tc>
              <w:tc>
                <w:tcPr>
                  <w:tcW w:w="463" w:type="pct"/>
                  <w:vMerge w:val="restart"/>
                  <w:tcBorders>
                    <w:tl2br w:val="nil"/>
                    <w:tr2bl w:val="nil"/>
                  </w:tcBorders>
                  <w:noWrap w:val="0"/>
                  <w:vAlign w:val="center"/>
                </w:tcPr>
                <w:p w14:paraId="7AFB7231">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声功率级dB（A）</w:t>
                  </w:r>
                </w:p>
              </w:tc>
              <w:tc>
                <w:tcPr>
                  <w:tcW w:w="789" w:type="pct"/>
                  <w:vMerge w:val="restart"/>
                  <w:tcBorders>
                    <w:tl2br w:val="nil"/>
                    <w:tr2bl w:val="nil"/>
                  </w:tcBorders>
                  <w:noWrap w:val="0"/>
                  <w:vAlign w:val="center"/>
                </w:tcPr>
                <w:p w14:paraId="767EC78C">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声源控制措施</w:t>
                  </w:r>
                </w:p>
              </w:tc>
              <w:tc>
                <w:tcPr>
                  <w:tcW w:w="402" w:type="pct"/>
                  <w:vMerge w:val="restart"/>
                  <w:tcBorders>
                    <w:tl2br w:val="nil"/>
                    <w:tr2bl w:val="nil"/>
                  </w:tcBorders>
                  <w:noWrap w:val="0"/>
                  <w:vAlign w:val="center"/>
                </w:tcPr>
                <w:p w14:paraId="57A5375B">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距室内边界距离m</w:t>
                  </w:r>
                </w:p>
              </w:tc>
              <w:tc>
                <w:tcPr>
                  <w:tcW w:w="531" w:type="pct"/>
                  <w:vMerge w:val="restart"/>
                  <w:tcBorders>
                    <w:tl2br w:val="nil"/>
                    <w:tr2bl w:val="nil"/>
                  </w:tcBorders>
                  <w:noWrap w:val="0"/>
                  <w:vAlign w:val="center"/>
                </w:tcPr>
                <w:p w14:paraId="58C3A702">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室内边界声级dB（A）</w:t>
                  </w:r>
                </w:p>
              </w:tc>
              <w:tc>
                <w:tcPr>
                  <w:tcW w:w="565" w:type="pct"/>
                  <w:vMerge w:val="restart"/>
                  <w:tcBorders>
                    <w:tl2br w:val="nil"/>
                    <w:tr2bl w:val="nil"/>
                  </w:tcBorders>
                  <w:noWrap w:val="0"/>
                  <w:vAlign w:val="center"/>
                </w:tcPr>
                <w:p w14:paraId="1D4C7B51">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运行时段</w:t>
                  </w:r>
                </w:p>
              </w:tc>
              <w:tc>
                <w:tcPr>
                  <w:tcW w:w="529" w:type="pct"/>
                  <w:vMerge w:val="restart"/>
                  <w:tcBorders>
                    <w:tl2br w:val="nil"/>
                    <w:tr2bl w:val="nil"/>
                  </w:tcBorders>
                  <w:noWrap w:val="0"/>
                  <w:vAlign w:val="center"/>
                </w:tcPr>
                <w:p w14:paraId="0761B89F">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建筑物插入损失dB（A）</w:t>
                  </w:r>
                </w:p>
              </w:tc>
              <w:tc>
                <w:tcPr>
                  <w:tcW w:w="942" w:type="pct"/>
                  <w:gridSpan w:val="2"/>
                  <w:tcBorders>
                    <w:tl2br w:val="nil"/>
                    <w:tr2bl w:val="nil"/>
                  </w:tcBorders>
                  <w:noWrap w:val="0"/>
                  <w:vAlign w:val="center"/>
                </w:tcPr>
                <w:p w14:paraId="291E74E0">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建筑物外噪声</w:t>
                  </w:r>
                </w:p>
              </w:tc>
            </w:tr>
            <w:tr w14:paraId="3D006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0" w:type="pct"/>
                  <w:vMerge w:val="continue"/>
                  <w:tcBorders>
                    <w:tl2br w:val="nil"/>
                    <w:tr2bl w:val="nil"/>
                  </w:tcBorders>
                  <w:noWrap w:val="0"/>
                  <w:vAlign w:val="center"/>
                </w:tcPr>
                <w:p w14:paraId="4C66DC67">
                  <w:pPr>
                    <w:pStyle w:val="38"/>
                    <w:bidi w:val="0"/>
                    <w:rPr>
                      <w:rFonts w:hint="default" w:ascii="Times New Roman" w:hAnsi="Times New Roman" w:cs="Times New Roman"/>
                      <w:sz w:val="21"/>
                      <w:szCs w:val="21"/>
                    </w:rPr>
                  </w:pPr>
                </w:p>
              </w:tc>
              <w:tc>
                <w:tcPr>
                  <w:tcW w:w="524" w:type="pct"/>
                  <w:vMerge w:val="continue"/>
                  <w:tcBorders>
                    <w:tl2br w:val="nil"/>
                    <w:tr2bl w:val="nil"/>
                  </w:tcBorders>
                  <w:noWrap w:val="0"/>
                  <w:vAlign w:val="center"/>
                </w:tcPr>
                <w:p w14:paraId="0A4CD24A">
                  <w:pPr>
                    <w:pStyle w:val="38"/>
                    <w:bidi w:val="0"/>
                    <w:rPr>
                      <w:rFonts w:hint="default" w:ascii="Times New Roman" w:hAnsi="Times New Roman" w:cs="Times New Roman"/>
                      <w:sz w:val="21"/>
                      <w:szCs w:val="21"/>
                    </w:rPr>
                  </w:pPr>
                </w:p>
              </w:tc>
              <w:tc>
                <w:tcPr>
                  <w:tcW w:w="463" w:type="pct"/>
                  <w:vMerge w:val="continue"/>
                  <w:tcBorders>
                    <w:tl2br w:val="nil"/>
                    <w:tr2bl w:val="nil"/>
                  </w:tcBorders>
                  <w:noWrap w:val="0"/>
                  <w:vAlign w:val="center"/>
                </w:tcPr>
                <w:p w14:paraId="1C7B1D2F">
                  <w:pPr>
                    <w:pStyle w:val="38"/>
                    <w:bidi w:val="0"/>
                    <w:rPr>
                      <w:rFonts w:hint="default" w:ascii="Times New Roman" w:hAnsi="Times New Roman" w:cs="Times New Roman"/>
                      <w:sz w:val="21"/>
                      <w:szCs w:val="21"/>
                    </w:rPr>
                  </w:pPr>
                </w:p>
              </w:tc>
              <w:tc>
                <w:tcPr>
                  <w:tcW w:w="789" w:type="pct"/>
                  <w:vMerge w:val="continue"/>
                  <w:tcBorders>
                    <w:tl2br w:val="nil"/>
                    <w:tr2bl w:val="nil"/>
                  </w:tcBorders>
                  <w:noWrap w:val="0"/>
                  <w:vAlign w:val="center"/>
                </w:tcPr>
                <w:p w14:paraId="7B457929">
                  <w:pPr>
                    <w:pStyle w:val="38"/>
                    <w:bidi w:val="0"/>
                    <w:rPr>
                      <w:rFonts w:hint="default" w:ascii="Times New Roman" w:hAnsi="Times New Roman" w:cs="Times New Roman"/>
                      <w:sz w:val="21"/>
                      <w:szCs w:val="21"/>
                    </w:rPr>
                  </w:pPr>
                </w:p>
              </w:tc>
              <w:tc>
                <w:tcPr>
                  <w:tcW w:w="402" w:type="pct"/>
                  <w:vMerge w:val="continue"/>
                  <w:tcBorders>
                    <w:tl2br w:val="nil"/>
                    <w:tr2bl w:val="nil"/>
                  </w:tcBorders>
                  <w:noWrap w:val="0"/>
                  <w:vAlign w:val="center"/>
                </w:tcPr>
                <w:p w14:paraId="420318C9">
                  <w:pPr>
                    <w:pStyle w:val="38"/>
                    <w:bidi w:val="0"/>
                    <w:rPr>
                      <w:rFonts w:hint="default" w:ascii="Times New Roman" w:hAnsi="Times New Roman" w:cs="Times New Roman"/>
                      <w:sz w:val="21"/>
                      <w:szCs w:val="21"/>
                    </w:rPr>
                  </w:pPr>
                </w:p>
              </w:tc>
              <w:tc>
                <w:tcPr>
                  <w:tcW w:w="531" w:type="pct"/>
                  <w:vMerge w:val="continue"/>
                  <w:tcBorders>
                    <w:tl2br w:val="nil"/>
                    <w:tr2bl w:val="nil"/>
                  </w:tcBorders>
                  <w:noWrap w:val="0"/>
                  <w:vAlign w:val="center"/>
                </w:tcPr>
                <w:p w14:paraId="7BF4E0BF">
                  <w:pPr>
                    <w:pStyle w:val="38"/>
                    <w:bidi w:val="0"/>
                    <w:rPr>
                      <w:rFonts w:hint="default" w:ascii="Times New Roman" w:hAnsi="Times New Roman" w:cs="Times New Roman"/>
                      <w:sz w:val="21"/>
                      <w:szCs w:val="21"/>
                    </w:rPr>
                  </w:pPr>
                </w:p>
              </w:tc>
              <w:tc>
                <w:tcPr>
                  <w:tcW w:w="565" w:type="pct"/>
                  <w:vMerge w:val="continue"/>
                  <w:tcBorders>
                    <w:tl2br w:val="nil"/>
                    <w:tr2bl w:val="nil"/>
                  </w:tcBorders>
                  <w:noWrap w:val="0"/>
                  <w:vAlign w:val="center"/>
                </w:tcPr>
                <w:p w14:paraId="6E51752F">
                  <w:pPr>
                    <w:pStyle w:val="38"/>
                    <w:bidi w:val="0"/>
                    <w:rPr>
                      <w:rFonts w:hint="default" w:ascii="Times New Roman" w:hAnsi="Times New Roman" w:cs="Times New Roman"/>
                      <w:sz w:val="21"/>
                      <w:szCs w:val="21"/>
                    </w:rPr>
                  </w:pPr>
                </w:p>
              </w:tc>
              <w:tc>
                <w:tcPr>
                  <w:tcW w:w="529" w:type="pct"/>
                  <w:vMerge w:val="continue"/>
                  <w:tcBorders>
                    <w:tl2br w:val="nil"/>
                    <w:tr2bl w:val="nil"/>
                  </w:tcBorders>
                  <w:noWrap w:val="0"/>
                  <w:vAlign w:val="center"/>
                </w:tcPr>
                <w:p w14:paraId="191557AC">
                  <w:pPr>
                    <w:pStyle w:val="38"/>
                    <w:bidi w:val="0"/>
                    <w:rPr>
                      <w:rFonts w:hint="default" w:ascii="Times New Roman" w:hAnsi="Times New Roman" w:cs="Times New Roman"/>
                      <w:sz w:val="21"/>
                      <w:szCs w:val="21"/>
                    </w:rPr>
                  </w:pPr>
                </w:p>
              </w:tc>
              <w:tc>
                <w:tcPr>
                  <w:tcW w:w="430" w:type="pct"/>
                  <w:tcBorders>
                    <w:tl2br w:val="nil"/>
                    <w:tr2bl w:val="nil"/>
                  </w:tcBorders>
                  <w:noWrap w:val="0"/>
                  <w:vAlign w:val="center"/>
                </w:tcPr>
                <w:p w14:paraId="0BABD127">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声压级dB（A）</w:t>
                  </w:r>
                </w:p>
              </w:tc>
              <w:tc>
                <w:tcPr>
                  <w:tcW w:w="511" w:type="pct"/>
                  <w:tcBorders>
                    <w:tl2br w:val="nil"/>
                    <w:tr2bl w:val="nil"/>
                  </w:tcBorders>
                  <w:noWrap w:val="0"/>
                  <w:vAlign w:val="center"/>
                </w:tcPr>
                <w:p w14:paraId="61FC2AA5">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建筑物外距离m</w:t>
                  </w:r>
                </w:p>
              </w:tc>
            </w:tr>
            <w:tr w14:paraId="2C7642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0" w:type="pct"/>
                  <w:tcBorders>
                    <w:tl2br w:val="nil"/>
                    <w:tr2bl w:val="nil"/>
                  </w:tcBorders>
                  <w:noWrap w:val="0"/>
                  <w:vAlign w:val="center"/>
                </w:tcPr>
                <w:p w14:paraId="74AF2BF0">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p>
              </w:tc>
              <w:tc>
                <w:tcPr>
                  <w:tcW w:w="524" w:type="pct"/>
                  <w:tcBorders>
                    <w:tl2br w:val="nil"/>
                    <w:tr2bl w:val="nil"/>
                  </w:tcBorders>
                  <w:shd w:val="clear" w:color="auto" w:fill="auto"/>
                  <w:noWrap w:val="0"/>
                  <w:vAlign w:val="center"/>
                </w:tcPr>
                <w:p w14:paraId="3368B4A7">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水泵</w:t>
                  </w:r>
                </w:p>
              </w:tc>
              <w:tc>
                <w:tcPr>
                  <w:tcW w:w="463" w:type="pct"/>
                  <w:tcBorders>
                    <w:tl2br w:val="nil"/>
                    <w:tr2bl w:val="nil"/>
                  </w:tcBorders>
                  <w:shd w:val="clear" w:color="auto" w:fill="auto"/>
                  <w:noWrap w:val="0"/>
                  <w:vAlign w:val="center"/>
                </w:tcPr>
                <w:p w14:paraId="649CB948">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85</w:t>
                  </w:r>
                </w:p>
              </w:tc>
              <w:tc>
                <w:tcPr>
                  <w:tcW w:w="789" w:type="pct"/>
                  <w:vMerge w:val="restart"/>
                  <w:tcBorders>
                    <w:tl2br w:val="nil"/>
                    <w:tr2bl w:val="nil"/>
                  </w:tcBorders>
                  <w:noWrap w:val="0"/>
                  <w:vAlign w:val="center"/>
                </w:tcPr>
                <w:p w14:paraId="738A563D">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选用低噪声设备、全部安装在厂房内、基础减振、风机安装消声器</w:t>
                  </w:r>
                  <w:r>
                    <w:rPr>
                      <w:rFonts w:hint="eastAsia" w:ascii="Times New Roman" w:hAnsi="Times New Roman" w:cs="Times New Roman"/>
                      <w:sz w:val="21"/>
                      <w:szCs w:val="21"/>
                      <w:lang w:val="en-US" w:eastAsia="zh-CN"/>
                    </w:rPr>
                    <w:t>、车间内合理布局</w:t>
                  </w:r>
                </w:p>
              </w:tc>
              <w:tc>
                <w:tcPr>
                  <w:tcW w:w="402" w:type="pct"/>
                  <w:tcBorders>
                    <w:tl2br w:val="nil"/>
                    <w:tr2bl w:val="nil"/>
                  </w:tcBorders>
                  <w:shd w:val="clear" w:color="auto" w:fill="auto"/>
                  <w:noWrap w:val="0"/>
                  <w:vAlign w:val="center"/>
                </w:tcPr>
                <w:p w14:paraId="3254D716">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2</w:t>
                  </w:r>
                </w:p>
              </w:tc>
              <w:tc>
                <w:tcPr>
                  <w:tcW w:w="531" w:type="pct"/>
                  <w:tcBorders>
                    <w:tl2br w:val="nil"/>
                    <w:tr2bl w:val="nil"/>
                  </w:tcBorders>
                  <w:shd w:val="clear" w:color="auto" w:fill="auto"/>
                  <w:noWrap w:val="0"/>
                  <w:vAlign w:val="center"/>
                </w:tcPr>
                <w:p w14:paraId="593AB13B">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75</w:t>
                  </w:r>
                </w:p>
              </w:tc>
              <w:tc>
                <w:tcPr>
                  <w:tcW w:w="565" w:type="pct"/>
                  <w:vMerge w:val="restart"/>
                  <w:tcBorders>
                    <w:tl2br w:val="nil"/>
                    <w:tr2bl w:val="nil"/>
                  </w:tcBorders>
                  <w:noWrap w:val="0"/>
                  <w:vAlign w:val="center"/>
                </w:tcPr>
                <w:p w14:paraId="41329A46">
                  <w:pPr>
                    <w:pStyle w:val="38"/>
                    <w:bidi w:val="0"/>
                    <w:rPr>
                      <w:rFonts w:hint="default" w:ascii="Times New Roman" w:hAnsi="Times New Roman" w:cs="Times New Roman"/>
                      <w:sz w:val="21"/>
                      <w:szCs w:val="21"/>
                      <w:lang w:val="en-US" w:eastAsia="zh-CN"/>
                    </w:rPr>
                  </w:pPr>
                  <w:r>
                    <w:rPr>
                      <w:rFonts w:hint="eastAsia" w:ascii="Times New Roman" w:cs="Times New Roman"/>
                      <w:sz w:val="21"/>
                      <w:szCs w:val="21"/>
                      <w:lang w:val="en-US" w:eastAsia="zh-CN"/>
                    </w:rPr>
                    <w:t>8</w:t>
                  </w:r>
                  <w:r>
                    <w:rPr>
                      <w:rFonts w:hint="default" w:ascii="Times New Roman" w:hAnsi="Times New Roman" w:cs="Times New Roman"/>
                      <w:sz w:val="21"/>
                      <w:szCs w:val="21"/>
                      <w:lang w:val="en-US" w:eastAsia="zh-CN"/>
                    </w:rPr>
                    <w:t>:00—</w:t>
                  </w:r>
                  <w:r>
                    <w:rPr>
                      <w:rFonts w:hint="eastAsia" w:ascii="Times New Roman" w:hAnsi="Times New Roman" w:cs="Times New Roman"/>
                      <w:sz w:val="21"/>
                      <w:szCs w:val="21"/>
                      <w:lang w:val="en-US" w:eastAsia="zh-CN"/>
                    </w:rPr>
                    <w:t>1</w:t>
                  </w:r>
                  <w:r>
                    <w:rPr>
                      <w:rFonts w:hint="eastAsia" w:ascii="Times New Roman" w:cs="Times New Roman"/>
                      <w:sz w:val="21"/>
                      <w:szCs w:val="21"/>
                      <w:lang w:val="en-US" w:eastAsia="zh-CN"/>
                    </w:rPr>
                    <w:t>2</w:t>
                  </w:r>
                  <w:r>
                    <w:rPr>
                      <w:rFonts w:hint="default" w:ascii="Times New Roman" w:hAnsi="Times New Roman" w:cs="Times New Roman"/>
                      <w:sz w:val="21"/>
                      <w:szCs w:val="21"/>
                      <w:lang w:val="en-US" w:eastAsia="zh-CN"/>
                    </w:rPr>
                    <w:t>:00；1</w:t>
                  </w:r>
                  <w:r>
                    <w:rPr>
                      <w:rFonts w:hint="eastAsia" w:ascii="Times New Roman" w:cs="Times New Roman"/>
                      <w:sz w:val="21"/>
                      <w:szCs w:val="21"/>
                      <w:lang w:val="en-US" w:eastAsia="zh-CN"/>
                    </w:rPr>
                    <w:t>4</w:t>
                  </w:r>
                  <w:r>
                    <w:rPr>
                      <w:rFonts w:hint="default" w:ascii="Times New Roman" w:hAnsi="Times New Roman" w:cs="Times New Roman"/>
                      <w:sz w:val="21"/>
                      <w:szCs w:val="21"/>
                      <w:lang w:val="en-US" w:eastAsia="zh-CN"/>
                    </w:rPr>
                    <w:t>:00—1</w:t>
                  </w:r>
                  <w:r>
                    <w:rPr>
                      <w:rFonts w:hint="eastAsia" w:ascii="Times New Roman" w:cs="Times New Roman"/>
                      <w:sz w:val="21"/>
                      <w:szCs w:val="21"/>
                      <w:lang w:val="en-US" w:eastAsia="zh-CN"/>
                    </w:rPr>
                    <w:t>8</w:t>
                  </w:r>
                  <w:r>
                    <w:rPr>
                      <w:rFonts w:hint="default" w:ascii="Times New Roman" w:hAnsi="Times New Roman" w:cs="Times New Roman"/>
                      <w:sz w:val="21"/>
                      <w:szCs w:val="21"/>
                      <w:lang w:val="en-US" w:eastAsia="zh-CN"/>
                    </w:rPr>
                    <w:t>:00</w:t>
                  </w:r>
                </w:p>
              </w:tc>
              <w:tc>
                <w:tcPr>
                  <w:tcW w:w="529" w:type="pct"/>
                  <w:tcBorders>
                    <w:tl2br w:val="nil"/>
                    <w:tr2bl w:val="nil"/>
                  </w:tcBorders>
                  <w:shd w:val="clear" w:color="auto" w:fill="auto"/>
                  <w:noWrap w:val="0"/>
                  <w:vAlign w:val="center"/>
                </w:tcPr>
                <w:p w14:paraId="00B19A34">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15</w:t>
                  </w:r>
                </w:p>
              </w:tc>
              <w:tc>
                <w:tcPr>
                  <w:tcW w:w="430" w:type="pct"/>
                  <w:tcBorders>
                    <w:tl2br w:val="nil"/>
                    <w:tr2bl w:val="nil"/>
                  </w:tcBorders>
                  <w:shd w:val="clear" w:color="auto" w:fill="auto"/>
                  <w:noWrap w:val="0"/>
                  <w:vAlign w:val="center"/>
                </w:tcPr>
                <w:p w14:paraId="09CF3873">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60</w:t>
                  </w:r>
                </w:p>
              </w:tc>
              <w:tc>
                <w:tcPr>
                  <w:tcW w:w="511" w:type="pct"/>
                  <w:tcBorders>
                    <w:tl2br w:val="nil"/>
                    <w:tr2bl w:val="nil"/>
                  </w:tcBorders>
                  <w:shd w:val="clear" w:color="auto" w:fill="auto"/>
                  <w:noWrap w:val="0"/>
                  <w:vAlign w:val="center"/>
                </w:tcPr>
                <w:p w14:paraId="78D4E7D7">
                  <w:pPr>
                    <w:pStyle w:val="38"/>
                    <w:bidi w:val="0"/>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sz w:val="21"/>
                      <w:szCs w:val="21"/>
                      <w:lang w:val="en-US" w:eastAsia="zh-CN"/>
                    </w:rPr>
                    <w:t>1</w:t>
                  </w:r>
                </w:p>
              </w:tc>
            </w:tr>
            <w:tr w14:paraId="3E8B4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0" w:type="pct"/>
                  <w:tcBorders>
                    <w:tl2br w:val="nil"/>
                    <w:tr2bl w:val="nil"/>
                  </w:tcBorders>
                  <w:noWrap w:val="0"/>
                  <w:vAlign w:val="center"/>
                </w:tcPr>
                <w:p w14:paraId="71F9A732">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w:t>
                  </w:r>
                </w:p>
              </w:tc>
              <w:tc>
                <w:tcPr>
                  <w:tcW w:w="524" w:type="pct"/>
                  <w:tcBorders>
                    <w:tl2br w:val="nil"/>
                    <w:tr2bl w:val="nil"/>
                  </w:tcBorders>
                  <w:shd w:val="clear" w:color="auto" w:fill="auto"/>
                  <w:noWrap w:val="0"/>
                  <w:vAlign w:val="center"/>
                </w:tcPr>
                <w:p w14:paraId="10FDEC8D">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全封闭</w:t>
                  </w:r>
                  <w:r>
                    <w:rPr>
                      <w:rFonts w:hint="eastAsia" w:ascii="Times New Roman" w:hAnsi="Times New Roman" w:cs="Times New Roman"/>
                      <w:sz w:val="21"/>
                      <w:szCs w:val="21"/>
                      <w:lang w:val="en-US" w:eastAsia="zh-CN"/>
                    </w:rPr>
                    <w:t>搅拌机</w:t>
                  </w:r>
                </w:p>
              </w:tc>
              <w:tc>
                <w:tcPr>
                  <w:tcW w:w="463" w:type="pct"/>
                  <w:tcBorders>
                    <w:tl2br w:val="nil"/>
                    <w:tr2bl w:val="nil"/>
                  </w:tcBorders>
                  <w:shd w:val="clear" w:color="auto" w:fill="auto"/>
                  <w:noWrap w:val="0"/>
                  <w:vAlign w:val="center"/>
                </w:tcPr>
                <w:p w14:paraId="001A05FB">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75</w:t>
                  </w:r>
                </w:p>
              </w:tc>
              <w:tc>
                <w:tcPr>
                  <w:tcW w:w="789" w:type="pct"/>
                  <w:vMerge w:val="continue"/>
                  <w:tcBorders>
                    <w:tl2br w:val="nil"/>
                    <w:tr2bl w:val="nil"/>
                  </w:tcBorders>
                  <w:noWrap w:val="0"/>
                  <w:vAlign w:val="center"/>
                </w:tcPr>
                <w:p w14:paraId="230FA92D">
                  <w:pPr>
                    <w:pStyle w:val="38"/>
                    <w:bidi w:val="0"/>
                    <w:rPr>
                      <w:rFonts w:hint="default" w:ascii="Times New Roman" w:hAnsi="Times New Roman" w:cs="Times New Roman"/>
                      <w:sz w:val="21"/>
                      <w:szCs w:val="21"/>
                      <w:lang w:val="en-US" w:eastAsia="zh-CN"/>
                    </w:rPr>
                  </w:pPr>
                </w:p>
              </w:tc>
              <w:tc>
                <w:tcPr>
                  <w:tcW w:w="402" w:type="pct"/>
                  <w:tcBorders>
                    <w:tl2br w:val="nil"/>
                    <w:tr2bl w:val="nil"/>
                  </w:tcBorders>
                  <w:shd w:val="clear" w:color="auto" w:fill="auto"/>
                  <w:noWrap w:val="0"/>
                  <w:vAlign w:val="center"/>
                </w:tcPr>
                <w:p w14:paraId="12DBB837">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3</w:t>
                  </w:r>
                </w:p>
              </w:tc>
              <w:tc>
                <w:tcPr>
                  <w:tcW w:w="531" w:type="pct"/>
                  <w:tcBorders>
                    <w:tl2br w:val="nil"/>
                    <w:tr2bl w:val="nil"/>
                  </w:tcBorders>
                  <w:shd w:val="clear" w:color="auto" w:fill="auto"/>
                  <w:noWrap w:val="0"/>
                  <w:vAlign w:val="center"/>
                </w:tcPr>
                <w:p w14:paraId="3D89A182">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65</w:t>
                  </w:r>
                </w:p>
              </w:tc>
              <w:tc>
                <w:tcPr>
                  <w:tcW w:w="565" w:type="pct"/>
                  <w:vMerge w:val="continue"/>
                  <w:tcBorders>
                    <w:tl2br w:val="nil"/>
                    <w:tr2bl w:val="nil"/>
                  </w:tcBorders>
                  <w:noWrap w:val="0"/>
                  <w:vAlign w:val="center"/>
                </w:tcPr>
                <w:p w14:paraId="50BDF8CC">
                  <w:pPr>
                    <w:pStyle w:val="38"/>
                    <w:bidi w:val="0"/>
                    <w:rPr>
                      <w:rFonts w:hint="default" w:ascii="Times New Roman" w:hAnsi="Times New Roman" w:cs="Times New Roman"/>
                      <w:sz w:val="21"/>
                      <w:szCs w:val="21"/>
                      <w:lang w:val="en-US" w:eastAsia="zh-CN"/>
                    </w:rPr>
                  </w:pPr>
                </w:p>
              </w:tc>
              <w:tc>
                <w:tcPr>
                  <w:tcW w:w="529" w:type="pct"/>
                  <w:tcBorders>
                    <w:tl2br w:val="nil"/>
                    <w:tr2bl w:val="nil"/>
                  </w:tcBorders>
                  <w:shd w:val="clear" w:color="auto" w:fill="auto"/>
                  <w:noWrap w:val="0"/>
                  <w:vAlign w:val="center"/>
                </w:tcPr>
                <w:p w14:paraId="0200993A">
                  <w:pPr>
                    <w:bidi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15</w:t>
                  </w:r>
                </w:p>
              </w:tc>
              <w:tc>
                <w:tcPr>
                  <w:tcW w:w="430" w:type="pct"/>
                  <w:tcBorders>
                    <w:tl2br w:val="nil"/>
                    <w:tr2bl w:val="nil"/>
                  </w:tcBorders>
                  <w:shd w:val="clear" w:color="auto" w:fill="auto"/>
                  <w:noWrap w:val="0"/>
                  <w:vAlign w:val="center"/>
                </w:tcPr>
                <w:p w14:paraId="6910E903">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50</w:t>
                  </w:r>
                </w:p>
              </w:tc>
              <w:tc>
                <w:tcPr>
                  <w:tcW w:w="511" w:type="pct"/>
                  <w:tcBorders>
                    <w:tl2br w:val="nil"/>
                    <w:tr2bl w:val="nil"/>
                  </w:tcBorders>
                  <w:shd w:val="clear" w:color="auto" w:fill="auto"/>
                  <w:noWrap w:val="0"/>
                  <w:vAlign w:val="center"/>
                </w:tcPr>
                <w:p w14:paraId="237F0C04">
                  <w:pPr>
                    <w:pStyle w:val="38"/>
                    <w:bidi w:val="0"/>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sz w:val="21"/>
                      <w:szCs w:val="21"/>
                      <w:lang w:val="en-US" w:eastAsia="zh-CN"/>
                    </w:rPr>
                    <w:t>1</w:t>
                  </w:r>
                </w:p>
              </w:tc>
            </w:tr>
            <w:tr w14:paraId="4E03ED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0" w:type="pct"/>
                  <w:tcBorders>
                    <w:tl2br w:val="nil"/>
                    <w:tr2bl w:val="nil"/>
                  </w:tcBorders>
                  <w:noWrap w:val="0"/>
                  <w:vAlign w:val="center"/>
                </w:tcPr>
                <w:p w14:paraId="578F8DEA">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w:t>
                  </w:r>
                </w:p>
              </w:tc>
              <w:tc>
                <w:tcPr>
                  <w:tcW w:w="524" w:type="pct"/>
                  <w:tcBorders>
                    <w:tl2br w:val="nil"/>
                    <w:tr2bl w:val="nil"/>
                  </w:tcBorders>
                  <w:shd w:val="clear" w:color="auto" w:fill="auto"/>
                  <w:noWrap w:val="0"/>
                  <w:vAlign w:val="center"/>
                </w:tcPr>
                <w:p w14:paraId="7AD9975E">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空压</w:t>
                  </w:r>
                  <w:r>
                    <w:rPr>
                      <w:rFonts w:hint="default" w:ascii="Times New Roman" w:hAnsi="Times New Roman" w:cs="Times New Roman"/>
                      <w:sz w:val="21"/>
                      <w:szCs w:val="21"/>
                      <w:lang w:val="en-US" w:eastAsia="zh-CN"/>
                    </w:rPr>
                    <w:t>机</w:t>
                  </w:r>
                </w:p>
              </w:tc>
              <w:tc>
                <w:tcPr>
                  <w:tcW w:w="463" w:type="pct"/>
                  <w:tcBorders>
                    <w:tl2br w:val="nil"/>
                    <w:tr2bl w:val="nil"/>
                  </w:tcBorders>
                  <w:shd w:val="clear" w:color="auto" w:fill="auto"/>
                  <w:noWrap w:val="0"/>
                  <w:vAlign w:val="center"/>
                </w:tcPr>
                <w:p w14:paraId="33860AA5">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85</w:t>
                  </w:r>
                </w:p>
              </w:tc>
              <w:tc>
                <w:tcPr>
                  <w:tcW w:w="789" w:type="pct"/>
                  <w:vMerge w:val="continue"/>
                  <w:tcBorders>
                    <w:tl2br w:val="nil"/>
                    <w:tr2bl w:val="nil"/>
                  </w:tcBorders>
                  <w:noWrap w:val="0"/>
                  <w:vAlign w:val="center"/>
                </w:tcPr>
                <w:p w14:paraId="7AED8FA7">
                  <w:pPr>
                    <w:pStyle w:val="38"/>
                    <w:bidi w:val="0"/>
                    <w:rPr>
                      <w:rFonts w:hint="default" w:ascii="Times New Roman" w:hAnsi="Times New Roman" w:cs="Times New Roman"/>
                      <w:sz w:val="21"/>
                      <w:szCs w:val="21"/>
                      <w:lang w:val="en-US" w:eastAsia="zh-CN"/>
                    </w:rPr>
                  </w:pPr>
                </w:p>
              </w:tc>
              <w:tc>
                <w:tcPr>
                  <w:tcW w:w="402" w:type="pct"/>
                  <w:tcBorders>
                    <w:tl2br w:val="nil"/>
                    <w:tr2bl w:val="nil"/>
                  </w:tcBorders>
                  <w:shd w:val="clear" w:color="auto" w:fill="auto"/>
                  <w:noWrap w:val="0"/>
                  <w:vAlign w:val="center"/>
                </w:tcPr>
                <w:p w14:paraId="53887CDC">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2</w:t>
                  </w:r>
                </w:p>
              </w:tc>
              <w:tc>
                <w:tcPr>
                  <w:tcW w:w="531" w:type="pct"/>
                  <w:tcBorders>
                    <w:tl2br w:val="nil"/>
                    <w:tr2bl w:val="nil"/>
                  </w:tcBorders>
                  <w:shd w:val="clear" w:color="auto" w:fill="auto"/>
                  <w:noWrap w:val="0"/>
                  <w:vAlign w:val="center"/>
                </w:tcPr>
                <w:p w14:paraId="5E23C0A6">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75</w:t>
                  </w:r>
                </w:p>
              </w:tc>
              <w:tc>
                <w:tcPr>
                  <w:tcW w:w="565" w:type="pct"/>
                  <w:vMerge w:val="continue"/>
                  <w:tcBorders>
                    <w:tl2br w:val="nil"/>
                    <w:tr2bl w:val="nil"/>
                  </w:tcBorders>
                  <w:noWrap w:val="0"/>
                  <w:vAlign w:val="center"/>
                </w:tcPr>
                <w:p w14:paraId="7A0DB509">
                  <w:pPr>
                    <w:pStyle w:val="38"/>
                    <w:bidi w:val="0"/>
                    <w:rPr>
                      <w:rFonts w:hint="default" w:ascii="Times New Roman" w:hAnsi="Times New Roman" w:cs="Times New Roman"/>
                      <w:sz w:val="21"/>
                      <w:szCs w:val="21"/>
                      <w:lang w:val="en-US" w:eastAsia="zh-CN"/>
                    </w:rPr>
                  </w:pPr>
                </w:p>
              </w:tc>
              <w:tc>
                <w:tcPr>
                  <w:tcW w:w="529" w:type="pct"/>
                  <w:tcBorders>
                    <w:tl2br w:val="nil"/>
                    <w:tr2bl w:val="nil"/>
                  </w:tcBorders>
                  <w:shd w:val="clear" w:color="auto" w:fill="auto"/>
                  <w:noWrap w:val="0"/>
                  <w:vAlign w:val="center"/>
                </w:tcPr>
                <w:p w14:paraId="5C1E8550">
                  <w:pPr>
                    <w:bidi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15</w:t>
                  </w:r>
                </w:p>
              </w:tc>
              <w:tc>
                <w:tcPr>
                  <w:tcW w:w="430" w:type="pct"/>
                  <w:tcBorders>
                    <w:tl2br w:val="nil"/>
                    <w:tr2bl w:val="nil"/>
                  </w:tcBorders>
                  <w:shd w:val="clear" w:color="auto" w:fill="auto"/>
                  <w:noWrap w:val="0"/>
                  <w:vAlign w:val="center"/>
                </w:tcPr>
                <w:p w14:paraId="3FAF7348">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60</w:t>
                  </w:r>
                </w:p>
              </w:tc>
              <w:tc>
                <w:tcPr>
                  <w:tcW w:w="511" w:type="pct"/>
                  <w:tcBorders>
                    <w:tl2br w:val="nil"/>
                    <w:tr2bl w:val="nil"/>
                  </w:tcBorders>
                  <w:shd w:val="clear" w:color="auto" w:fill="auto"/>
                  <w:noWrap w:val="0"/>
                  <w:vAlign w:val="center"/>
                </w:tcPr>
                <w:p w14:paraId="1D418CA4">
                  <w:pPr>
                    <w:pStyle w:val="38"/>
                    <w:bidi w:val="0"/>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sz w:val="21"/>
                      <w:szCs w:val="21"/>
                      <w:lang w:val="en-US" w:eastAsia="zh-CN"/>
                    </w:rPr>
                    <w:t>1</w:t>
                  </w:r>
                </w:p>
              </w:tc>
            </w:tr>
            <w:tr w14:paraId="1AB982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0" w:type="pct"/>
                  <w:tcBorders>
                    <w:tl2br w:val="nil"/>
                    <w:tr2bl w:val="nil"/>
                  </w:tcBorders>
                  <w:noWrap w:val="0"/>
                  <w:vAlign w:val="center"/>
                </w:tcPr>
                <w:p w14:paraId="5416B1B3">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524" w:type="pct"/>
                  <w:tcBorders>
                    <w:tl2br w:val="nil"/>
                    <w:tr2bl w:val="nil"/>
                  </w:tcBorders>
                  <w:shd w:val="clear" w:color="auto" w:fill="auto"/>
                  <w:noWrap w:val="0"/>
                  <w:vAlign w:val="center"/>
                </w:tcPr>
                <w:p w14:paraId="6DDBA6C5">
                  <w:pPr>
                    <w:pStyle w:val="38"/>
                    <w:bidi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螺旋输</w:t>
                  </w:r>
                  <w:r>
                    <w:rPr>
                      <w:rFonts w:hint="default" w:ascii="Times New Roman" w:hAnsi="Times New Roman" w:cs="Times New Roman"/>
                      <w:sz w:val="21"/>
                      <w:szCs w:val="21"/>
                      <w:lang w:val="en-US" w:eastAsia="zh-CN"/>
                    </w:rPr>
                    <w:t>送机</w:t>
                  </w:r>
                </w:p>
              </w:tc>
              <w:tc>
                <w:tcPr>
                  <w:tcW w:w="463" w:type="pct"/>
                  <w:tcBorders>
                    <w:tl2br w:val="nil"/>
                    <w:tr2bl w:val="nil"/>
                  </w:tcBorders>
                  <w:shd w:val="clear" w:color="auto" w:fill="auto"/>
                  <w:noWrap w:val="0"/>
                  <w:vAlign w:val="center"/>
                </w:tcPr>
                <w:p w14:paraId="665A8953">
                  <w:pPr>
                    <w:pStyle w:val="38"/>
                    <w:bidi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75</w:t>
                  </w:r>
                </w:p>
              </w:tc>
              <w:tc>
                <w:tcPr>
                  <w:tcW w:w="789" w:type="pct"/>
                  <w:vMerge w:val="continue"/>
                  <w:tcBorders>
                    <w:tl2br w:val="nil"/>
                    <w:tr2bl w:val="nil"/>
                  </w:tcBorders>
                  <w:noWrap w:val="0"/>
                  <w:vAlign w:val="center"/>
                </w:tcPr>
                <w:p w14:paraId="4FAC79A2">
                  <w:pPr>
                    <w:pStyle w:val="38"/>
                    <w:bidi w:val="0"/>
                    <w:rPr>
                      <w:rFonts w:hint="default" w:ascii="Times New Roman" w:hAnsi="Times New Roman" w:cs="Times New Roman"/>
                      <w:sz w:val="21"/>
                      <w:szCs w:val="21"/>
                      <w:lang w:val="en-US" w:eastAsia="zh-CN"/>
                    </w:rPr>
                  </w:pPr>
                </w:p>
              </w:tc>
              <w:tc>
                <w:tcPr>
                  <w:tcW w:w="402" w:type="pct"/>
                  <w:tcBorders>
                    <w:tl2br w:val="nil"/>
                    <w:tr2bl w:val="nil"/>
                  </w:tcBorders>
                  <w:shd w:val="clear" w:color="auto" w:fill="auto"/>
                  <w:noWrap w:val="0"/>
                  <w:vAlign w:val="center"/>
                </w:tcPr>
                <w:p w14:paraId="02E72224">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3</w:t>
                  </w:r>
                </w:p>
              </w:tc>
              <w:tc>
                <w:tcPr>
                  <w:tcW w:w="531" w:type="pct"/>
                  <w:tcBorders>
                    <w:tl2br w:val="nil"/>
                    <w:tr2bl w:val="nil"/>
                  </w:tcBorders>
                  <w:shd w:val="clear" w:color="auto" w:fill="auto"/>
                  <w:noWrap w:val="0"/>
                  <w:vAlign w:val="center"/>
                </w:tcPr>
                <w:p w14:paraId="6842BD8B">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65</w:t>
                  </w:r>
                </w:p>
              </w:tc>
              <w:tc>
                <w:tcPr>
                  <w:tcW w:w="565" w:type="pct"/>
                  <w:vMerge w:val="continue"/>
                  <w:tcBorders>
                    <w:tl2br w:val="nil"/>
                    <w:tr2bl w:val="nil"/>
                  </w:tcBorders>
                  <w:noWrap w:val="0"/>
                  <w:vAlign w:val="center"/>
                </w:tcPr>
                <w:p w14:paraId="36C760A0">
                  <w:pPr>
                    <w:pStyle w:val="38"/>
                    <w:bidi w:val="0"/>
                    <w:rPr>
                      <w:rFonts w:hint="default" w:ascii="Times New Roman" w:hAnsi="Times New Roman" w:cs="Times New Roman"/>
                      <w:sz w:val="21"/>
                      <w:szCs w:val="21"/>
                      <w:lang w:val="en-US" w:eastAsia="zh-CN"/>
                    </w:rPr>
                  </w:pPr>
                </w:p>
              </w:tc>
              <w:tc>
                <w:tcPr>
                  <w:tcW w:w="529" w:type="pct"/>
                  <w:tcBorders>
                    <w:tl2br w:val="nil"/>
                    <w:tr2bl w:val="nil"/>
                  </w:tcBorders>
                  <w:shd w:val="clear" w:color="auto" w:fill="auto"/>
                  <w:noWrap w:val="0"/>
                  <w:vAlign w:val="center"/>
                </w:tcPr>
                <w:p w14:paraId="4B972C1B">
                  <w:pPr>
                    <w:bidi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15</w:t>
                  </w:r>
                </w:p>
              </w:tc>
              <w:tc>
                <w:tcPr>
                  <w:tcW w:w="430" w:type="pct"/>
                  <w:tcBorders>
                    <w:tl2br w:val="nil"/>
                    <w:tr2bl w:val="nil"/>
                  </w:tcBorders>
                  <w:shd w:val="clear" w:color="auto" w:fill="auto"/>
                  <w:noWrap w:val="0"/>
                  <w:vAlign w:val="center"/>
                </w:tcPr>
                <w:p w14:paraId="3B53792A">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50</w:t>
                  </w:r>
                </w:p>
              </w:tc>
              <w:tc>
                <w:tcPr>
                  <w:tcW w:w="511" w:type="pct"/>
                  <w:tcBorders>
                    <w:tl2br w:val="nil"/>
                    <w:tr2bl w:val="nil"/>
                  </w:tcBorders>
                  <w:shd w:val="clear" w:color="auto" w:fill="auto"/>
                  <w:noWrap w:val="0"/>
                  <w:vAlign w:val="center"/>
                </w:tcPr>
                <w:p w14:paraId="5ABE932A">
                  <w:pPr>
                    <w:pStyle w:val="38"/>
                    <w:bidi w:val="0"/>
                    <w:rPr>
                      <w:rFonts w:hint="default" w:ascii="Times New Roman" w:hAnsi="Times New Roman" w:eastAsia="宋体" w:cs="Times New Roman"/>
                      <w:kern w:val="0"/>
                      <w:sz w:val="21"/>
                      <w:szCs w:val="21"/>
                      <w:lang w:val="en-US" w:eastAsia="zh-CN" w:bidi="ar-SA"/>
                    </w:rPr>
                  </w:pPr>
                  <w:r>
                    <w:rPr>
                      <w:rFonts w:hint="default" w:ascii="Times New Roman" w:hAnsi="Times New Roman" w:cs="Times New Roman"/>
                      <w:sz w:val="21"/>
                      <w:szCs w:val="21"/>
                      <w:lang w:val="en-US" w:eastAsia="zh-CN"/>
                    </w:rPr>
                    <w:t>1</w:t>
                  </w:r>
                </w:p>
              </w:tc>
            </w:tr>
            <w:tr w14:paraId="235A8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0" w:type="pct"/>
                  <w:tcBorders>
                    <w:tl2br w:val="nil"/>
                    <w:tr2bl w:val="nil"/>
                  </w:tcBorders>
                  <w:noWrap w:val="0"/>
                  <w:vAlign w:val="center"/>
                </w:tcPr>
                <w:p w14:paraId="2012D931">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w:t>
                  </w:r>
                </w:p>
              </w:tc>
              <w:tc>
                <w:tcPr>
                  <w:tcW w:w="524" w:type="pct"/>
                  <w:tcBorders>
                    <w:tl2br w:val="nil"/>
                    <w:tr2bl w:val="nil"/>
                  </w:tcBorders>
                  <w:shd w:val="clear" w:color="auto" w:fill="auto"/>
                  <w:noWrap w:val="0"/>
                  <w:vAlign w:val="center"/>
                </w:tcPr>
                <w:p w14:paraId="66042FB0">
                  <w:pPr>
                    <w:pStyle w:val="38"/>
                    <w:bidi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风机</w:t>
                  </w:r>
                </w:p>
              </w:tc>
              <w:tc>
                <w:tcPr>
                  <w:tcW w:w="463" w:type="pct"/>
                  <w:tcBorders>
                    <w:tl2br w:val="nil"/>
                    <w:tr2bl w:val="nil"/>
                  </w:tcBorders>
                  <w:shd w:val="clear" w:color="auto" w:fill="auto"/>
                  <w:noWrap w:val="0"/>
                  <w:vAlign w:val="center"/>
                </w:tcPr>
                <w:p w14:paraId="46A688BF">
                  <w:pPr>
                    <w:pStyle w:val="38"/>
                    <w:bidi w:val="0"/>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90</w:t>
                  </w:r>
                </w:p>
              </w:tc>
              <w:tc>
                <w:tcPr>
                  <w:tcW w:w="789" w:type="pct"/>
                  <w:vMerge w:val="continue"/>
                  <w:tcBorders>
                    <w:tl2br w:val="nil"/>
                    <w:tr2bl w:val="nil"/>
                  </w:tcBorders>
                  <w:noWrap w:val="0"/>
                  <w:vAlign w:val="center"/>
                </w:tcPr>
                <w:p w14:paraId="39A4C524">
                  <w:pPr>
                    <w:pStyle w:val="38"/>
                    <w:bidi w:val="0"/>
                    <w:rPr>
                      <w:rFonts w:hint="default" w:ascii="Times New Roman" w:hAnsi="Times New Roman" w:cs="Times New Roman"/>
                      <w:sz w:val="21"/>
                      <w:szCs w:val="21"/>
                      <w:lang w:val="en-US" w:eastAsia="zh-CN"/>
                    </w:rPr>
                  </w:pPr>
                </w:p>
              </w:tc>
              <w:tc>
                <w:tcPr>
                  <w:tcW w:w="402" w:type="pct"/>
                  <w:tcBorders>
                    <w:tl2br w:val="nil"/>
                    <w:tr2bl w:val="nil"/>
                  </w:tcBorders>
                  <w:shd w:val="clear" w:color="auto" w:fill="auto"/>
                  <w:noWrap w:val="0"/>
                  <w:vAlign w:val="center"/>
                </w:tcPr>
                <w:p w14:paraId="78EF9AFE">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1</w:t>
                  </w:r>
                </w:p>
              </w:tc>
              <w:tc>
                <w:tcPr>
                  <w:tcW w:w="531" w:type="pct"/>
                  <w:tcBorders>
                    <w:tl2br w:val="nil"/>
                    <w:tr2bl w:val="nil"/>
                  </w:tcBorders>
                  <w:shd w:val="clear" w:color="auto" w:fill="auto"/>
                  <w:noWrap w:val="0"/>
                  <w:vAlign w:val="center"/>
                </w:tcPr>
                <w:p w14:paraId="43A5E157">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80</w:t>
                  </w:r>
                </w:p>
              </w:tc>
              <w:tc>
                <w:tcPr>
                  <w:tcW w:w="565" w:type="pct"/>
                  <w:vMerge w:val="continue"/>
                  <w:tcBorders>
                    <w:tl2br w:val="nil"/>
                    <w:tr2bl w:val="nil"/>
                  </w:tcBorders>
                  <w:noWrap w:val="0"/>
                  <w:vAlign w:val="center"/>
                </w:tcPr>
                <w:p w14:paraId="76628BA9">
                  <w:pPr>
                    <w:pStyle w:val="38"/>
                    <w:bidi w:val="0"/>
                    <w:rPr>
                      <w:rFonts w:hint="default" w:ascii="Times New Roman" w:hAnsi="Times New Roman" w:cs="Times New Roman"/>
                      <w:sz w:val="21"/>
                      <w:szCs w:val="21"/>
                      <w:lang w:val="en-US" w:eastAsia="zh-CN"/>
                    </w:rPr>
                  </w:pPr>
                </w:p>
              </w:tc>
              <w:tc>
                <w:tcPr>
                  <w:tcW w:w="529" w:type="pct"/>
                  <w:tcBorders>
                    <w:tl2br w:val="nil"/>
                    <w:tr2bl w:val="nil"/>
                  </w:tcBorders>
                  <w:shd w:val="clear" w:color="auto" w:fill="auto"/>
                  <w:noWrap w:val="0"/>
                  <w:vAlign w:val="center"/>
                </w:tcPr>
                <w:p w14:paraId="1D89D8DA">
                  <w:pPr>
                    <w:bidi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15</w:t>
                  </w:r>
                </w:p>
              </w:tc>
              <w:tc>
                <w:tcPr>
                  <w:tcW w:w="430" w:type="pct"/>
                  <w:tcBorders>
                    <w:tl2br w:val="nil"/>
                    <w:tr2bl w:val="nil"/>
                  </w:tcBorders>
                  <w:shd w:val="clear" w:color="auto" w:fill="auto"/>
                  <w:noWrap w:val="0"/>
                  <w:vAlign w:val="center"/>
                </w:tcPr>
                <w:p w14:paraId="52428127">
                  <w:pPr>
                    <w:pStyle w:val="38"/>
                    <w:bidi w:val="0"/>
                    <w:rPr>
                      <w:rFonts w:hint="default" w:ascii="Times New Roman" w:hAnsi="Times New Roman" w:eastAsia="宋体" w:cs="Times New Roman"/>
                      <w:kern w:val="0"/>
                      <w:sz w:val="21"/>
                      <w:szCs w:val="21"/>
                      <w:lang w:val="en-US" w:eastAsia="zh-CN" w:bidi="ar-SA"/>
                    </w:rPr>
                  </w:pPr>
                  <w:r>
                    <w:rPr>
                      <w:rFonts w:hint="eastAsia" w:ascii="Times New Roman" w:cs="Times New Roman"/>
                      <w:sz w:val="21"/>
                      <w:szCs w:val="21"/>
                      <w:lang w:val="en-US" w:eastAsia="zh-CN"/>
                    </w:rPr>
                    <w:t>65</w:t>
                  </w:r>
                </w:p>
              </w:tc>
              <w:tc>
                <w:tcPr>
                  <w:tcW w:w="511" w:type="pct"/>
                  <w:tcBorders>
                    <w:tl2br w:val="nil"/>
                    <w:tr2bl w:val="nil"/>
                  </w:tcBorders>
                  <w:shd w:val="clear" w:color="auto" w:fill="auto"/>
                  <w:noWrap w:val="0"/>
                  <w:vAlign w:val="center"/>
                </w:tcPr>
                <w:p w14:paraId="16EE7515">
                  <w:pPr>
                    <w:pStyle w:val="38"/>
                    <w:bidi w:val="0"/>
                    <w:rPr>
                      <w:rFonts w:hint="default" w:ascii="Times New Roman" w:hAnsi="Times New Roman" w:eastAsia="宋体" w:cs="Times New Roman"/>
                      <w:kern w:val="0"/>
                      <w:sz w:val="21"/>
                      <w:szCs w:val="21"/>
                      <w:lang w:val="en-US" w:eastAsia="zh-CN" w:bidi="ar-SA"/>
                    </w:rPr>
                  </w:pPr>
                  <w:r>
                    <w:rPr>
                      <w:rFonts w:hint="eastAsia" w:ascii="Times New Roman" w:hAnsi="Times New Roman" w:cs="Times New Roman"/>
                      <w:sz w:val="21"/>
                      <w:szCs w:val="21"/>
                      <w:lang w:val="en-US" w:eastAsia="zh-CN"/>
                    </w:rPr>
                    <w:t>1</w:t>
                  </w:r>
                </w:p>
              </w:tc>
            </w:tr>
          </w:tbl>
          <w:p w14:paraId="2D96D00E">
            <w:pPr>
              <w:numPr>
                <w:ilvl w:val="0"/>
                <w:numId w:val="0"/>
              </w:numPr>
              <w:adjustRightInd w:val="0"/>
              <w:snapToGrid w:val="0"/>
              <w:spacing w:line="360" w:lineRule="auto"/>
              <w:ind w:firstLine="480" w:firstLineChars="200"/>
              <w:jc w:val="both"/>
              <w:rPr>
                <w:rFonts w:hint="default" w:ascii="宋体" w:hAnsi="宋体" w:cs="宋体"/>
                <w:b w:val="0"/>
                <w:bCs/>
                <w:sz w:val="24"/>
                <w:szCs w:val="24"/>
                <w:lang w:val="en-US" w:eastAsia="zh-CN"/>
              </w:rPr>
            </w:pPr>
            <w:r>
              <w:rPr>
                <w:rFonts w:hint="default" w:ascii="宋体" w:hAnsi="宋体" w:cs="宋体"/>
                <w:b w:val="0"/>
                <w:bCs/>
                <w:sz w:val="24"/>
                <w:szCs w:val="24"/>
                <w:lang w:val="en-US" w:eastAsia="zh-CN"/>
              </w:rPr>
              <w:t>针对以上噪声源情况，采取以下控制措施：</w:t>
            </w:r>
          </w:p>
          <w:p w14:paraId="4B4848A4">
            <w:pPr>
              <w:numPr>
                <w:ilvl w:val="0"/>
                <w:numId w:val="0"/>
              </w:numPr>
              <w:adjustRightInd w:val="0"/>
              <w:snapToGrid w:val="0"/>
              <w:spacing w:line="360" w:lineRule="auto"/>
              <w:ind w:firstLine="480" w:firstLineChars="200"/>
              <w:jc w:val="both"/>
              <w:rPr>
                <w:rFonts w:hint="default" w:ascii="宋体" w:hAnsi="宋体" w:cs="宋体"/>
                <w:b w:val="0"/>
                <w:bCs/>
                <w:sz w:val="24"/>
                <w:szCs w:val="24"/>
                <w:lang w:val="en-US" w:eastAsia="zh-CN"/>
              </w:rPr>
            </w:pPr>
            <w:r>
              <w:rPr>
                <w:rFonts w:hint="default" w:ascii="Times New Roman" w:hAnsi="Times New Roman" w:cs="Times New Roman"/>
                <w:b w:val="0"/>
                <w:bCs/>
                <w:sz w:val="24"/>
                <w:szCs w:val="24"/>
                <w:lang w:val="en-US" w:eastAsia="zh-CN"/>
              </w:rPr>
              <w:t>①</w:t>
            </w:r>
            <w:r>
              <w:rPr>
                <w:rFonts w:hint="eastAsia" w:ascii="宋体" w:hAnsi="宋体" w:cs="宋体"/>
                <w:b w:val="0"/>
                <w:bCs/>
                <w:sz w:val="24"/>
                <w:szCs w:val="24"/>
                <w:lang w:val="en-US" w:eastAsia="zh-CN"/>
              </w:rPr>
              <w:t>本项目选择低噪声和符合国家噪声标准的设备</w:t>
            </w:r>
            <w:r>
              <w:rPr>
                <w:rFonts w:hint="default" w:ascii="宋体" w:hAnsi="宋体" w:cs="宋体"/>
                <w:b w:val="0"/>
                <w:bCs/>
                <w:sz w:val="24"/>
                <w:szCs w:val="24"/>
                <w:lang w:val="en-US" w:eastAsia="zh-CN"/>
              </w:rPr>
              <w:t>；</w:t>
            </w:r>
          </w:p>
          <w:p w14:paraId="1145732A">
            <w:pPr>
              <w:numPr>
                <w:ilvl w:val="0"/>
                <w:numId w:val="0"/>
              </w:numPr>
              <w:adjustRightInd w:val="0"/>
              <w:snapToGrid w:val="0"/>
              <w:spacing w:line="360" w:lineRule="auto"/>
              <w:ind w:firstLine="480" w:firstLineChars="200"/>
              <w:jc w:val="both"/>
              <w:rPr>
                <w:rFonts w:hint="default" w:ascii="宋体" w:hAnsi="宋体" w:cs="宋体"/>
                <w:b w:val="0"/>
                <w:bCs/>
                <w:sz w:val="24"/>
                <w:szCs w:val="24"/>
                <w:lang w:val="en-US" w:eastAsia="zh-CN"/>
              </w:rPr>
            </w:pPr>
            <w:r>
              <w:rPr>
                <w:rFonts w:hint="default" w:ascii="宋体" w:hAnsi="宋体" w:cs="宋体"/>
                <w:b w:val="0"/>
                <w:bCs/>
                <w:sz w:val="24"/>
                <w:szCs w:val="24"/>
                <w:lang w:val="en-US" w:eastAsia="zh-CN"/>
              </w:rPr>
              <w:t>②</w:t>
            </w:r>
            <w:r>
              <w:rPr>
                <w:rFonts w:hint="eastAsia" w:ascii="宋体" w:hAnsi="宋体" w:cs="宋体"/>
                <w:b w:val="0"/>
                <w:bCs/>
                <w:sz w:val="24"/>
                <w:szCs w:val="24"/>
                <w:lang w:val="en-US" w:eastAsia="zh-CN"/>
              </w:rPr>
              <w:t>设备全部按要求设置在全封闭厂房内，厂房内合理布局</w:t>
            </w:r>
            <w:r>
              <w:rPr>
                <w:rFonts w:hint="default" w:ascii="宋体" w:hAnsi="宋体" w:cs="宋体"/>
                <w:b w:val="0"/>
                <w:bCs/>
                <w:sz w:val="24"/>
                <w:szCs w:val="24"/>
                <w:lang w:val="en-US" w:eastAsia="zh-CN"/>
              </w:rPr>
              <w:t>；</w:t>
            </w:r>
          </w:p>
          <w:p w14:paraId="03F65BC8">
            <w:pPr>
              <w:numPr>
                <w:ilvl w:val="0"/>
                <w:numId w:val="0"/>
              </w:numPr>
              <w:adjustRightInd w:val="0"/>
              <w:snapToGrid w:val="0"/>
              <w:spacing w:line="360" w:lineRule="auto"/>
              <w:ind w:firstLine="480" w:firstLineChars="200"/>
              <w:jc w:val="both"/>
              <w:rPr>
                <w:rFonts w:hint="default" w:ascii="宋体" w:hAnsi="宋体" w:cs="宋体"/>
                <w:b w:val="0"/>
                <w:bCs/>
                <w:sz w:val="24"/>
                <w:szCs w:val="24"/>
                <w:lang w:val="en-US" w:eastAsia="zh-CN"/>
              </w:rPr>
            </w:pPr>
            <w:r>
              <w:rPr>
                <w:rFonts w:hint="default" w:ascii="宋体" w:hAnsi="宋体" w:cs="宋体"/>
                <w:b w:val="0"/>
                <w:bCs/>
                <w:sz w:val="24"/>
                <w:szCs w:val="24"/>
                <w:lang w:val="en-US" w:eastAsia="zh-CN"/>
              </w:rPr>
              <w:t>③安装减振装置，</w:t>
            </w:r>
            <w:r>
              <w:rPr>
                <w:rFonts w:hint="eastAsia" w:ascii="宋体" w:hAnsi="宋体" w:cs="宋体"/>
                <w:b w:val="0"/>
                <w:bCs/>
                <w:sz w:val="24"/>
                <w:szCs w:val="24"/>
                <w:lang w:val="en-US" w:eastAsia="zh-CN"/>
              </w:rPr>
              <w:t>风机安装消声器。</w:t>
            </w:r>
          </w:p>
          <w:p w14:paraId="322A7255">
            <w:pPr>
              <w:pStyle w:val="54"/>
              <w:bidi w:val="0"/>
              <w:rPr>
                <w:rFonts w:hint="eastAsia"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fldChar w:fldCharType="begin"/>
            </w:r>
            <w:r>
              <w:rPr>
                <w:rFonts w:hint="eastAsia" w:ascii="Times New Roman" w:hAnsi="Times New Roman" w:cs="Times New Roman"/>
                <w:b w:val="0"/>
                <w:bCs/>
                <w:sz w:val="24"/>
                <w:szCs w:val="24"/>
                <w:lang w:val="en-US" w:eastAsia="zh-CN"/>
              </w:rPr>
              <w:instrText xml:space="preserve"> = 4 \* GB3 \* MERGEFORMAT </w:instrText>
            </w:r>
            <w:r>
              <w:rPr>
                <w:rFonts w:hint="eastAsia" w:ascii="Times New Roman" w:hAnsi="Times New Roman" w:cs="Times New Roman"/>
                <w:b w:val="0"/>
                <w:bCs/>
                <w:sz w:val="24"/>
                <w:szCs w:val="24"/>
                <w:lang w:val="en-US" w:eastAsia="zh-CN"/>
              </w:rPr>
              <w:fldChar w:fldCharType="separate"/>
            </w:r>
            <w:r>
              <w:t>④</w:t>
            </w:r>
            <w:r>
              <w:rPr>
                <w:rFonts w:hint="eastAsia" w:ascii="Times New Roman" w:hAnsi="Times New Roman" w:cs="Times New Roman"/>
                <w:b w:val="0"/>
                <w:bCs/>
                <w:sz w:val="24"/>
                <w:szCs w:val="24"/>
                <w:lang w:val="en-US" w:eastAsia="zh-CN"/>
              </w:rPr>
              <w:fldChar w:fldCharType="end"/>
            </w:r>
            <w:r>
              <w:rPr>
                <w:rFonts w:hint="eastAsia" w:ascii="Times New Roman" w:hAnsi="Times New Roman" w:cs="Times New Roman"/>
                <w:b w:val="0"/>
                <w:bCs/>
                <w:sz w:val="24"/>
                <w:szCs w:val="24"/>
                <w:lang w:val="en-US" w:eastAsia="zh-CN"/>
              </w:rPr>
              <w:t>正确合理的使用设备，建立设备定期维护、保养的管理制度，以防止</w:t>
            </w:r>
            <w:r>
              <w:rPr>
                <w:rFonts w:hint="eastAsia" w:cs="Times New Roman"/>
                <w:b w:val="0"/>
                <w:bCs/>
                <w:sz w:val="24"/>
                <w:szCs w:val="24"/>
                <w:lang w:val="en-US" w:eastAsia="zh-CN"/>
              </w:rPr>
              <w:t>设备</w:t>
            </w:r>
            <w:r>
              <w:rPr>
                <w:rFonts w:hint="eastAsia" w:ascii="Times New Roman" w:hAnsi="Times New Roman" w:cs="Times New Roman"/>
                <w:b w:val="0"/>
                <w:bCs/>
                <w:sz w:val="24"/>
                <w:szCs w:val="24"/>
                <w:lang w:val="en-US" w:eastAsia="zh-CN"/>
              </w:rPr>
              <w:t>故障形成的非正常生产噪声。</w:t>
            </w:r>
          </w:p>
          <w:p w14:paraId="2031A293">
            <w:pPr>
              <w:pStyle w:val="54"/>
              <w:bidi w:val="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噪声预测模式如下：</w:t>
            </w:r>
          </w:p>
          <w:p w14:paraId="15FB0514">
            <w:pPr>
              <w:pStyle w:val="54"/>
              <w:bidi w:val="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fldChar w:fldCharType="begin"/>
            </w:r>
            <w:r>
              <w:rPr>
                <w:rFonts w:hint="default" w:ascii="Times New Roman" w:hAnsi="Times New Roman" w:cs="Times New Roman"/>
                <w:b w:val="0"/>
                <w:bCs/>
                <w:sz w:val="24"/>
                <w:szCs w:val="24"/>
                <w:lang w:val="en-US" w:eastAsia="zh-CN"/>
              </w:rPr>
              <w:instrText xml:space="preserve"> = 1 \* GB3 \* MERGEFORMAT </w:instrText>
            </w:r>
            <w:r>
              <w:rPr>
                <w:rFonts w:hint="default" w:ascii="Times New Roman" w:hAnsi="Times New Roman" w:cs="Times New Roman"/>
                <w:b w:val="0"/>
                <w:bCs/>
                <w:sz w:val="24"/>
                <w:szCs w:val="24"/>
                <w:lang w:val="en-US" w:eastAsia="zh-CN"/>
              </w:rPr>
              <w:fldChar w:fldCharType="separate"/>
            </w:r>
            <w:r>
              <w:t>①</w:t>
            </w:r>
            <w:r>
              <w:rPr>
                <w:rFonts w:hint="default" w:ascii="Times New Roman" w:hAnsi="Times New Roman" w:cs="Times New Roman"/>
                <w:b w:val="0"/>
                <w:bCs/>
                <w:sz w:val="24"/>
                <w:szCs w:val="24"/>
                <w:lang w:val="en-US" w:eastAsia="zh-CN"/>
              </w:rPr>
              <w:fldChar w:fldCharType="end"/>
            </w:r>
            <w:r>
              <w:rPr>
                <w:rFonts w:hint="default" w:ascii="Times New Roman" w:hAnsi="Times New Roman" w:cs="Times New Roman"/>
                <w:b w:val="0"/>
                <w:bCs/>
                <w:sz w:val="24"/>
                <w:szCs w:val="24"/>
                <w:lang w:val="en-US" w:eastAsia="zh-CN"/>
              </w:rPr>
              <w:t>本次</w:t>
            </w:r>
            <w:r>
              <w:rPr>
                <w:rFonts w:hint="eastAsia" w:ascii="Times New Roman" w:hAnsi="Times New Roman" w:cs="Times New Roman"/>
                <w:b w:val="0"/>
                <w:bCs/>
                <w:sz w:val="24"/>
                <w:szCs w:val="24"/>
                <w:lang w:val="en-US" w:eastAsia="zh-CN"/>
              </w:rPr>
              <w:t>评价</w:t>
            </w:r>
            <w:r>
              <w:rPr>
                <w:rFonts w:hint="default" w:ascii="Times New Roman" w:hAnsi="Times New Roman" w:cs="Times New Roman"/>
                <w:b w:val="0"/>
                <w:bCs/>
                <w:sz w:val="24"/>
                <w:szCs w:val="24"/>
                <w:lang w:val="en-US" w:eastAsia="zh-CN"/>
              </w:rPr>
              <w:t>仅考虑几何发散引起的衰减，基本公式为：</w:t>
            </w:r>
          </w:p>
          <w:p w14:paraId="1A65DC8C">
            <w:pPr>
              <w:pStyle w:val="54"/>
              <w:bidi w:val="0"/>
              <w:ind w:left="0" w:leftChars="0" w:firstLine="0" w:firstLineChars="0"/>
              <w:jc w:val="center"/>
              <w:rPr>
                <w:rFonts w:hint="default" w:ascii="Times New Roman" w:hAnsi="Times New Roman" w:cs="Times New Roman"/>
                <w:b w:val="0"/>
                <w:bCs/>
                <w:sz w:val="24"/>
                <w:szCs w:val="24"/>
                <w:lang w:val="en-US" w:eastAsia="zh-CN"/>
              </w:rPr>
            </w:pPr>
            <w:r>
              <w:rPr>
                <w:rFonts w:hint="eastAsia" w:ascii="Times New Roman" w:hAnsi="Times New Roman" w:cs="Times New Roman"/>
                <w:b w:val="0"/>
                <w:bCs/>
                <w:i/>
                <w:iCs/>
                <w:sz w:val="24"/>
                <w:szCs w:val="24"/>
                <w:lang w:val="en-US" w:eastAsia="zh-CN"/>
              </w:rPr>
              <w:t>L</w:t>
            </w:r>
            <w:r>
              <w:rPr>
                <w:rFonts w:hint="eastAsia" w:ascii="Times New Roman" w:hAnsi="Times New Roman" w:cs="Times New Roman"/>
                <w:b w:val="0"/>
                <w:bCs/>
                <w:sz w:val="24"/>
                <w:szCs w:val="24"/>
                <w:vertAlign w:val="subscript"/>
                <w:lang w:val="en-US" w:eastAsia="zh-CN"/>
              </w:rPr>
              <w:t>A</w:t>
            </w:r>
            <w:r>
              <w:rPr>
                <w:rFonts w:hint="eastAsia" w:ascii="Times New Roman" w:hAnsi="Times New Roman" w:cs="Times New Roman"/>
                <w:b w:val="0"/>
                <w:bCs/>
                <w:sz w:val="24"/>
                <w:szCs w:val="24"/>
                <w:lang w:val="en-US" w:eastAsia="zh-CN"/>
              </w:rPr>
              <w:t>（</w:t>
            </w:r>
            <w:r>
              <w:rPr>
                <w:rFonts w:hint="eastAsia" w:ascii="Times New Roman" w:hAnsi="Times New Roman" w:cs="Times New Roman"/>
                <w:b w:val="0"/>
                <w:bCs/>
                <w:i/>
                <w:iCs/>
                <w:sz w:val="24"/>
                <w:szCs w:val="24"/>
                <w:lang w:val="en-US" w:eastAsia="zh-CN"/>
              </w:rPr>
              <w:t>r</w:t>
            </w:r>
            <w:r>
              <w:rPr>
                <w:rFonts w:hint="eastAsia" w:ascii="Times New Roman" w:hAnsi="Times New Roman" w:cs="Times New Roman"/>
                <w:b w:val="0"/>
                <w:bCs/>
                <w:sz w:val="24"/>
                <w:szCs w:val="24"/>
                <w:lang w:val="en-US" w:eastAsia="zh-CN"/>
              </w:rPr>
              <w:t>）=</w:t>
            </w:r>
            <w:r>
              <w:rPr>
                <w:rFonts w:hint="eastAsia" w:ascii="Times New Roman" w:hAnsi="Times New Roman" w:cs="Times New Roman"/>
                <w:b w:val="0"/>
                <w:bCs/>
                <w:i/>
                <w:iCs/>
                <w:sz w:val="24"/>
                <w:szCs w:val="24"/>
                <w:lang w:val="en-US" w:eastAsia="zh-CN"/>
              </w:rPr>
              <w:t>L</w:t>
            </w:r>
            <w:r>
              <w:rPr>
                <w:rFonts w:hint="eastAsia" w:ascii="Times New Roman" w:hAnsi="Times New Roman" w:cs="Times New Roman"/>
                <w:b w:val="0"/>
                <w:bCs/>
                <w:sz w:val="24"/>
                <w:szCs w:val="24"/>
                <w:vertAlign w:val="subscript"/>
                <w:lang w:val="en-US" w:eastAsia="zh-CN"/>
              </w:rPr>
              <w:t>A</w:t>
            </w:r>
            <w:r>
              <w:rPr>
                <w:rFonts w:hint="eastAsia" w:ascii="Times New Roman" w:hAnsi="Times New Roman" w:cs="Times New Roman"/>
                <w:b w:val="0"/>
                <w:bCs/>
                <w:sz w:val="24"/>
                <w:szCs w:val="24"/>
                <w:lang w:val="en-US" w:eastAsia="zh-CN"/>
              </w:rPr>
              <w:t>（</w:t>
            </w:r>
            <w:r>
              <w:rPr>
                <w:rFonts w:hint="eastAsia" w:ascii="Times New Roman" w:hAnsi="Times New Roman" w:cs="Times New Roman"/>
                <w:b w:val="0"/>
                <w:bCs/>
                <w:i/>
                <w:iCs/>
                <w:sz w:val="24"/>
                <w:szCs w:val="24"/>
                <w:lang w:val="en-US" w:eastAsia="zh-CN"/>
              </w:rPr>
              <w:t>r</w:t>
            </w:r>
            <w:r>
              <w:rPr>
                <w:rFonts w:hint="eastAsia" w:ascii="Times New Roman" w:hAnsi="Times New Roman" w:cs="Times New Roman"/>
                <w:b w:val="0"/>
                <w:bCs/>
                <w:sz w:val="24"/>
                <w:szCs w:val="24"/>
                <w:vertAlign w:val="subscript"/>
                <w:lang w:val="en-US" w:eastAsia="zh-CN"/>
              </w:rPr>
              <w:t>0</w:t>
            </w:r>
            <w:r>
              <w:rPr>
                <w:rFonts w:hint="eastAsia" w:ascii="Times New Roman" w:hAnsi="Times New Roman" w:cs="Times New Roman"/>
                <w:b w:val="0"/>
                <w:bCs/>
                <w:sz w:val="24"/>
                <w:szCs w:val="24"/>
                <w:lang w:val="en-US" w:eastAsia="zh-CN"/>
              </w:rPr>
              <w:t>）-</w:t>
            </w:r>
            <w:r>
              <w:rPr>
                <w:rFonts w:hint="eastAsia" w:ascii="Times New Roman" w:hAnsi="Times New Roman" w:cs="Times New Roman"/>
                <w:b w:val="0"/>
                <w:bCs/>
                <w:i/>
                <w:iCs/>
                <w:sz w:val="24"/>
                <w:szCs w:val="24"/>
                <w:lang w:val="en-US" w:eastAsia="zh-CN"/>
              </w:rPr>
              <w:t>A</w:t>
            </w:r>
            <w:r>
              <w:rPr>
                <w:rFonts w:hint="eastAsia" w:ascii="Times New Roman" w:hAnsi="Times New Roman" w:cs="Times New Roman"/>
                <w:b w:val="0"/>
                <w:bCs/>
                <w:sz w:val="24"/>
                <w:szCs w:val="24"/>
                <w:vertAlign w:val="subscript"/>
                <w:lang w:val="en-US" w:eastAsia="zh-CN"/>
              </w:rPr>
              <w:t>div</w:t>
            </w:r>
          </w:p>
          <w:p w14:paraId="7EEE7D72">
            <w:pPr>
              <w:pStyle w:val="54"/>
              <w:bidi w:val="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式中</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i/>
                <w:iCs/>
                <w:sz w:val="24"/>
                <w:szCs w:val="24"/>
                <w:lang w:val="en-US" w:eastAsia="zh-CN"/>
              </w:rPr>
              <w:t>L</w:t>
            </w:r>
            <w:r>
              <w:rPr>
                <w:rFonts w:hint="default" w:ascii="Times New Roman" w:hAnsi="Times New Roman" w:cs="Times New Roman"/>
                <w:b w:val="0"/>
                <w:bCs/>
                <w:sz w:val="24"/>
                <w:szCs w:val="24"/>
                <w:vertAlign w:val="subscript"/>
                <w:lang w:val="en-US" w:eastAsia="zh-CN"/>
              </w:rPr>
              <w:t>A</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i/>
                <w:iCs/>
                <w:sz w:val="24"/>
                <w:szCs w:val="24"/>
                <w:lang w:val="en-US" w:eastAsia="zh-CN"/>
              </w:rPr>
              <w:t>r</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距声源</w:t>
            </w:r>
            <w:r>
              <w:rPr>
                <w:rFonts w:hint="default" w:ascii="Times New Roman" w:hAnsi="Times New Roman" w:cs="Times New Roman"/>
                <w:b w:val="0"/>
                <w:bCs/>
                <w:i/>
                <w:iCs/>
                <w:sz w:val="24"/>
                <w:szCs w:val="24"/>
                <w:lang w:val="en-US" w:eastAsia="zh-CN"/>
              </w:rPr>
              <w:t>r</w:t>
            </w:r>
            <w:r>
              <w:rPr>
                <w:rFonts w:hint="default" w:ascii="Times New Roman" w:hAnsi="Times New Roman" w:cs="Times New Roman"/>
                <w:b w:val="0"/>
                <w:bCs/>
                <w:sz w:val="24"/>
                <w:szCs w:val="24"/>
                <w:lang w:val="en-US" w:eastAsia="zh-CN"/>
              </w:rPr>
              <w:t>处的</w:t>
            </w:r>
            <w:r>
              <w:rPr>
                <w:rFonts w:hint="default" w:ascii="Times New Roman" w:hAnsi="Times New Roman" w:cs="Times New Roman"/>
                <w:b w:val="0"/>
                <w:bCs/>
                <w:i/>
                <w:iCs/>
                <w:sz w:val="24"/>
                <w:szCs w:val="24"/>
                <w:lang w:val="en-US" w:eastAsia="zh-CN"/>
              </w:rPr>
              <w:t>A</w:t>
            </w:r>
            <w:r>
              <w:rPr>
                <w:rFonts w:hint="default" w:ascii="Times New Roman" w:hAnsi="Times New Roman" w:cs="Times New Roman"/>
                <w:b w:val="0"/>
                <w:bCs/>
                <w:sz w:val="24"/>
                <w:szCs w:val="24"/>
                <w:lang w:val="en-US" w:eastAsia="zh-CN"/>
              </w:rPr>
              <w:t>声级</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dB</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A</w:t>
            </w:r>
            <w:r>
              <w:rPr>
                <w:rFonts w:hint="eastAsia" w:ascii="Times New Roman" w:hAnsi="Times New Roman" w:cs="Times New Roman"/>
                <w:b w:val="0"/>
                <w:bCs/>
                <w:sz w:val="24"/>
                <w:szCs w:val="24"/>
                <w:lang w:val="en-US" w:eastAsia="zh-CN"/>
              </w:rPr>
              <w:t>）；</w:t>
            </w:r>
          </w:p>
          <w:p w14:paraId="41EEC5F0">
            <w:pPr>
              <w:pStyle w:val="54"/>
              <w:bidi w:val="0"/>
              <w:ind w:firstLine="1200" w:firstLineChars="500"/>
              <w:rPr>
                <w:rFonts w:hint="default" w:ascii="Times New Roman" w:hAnsi="Times New Roman" w:cs="Times New Roman"/>
                <w:b w:val="0"/>
                <w:bCs/>
                <w:sz w:val="24"/>
                <w:szCs w:val="24"/>
                <w:lang w:val="en-US" w:eastAsia="zh-CN"/>
              </w:rPr>
            </w:pPr>
            <w:r>
              <w:rPr>
                <w:rFonts w:hint="default" w:ascii="Times New Roman" w:hAnsi="Times New Roman" w:cs="Times New Roman"/>
                <w:b w:val="0"/>
                <w:bCs/>
                <w:i/>
                <w:iCs/>
                <w:sz w:val="24"/>
                <w:szCs w:val="24"/>
                <w:lang w:val="en-US" w:eastAsia="zh-CN"/>
              </w:rPr>
              <w:t>L</w:t>
            </w:r>
            <w:r>
              <w:rPr>
                <w:rFonts w:hint="default" w:ascii="Times New Roman" w:hAnsi="Times New Roman" w:cs="Times New Roman"/>
                <w:b w:val="0"/>
                <w:bCs/>
                <w:sz w:val="24"/>
                <w:szCs w:val="24"/>
                <w:vertAlign w:val="subscript"/>
                <w:lang w:val="en-US" w:eastAsia="zh-CN"/>
              </w:rPr>
              <w:t>A</w:t>
            </w:r>
            <w:r>
              <w:rPr>
                <w:rFonts w:hint="eastAsia" w:ascii="Times New Roman" w:hAnsi="Times New Roman" w:cs="Times New Roman"/>
                <w:b w:val="0"/>
                <w:bCs/>
                <w:sz w:val="24"/>
                <w:szCs w:val="24"/>
                <w:lang w:val="en-US" w:eastAsia="zh-CN"/>
              </w:rPr>
              <w:t>（</w:t>
            </w:r>
            <w:r>
              <w:rPr>
                <w:rFonts w:hint="eastAsia" w:ascii="Times New Roman" w:hAnsi="Times New Roman" w:cs="Times New Roman"/>
                <w:b w:val="0"/>
                <w:bCs/>
                <w:i/>
                <w:iCs/>
                <w:sz w:val="24"/>
                <w:szCs w:val="24"/>
                <w:lang w:val="en-US" w:eastAsia="zh-CN"/>
              </w:rPr>
              <w:t>r</w:t>
            </w:r>
            <w:r>
              <w:rPr>
                <w:rFonts w:hint="eastAsia" w:ascii="Times New Roman" w:hAnsi="Times New Roman" w:cs="Times New Roman"/>
                <w:b w:val="0"/>
                <w:bCs/>
                <w:sz w:val="24"/>
                <w:szCs w:val="24"/>
                <w:vertAlign w:val="subscript"/>
                <w:lang w:val="en-US" w:eastAsia="zh-CN"/>
              </w:rPr>
              <w:t>0</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参考位置</w:t>
            </w:r>
            <w:r>
              <w:rPr>
                <w:rFonts w:hint="eastAsia" w:ascii="Times New Roman" w:hAnsi="Times New Roman" w:cs="Times New Roman"/>
                <w:b w:val="0"/>
                <w:bCs/>
                <w:i/>
                <w:iCs/>
                <w:sz w:val="24"/>
                <w:szCs w:val="24"/>
                <w:lang w:val="en-US" w:eastAsia="zh-CN"/>
              </w:rPr>
              <w:t>r</w:t>
            </w:r>
            <w:r>
              <w:rPr>
                <w:rFonts w:hint="eastAsia" w:ascii="Times New Roman" w:hAnsi="Times New Roman" w:cs="Times New Roman"/>
                <w:b w:val="0"/>
                <w:bCs/>
                <w:sz w:val="24"/>
                <w:szCs w:val="24"/>
                <w:vertAlign w:val="subscript"/>
                <w:lang w:val="en-US" w:eastAsia="zh-CN"/>
              </w:rPr>
              <w:t>0</w:t>
            </w:r>
            <w:r>
              <w:rPr>
                <w:rFonts w:hint="default" w:ascii="Times New Roman" w:hAnsi="Times New Roman" w:cs="Times New Roman"/>
                <w:b w:val="0"/>
                <w:bCs/>
                <w:sz w:val="24"/>
                <w:szCs w:val="24"/>
                <w:lang w:val="en-US" w:eastAsia="zh-CN"/>
              </w:rPr>
              <w:t>处的</w:t>
            </w:r>
            <w:r>
              <w:rPr>
                <w:rFonts w:hint="default" w:ascii="Times New Roman" w:hAnsi="Times New Roman" w:cs="Times New Roman"/>
                <w:b w:val="0"/>
                <w:bCs/>
                <w:i/>
                <w:iCs/>
                <w:sz w:val="24"/>
                <w:szCs w:val="24"/>
                <w:lang w:val="en-US" w:eastAsia="zh-CN"/>
              </w:rPr>
              <w:t>A</w:t>
            </w:r>
            <w:r>
              <w:rPr>
                <w:rFonts w:hint="default" w:ascii="Times New Roman" w:hAnsi="Times New Roman" w:cs="Times New Roman"/>
                <w:b w:val="0"/>
                <w:bCs/>
                <w:sz w:val="24"/>
                <w:szCs w:val="24"/>
                <w:lang w:val="en-US" w:eastAsia="zh-CN"/>
              </w:rPr>
              <w:t>声级</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dB</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A</w:t>
            </w:r>
            <w:r>
              <w:rPr>
                <w:rFonts w:hint="eastAsia" w:ascii="Times New Roman" w:hAnsi="Times New Roman" w:cs="Times New Roman"/>
                <w:b w:val="0"/>
                <w:bCs/>
                <w:sz w:val="24"/>
                <w:szCs w:val="24"/>
                <w:lang w:val="en-US" w:eastAsia="zh-CN"/>
              </w:rPr>
              <w:t>）；</w:t>
            </w:r>
          </w:p>
          <w:p w14:paraId="770898D3">
            <w:pPr>
              <w:pStyle w:val="54"/>
              <w:bidi w:val="0"/>
              <w:ind w:firstLine="1200" w:firstLineChars="500"/>
              <w:rPr>
                <w:rFonts w:hint="default" w:ascii="Times New Roman" w:hAnsi="Times New Roman" w:cs="Times New Roman"/>
                <w:b w:val="0"/>
                <w:bCs/>
                <w:sz w:val="24"/>
                <w:szCs w:val="24"/>
                <w:lang w:val="en-US" w:eastAsia="zh-CN"/>
              </w:rPr>
            </w:pPr>
            <w:r>
              <w:rPr>
                <w:rFonts w:hint="default" w:ascii="Times New Roman" w:hAnsi="Times New Roman" w:cs="Times New Roman"/>
                <w:b w:val="0"/>
                <w:bCs/>
                <w:i/>
                <w:iCs/>
                <w:sz w:val="24"/>
                <w:szCs w:val="24"/>
                <w:lang w:val="en-US" w:eastAsia="zh-CN"/>
              </w:rPr>
              <w:t>A</w:t>
            </w:r>
            <w:r>
              <w:rPr>
                <w:rFonts w:hint="default" w:ascii="Times New Roman" w:hAnsi="Times New Roman" w:cs="Times New Roman"/>
                <w:b w:val="0"/>
                <w:bCs/>
                <w:sz w:val="24"/>
                <w:szCs w:val="24"/>
                <w:vertAlign w:val="subscript"/>
                <w:lang w:val="en-US" w:eastAsia="zh-CN"/>
              </w:rPr>
              <w:t>div</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几何发散引起的衰减</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dB。</w:t>
            </w:r>
          </w:p>
          <w:p w14:paraId="74D11274">
            <w:pPr>
              <w:pStyle w:val="54"/>
              <w:bidi w:val="0"/>
              <w:ind w:left="0" w:leftChars="0" w:firstLine="0" w:firstLineChars="0"/>
              <w:jc w:val="center"/>
              <w:rPr>
                <w:rFonts w:hint="default" w:ascii="Times New Roman" w:hAnsi="Times New Roman" w:cs="Times New Roman"/>
                <w:b w:val="0"/>
                <w:bCs/>
                <w:sz w:val="24"/>
                <w:szCs w:val="24"/>
                <w:lang w:val="en-US" w:eastAsia="zh-CN"/>
              </w:rPr>
            </w:pPr>
            <w:r>
              <w:rPr>
                <w:rFonts w:hint="default" w:ascii="Times New Roman" w:hAnsi="Times New Roman" w:cs="Times New Roman"/>
                <w:b w:val="0"/>
                <w:bCs/>
                <w:i/>
                <w:iCs/>
                <w:sz w:val="24"/>
                <w:szCs w:val="24"/>
                <w:lang w:val="en-US" w:eastAsia="zh-CN"/>
              </w:rPr>
              <w:t>A</w:t>
            </w:r>
            <w:r>
              <w:rPr>
                <w:rFonts w:hint="default" w:ascii="Times New Roman" w:hAnsi="Times New Roman" w:cs="Times New Roman"/>
                <w:b w:val="0"/>
                <w:bCs/>
                <w:sz w:val="24"/>
                <w:szCs w:val="24"/>
                <w:vertAlign w:val="subscript"/>
                <w:lang w:val="en-US" w:eastAsia="zh-CN"/>
              </w:rPr>
              <w:t>div</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20</w:t>
            </w:r>
            <w:r>
              <w:rPr>
                <w:rFonts w:hint="eastAsia" w:ascii="Times New Roman" w:hAnsi="Times New Roman" w:cs="Times New Roman"/>
                <w:b w:val="0"/>
                <w:bCs/>
                <w:sz w:val="24"/>
                <w:szCs w:val="24"/>
                <w:lang w:val="en-US" w:eastAsia="zh-CN"/>
              </w:rPr>
              <w:t>l</w:t>
            </w:r>
            <w:r>
              <w:rPr>
                <w:rFonts w:hint="default" w:ascii="Times New Roman" w:hAnsi="Times New Roman" w:cs="Times New Roman"/>
                <w:b w:val="0"/>
                <w:bCs/>
                <w:sz w:val="24"/>
                <w:szCs w:val="24"/>
                <w:lang w:val="en-US" w:eastAsia="zh-CN"/>
              </w:rPr>
              <w:t>g</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i/>
                <w:iCs/>
                <w:sz w:val="24"/>
                <w:szCs w:val="24"/>
                <w:vertAlign w:val="baseline"/>
                <w:lang w:val="en-US" w:eastAsia="zh-CN"/>
              </w:rPr>
              <w:t>r</w:t>
            </w:r>
            <w:r>
              <w:rPr>
                <w:rFonts w:hint="default" w:ascii="Times New Roman" w:hAnsi="Times New Roman" w:cs="Times New Roman"/>
                <w:b w:val="0"/>
                <w:bCs/>
                <w:sz w:val="24"/>
                <w:szCs w:val="24"/>
                <w:lang w:val="en-US" w:eastAsia="zh-CN"/>
              </w:rPr>
              <w:t>/</w:t>
            </w:r>
            <w:r>
              <w:rPr>
                <w:rFonts w:hint="default" w:ascii="Times New Roman" w:hAnsi="Times New Roman" w:cs="Times New Roman"/>
                <w:b w:val="0"/>
                <w:bCs/>
                <w:i/>
                <w:iCs/>
                <w:sz w:val="24"/>
                <w:szCs w:val="24"/>
                <w:lang w:val="en-US" w:eastAsia="zh-CN"/>
              </w:rPr>
              <w:t>r</w:t>
            </w:r>
            <w:r>
              <w:rPr>
                <w:rFonts w:hint="eastAsia" w:ascii="Times New Roman" w:hAnsi="Times New Roman" w:cs="Times New Roman"/>
                <w:b w:val="0"/>
                <w:bCs/>
                <w:sz w:val="24"/>
                <w:szCs w:val="24"/>
                <w:vertAlign w:val="subscript"/>
                <w:lang w:val="en-US" w:eastAsia="zh-CN"/>
              </w:rPr>
              <w:t>0</w:t>
            </w:r>
            <w:r>
              <w:rPr>
                <w:rFonts w:hint="eastAsia" w:ascii="Times New Roman" w:hAnsi="Times New Roman" w:cs="Times New Roman"/>
                <w:b w:val="0"/>
                <w:bCs/>
                <w:sz w:val="24"/>
                <w:szCs w:val="24"/>
                <w:lang w:val="en-US" w:eastAsia="zh-CN"/>
              </w:rPr>
              <w:t>）</w:t>
            </w:r>
          </w:p>
          <w:p w14:paraId="44BD7141">
            <w:pPr>
              <w:pStyle w:val="54"/>
              <w:bidi w:val="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式中</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i/>
                <w:iCs/>
                <w:sz w:val="24"/>
                <w:szCs w:val="24"/>
                <w:lang w:val="en-US" w:eastAsia="zh-CN"/>
              </w:rPr>
              <w:t>A</w:t>
            </w:r>
            <w:r>
              <w:rPr>
                <w:rFonts w:hint="default" w:ascii="Times New Roman" w:hAnsi="Times New Roman" w:cs="Times New Roman"/>
                <w:b w:val="0"/>
                <w:bCs/>
                <w:sz w:val="24"/>
                <w:szCs w:val="24"/>
                <w:vertAlign w:val="subscript"/>
                <w:lang w:val="en-US" w:eastAsia="zh-CN"/>
              </w:rPr>
              <w:t>div</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几何发散引起的衰减</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dB</w:t>
            </w:r>
            <w:r>
              <w:rPr>
                <w:rFonts w:hint="eastAsia" w:ascii="Times New Roman" w:hAnsi="Times New Roman" w:cs="Times New Roman"/>
                <w:b w:val="0"/>
                <w:bCs/>
                <w:sz w:val="24"/>
                <w:szCs w:val="24"/>
                <w:lang w:val="en-US" w:eastAsia="zh-CN"/>
              </w:rPr>
              <w:t>；</w:t>
            </w:r>
          </w:p>
          <w:p w14:paraId="73968BB4">
            <w:pPr>
              <w:pStyle w:val="54"/>
              <w:bidi w:val="0"/>
              <w:ind w:firstLine="1200" w:firstLineChars="500"/>
              <w:rPr>
                <w:rFonts w:hint="default" w:ascii="Times New Roman" w:hAnsi="Times New Roman" w:cs="Times New Roman"/>
                <w:b w:val="0"/>
                <w:bCs/>
                <w:sz w:val="24"/>
                <w:szCs w:val="24"/>
                <w:lang w:val="en-US" w:eastAsia="zh-CN"/>
              </w:rPr>
            </w:pPr>
            <w:r>
              <w:rPr>
                <w:rFonts w:hint="default" w:ascii="Times New Roman" w:hAnsi="Times New Roman" w:cs="Times New Roman"/>
                <w:b w:val="0"/>
                <w:bCs/>
                <w:i/>
                <w:iCs/>
                <w:sz w:val="24"/>
                <w:szCs w:val="24"/>
                <w:lang w:val="en-US" w:eastAsia="zh-CN"/>
              </w:rPr>
              <w:t>r</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预测点距声源的距离</w:t>
            </w:r>
            <w:r>
              <w:rPr>
                <w:rFonts w:hint="eastAsia" w:ascii="Times New Roman" w:hAnsi="Times New Roman" w:cs="Times New Roman"/>
                <w:b w:val="0"/>
                <w:bCs/>
                <w:sz w:val="24"/>
                <w:szCs w:val="24"/>
                <w:lang w:val="en-US" w:eastAsia="zh-CN"/>
              </w:rPr>
              <w:t>；</w:t>
            </w:r>
          </w:p>
          <w:p w14:paraId="2E7A9C2E">
            <w:pPr>
              <w:pStyle w:val="54"/>
              <w:bidi w:val="0"/>
              <w:ind w:firstLine="1200" w:firstLineChars="500"/>
              <w:rPr>
                <w:rFonts w:hint="default" w:ascii="Times New Roman" w:hAnsi="Times New Roman" w:cs="Times New Roman"/>
                <w:b w:val="0"/>
                <w:bCs/>
                <w:sz w:val="24"/>
                <w:szCs w:val="24"/>
                <w:lang w:val="en-US" w:eastAsia="zh-CN"/>
              </w:rPr>
            </w:pPr>
            <w:r>
              <w:rPr>
                <w:rFonts w:hint="default" w:ascii="Times New Roman" w:hAnsi="Times New Roman" w:cs="Times New Roman"/>
                <w:b w:val="0"/>
                <w:bCs/>
                <w:i/>
                <w:iCs/>
                <w:sz w:val="24"/>
                <w:szCs w:val="24"/>
                <w:lang w:val="en-US" w:eastAsia="zh-CN"/>
              </w:rPr>
              <w:t>r</w:t>
            </w:r>
            <w:r>
              <w:rPr>
                <w:rFonts w:hint="eastAsia" w:ascii="Times New Roman" w:hAnsi="Times New Roman" w:cs="Times New Roman"/>
                <w:b w:val="0"/>
                <w:bCs/>
                <w:sz w:val="24"/>
                <w:szCs w:val="24"/>
                <w:vertAlign w:val="subscript"/>
                <w:lang w:val="en-US" w:eastAsia="zh-CN"/>
              </w:rPr>
              <w:t>0</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参考位置距声源的距离。</w:t>
            </w:r>
          </w:p>
          <w:p w14:paraId="36596E50">
            <w:pPr>
              <w:pStyle w:val="54"/>
              <w:bidi w:val="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fldChar w:fldCharType="begin"/>
            </w:r>
            <w:r>
              <w:rPr>
                <w:rFonts w:hint="default" w:ascii="Times New Roman" w:hAnsi="Times New Roman" w:cs="Times New Roman"/>
                <w:b w:val="0"/>
                <w:bCs/>
                <w:sz w:val="24"/>
                <w:szCs w:val="24"/>
                <w:lang w:val="en-US" w:eastAsia="zh-CN"/>
              </w:rPr>
              <w:instrText xml:space="preserve"> = 2 \* GB3 \* MERGEFORMAT </w:instrText>
            </w:r>
            <w:r>
              <w:rPr>
                <w:rFonts w:hint="default" w:ascii="Times New Roman" w:hAnsi="Times New Roman" w:cs="Times New Roman"/>
                <w:b w:val="0"/>
                <w:bCs/>
                <w:sz w:val="24"/>
                <w:szCs w:val="24"/>
                <w:lang w:val="en-US" w:eastAsia="zh-CN"/>
              </w:rPr>
              <w:fldChar w:fldCharType="separate"/>
            </w:r>
            <w:r>
              <w:t>②</w:t>
            </w:r>
            <w:r>
              <w:rPr>
                <w:rFonts w:hint="default" w:ascii="Times New Roman" w:hAnsi="Times New Roman" w:cs="Times New Roman"/>
                <w:b w:val="0"/>
                <w:bCs/>
                <w:sz w:val="24"/>
                <w:szCs w:val="24"/>
                <w:lang w:val="en-US" w:eastAsia="zh-CN"/>
              </w:rPr>
              <w:fldChar w:fldCharType="end"/>
            </w:r>
            <w:r>
              <w:rPr>
                <w:rFonts w:hint="default" w:ascii="Times New Roman" w:hAnsi="Times New Roman" w:cs="Times New Roman"/>
                <w:b w:val="0"/>
                <w:bCs/>
                <w:sz w:val="24"/>
                <w:szCs w:val="24"/>
                <w:lang w:val="en-US" w:eastAsia="zh-CN"/>
              </w:rPr>
              <w:t>噪声叠加模式</w:t>
            </w:r>
          </w:p>
          <w:p w14:paraId="10559B59">
            <w:pPr>
              <w:pStyle w:val="54"/>
              <w:bidi w:val="0"/>
              <w:ind w:left="0" w:leftChars="0" w:firstLine="0" w:firstLineChars="0"/>
              <w:jc w:val="center"/>
              <w:rPr>
                <w:rFonts w:hint="default" w:ascii="Times New Roman" w:hAnsi="Times New Roman" w:cs="Times New Roman"/>
                <w:b w:val="0"/>
                <w:bCs/>
                <w:sz w:val="24"/>
                <w:szCs w:val="24"/>
                <w:lang w:val="en-US" w:eastAsia="zh-CN"/>
              </w:rPr>
            </w:pPr>
            <w:r>
              <w:rPr>
                <w:rFonts w:hint="eastAsia" w:ascii="Times New Roman" w:hAnsi="Times New Roman" w:cs="Times New Roman"/>
                <w:b w:val="0"/>
                <w:bCs/>
                <w:i/>
                <w:iCs/>
                <w:sz w:val="24"/>
                <w:szCs w:val="24"/>
                <w:vertAlign w:val="baseline"/>
                <w:lang w:val="en-US" w:eastAsia="zh-CN"/>
              </w:rPr>
              <w:t>L</w:t>
            </w:r>
            <w:r>
              <w:rPr>
                <w:rFonts w:hint="eastAsia" w:ascii="Times New Roman" w:hAnsi="Times New Roman" w:cs="Times New Roman"/>
                <w:b w:val="0"/>
                <w:bCs/>
                <w:sz w:val="24"/>
                <w:szCs w:val="24"/>
                <w:vertAlign w:val="subscript"/>
                <w:lang w:val="en-US" w:eastAsia="zh-CN"/>
              </w:rPr>
              <w:t>总</w:t>
            </w:r>
            <w:r>
              <w:rPr>
                <w:rFonts w:hint="eastAsia" w:ascii="Times New Roman" w:hAnsi="Times New Roman" w:cs="Times New Roman"/>
                <w:b w:val="0"/>
                <w:bCs/>
                <w:sz w:val="24"/>
                <w:szCs w:val="24"/>
                <w:lang w:val="en-US" w:eastAsia="zh-CN"/>
              </w:rPr>
              <w:t>=10lg（</w:t>
            </w:r>
            <m:oMath>
              <m:nary>
                <m:naryPr>
                  <m:chr m:val="∑"/>
                  <m:limLoc m:val="undOvr"/>
                  <m:ctrlPr>
                    <w:rPr>
                      <w:rFonts w:ascii="Cambria Math" w:hAnsi="Cambria Math" w:cs="Times New Roman"/>
                      <w:bCs/>
                      <w:i/>
                      <w:sz w:val="24"/>
                      <w:szCs w:val="24"/>
                      <w:lang w:val="en-US"/>
                    </w:rPr>
                  </m:ctrlPr>
                </m:naryPr>
                <m:sub>
                  <m:r>
                    <m:rPr/>
                    <w:rPr>
                      <w:rFonts w:hint="default" w:ascii="Cambria Math" w:hAnsi="Cambria Math" w:cs="Times New Roman"/>
                      <w:sz w:val="24"/>
                      <w:szCs w:val="24"/>
                      <w:lang w:val="en-US" w:eastAsia="zh-CN"/>
                    </w:rPr>
                    <m:t>i=1</m:t>
                  </m:r>
                  <m:ctrlPr>
                    <w:rPr>
                      <w:rFonts w:ascii="Cambria Math" w:hAnsi="Cambria Math" w:cs="Times New Roman"/>
                      <w:bCs/>
                      <w:i/>
                      <w:sz w:val="24"/>
                      <w:szCs w:val="24"/>
                      <w:lang w:val="en-US"/>
                    </w:rPr>
                  </m:ctrlPr>
                </m:sub>
                <m:sup>
                  <m:r>
                    <m:rPr/>
                    <w:rPr>
                      <w:rFonts w:hint="default" w:ascii="Cambria Math" w:hAnsi="Cambria Math" w:cs="Times New Roman"/>
                      <w:sz w:val="24"/>
                      <w:szCs w:val="24"/>
                      <w:lang w:val="en-US" w:eastAsia="zh-CN"/>
                    </w:rPr>
                    <m:t>n</m:t>
                  </m:r>
                  <m:ctrlPr>
                    <w:rPr>
                      <w:rFonts w:ascii="Cambria Math" w:hAnsi="Cambria Math" w:cs="Times New Roman"/>
                      <w:bCs/>
                      <w:i/>
                      <w:sz w:val="24"/>
                      <w:szCs w:val="24"/>
                      <w:lang w:val="en-US"/>
                    </w:rPr>
                  </m:ctrlPr>
                </m:sup>
                <m:e>
                  <m:sSup>
                    <m:sSupPr>
                      <m:ctrlPr>
                        <w:rPr>
                          <w:rFonts w:hint="default" w:ascii="Cambria Math" w:hAnsi="Cambria Math" w:cs="Times New Roman"/>
                          <w:bCs/>
                          <w:i/>
                          <w:sz w:val="24"/>
                          <w:szCs w:val="24"/>
                          <w:lang w:val="en-US" w:eastAsia="zh-CN"/>
                        </w:rPr>
                      </m:ctrlPr>
                    </m:sSupPr>
                    <m:e>
                      <m:r>
                        <m:rPr/>
                        <w:rPr>
                          <w:rFonts w:hint="default" w:ascii="Cambria Math" w:hAnsi="Cambria Math" w:cs="Times New Roman"/>
                          <w:sz w:val="24"/>
                          <w:szCs w:val="24"/>
                          <w:lang w:val="en-US" w:eastAsia="zh-CN"/>
                        </w:rPr>
                        <m:t>10</m:t>
                      </m:r>
                      <m:ctrlPr>
                        <w:rPr>
                          <w:rFonts w:hint="default" w:ascii="Cambria Math" w:hAnsi="Cambria Math" w:cs="Times New Roman"/>
                          <w:bCs/>
                          <w:i/>
                          <w:sz w:val="24"/>
                          <w:szCs w:val="24"/>
                          <w:lang w:val="en-US" w:eastAsia="zh-CN"/>
                        </w:rPr>
                      </m:ctrlPr>
                    </m:e>
                    <m:sup>
                      <m:r>
                        <m:rPr/>
                        <w:rPr>
                          <w:rFonts w:hint="default" w:ascii="Cambria Math" w:hAnsi="Cambria Math" w:cs="Times New Roman"/>
                          <w:sz w:val="24"/>
                          <w:szCs w:val="24"/>
                          <w:lang w:val="en-US" w:eastAsia="zh-CN"/>
                        </w:rPr>
                        <m:t>0.1Li</m:t>
                      </m:r>
                      <m:ctrlPr>
                        <w:rPr>
                          <w:rFonts w:hint="default" w:ascii="Cambria Math" w:hAnsi="Cambria Math" w:cs="Times New Roman"/>
                          <w:bCs/>
                          <w:i/>
                          <w:sz w:val="24"/>
                          <w:szCs w:val="24"/>
                          <w:lang w:val="en-US" w:eastAsia="zh-CN"/>
                        </w:rPr>
                      </m:ctrlPr>
                    </m:sup>
                  </m:sSup>
                  <m:ctrlPr>
                    <w:rPr>
                      <w:rFonts w:ascii="Cambria Math" w:hAnsi="Cambria Math" w:cs="Times New Roman"/>
                      <w:bCs/>
                      <w:i/>
                      <w:sz w:val="24"/>
                      <w:szCs w:val="24"/>
                      <w:lang w:val="en-US"/>
                    </w:rPr>
                  </m:ctrlPr>
                </m:e>
              </m:nary>
            </m:oMath>
            <w:r>
              <w:rPr>
                <w:rFonts w:hint="eastAsia" w:ascii="Times New Roman" w:hAnsi="Times New Roman" w:cs="Times New Roman"/>
                <w:b w:val="0"/>
                <w:bCs/>
                <w:sz w:val="24"/>
                <w:szCs w:val="24"/>
                <w:lang w:val="en-US" w:eastAsia="zh-CN"/>
              </w:rPr>
              <w:t>）</w:t>
            </w:r>
          </w:p>
          <w:p w14:paraId="77240ECA">
            <w:pPr>
              <w:pStyle w:val="54"/>
              <w:bidi w:val="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式中：</w:t>
            </w:r>
            <w:r>
              <w:rPr>
                <w:rFonts w:hint="default" w:ascii="Times New Roman" w:hAnsi="Times New Roman" w:cs="Times New Roman"/>
                <w:b w:val="0"/>
                <w:bCs/>
                <w:i/>
                <w:iCs/>
                <w:sz w:val="24"/>
                <w:szCs w:val="24"/>
                <w:lang w:val="en-US" w:eastAsia="zh-CN"/>
              </w:rPr>
              <w:t>L</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总声压强度，dB</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A</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w:t>
            </w:r>
          </w:p>
          <w:p w14:paraId="6D14F44D">
            <w:pPr>
              <w:pStyle w:val="54"/>
              <w:bidi w:val="0"/>
              <w:ind w:left="0" w:leftChars="0" w:firstLine="1200" w:firstLineChars="500"/>
              <w:rPr>
                <w:rFonts w:hint="default" w:ascii="Times New Roman" w:hAnsi="Times New Roman" w:cs="Times New Roman"/>
                <w:b w:val="0"/>
                <w:bCs/>
                <w:sz w:val="24"/>
                <w:szCs w:val="24"/>
                <w:lang w:val="en-US" w:eastAsia="zh-CN"/>
              </w:rPr>
            </w:pPr>
            <w:r>
              <w:rPr>
                <w:rFonts w:hint="default" w:ascii="Times New Roman" w:hAnsi="Times New Roman" w:cs="Times New Roman"/>
                <w:b w:val="0"/>
                <w:bCs/>
                <w:i/>
                <w:iCs/>
                <w:sz w:val="24"/>
                <w:szCs w:val="24"/>
                <w:lang w:val="en-US" w:eastAsia="zh-CN"/>
              </w:rPr>
              <w:t>L</w:t>
            </w:r>
            <w:r>
              <w:rPr>
                <w:rFonts w:hint="eastAsia" w:ascii="Times New Roman" w:hAnsi="Times New Roman" w:cs="Times New Roman"/>
                <w:b w:val="0"/>
                <w:bCs/>
                <w:sz w:val="24"/>
                <w:szCs w:val="24"/>
                <w:vertAlign w:val="subscript"/>
                <w:lang w:val="en-US" w:eastAsia="zh-CN"/>
              </w:rPr>
              <w:t>i</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第i个参与合成的声压级强度，dB</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A</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w:t>
            </w:r>
          </w:p>
          <w:p w14:paraId="5D553204">
            <w:pPr>
              <w:pStyle w:val="54"/>
              <w:bidi w:val="0"/>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val="en-US" w:eastAsia="zh-CN"/>
              </w:rPr>
              <w:t>本项目噪声源距离东厂界</w:t>
            </w:r>
            <w:r>
              <w:rPr>
                <w:rFonts w:hint="eastAsia" w:cs="Times New Roman"/>
                <w:b w:val="0"/>
                <w:bCs/>
                <w:sz w:val="24"/>
                <w:szCs w:val="24"/>
                <w:lang w:val="en-US" w:eastAsia="zh-CN"/>
              </w:rPr>
              <w:t>100</w:t>
            </w:r>
            <w:r>
              <w:rPr>
                <w:rFonts w:hint="eastAsia" w:ascii="Times New Roman" w:hAnsi="Times New Roman" w:cs="Times New Roman"/>
                <w:b w:val="0"/>
                <w:bCs/>
                <w:sz w:val="24"/>
                <w:szCs w:val="24"/>
                <w:lang w:val="en-US" w:eastAsia="zh-CN"/>
              </w:rPr>
              <w:t>m、南厂界</w:t>
            </w:r>
            <w:r>
              <w:rPr>
                <w:rFonts w:hint="eastAsia" w:cs="Times New Roman"/>
                <w:b w:val="0"/>
                <w:bCs/>
                <w:sz w:val="24"/>
                <w:szCs w:val="24"/>
                <w:lang w:val="en-US" w:eastAsia="zh-CN"/>
              </w:rPr>
              <w:t>87</w:t>
            </w:r>
            <w:r>
              <w:rPr>
                <w:rFonts w:hint="eastAsia" w:ascii="Times New Roman" w:hAnsi="Times New Roman" w:cs="Times New Roman"/>
                <w:b w:val="0"/>
                <w:bCs/>
                <w:sz w:val="24"/>
                <w:szCs w:val="24"/>
                <w:lang w:val="en-US" w:eastAsia="zh-CN"/>
              </w:rPr>
              <w:t>m、西厂界</w:t>
            </w:r>
            <w:r>
              <w:rPr>
                <w:rFonts w:hint="eastAsia" w:cs="Times New Roman"/>
                <w:b w:val="0"/>
                <w:bCs/>
                <w:sz w:val="24"/>
                <w:szCs w:val="24"/>
                <w:lang w:val="en-US" w:eastAsia="zh-CN"/>
              </w:rPr>
              <w:t>70</w:t>
            </w:r>
            <w:r>
              <w:rPr>
                <w:rFonts w:hint="eastAsia" w:ascii="Times New Roman" w:hAnsi="Times New Roman" w:cs="Times New Roman"/>
                <w:b w:val="0"/>
                <w:bCs/>
                <w:sz w:val="24"/>
                <w:szCs w:val="24"/>
                <w:lang w:val="en-US" w:eastAsia="zh-CN"/>
              </w:rPr>
              <w:t>m、北厂界</w:t>
            </w:r>
            <w:r>
              <w:rPr>
                <w:rFonts w:hint="eastAsia" w:cs="Times New Roman"/>
                <w:b w:val="0"/>
                <w:bCs/>
                <w:sz w:val="24"/>
                <w:szCs w:val="24"/>
                <w:lang w:val="en-US" w:eastAsia="zh-CN"/>
              </w:rPr>
              <w:t>7</w:t>
            </w:r>
            <w:r>
              <w:rPr>
                <w:rFonts w:hint="eastAsia" w:ascii="Times New Roman" w:hAnsi="Times New Roman" w:cs="Times New Roman"/>
                <w:b w:val="0"/>
                <w:bCs/>
                <w:sz w:val="24"/>
                <w:szCs w:val="24"/>
                <w:lang w:val="en-US" w:eastAsia="zh-CN"/>
              </w:rPr>
              <w:t>m。</w:t>
            </w:r>
            <w:r>
              <w:rPr>
                <w:rFonts w:hint="default" w:ascii="Times New Roman" w:hAnsi="Times New Roman" w:cs="Times New Roman"/>
                <w:b w:val="0"/>
                <w:bCs/>
                <w:sz w:val="24"/>
                <w:szCs w:val="24"/>
                <w:lang w:val="en-US" w:eastAsia="zh-CN"/>
              </w:rPr>
              <w:t>根据以上模式对主要声源噪声衰减进行预测</w:t>
            </w:r>
            <w:r>
              <w:rPr>
                <w:rFonts w:hint="eastAsia" w:ascii="Times New Roman" w:hAnsi="Times New Roman" w:cs="Times New Roman"/>
                <w:b w:val="0"/>
                <w:bCs/>
                <w:sz w:val="24"/>
                <w:szCs w:val="24"/>
                <w:lang w:val="en-US" w:eastAsia="zh-CN"/>
              </w:rPr>
              <w:t>，</w:t>
            </w:r>
            <w:r>
              <w:rPr>
                <w:rFonts w:hint="default" w:ascii="Times New Roman" w:hAnsi="Times New Roman" w:cs="Times New Roman"/>
                <w:b w:val="0"/>
                <w:bCs/>
                <w:sz w:val="24"/>
                <w:szCs w:val="24"/>
                <w:lang w:val="en-US" w:eastAsia="zh-CN"/>
              </w:rPr>
              <w:t>项目噪声预测结果详见下表。</w:t>
            </w:r>
          </w:p>
          <w:p w14:paraId="24F3B6B8">
            <w:pPr>
              <w:pStyle w:val="33"/>
              <w:bidi w:val="0"/>
              <w:rPr>
                <w:rFonts w:hint="default" w:ascii="Times New Roman" w:hAnsi="Times New Roman" w:cs="Times New Roman"/>
                <w:b w:val="0"/>
                <w:bCs/>
                <w:szCs w:val="24"/>
                <w:lang w:val="en-US" w:eastAsia="zh-CN"/>
              </w:rPr>
            </w:pPr>
            <w:r>
              <w:rPr>
                <w:rFonts w:hint="default"/>
                <w:lang w:val="en-US" w:eastAsia="zh-CN"/>
              </w:rPr>
              <w:t>表</w:t>
            </w:r>
            <w:r>
              <w:rPr>
                <w:rFonts w:hint="eastAsia"/>
                <w:lang w:val="en-US" w:eastAsia="zh-CN"/>
              </w:rPr>
              <w:t xml:space="preserve">32    </w:t>
            </w:r>
            <w:r>
              <w:rPr>
                <w:rFonts w:hint="default"/>
                <w:lang w:val="en-US" w:eastAsia="zh-CN"/>
              </w:rPr>
              <w:t>噪声预测结果一览表</w:t>
            </w:r>
          </w:p>
          <w:tbl>
            <w:tblPr>
              <w:tblStyle w:val="18"/>
              <w:tblW w:w="499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
              <w:gridCol w:w="857"/>
              <w:gridCol w:w="510"/>
              <w:gridCol w:w="598"/>
              <w:gridCol w:w="595"/>
              <w:gridCol w:w="595"/>
              <w:gridCol w:w="783"/>
              <w:gridCol w:w="503"/>
              <w:gridCol w:w="598"/>
              <w:gridCol w:w="598"/>
              <w:gridCol w:w="598"/>
              <w:gridCol w:w="598"/>
              <w:gridCol w:w="706"/>
              <w:gridCol w:w="499"/>
            </w:tblGrid>
            <w:tr w14:paraId="454C45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vMerge w:val="restart"/>
                  <w:tcBorders>
                    <w:tl2br w:val="nil"/>
                    <w:tr2bl w:val="nil"/>
                  </w:tcBorders>
                  <w:vAlign w:val="center"/>
                </w:tcPr>
                <w:p w14:paraId="7FFBBEA8">
                  <w:pPr>
                    <w:pStyle w:val="53"/>
                    <w:bidi w:val="0"/>
                    <w:rPr>
                      <w:rFonts w:hint="default"/>
                      <w:lang w:val="en-US" w:eastAsia="zh-CN"/>
                    </w:rPr>
                  </w:pPr>
                  <w:r>
                    <w:rPr>
                      <w:rFonts w:hint="default"/>
                      <w:lang w:val="en-US" w:eastAsia="zh-CN"/>
                    </w:rPr>
                    <w:t>序号</w:t>
                  </w:r>
                </w:p>
              </w:tc>
              <w:tc>
                <w:tcPr>
                  <w:tcW w:w="506" w:type="pct"/>
                  <w:vMerge w:val="restart"/>
                  <w:tcBorders>
                    <w:tl2br w:val="nil"/>
                    <w:tr2bl w:val="nil"/>
                  </w:tcBorders>
                  <w:vAlign w:val="center"/>
                </w:tcPr>
                <w:p w14:paraId="6FEA71D3">
                  <w:pPr>
                    <w:pStyle w:val="53"/>
                    <w:bidi w:val="0"/>
                    <w:rPr>
                      <w:rFonts w:hint="default"/>
                      <w:lang w:val="en-US" w:eastAsia="zh-CN"/>
                    </w:rPr>
                  </w:pPr>
                  <w:r>
                    <w:rPr>
                      <w:rFonts w:hint="default"/>
                      <w:lang w:val="en-US" w:eastAsia="zh-CN"/>
                    </w:rPr>
                    <w:t>预测目标</w:t>
                  </w:r>
                </w:p>
              </w:tc>
              <w:tc>
                <w:tcPr>
                  <w:tcW w:w="654" w:type="pct"/>
                  <w:gridSpan w:val="2"/>
                  <w:tcBorders>
                    <w:tl2br w:val="nil"/>
                    <w:tr2bl w:val="nil"/>
                  </w:tcBorders>
                  <w:vAlign w:val="center"/>
                </w:tcPr>
                <w:p w14:paraId="749F9F74">
                  <w:pPr>
                    <w:pStyle w:val="53"/>
                    <w:bidi w:val="0"/>
                    <w:rPr>
                      <w:rFonts w:hint="default"/>
                      <w:lang w:val="en-US" w:eastAsia="zh-CN"/>
                    </w:rPr>
                  </w:pPr>
                  <w:r>
                    <w:rPr>
                      <w:rFonts w:hint="default"/>
                      <w:lang w:val="en-US" w:eastAsia="zh-CN"/>
                    </w:rPr>
                    <w:t>噪声背景值</w:t>
                  </w:r>
                </w:p>
              </w:tc>
              <w:tc>
                <w:tcPr>
                  <w:tcW w:w="703" w:type="pct"/>
                  <w:gridSpan w:val="2"/>
                  <w:tcBorders>
                    <w:tl2br w:val="nil"/>
                    <w:tr2bl w:val="nil"/>
                  </w:tcBorders>
                  <w:vAlign w:val="center"/>
                </w:tcPr>
                <w:p w14:paraId="6ED2744D">
                  <w:pPr>
                    <w:pStyle w:val="53"/>
                    <w:bidi w:val="0"/>
                    <w:rPr>
                      <w:rFonts w:hint="default"/>
                      <w:lang w:val="en-US" w:eastAsia="zh-CN"/>
                    </w:rPr>
                  </w:pPr>
                  <w:r>
                    <w:rPr>
                      <w:rFonts w:hint="default"/>
                      <w:lang w:val="en-US" w:eastAsia="zh-CN"/>
                    </w:rPr>
                    <w:t>噪声现状</w:t>
                  </w:r>
                </w:p>
                <w:p w14:paraId="716C39A4">
                  <w:pPr>
                    <w:pStyle w:val="53"/>
                    <w:bidi w:val="0"/>
                    <w:rPr>
                      <w:rFonts w:hint="default"/>
                      <w:lang w:val="en-US" w:eastAsia="zh-CN"/>
                    </w:rPr>
                  </w:pPr>
                  <w:r>
                    <w:rPr>
                      <w:rFonts w:hint="default"/>
                      <w:lang w:val="en-US" w:eastAsia="zh-CN"/>
                    </w:rPr>
                    <w:t>值</w:t>
                  </w:r>
                </w:p>
              </w:tc>
              <w:tc>
                <w:tcPr>
                  <w:tcW w:w="759" w:type="pct"/>
                  <w:gridSpan w:val="2"/>
                  <w:tcBorders>
                    <w:tl2br w:val="nil"/>
                    <w:tr2bl w:val="nil"/>
                  </w:tcBorders>
                  <w:vAlign w:val="center"/>
                </w:tcPr>
                <w:p w14:paraId="0634802F">
                  <w:pPr>
                    <w:pStyle w:val="53"/>
                    <w:bidi w:val="0"/>
                    <w:rPr>
                      <w:rFonts w:hint="default"/>
                      <w:lang w:val="en-US" w:eastAsia="zh-CN"/>
                    </w:rPr>
                  </w:pPr>
                  <w:r>
                    <w:rPr>
                      <w:rFonts w:hint="default"/>
                      <w:lang w:val="en-US" w:eastAsia="zh-CN"/>
                    </w:rPr>
                    <w:t>噪声贡献值</w:t>
                  </w:r>
                </w:p>
              </w:tc>
              <w:tc>
                <w:tcPr>
                  <w:tcW w:w="706" w:type="pct"/>
                  <w:gridSpan w:val="2"/>
                  <w:tcBorders>
                    <w:tl2br w:val="nil"/>
                    <w:tr2bl w:val="nil"/>
                  </w:tcBorders>
                  <w:vAlign w:val="center"/>
                </w:tcPr>
                <w:p w14:paraId="64445E30">
                  <w:pPr>
                    <w:pStyle w:val="53"/>
                    <w:bidi w:val="0"/>
                    <w:rPr>
                      <w:rFonts w:hint="default"/>
                      <w:lang w:val="en-US" w:eastAsia="zh-CN"/>
                    </w:rPr>
                  </w:pPr>
                  <w:r>
                    <w:rPr>
                      <w:rFonts w:hint="default"/>
                      <w:lang w:val="en-US" w:eastAsia="zh-CN"/>
                    </w:rPr>
                    <w:t>噪声预测值</w:t>
                  </w:r>
                </w:p>
              </w:tc>
              <w:tc>
                <w:tcPr>
                  <w:tcW w:w="706" w:type="pct"/>
                  <w:gridSpan w:val="2"/>
                  <w:tcBorders>
                    <w:tl2br w:val="nil"/>
                    <w:tr2bl w:val="nil"/>
                  </w:tcBorders>
                  <w:vAlign w:val="center"/>
                </w:tcPr>
                <w:p w14:paraId="62BA7C05">
                  <w:pPr>
                    <w:pStyle w:val="53"/>
                    <w:bidi w:val="0"/>
                    <w:rPr>
                      <w:rFonts w:hint="default"/>
                      <w:lang w:val="en-US" w:eastAsia="zh-CN"/>
                    </w:rPr>
                  </w:pPr>
                  <w:r>
                    <w:rPr>
                      <w:rFonts w:hint="default"/>
                      <w:lang w:val="en-US" w:eastAsia="zh-CN"/>
                    </w:rPr>
                    <w:t>较现状增量</w:t>
                  </w:r>
                </w:p>
              </w:tc>
              <w:tc>
                <w:tcPr>
                  <w:tcW w:w="712" w:type="pct"/>
                  <w:gridSpan w:val="2"/>
                  <w:tcBorders>
                    <w:tl2br w:val="nil"/>
                    <w:tr2bl w:val="nil"/>
                  </w:tcBorders>
                  <w:vAlign w:val="center"/>
                </w:tcPr>
                <w:p w14:paraId="21FDB7DC">
                  <w:pPr>
                    <w:pStyle w:val="53"/>
                    <w:bidi w:val="0"/>
                    <w:rPr>
                      <w:rFonts w:hint="default"/>
                      <w:lang w:val="en-US" w:eastAsia="zh-CN"/>
                    </w:rPr>
                  </w:pPr>
                  <w:r>
                    <w:rPr>
                      <w:rFonts w:hint="default"/>
                      <w:lang w:val="en-US" w:eastAsia="zh-CN"/>
                    </w:rPr>
                    <w:t>超标和达标情况</w:t>
                  </w:r>
                </w:p>
              </w:tc>
            </w:tr>
            <w:tr w14:paraId="1E0EE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vMerge w:val="continue"/>
                  <w:tcBorders>
                    <w:tl2br w:val="nil"/>
                    <w:tr2bl w:val="nil"/>
                  </w:tcBorders>
                  <w:vAlign w:val="center"/>
                </w:tcPr>
                <w:p w14:paraId="69B0A21B">
                  <w:pPr>
                    <w:pStyle w:val="53"/>
                    <w:bidi w:val="0"/>
                    <w:rPr>
                      <w:rFonts w:hint="default"/>
                      <w:lang w:val="en-US" w:eastAsia="zh-CN"/>
                    </w:rPr>
                  </w:pPr>
                </w:p>
              </w:tc>
              <w:tc>
                <w:tcPr>
                  <w:tcW w:w="506" w:type="pct"/>
                  <w:vMerge w:val="continue"/>
                  <w:tcBorders>
                    <w:tl2br w:val="nil"/>
                    <w:tr2bl w:val="nil"/>
                  </w:tcBorders>
                  <w:vAlign w:val="center"/>
                </w:tcPr>
                <w:p w14:paraId="2D158942">
                  <w:pPr>
                    <w:pStyle w:val="53"/>
                    <w:bidi w:val="0"/>
                    <w:rPr>
                      <w:rFonts w:hint="default"/>
                      <w:lang w:val="en-US" w:eastAsia="zh-CN"/>
                    </w:rPr>
                  </w:pPr>
                </w:p>
              </w:tc>
              <w:tc>
                <w:tcPr>
                  <w:tcW w:w="301" w:type="pct"/>
                  <w:tcBorders>
                    <w:tl2br w:val="nil"/>
                    <w:tr2bl w:val="nil"/>
                  </w:tcBorders>
                  <w:vAlign w:val="center"/>
                </w:tcPr>
                <w:p w14:paraId="3915FE95">
                  <w:pPr>
                    <w:pStyle w:val="53"/>
                    <w:bidi w:val="0"/>
                    <w:rPr>
                      <w:rFonts w:hint="default"/>
                      <w:lang w:val="en-US" w:eastAsia="zh-CN"/>
                    </w:rPr>
                  </w:pPr>
                  <w:r>
                    <w:rPr>
                      <w:rFonts w:hint="default"/>
                      <w:lang w:val="en-US" w:eastAsia="zh-CN"/>
                    </w:rPr>
                    <w:t>昼间</w:t>
                  </w:r>
                </w:p>
              </w:tc>
              <w:tc>
                <w:tcPr>
                  <w:tcW w:w="353" w:type="pct"/>
                  <w:tcBorders>
                    <w:tl2br w:val="nil"/>
                    <w:tr2bl w:val="nil"/>
                  </w:tcBorders>
                  <w:vAlign w:val="center"/>
                </w:tcPr>
                <w:p w14:paraId="7DBF36EE">
                  <w:pPr>
                    <w:pStyle w:val="53"/>
                    <w:bidi w:val="0"/>
                    <w:rPr>
                      <w:rFonts w:hint="default"/>
                      <w:lang w:val="en-US" w:eastAsia="zh-CN"/>
                    </w:rPr>
                  </w:pPr>
                  <w:r>
                    <w:rPr>
                      <w:rFonts w:hint="default"/>
                      <w:lang w:val="en-US" w:eastAsia="zh-CN"/>
                    </w:rPr>
                    <w:t>夜间</w:t>
                  </w:r>
                </w:p>
              </w:tc>
              <w:tc>
                <w:tcPr>
                  <w:tcW w:w="351" w:type="pct"/>
                  <w:tcBorders>
                    <w:tl2br w:val="nil"/>
                    <w:tr2bl w:val="nil"/>
                  </w:tcBorders>
                  <w:vAlign w:val="center"/>
                </w:tcPr>
                <w:p w14:paraId="0B387DDF">
                  <w:pPr>
                    <w:pStyle w:val="53"/>
                    <w:bidi w:val="0"/>
                    <w:rPr>
                      <w:rFonts w:hint="default"/>
                      <w:lang w:val="en-US" w:eastAsia="zh-CN"/>
                    </w:rPr>
                  </w:pPr>
                  <w:r>
                    <w:rPr>
                      <w:rFonts w:hint="default"/>
                      <w:lang w:val="en-US" w:eastAsia="zh-CN"/>
                    </w:rPr>
                    <w:t>昼间</w:t>
                  </w:r>
                </w:p>
              </w:tc>
              <w:tc>
                <w:tcPr>
                  <w:tcW w:w="351" w:type="pct"/>
                  <w:tcBorders>
                    <w:tl2br w:val="nil"/>
                    <w:tr2bl w:val="nil"/>
                  </w:tcBorders>
                  <w:vAlign w:val="center"/>
                </w:tcPr>
                <w:p w14:paraId="03C618DE">
                  <w:pPr>
                    <w:pStyle w:val="53"/>
                    <w:bidi w:val="0"/>
                    <w:rPr>
                      <w:rFonts w:hint="default"/>
                      <w:lang w:val="en-US" w:eastAsia="zh-CN"/>
                    </w:rPr>
                  </w:pPr>
                  <w:r>
                    <w:rPr>
                      <w:rFonts w:hint="default"/>
                      <w:lang w:val="en-US" w:eastAsia="zh-CN"/>
                    </w:rPr>
                    <w:t>夜间</w:t>
                  </w:r>
                </w:p>
              </w:tc>
              <w:tc>
                <w:tcPr>
                  <w:tcW w:w="462" w:type="pct"/>
                  <w:tcBorders>
                    <w:tl2br w:val="nil"/>
                    <w:tr2bl w:val="nil"/>
                  </w:tcBorders>
                  <w:vAlign w:val="center"/>
                </w:tcPr>
                <w:p w14:paraId="6921E79B">
                  <w:pPr>
                    <w:pStyle w:val="53"/>
                    <w:bidi w:val="0"/>
                    <w:rPr>
                      <w:rFonts w:hint="default"/>
                      <w:lang w:val="en-US" w:eastAsia="zh-CN"/>
                    </w:rPr>
                  </w:pPr>
                  <w:r>
                    <w:rPr>
                      <w:rFonts w:hint="default"/>
                      <w:lang w:val="en-US" w:eastAsia="zh-CN"/>
                    </w:rPr>
                    <w:t>昼间</w:t>
                  </w:r>
                </w:p>
              </w:tc>
              <w:tc>
                <w:tcPr>
                  <w:tcW w:w="297" w:type="pct"/>
                  <w:tcBorders>
                    <w:tl2br w:val="nil"/>
                    <w:tr2bl w:val="nil"/>
                  </w:tcBorders>
                  <w:vAlign w:val="center"/>
                </w:tcPr>
                <w:p w14:paraId="5277023C">
                  <w:pPr>
                    <w:pStyle w:val="53"/>
                    <w:bidi w:val="0"/>
                    <w:rPr>
                      <w:rFonts w:hint="default"/>
                      <w:lang w:val="en-US" w:eastAsia="zh-CN"/>
                    </w:rPr>
                  </w:pPr>
                  <w:r>
                    <w:rPr>
                      <w:rFonts w:hint="default"/>
                      <w:lang w:val="en-US" w:eastAsia="zh-CN"/>
                    </w:rPr>
                    <w:t>夜间</w:t>
                  </w:r>
                </w:p>
              </w:tc>
              <w:tc>
                <w:tcPr>
                  <w:tcW w:w="353" w:type="pct"/>
                  <w:tcBorders>
                    <w:tl2br w:val="nil"/>
                    <w:tr2bl w:val="nil"/>
                  </w:tcBorders>
                  <w:vAlign w:val="center"/>
                </w:tcPr>
                <w:p w14:paraId="2A3EC91C">
                  <w:pPr>
                    <w:pStyle w:val="53"/>
                    <w:bidi w:val="0"/>
                    <w:rPr>
                      <w:rFonts w:hint="default"/>
                      <w:lang w:val="en-US" w:eastAsia="zh-CN"/>
                    </w:rPr>
                  </w:pPr>
                  <w:r>
                    <w:rPr>
                      <w:rFonts w:hint="default"/>
                      <w:lang w:val="en-US" w:eastAsia="zh-CN"/>
                    </w:rPr>
                    <w:t>昼间</w:t>
                  </w:r>
                </w:p>
              </w:tc>
              <w:tc>
                <w:tcPr>
                  <w:tcW w:w="353" w:type="pct"/>
                  <w:tcBorders>
                    <w:tl2br w:val="nil"/>
                    <w:tr2bl w:val="nil"/>
                  </w:tcBorders>
                  <w:vAlign w:val="center"/>
                </w:tcPr>
                <w:p w14:paraId="5ADEAF1B">
                  <w:pPr>
                    <w:pStyle w:val="53"/>
                    <w:bidi w:val="0"/>
                    <w:rPr>
                      <w:rFonts w:hint="default"/>
                      <w:lang w:val="en-US" w:eastAsia="zh-CN"/>
                    </w:rPr>
                  </w:pPr>
                  <w:r>
                    <w:rPr>
                      <w:rFonts w:hint="default"/>
                      <w:lang w:val="en-US" w:eastAsia="zh-CN"/>
                    </w:rPr>
                    <w:t>夜间</w:t>
                  </w:r>
                </w:p>
              </w:tc>
              <w:tc>
                <w:tcPr>
                  <w:tcW w:w="353" w:type="pct"/>
                  <w:tcBorders>
                    <w:tl2br w:val="nil"/>
                    <w:tr2bl w:val="nil"/>
                  </w:tcBorders>
                  <w:vAlign w:val="center"/>
                </w:tcPr>
                <w:p w14:paraId="27E7108E">
                  <w:pPr>
                    <w:pStyle w:val="53"/>
                    <w:bidi w:val="0"/>
                    <w:rPr>
                      <w:rFonts w:hint="default"/>
                      <w:lang w:val="en-US" w:eastAsia="zh-CN"/>
                    </w:rPr>
                  </w:pPr>
                  <w:r>
                    <w:rPr>
                      <w:rFonts w:hint="default"/>
                      <w:lang w:val="en-US" w:eastAsia="zh-CN"/>
                    </w:rPr>
                    <w:t>昼间</w:t>
                  </w:r>
                </w:p>
              </w:tc>
              <w:tc>
                <w:tcPr>
                  <w:tcW w:w="353" w:type="pct"/>
                  <w:tcBorders>
                    <w:tl2br w:val="nil"/>
                    <w:tr2bl w:val="nil"/>
                  </w:tcBorders>
                  <w:vAlign w:val="center"/>
                </w:tcPr>
                <w:p w14:paraId="7027377D">
                  <w:pPr>
                    <w:pStyle w:val="53"/>
                    <w:bidi w:val="0"/>
                    <w:rPr>
                      <w:rFonts w:hint="default"/>
                      <w:lang w:val="en-US" w:eastAsia="zh-CN"/>
                    </w:rPr>
                  </w:pPr>
                  <w:r>
                    <w:rPr>
                      <w:rFonts w:hint="default"/>
                      <w:lang w:val="en-US" w:eastAsia="zh-CN"/>
                    </w:rPr>
                    <w:t>夜间</w:t>
                  </w:r>
                </w:p>
              </w:tc>
              <w:tc>
                <w:tcPr>
                  <w:tcW w:w="417" w:type="pct"/>
                  <w:tcBorders>
                    <w:tl2br w:val="nil"/>
                    <w:tr2bl w:val="nil"/>
                  </w:tcBorders>
                  <w:vAlign w:val="center"/>
                </w:tcPr>
                <w:p w14:paraId="4F67D60A">
                  <w:pPr>
                    <w:pStyle w:val="53"/>
                    <w:bidi w:val="0"/>
                    <w:rPr>
                      <w:rFonts w:hint="default"/>
                      <w:lang w:val="en-US" w:eastAsia="zh-CN"/>
                    </w:rPr>
                  </w:pPr>
                  <w:r>
                    <w:rPr>
                      <w:rFonts w:hint="default"/>
                      <w:lang w:val="en-US" w:eastAsia="zh-CN"/>
                    </w:rPr>
                    <w:t>昼间</w:t>
                  </w:r>
                </w:p>
              </w:tc>
              <w:tc>
                <w:tcPr>
                  <w:tcW w:w="294" w:type="pct"/>
                  <w:tcBorders>
                    <w:tl2br w:val="nil"/>
                    <w:tr2bl w:val="nil"/>
                  </w:tcBorders>
                  <w:vAlign w:val="center"/>
                </w:tcPr>
                <w:p w14:paraId="1AFA2734">
                  <w:pPr>
                    <w:pStyle w:val="53"/>
                    <w:bidi w:val="0"/>
                    <w:rPr>
                      <w:rFonts w:hint="default"/>
                      <w:lang w:val="en-US" w:eastAsia="zh-CN"/>
                    </w:rPr>
                  </w:pPr>
                  <w:r>
                    <w:rPr>
                      <w:rFonts w:hint="default"/>
                      <w:lang w:val="en-US" w:eastAsia="zh-CN"/>
                    </w:rPr>
                    <w:t>夜间</w:t>
                  </w:r>
                </w:p>
              </w:tc>
            </w:tr>
            <w:tr w14:paraId="535F7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14:paraId="0EE02A18">
                  <w:pPr>
                    <w:pStyle w:val="53"/>
                    <w:bidi w:val="0"/>
                    <w:rPr>
                      <w:rFonts w:hint="default"/>
                      <w:lang w:val="en-US" w:eastAsia="zh-CN"/>
                    </w:rPr>
                  </w:pPr>
                  <w:r>
                    <w:rPr>
                      <w:rFonts w:hint="eastAsia"/>
                      <w:lang w:val="en-US" w:eastAsia="zh-CN"/>
                    </w:rPr>
                    <w:t>1</w:t>
                  </w:r>
                </w:p>
              </w:tc>
              <w:tc>
                <w:tcPr>
                  <w:tcW w:w="506" w:type="pct"/>
                  <w:tcBorders>
                    <w:tl2br w:val="nil"/>
                    <w:tr2bl w:val="nil"/>
                  </w:tcBorders>
                  <w:vAlign w:val="center"/>
                </w:tcPr>
                <w:p w14:paraId="37BA3CD5">
                  <w:pPr>
                    <w:pStyle w:val="53"/>
                    <w:bidi w:val="0"/>
                    <w:rPr>
                      <w:rFonts w:hint="default"/>
                      <w:lang w:val="en-US" w:eastAsia="zh-CN"/>
                    </w:rPr>
                  </w:pPr>
                  <w:r>
                    <w:rPr>
                      <w:rFonts w:hint="eastAsia"/>
                      <w:lang w:val="en-US" w:eastAsia="zh-CN"/>
                    </w:rPr>
                    <w:t>东厂界</w:t>
                  </w:r>
                </w:p>
              </w:tc>
              <w:tc>
                <w:tcPr>
                  <w:tcW w:w="301" w:type="pct"/>
                  <w:tcBorders>
                    <w:tl2br w:val="nil"/>
                    <w:tr2bl w:val="nil"/>
                  </w:tcBorders>
                  <w:vAlign w:val="center"/>
                </w:tcPr>
                <w:p w14:paraId="590C63D4">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6D57DCFB">
                  <w:pPr>
                    <w:pStyle w:val="53"/>
                    <w:bidi w:val="0"/>
                    <w:rPr>
                      <w:rFonts w:hint="default"/>
                      <w:lang w:val="en-US" w:eastAsia="zh-CN"/>
                    </w:rPr>
                  </w:pPr>
                  <w:r>
                    <w:rPr>
                      <w:rFonts w:hint="eastAsia"/>
                      <w:lang w:val="en-US" w:eastAsia="zh-CN"/>
                    </w:rPr>
                    <w:t>/</w:t>
                  </w:r>
                </w:p>
              </w:tc>
              <w:tc>
                <w:tcPr>
                  <w:tcW w:w="351" w:type="pct"/>
                  <w:tcBorders>
                    <w:tl2br w:val="nil"/>
                    <w:tr2bl w:val="nil"/>
                  </w:tcBorders>
                  <w:vAlign w:val="center"/>
                </w:tcPr>
                <w:p w14:paraId="101C39CE">
                  <w:pPr>
                    <w:pStyle w:val="53"/>
                    <w:bidi w:val="0"/>
                    <w:rPr>
                      <w:rFonts w:hint="default"/>
                      <w:lang w:val="en-US" w:eastAsia="zh-CN"/>
                    </w:rPr>
                  </w:pPr>
                  <w:r>
                    <w:rPr>
                      <w:rFonts w:hint="eastAsia"/>
                      <w:lang w:val="en-US" w:eastAsia="zh-CN"/>
                    </w:rPr>
                    <w:t>/</w:t>
                  </w:r>
                </w:p>
              </w:tc>
              <w:tc>
                <w:tcPr>
                  <w:tcW w:w="351" w:type="pct"/>
                  <w:tcBorders>
                    <w:tl2br w:val="nil"/>
                    <w:tr2bl w:val="nil"/>
                  </w:tcBorders>
                  <w:vAlign w:val="center"/>
                </w:tcPr>
                <w:p w14:paraId="31A42DDD">
                  <w:pPr>
                    <w:pStyle w:val="53"/>
                    <w:bidi w:val="0"/>
                    <w:rPr>
                      <w:rFonts w:hint="default"/>
                      <w:lang w:val="en-US" w:eastAsia="zh-CN"/>
                    </w:rPr>
                  </w:pPr>
                  <w:r>
                    <w:rPr>
                      <w:rFonts w:hint="eastAsia"/>
                      <w:lang w:val="en-US" w:eastAsia="zh-CN"/>
                    </w:rPr>
                    <w:t>/</w:t>
                  </w:r>
                </w:p>
              </w:tc>
              <w:tc>
                <w:tcPr>
                  <w:tcW w:w="462" w:type="pct"/>
                  <w:tcBorders>
                    <w:tl2br w:val="nil"/>
                    <w:tr2bl w:val="nil"/>
                  </w:tcBorders>
                  <w:vAlign w:val="center"/>
                </w:tcPr>
                <w:p w14:paraId="3F535D98">
                  <w:pPr>
                    <w:pStyle w:val="53"/>
                    <w:bidi w:val="0"/>
                    <w:rPr>
                      <w:rFonts w:hint="default"/>
                      <w:lang w:val="en-US" w:eastAsia="zh-CN"/>
                    </w:rPr>
                  </w:pPr>
                  <w:r>
                    <w:rPr>
                      <w:rFonts w:hint="eastAsia"/>
                      <w:lang w:val="en-US" w:eastAsia="zh-CN"/>
                    </w:rPr>
                    <w:t>34</w:t>
                  </w:r>
                </w:p>
              </w:tc>
              <w:tc>
                <w:tcPr>
                  <w:tcW w:w="297" w:type="pct"/>
                  <w:tcBorders>
                    <w:tl2br w:val="nil"/>
                    <w:tr2bl w:val="nil"/>
                  </w:tcBorders>
                  <w:vAlign w:val="center"/>
                </w:tcPr>
                <w:p w14:paraId="40E1336B">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47A340A1">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2F18D2DA">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02787B0A">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633194DB">
                  <w:pPr>
                    <w:pStyle w:val="53"/>
                    <w:bidi w:val="0"/>
                    <w:rPr>
                      <w:rFonts w:hint="default"/>
                      <w:lang w:val="en-US" w:eastAsia="zh-CN"/>
                    </w:rPr>
                  </w:pPr>
                  <w:r>
                    <w:rPr>
                      <w:rFonts w:hint="eastAsia"/>
                      <w:lang w:val="en-US" w:eastAsia="zh-CN"/>
                    </w:rPr>
                    <w:t>/</w:t>
                  </w:r>
                </w:p>
              </w:tc>
              <w:tc>
                <w:tcPr>
                  <w:tcW w:w="417" w:type="pct"/>
                  <w:tcBorders>
                    <w:tl2br w:val="nil"/>
                    <w:tr2bl w:val="nil"/>
                  </w:tcBorders>
                  <w:vAlign w:val="center"/>
                </w:tcPr>
                <w:p w14:paraId="2CD92A5D">
                  <w:pPr>
                    <w:pStyle w:val="53"/>
                    <w:bidi w:val="0"/>
                    <w:rPr>
                      <w:rFonts w:hint="default"/>
                      <w:lang w:val="en-US" w:eastAsia="zh-CN"/>
                    </w:rPr>
                  </w:pPr>
                  <w:r>
                    <w:rPr>
                      <w:rFonts w:hint="eastAsia"/>
                      <w:lang w:val="en-US" w:eastAsia="zh-CN"/>
                    </w:rPr>
                    <w:t>达标</w:t>
                  </w:r>
                </w:p>
              </w:tc>
              <w:tc>
                <w:tcPr>
                  <w:tcW w:w="294" w:type="pct"/>
                  <w:tcBorders>
                    <w:tl2br w:val="nil"/>
                    <w:tr2bl w:val="nil"/>
                  </w:tcBorders>
                  <w:vAlign w:val="center"/>
                </w:tcPr>
                <w:p w14:paraId="64ADC4E8">
                  <w:pPr>
                    <w:pStyle w:val="53"/>
                    <w:bidi w:val="0"/>
                    <w:ind w:firstLine="0" w:firstLineChars="0"/>
                    <w:rPr>
                      <w:rFonts w:hint="default"/>
                      <w:lang w:val="en-US" w:eastAsia="zh-CN"/>
                    </w:rPr>
                  </w:pPr>
                  <w:r>
                    <w:rPr>
                      <w:rFonts w:hint="eastAsia"/>
                      <w:lang w:val="en-US" w:eastAsia="zh-CN"/>
                    </w:rPr>
                    <w:t>/</w:t>
                  </w:r>
                </w:p>
              </w:tc>
            </w:tr>
            <w:tr w14:paraId="17E29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14:paraId="2F5BDEB6">
                  <w:pPr>
                    <w:pStyle w:val="53"/>
                    <w:bidi w:val="0"/>
                    <w:rPr>
                      <w:rFonts w:hint="default"/>
                      <w:lang w:val="en-US" w:eastAsia="zh-CN"/>
                    </w:rPr>
                  </w:pPr>
                  <w:r>
                    <w:rPr>
                      <w:rFonts w:hint="eastAsia"/>
                      <w:lang w:val="en-US" w:eastAsia="zh-CN"/>
                    </w:rPr>
                    <w:t>2</w:t>
                  </w:r>
                </w:p>
              </w:tc>
              <w:tc>
                <w:tcPr>
                  <w:tcW w:w="506" w:type="pct"/>
                  <w:tcBorders>
                    <w:tl2br w:val="nil"/>
                    <w:tr2bl w:val="nil"/>
                  </w:tcBorders>
                  <w:vAlign w:val="center"/>
                </w:tcPr>
                <w:p w14:paraId="6CF883D3">
                  <w:pPr>
                    <w:pStyle w:val="53"/>
                    <w:bidi w:val="0"/>
                    <w:rPr>
                      <w:rFonts w:hint="default"/>
                      <w:lang w:val="en-US" w:eastAsia="zh-CN"/>
                    </w:rPr>
                  </w:pPr>
                  <w:r>
                    <w:rPr>
                      <w:rFonts w:hint="eastAsia"/>
                      <w:lang w:val="en-US" w:eastAsia="zh-CN"/>
                    </w:rPr>
                    <w:t>南厂界</w:t>
                  </w:r>
                </w:p>
              </w:tc>
              <w:tc>
                <w:tcPr>
                  <w:tcW w:w="301" w:type="pct"/>
                  <w:tcBorders>
                    <w:tl2br w:val="nil"/>
                    <w:tr2bl w:val="nil"/>
                  </w:tcBorders>
                  <w:vAlign w:val="center"/>
                </w:tcPr>
                <w:p w14:paraId="7D667FB3">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72731B3E">
                  <w:pPr>
                    <w:pStyle w:val="53"/>
                    <w:bidi w:val="0"/>
                    <w:rPr>
                      <w:rFonts w:hint="default"/>
                      <w:lang w:val="en-US" w:eastAsia="zh-CN"/>
                    </w:rPr>
                  </w:pPr>
                  <w:r>
                    <w:rPr>
                      <w:rFonts w:hint="eastAsia"/>
                      <w:lang w:val="en-US" w:eastAsia="zh-CN"/>
                    </w:rPr>
                    <w:t>/</w:t>
                  </w:r>
                </w:p>
              </w:tc>
              <w:tc>
                <w:tcPr>
                  <w:tcW w:w="351" w:type="pct"/>
                  <w:tcBorders>
                    <w:tl2br w:val="nil"/>
                    <w:tr2bl w:val="nil"/>
                  </w:tcBorders>
                  <w:vAlign w:val="center"/>
                </w:tcPr>
                <w:p w14:paraId="160EFA4E">
                  <w:pPr>
                    <w:pStyle w:val="53"/>
                    <w:bidi w:val="0"/>
                    <w:rPr>
                      <w:rFonts w:hint="default"/>
                      <w:lang w:val="en-US" w:eastAsia="zh-CN"/>
                    </w:rPr>
                  </w:pPr>
                  <w:r>
                    <w:rPr>
                      <w:rFonts w:hint="eastAsia"/>
                      <w:lang w:val="en-US" w:eastAsia="zh-CN"/>
                    </w:rPr>
                    <w:t>/</w:t>
                  </w:r>
                </w:p>
              </w:tc>
              <w:tc>
                <w:tcPr>
                  <w:tcW w:w="351" w:type="pct"/>
                  <w:tcBorders>
                    <w:tl2br w:val="nil"/>
                    <w:tr2bl w:val="nil"/>
                  </w:tcBorders>
                  <w:vAlign w:val="center"/>
                </w:tcPr>
                <w:p w14:paraId="3F5732F6">
                  <w:pPr>
                    <w:pStyle w:val="53"/>
                    <w:bidi w:val="0"/>
                    <w:rPr>
                      <w:rFonts w:hint="default"/>
                      <w:lang w:val="en-US" w:eastAsia="zh-CN"/>
                    </w:rPr>
                  </w:pPr>
                  <w:r>
                    <w:rPr>
                      <w:rFonts w:hint="eastAsia"/>
                      <w:lang w:val="en-US" w:eastAsia="zh-CN"/>
                    </w:rPr>
                    <w:t>/</w:t>
                  </w:r>
                </w:p>
              </w:tc>
              <w:tc>
                <w:tcPr>
                  <w:tcW w:w="462" w:type="pct"/>
                  <w:tcBorders>
                    <w:tl2br w:val="nil"/>
                    <w:tr2bl w:val="nil"/>
                  </w:tcBorders>
                  <w:vAlign w:val="center"/>
                </w:tcPr>
                <w:p w14:paraId="4C4D87FE">
                  <w:pPr>
                    <w:pStyle w:val="53"/>
                    <w:bidi w:val="0"/>
                    <w:rPr>
                      <w:rFonts w:hint="default"/>
                      <w:lang w:val="en-US" w:eastAsia="zh-CN"/>
                    </w:rPr>
                  </w:pPr>
                  <w:r>
                    <w:rPr>
                      <w:rFonts w:hint="eastAsia"/>
                      <w:lang w:val="en-US" w:eastAsia="zh-CN"/>
                    </w:rPr>
                    <w:t>28.5</w:t>
                  </w:r>
                </w:p>
              </w:tc>
              <w:tc>
                <w:tcPr>
                  <w:tcW w:w="297" w:type="pct"/>
                  <w:tcBorders>
                    <w:tl2br w:val="nil"/>
                    <w:tr2bl w:val="nil"/>
                  </w:tcBorders>
                  <w:vAlign w:val="center"/>
                </w:tcPr>
                <w:p w14:paraId="0BD88213">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1DE696D1">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43B4B980">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4BDE437B">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09D78E97">
                  <w:pPr>
                    <w:pStyle w:val="53"/>
                    <w:bidi w:val="0"/>
                    <w:rPr>
                      <w:rFonts w:hint="default"/>
                      <w:lang w:val="en-US" w:eastAsia="zh-CN"/>
                    </w:rPr>
                  </w:pPr>
                  <w:r>
                    <w:rPr>
                      <w:rFonts w:hint="eastAsia"/>
                      <w:lang w:val="en-US" w:eastAsia="zh-CN"/>
                    </w:rPr>
                    <w:t>/</w:t>
                  </w:r>
                </w:p>
              </w:tc>
              <w:tc>
                <w:tcPr>
                  <w:tcW w:w="417" w:type="pct"/>
                  <w:tcBorders>
                    <w:tl2br w:val="nil"/>
                    <w:tr2bl w:val="nil"/>
                  </w:tcBorders>
                  <w:vAlign w:val="center"/>
                </w:tcPr>
                <w:p w14:paraId="3DC35D04">
                  <w:pPr>
                    <w:pStyle w:val="53"/>
                    <w:bidi w:val="0"/>
                    <w:rPr>
                      <w:rFonts w:hint="default"/>
                      <w:lang w:val="en-US" w:eastAsia="zh-CN"/>
                    </w:rPr>
                  </w:pPr>
                  <w:r>
                    <w:rPr>
                      <w:rFonts w:hint="eastAsia"/>
                      <w:lang w:val="en-US" w:eastAsia="zh-CN"/>
                    </w:rPr>
                    <w:t>达标</w:t>
                  </w:r>
                </w:p>
              </w:tc>
              <w:tc>
                <w:tcPr>
                  <w:tcW w:w="294" w:type="pct"/>
                  <w:tcBorders>
                    <w:tl2br w:val="nil"/>
                    <w:tr2bl w:val="nil"/>
                  </w:tcBorders>
                  <w:vAlign w:val="center"/>
                </w:tcPr>
                <w:p w14:paraId="3A997DBA">
                  <w:pPr>
                    <w:pStyle w:val="53"/>
                    <w:bidi w:val="0"/>
                    <w:ind w:firstLine="0" w:firstLineChars="0"/>
                    <w:rPr>
                      <w:rFonts w:hint="default"/>
                      <w:lang w:val="en-US" w:eastAsia="zh-CN"/>
                    </w:rPr>
                  </w:pPr>
                  <w:r>
                    <w:rPr>
                      <w:rFonts w:hint="eastAsia"/>
                      <w:lang w:val="en-US" w:eastAsia="zh-CN"/>
                    </w:rPr>
                    <w:t>/</w:t>
                  </w:r>
                </w:p>
              </w:tc>
            </w:tr>
            <w:tr w14:paraId="7CFAF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14:paraId="37BAEA9C">
                  <w:pPr>
                    <w:pStyle w:val="53"/>
                    <w:bidi w:val="0"/>
                    <w:rPr>
                      <w:rFonts w:hint="default"/>
                      <w:lang w:val="en-US" w:eastAsia="zh-CN"/>
                    </w:rPr>
                  </w:pPr>
                  <w:r>
                    <w:rPr>
                      <w:rFonts w:hint="eastAsia"/>
                      <w:lang w:val="en-US" w:eastAsia="zh-CN"/>
                    </w:rPr>
                    <w:t>3</w:t>
                  </w:r>
                </w:p>
              </w:tc>
              <w:tc>
                <w:tcPr>
                  <w:tcW w:w="506" w:type="pct"/>
                  <w:tcBorders>
                    <w:tl2br w:val="nil"/>
                    <w:tr2bl w:val="nil"/>
                  </w:tcBorders>
                  <w:vAlign w:val="center"/>
                </w:tcPr>
                <w:p w14:paraId="0226084E">
                  <w:pPr>
                    <w:pStyle w:val="53"/>
                    <w:bidi w:val="0"/>
                    <w:rPr>
                      <w:rFonts w:hint="default"/>
                      <w:lang w:val="en-US" w:eastAsia="zh-CN"/>
                    </w:rPr>
                  </w:pPr>
                  <w:r>
                    <w:rPr>
                      <w:rFonts w:hint="eastAsia"/>
                      <w:lang w:val="en-US" w:eastAsia="zh-CN"/>
                    </w:rPr>
                    <w:t>西厂界</w:t>
                  </w:r>
                </w:p>
              </w:tc>
              <w:tc>
                <w:tcPr>
                  <w:tcW w:w="301" w:type="pct"/>
                  <w:tcBorders>
                    <w:tl2br w:val="nil"/>
                    <w:tr2bl w:val="nil"/>
                  </w:tcBorders>
                  <w:vAlign w:val="center"/>
                </w:tcPr>
                <w:p w14:paraId="4F1C4A35">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088E8935">
                  <w:pPr>
                    <w:pStyle w:val="53"/>
                    <w:bidi w:val="0"/>
                    <w:rPr>
                      <w:rFonts w:hint="default"/>
                      <w:lang w:val="en-US" w:eastAsia="zh-CN"/>
                    </w:rPr>
                  </w:pPr>
                  <w:r>
                    <w:rPr>
                      <w:rFonts w:hint="eastAsia"/>
                      <w:lang w:val="en-US" w:eastAsia="zh-CN"/>
                    </w:rPr>
                    <w:t>/</w:t>
                  </w:r>
                </w:p>
              </w:tc>
              <w:tc>
                <w:tcPr>
                  <w:tcW w:w="351" w:type="pct"/>
                  <w:tcBorders>
                    <w:tl2br w:val="nil"/>
                    <w:tr2bl w:val="nil"/>
                  </w:tcBorders>
                  <w:vAlign w:val="center"/>
                </w:tcPr>
                <w:p w14:paraId="0FF87BD0">
                  <w:pPr>
                    <w:pStyle w:val="53"/>
                    <w:bidi w:val="0"/>
                    <w:rPr>
                      <w:rFonts w:hint="default"/>
                      <w:lang w:val="en-US" w:eastAsia="zh-CN"/>
                    </w:rPr>
                  </w:pPr>
                  <w:r>
                    <w:rPr>
                      <w:rFonts w:hint="eastAsia"/>
                      <w:lang w:val="en-US" w:eastAsia="zh-CN"/>
                    </w:rPr>
                    <w:t>/</w:t>
                  </w:r>
                </w:p>
              </w:tc>
              <w:tc>
                <w:tcPr>
                  <w:tcW w:w="351" w:type="pct"/>
                  <w:tcBorders>
                    <w:tl2br w:val="nil"/>
                    <w:tr2bl w:val="nil"/>
                  </w:tcBorders>
                  <w:vAlign w:val="center"/>
                </w:tcPr>
                <w:p w14:paraId="5688A308">
                  <w:pPr>
                    <w:pStyle w:val="53"/>
                    <w:bidi w:val="0"/>
                    <w:rPr>
                      <w:rFonts w:hint="default"/>
                      <w:lang w:val="en-US" w:eastAsia="zh-CN"/>
                    </w:rPr>
                  </w:pPr>
                  <w:r>
                    <w:rPr>
                      <w:rFonts w:hint="eastAsia"/>
                      <w:lang w:val="en-US" w:eastAsia="zh-CN"/>
                    </w:rPr>
                    <w:t>/</w:t>
                  </w:r>
                </w:p>
              </w:tc>
              <w:tc>
                <w:tcPr>
                  <w:tcW w:w="462" w:type="pct"/>
                  <w:tcBorders>
                    <w:tl2br w:val="nil"/>
                    <w:tr2bl w:val="nil"/>
                  </w:tcBorders>
                  <w:vAlign w:val="center"/>
                </w:tcPr>
                <w:p w14:paraId="409A1AEA">
                  <w:pPr>
                    <w:pStyle w:val="53"/>
                    <w:bidi w:val="0"/>
                    <w:rPr>
                      <w:rFonts w:hint="default"/>
                      <w:lang w:val="en-US" w:eastAsia="zh-CN"/>
                    </w:rPr>
                  </w:pPr>
                  <w:r>
                    <w:rPr>
                      <w:rFonts w:hint="eastAsia"/>
                      <w:lang w:val="en-US" w:eastAsia="zh-CN"/>
                    </w:rPr>
                    <w:t>30.39</w:t>
                  </w:r>
                </w:p>
              </w:tc>
              <w:tc>
                <w:tcPr>
                  <w:tcW w:w="297" w:type="pct"/>
                  <w:tcBorders>
                    <w:tl2br w:val="nil"/>
                    <w:tr2bl w:val="nil"/>
                  </w:tcBorders>
                  <w:vAlign w:val="center"/>
                </w:tcPr>
                <w:p w14:paraId="1217924A">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1634A339">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5B5025CF">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520D910F">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6C308FE6">
                  <w:pPr>
                    <w:pStyle w:val="53"/>
                    <w:bidi w:val="0"/>
                    <w:rPr>
                      <w:rFonts w:hint="default"/>
                      <w:lang w:val="en-US" w:eastAsia="zh-CN"/>
                    </w:rPr>
                  </w:pPr>
                  <w:r>
                    <w:rPr>
                      <w:rFonts w:hint="eastAsia"/>
                      <w:lang w:val="en-US" w:eastAsia="zh-CN"/>
                    </w:rPr>
                    <w:t>/</w:t>
                  </w:r>
                </w:p>
              </w:tc>
              <w:tc>
                <w:tcPr>
                  <w:tcW w:w="417" w:type="pct"/>
                  <w:tcBorders>
                    <w:tl2br w:val="nil"/>
                    <w:tr2bl w:val="nil"/>
                  </w:tcBorders>
                  <w:vAlign w:val="center"/>
                </w:tcPr>
                <w:p w14:paraId="0EBC5DAF">
                  <w:pPr>
                    <w:pStyle w:val="53"/>
                    <w:bidi w:val="0"/>
                    <w:rPr>
                      <w:rFonts w:hint="default"/>
                      <w:lang w:val="en-US" w:eastAsia="zh-CN"/>
                    </w:rPr>
                  </w:pPr>
                  <w:r>
                    <w:rPr>
                      <w:rFonts w:hint="eastAsia"/>
                      <w:lang w:val="en-US" w:eastAsia="zh-CN"/>
                    </w:rPr>
                    <w:t>达标</w:t>
                  </w:r>
                </w:p>
              </w:tc>
              <w:tc>
                <w:tcPr>
                  <w:tcW w:w="294" w:type="pct"/>
                  <w:tcBorders>
                    <w:tl2br w:val="nil"/>
                    <w:tr2bl w:val="nil"/>
                  </w:tcBorders>
                  <w:vAlign w:val="center"/>
                </w:tcPr>
                <w:p w14:paraId="0A8147DF">
                  <w:pPr>
                    <w:pStyle w:val="53"/>
                    <w:bidi w:val="0"/>
                    <w:ind w:firstLine="0" w:firstLineChars="0"/>
                    <w:rPr>
                      <w:rFonts w:hint="default"/>
                      <w:lang w:val="en-US" w:eastAsia="zh-CN"/>
                    </w:rPr>
                  </w:pPr>
                  <w:r>
                    <w:rPr>
                      <w:rFonts w:hint="eastAsia"/>
                      <w:lang w:val="en-US" w:eastAsia="zh-CN"/>
                    </w:rPr>
                    <w:t>/</w:t>
                  </w:r>
                </w:p>
              </w:tc>
            </w:tr>
            <w:tr w14:paraId="73CE73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 w:type="pct"/>
                  <w:tcBorders>
                    <w:tl2br w:val="nil"/>
                    <w:tr2bl w:val="nil"/>
                  </w:tcBorders>
                  <w:vAlign w:val="center"/>
                </w:tcPr>
                <w:p w14:paraId="5FAA2C6A">
                  <w:pPr>
                    <w:pStyle w:val="53"/>
                    <w:bidi w:val="0"/>
                    <w:rPr>
                      <w:rFonts w:hint="default"/>
                      <w:lang w:val="en-US" w:eastAsia="zh-CN"/>
                    </w:rPr>
                  </w:pPr>
                  <w:r>
                    <w:rPr>
                      <w:rFonts w:hint="eastAsia"/>
                      <w:lang w:val="en-US" w:eastAsia="zh-CN"/>
                    </w:rPr>
                    <w:t>4</w:t>
                  </w:r>
                </w:p>
              </w:tc>
              <w:tc>
                <w:tcPr>
                  <w:tcW w:w="506" w:type="pct"/>
                  <w:tcBorders>
                    <w:tl2br w:val="nil"/>
                    <w:tr2bl w:val="nil"/>
                  </w:tcBorders>
                  <w:vAlign w:val="center"/>
                </w:tcPr>
                <w:p w14:paraId="39807687">
                  <w:pPr>
                    <w:pStyle w:val="53"/>
                    <w:bidi w:val="0"/>
                    <w:rPr>
                      <w:rFonts w:hint="default"/>
                      <w:lang w:val="en-US" w:eastAsia="zh-CN"/>
                    </w:rPr>
                  </w:pPr>
                  <w:r>
                    <w:rPr>
                      <w:rFonts w:hint="eastAsia"/>
                      <w:lang w:val="en-US" w:eastAsia="zh-CN"/>
                    </w:rPr>
                    <w:t>北厂界</w:t>
                  </w:r>
                </w:p>
              </w:tc>
              <w:tc>
                <w:tcPr>
                  <w:tcW w:w="301" w:type="pct"/>
                  <w:tcBorders>
                    <w:tl2br w:val="nil"/>
                    <w:tr2bl w:val="nil"/>
                  </w:tcBorders>
                  <w:vAlign w:val="center"/>
                </w:tcPr>
                <w:p w14:paraId="45112171">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63F5E721">
                  <w:pPr>
                    <w:pStyle w:val="53"/>
                    <w:bidi w:val="0"/>
                    <w:rPr>
                      <w:rFonts w:hint="default"/>
                      <w:lang w:val="en-US" w:eastAsia="zh-CN"/>
                    </w:rPr>
                  </w:pPr>
                  <w:r>
                    <w:rPr>
                      <w:rFonts w:hint="eastAsia"/>
                      <w:lang w:val="en-US" w:eastAsia="zh-CN"/>
                    </w:rPr>
                    <w:t>/</w:t>
                  </w:r>
                </w:p>
              </w:tc>
              <w:tc>
                <w:tcPr>
                  <w:tcW w:w="351" w:type="pct"/>
                  <w:tcBorders>
                    <w:tl2br w:val="nil"/>
                    <w:tr2bl w:val="nil"/>
                  </w:tcBorders>
                  <w:vAlign w:val="center"/>
                </w:tcPr>
                <w:p w14:paraId="00803262">
                  <w:pPr>
                    <w:pStyle w:val="53"/>
                    <w:bidi w:val="0"/>
                    <w:rPr>
                      <w:rFonts w:hint="default"/>
                      <w:lang w:val="en-US" w:eastAsia="zh-CN"/>
                    </w:rPr>
                  </w:pPr>
                  <w:r>
                    <w:rPr>
                      <w:rFonts w:hint="eastAsia"/>
                      <w:lang w:val="en-US" w:eastAsia="zh-CN"/>
                    </w:rPr>
                    <w:t>/</w:t>
                  </w:r>
                </w:p>
              </w:tc>
              <w:tc>
                <w:tcPr>
                  <w:tcW w:w="351" w:type="pct"/>
                  <w:tcBorders>
                    <w:tl2br w:val="nil"/>
                    <w:tr2bl w:val="nil"/>
                  </w:tcBorders>
                  <w:vAlign w:val="center"/>
                </w:tcPr>
                <w:p w14:paraId="247D30D8">
                  <w:pPr>
                    <w:pStyle w:val="53"/>
                    <w:bidi w:val="0"/>
                    <w:rPr>
                      <w:rFonts w:hint="default"/>
                      <w:lang w:val="en-US" w:eastAsia="zh-CN"/>
                    </w:rPr>
                  </w:pPr>
                  <w:r>
                    <w:rPr>
                      <w:rFonts w:hint="eastAsia"/>
                      <w:lang w:val="en-US" w:eastAsia="zh-CN"/>
                    </w:rPr>
                    <w:t>/</w:t>
                  </w:r>
                </w:p>
              </w:tc>
              <w:tc>
                <w:tcPr>
                  <w:tcW w:w="462" w:type="pct"/>
                  <w:tcBorders>
                    <w:tl2br w:val="nil"/>
                    <w:tr2bl w:val="nil"/>
                  </w:tcBorders>
                  <w:vAlign w:val="center"/>
                </w:tcPr>
                <w:p w14:paraId="2BA0E712">
                  <w:pPr>
                    <w:pStyle w:val="53"/>
                    <w:bidi w:val="0"/>
                    <w:rPr>
                      <w:rFonts w:hint="default"/>
                      <w:lang w:val="en-US" w:eastAsia="zh-CN"/>
                    </w:rPr>
                  </w:pPr>
                  <w:r>
                    <w:rPr>
                      <w:rFonts w:hint="eastAsia"/>
                      <w:lang w:val="en-US" w:eastAsia="zh-CN"/>
                    </w:rPr>
                    <w:t>50.39</w:t>
                  </w:r>
                </w:p>
              </w:tc>
              <w:tc>
                <w:tcPr>
                  <w:tcW w:w="297" w:type="pct"/>
                  <w:tcBorders>
                    <w:tl2br w:val="nil"/>
                    <w:tr2bl w:val="nil"/>
                  </w:tcBorders>
                  <w:vAlign w:val="center"/>
                </w:tcPr>
                <w:p w14:paraId="54B7E7B1">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054651BC">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08600CFF">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19D7C4A0">
                  <w:pPr>
                    <w:pStyle w:val="53"/>
                    <w:bidi w:val="0"/>
                    <w:rPr>
                      <w:rFonts w:hint="default"/>
                      <w:lang w:val="en-US" w:eastAsia="zh-CN"/>
                    </w:rPr>
                  </w:pPr>
                  <w:r>
                    <w:rPr>
                      <w:rFonts w:hint="eastAsia"/>
                      <w:lang w:val="en-US" w:eastAsia="zh-CN"/>
                    </w:rPr>
                    <w:t>/</w:t>
                  </w:r>
                </w:p>
              </w:tc>
              <w:tc>
                <w:tcPr>
                  <w:tcW w:w="353" w:type="pct"/>
                  <w:tcBorders>
                    <w:tl2br w:val="nil"/>
                    <w:tr2bl w:val="nil"/>
                  </w:tcBorders>
                  <w:vAlign w:val="center"/>
                </w:tcPr>
                <w:p w14:paraId="57C5B23A">
                  <w:pPr>
                    <w:pStyle w:val="53"/>
                    <w:bidi w:val="0"/>
                    <w:rPr>
                      <w:rFonts w:hint="default"/>
                      <w:lang w:val="en-US" w:eastAsia="zh-CN"/>
                    </w:rPr>
                  </w:pPr>
                  <w:r>
                    <w:rPr>
                      <w:rFonts w:hint="eastAsia"/>
                      <w:lang w:val="en-US" w:eastAsia="zh-CN"/>
                    </w:rPr>
                    <w:t>/</w:t>
                  </w:r>
                </w:p>
              </w:tc>
              <w:tc>
                <w:tcPr>
                  <w:tcW w:w="417" w:type="pct"/>
                  <w:tcBorders>
                    <w:tl2br w:val="nil"/>
                    <w:tr2bl w:val="nil"/>
                  </w:tcBorders>
                  <w:vAlign w:val="center"/>
                </w:tcPr>
                <w:p w14:paraId="4DEF8E4C">
                  <w:pPr>
                    <w:pStyle w:val="53"/>
                    <w:bidi w:val="0"/>
                    <w:rPr>
                      <w:rFonts w:hint="default"/>
                      <w:lang w:val="en-US" w:eastAsia="zh-CN"/>
                    </w:rPr>
                  </w:pPr>
                  <w:r>
                    <w:rPr>
                      <w:rFonts w:hint="eastAsia"/>
                      <w:lang w:val="en-US" w:eastAsia="zh-CN"/>
                    </w:rPr>
                    <w:t>达标</w:t>
                  </w:r>
                </w:p>
              </w:tc>
              <w:tc>
                <w:tcPr>
                  <w:tcW w:w="294" w:type="pct"/>
                  <w:tcBorders>
                    <w:tl2br w:val="nil"/>
                    <w:tr2bl w:val="nil"/>
                  </w:tcBorders>
                  <w:vAlign w:val="center"/>
                </w:tcPr>
                <w:p w14:paraId="7FE39562">
                  <w:pPr>
                    <w:pStyle w:val="53"/>
                    <w:bidi w:val="0"/>
                    <w:ind w:firstLine="0" w:firstLineChars="0"/>
                    <w:rPr>
                      <w:rFonts w:hint="default"/>
                      <w:lang w:val="en-US" w:eastAsia="zh-CN"/>
                    </w:rPr>
                  </w:pPr>
                  <w:r>
                    <w:rPr>
                      <w:rFonts w:hint="eastAsia"/>
                      <w:lang w:val="en-US" w:eastAsia="zh-CN"/>
                    </w:rPr>
                    <w:t>/</w:t>
                  </w:r>
                </w:p>
              </w:tc>
            </w:tr>
            <w:tr w14:paraId="185B6B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14"/>
                  <w:tcBorders>
                    <w:tl2br w:val="nil"/>
                    <w:tr2bl w:val="nil"/>
                  </w:tcBorders>
                  <w:vAlign w:val="center"/>
                </w:tcPr>
                <w:p w14:paraId="72858CEC">
                  <w:pPr>
                    <w:pStyle w:val="53"/>
                    <w:bidi w:val="0"/>
                    <w:ind w:firstLine="0" w:firstLineChars="0"/>
                    <w:jc w:val="both"/>
                    <w:rPr>
                      <w:rFonts w:hint="default"/>
                      <w:lang w:val="en-US" w:eastAsia="zh-CN"/>
                    </w:rPr>
                  </w:pPr>
                  <w:r>
                    <w:rPr>
                      <w:rFonts w:hint="eastAsia"/>
                      <w:lang w:val="en-US" w:eastAsia="zh-CN"/>
                    </w:rPr>
                    <w:t>注：本项目夜间不生产。</w:t>
                  </w:r>
                </w:p>
              </w:tc>
            </w:tr>
          </w:tbl>
          <w:p w14:paraId="0DD7E88F">
            <w:pPr>
              <w:pStyle w:val="54"/>
              <w:bidi w:val="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由噪声预测结果可知，项目厂界昼间噪声预测值为</w:t>
            </w:r>
            <w:r>
              <w:rPr>
                <w:rFonts w:hint="eastAsia" w:cs="Times New Roman"/>
                <w:b w:val="0"/>
                <w:bCs/>
                <w:sz w:val="24"/>
                <w:szCs w:val="24"/>
                <w:lang w:val="en-US" w:eastAsia="zh-CN"/>
              </w:rPr>
              <w:t>28.5</w:t>
            </w:r>
            <w:r>
              <w:rPr>
                <w:rFonts w:hint="default" w:ascii="Times New Roman" w:hAnsi="Times New Roman" w:cs="Times New Roman"/>
                <w:b w:val="0"/>
                <w:bCs/>
                <w:sz w:val="24"/>
                <w:szCs w:val="24"/>
                <w:lang w:val="en-US" w:eastAsia="zh-CN"/>
              </w:rPr>
              <w:t>-</w:t>
            </w:r>
            <w:r>
              <w:rPr>
                <w:rFonts w:hint="eastAsia" w:cs="Times New Roman"/>
                <w:b w:val="0"/>
                <w:bCs/>
                <w:sz w:val="24"/>
                <w:szCs w:val="24"/>
                <w:lang w:val="en-US" w:eastAsia="zh-CN"/>
              </w:rPr>
              <w:t>50.39</w:t>
            </w:r>
            <w:r>
              <w:rPr>
                <w:rFonts w:hint="default" w:ascii="Times New Roman" w:hAnsi="Times New Roman" w:cs="Times New Roman"/>
                <w:b w:val="0"/>
                <w:bCs/>
                <w:sz w:val="24"/>
                <w:szCs w:val="24"/>
                <w:lang w:val="en-US" w:eastAsia="zh-CN"/>
              </w:rPr>
              <w:t>dB（A）之间，噪声预测值均满足《工业企业厂界环境噪声排放标准》（GB12348-2008）</w:t>
            </w:r>
            <w:r>
              <w:rPr>
                <w:rFonts w:hint="eastAsia" w:cs="Times New Roman"/>
                <w:b w:val="0"/>
                <w:bCs/>
                <w:sz w:val="24"/>
                <w:szCs w:val="24"/>
                <w:lang w:val="en-US" w:eastAsia="zh-CN"/>
              </w:rPr>
              <w:t>2</w:t>
            </w:r>
            <w:r>
              <w:rPr>
                <w:rFonts w:hint="default" w:ascii="Times New Roman" w:hAnsi="Times New Roman" w:cs="Times New Roman"/>
                <w:b w:val="0"/>
                <w:bCs/>
                <w:sz w:val="24"/>
                <w:szCs w:val="24"/>
                <w:lang w:val="en-US" w:eastAsia="zh-CN"/>
              </w:rPr>
              <w:t>类标准的要求。本项目厂区外周边50米范围内无声环境保护目标，声环境相对不敏感。在采取有效噪声污染防治措施，再经距离衰减后，运营期噪声对周边环境影响较小。</w:t>
            </w:r>
          </w:p>
          <w:p w14:paraId="08811ACE">
            <w:pPr>
              <w:pStyle w:val="54"/>
              <w:bidi w:val="0"/>
              <w:rPr>
                <w:rFonts w:hint="default" w:ascii="Times New Roman" w:hAnsi="Times New Roman" w:cs="Times New Roman"/>
                <w:b w:val="0"/>
                <w:bCs/>
                <w:sz w:val="24"/>
                <w:szCs w:val="24"/>
                <w:lang w:val="en-US" w:eastAsia="zh-CN"/>
              </w:rPr>
            </w:pPr>
            <w:r>
              <w:rPr>
                <w:rFonts w:hint="eastAsia" w:cs="Times New Roman"/>
                <w:b w:val="0"/>
                <w:bCs/>
                <w:sz w:val="24"/>
                <w:szCs w:val="24"/>
                <w:lang w:val="en-US" w:eastAsia="zh-CN"/>
              </w:rPr>
              <w:t>2）</w:t>
            </w:r>
            <w:r>
              <w:rPr>
                <w:rFonts w:hint="default" w:ascii="Times New Roman" w:hAnsi="Times New Roman" w:cs="Times New Roman"/>
                <w:b w:val="0"/>
                <w:bCs/>
                <w:sz w:val="24"/>
                <w:szCs w:val="24"/>
                <w:lang w:val="en-US" w:eastAsia="zh-CN"/>
              </w:rPr>
              <w:t>运输车辆产生的噪声</w:t>
            </w:r>
          </w:p>
          <w:p w14:paraId="1E24979F">
            <w:pPr>
              <w:pStyle w:val="54"/>
              <w:bidi w:val="0"/>
              <w:rPr>
                <w:rFonts w:hint="default" w:ascii="Times New Roman" w:hAnsi="Times New Roman" w:cs="Times New Roman"/>
                <w:b w:val="0"/>
                <w:bCs/>
                <w:sz w:val="24"/>
                <w:szCs w:val="24"/>
                <w:lang w:val="en-US" w:eastAsia="zh-CN"/>
              </w:rPr>
            </w:pPr>
            <w:r>
              <w:rPr>
                <w:rFonts w:hint="default" w:ascii="Times New Roman" w:hAnsi="Times New Roman" w:cs="Times New Roman"/>
                <w:b w:val="0"/>
                <w:bCs/>
                <w:sz w:val="24"/>
                <w:szCs w:val="24"/>
                <w:lang w:val="en-US" w:eastAsia="zh-CN"/>
              </w:rPr>
              <w:t>对于运输车辆产生的交通噪声，加强对厂区内的交通管理，对进出厂区的线路进行规定，运输车辆限制车速、减少车辆鸣笛，设立禁鸣标志，确保交通能通畅和安静，严禁轰鸣；加强车辆管理。运输车辆产生的交通噪声对环境影响较小。</w:t>
            </w:r>
          </w:p>
          <w:p w14:paraId="2F4582B3">
            <w:pPr>
              <w:pStyle w:val="54"/>
              <w:bidi w:val="0"/>
              <w:rPr>
                <w:rFonts w:hint="eastAsia"/>
                <w:lang w:val="en-US" w:eastAsia="zh-CN"/>
              </w:rPr>
            </w:pPr>
            <w:r>
              <w:rPr>
                <w:rFonts w:hint="eastAsia"/>
                <w:b/>
                <w:bCs/>
                <w:lang w:val="en-US" w:eastAsia="zh-CN"/>
              </w:rPr>
              <w:t>4、运营期固体废物影响及防治措施</w:t>
            </w:r>
          </w:p>
          <w:p w14:paraId="7FD0947D">
            <w:pPr>
              <w:pStyle w:val="54"/>
              <w:bidi w:val="0"/>
              <w:rPr>
                <w:rFonts w:hint="eastAsia"/>
                <w:lang w:val="en-US" w:eastAsia="zh-CN"/>
              </w:rPr>
            </w:pPr>
            <w:r>
              <w:rPr>
                <w:rFonts w:hint="eastAsia"/>
                <w:b/>
                <w:bCs/>
                <w:lang w:val="en-US" w:eastAsia="zh-CN"/>
              </w:rPr>
              <w:t>4.1固体废物产生及处置情况</w:t>
            </w:r>
          </w:p>
          <w:p w14:paraId="0199A8BF">
            <w:pPr>
              <w:pStyle w:val="54"/>
              <w:bidi w:val="0"/>
              <w:rPr>
                <w:rFonts w:hint="eastAsia"/>
                <w:lang w:val="en-US" w:eastAsia="zh-CN"/>
              </w:rPr>
            </w:pPr>
            <w:r>
              <w:rPr>
                <w:rFonts w:hint="eastAsia"/>
                <w:lang w:val="en-US" w:eastAsia="zh-CN"/>
              </w:rPr>
              <w:t>根据工艺分析，项目产生的固废主要为除尘器收集的粉尘、沉淀池泥砂、生活垃圾。</w:t>
            </w:r>
          </w:p>
          <w:p w14:paraId="531604D7">
            <w:pPr>
              <w:pStyle w:val="54"/>
              <w:bidi w:val="0"/>
              <w:rPr>
                <w:rFonts w:hint="default"/>
                <w:lang w:val="en-US" w:eastAsia="zh-CN"/>
              </w:rPr>
            </w:pPr>
            <w:r>
              <w:rPr>
                <w:rFonts w:hint="eastAsia"/>
                <w:lang w:val="en-US" w:eastAsia="zh-CN"/>
              </w:rPr>
              <w:t>1）一般工业固废</w:t>
            </w:r>
          </w:p>
          <w:p w14:paraId="283EFB95">
            <w:pPr>
              <w:pStyle w:val="54"/>
              <w:bidi w:val="0"/>
              <w:rPr>
                <w:rFonts w:hint="eastAsia"/>
                <w:lang w:val="en-US" w:eastAsia="zh-CN"/>
              </w:rPr>
            </w:pPr>
            <w:r>
              <w:rPr>
                <w:rFonts w:hint="eastAsia"/>
                <w:lang w:val="en-US" w:eastAsia="zh-CN"/>
              </w:rPr>
              <w:t>（1）仓顶除尘器收集的除尘灰</w:t>
            </w:r>
          </w:p>
          <w:p w14:paraId="714103FB">
            <w:pPr>
              <w:pStyle w:val="54"/>
              <w:bidi w:val="0"/>
              <w:rPr>
                <w:rFonts w:hint="eastAsia"/>
                <w:color w:val="auto"/>
                <w:lang w:val="en-US" w:eastAsia="zh-CN"/>
              </w:rPr>
            </w:pPr>
            <w:r>
              <w:rPr>
                <w:rFonts w:hint="eastAsia"/>
                <w:color w:val="auto"/>
                <w:lang w:val="en-US" w:eastAsia="zh-CN"/>
              </w:rPr>
              <w:t>本项目</w:t>
            </w:r>
            <w:r>
              <w:rPr>
                <w:rFonts w:hint="eastAsia"/>
                <w:lang w:val="en-US" w:eastAsia="zh-CN"/>
              </w:rPr>
              <w:t>仓顶除尘器</w:t>
            </w:r>
            <w:r>
              <w:rPr>
                <w:rFonts w:hint="eastAsia"/>
                <w:color w:val="auto"/>
                <w:lang w:val="en-US" w:eastAsia="zh-CN"/>
              </w:rPr>
              <w:t>收集的粉尘量约2.213t/a。根据《固体废物分类与代码目录》（2024年），本项目产生的除尘灰属于一般固体废物类别为“SW59其他工业固体废物”中的“其他工业生产过程中产生的固体废物”，废物代码为900—099—S59，集中收集后回用于搅拌工序。</w:t>
            </w:r>
          </w:p>
          <w:p w14:paraId="48573CAD">
            <w:pPr>
              <w:pStyle w:val="54"/>
              <w:bidi w:val="0"/>
              <w:rPr>
                <w:rFonts w:hint="default"/>
                <w:lang w:val="en-US" w:eastAsia="zh-CN"/>
              </w:rPr>
            </w:pPr>
            <w:r>
              <w:rPr>
                <w:rFonts w:hint="eastAsia"/>
                <w:lang w:val="en-US" w:eastAsia="zh-CN"/>
              </w:rPr>
              <w:t>（2）沉淀池泥砂</w:t>
            </w:r>
          </w:p>
          <w:p w14:paraId="4E5FA73F">
            <w:pPr>
              <w:pStyle w:val="54"/>
              <w:bidi w:val="0"/>
              <w:rPr>
                <w:rFonts w:hint="eastAsia"/>
                <w:color w:val="auto"/>
                <w:lang w:val="en-US" w:eastAsia="zh-CN"/>
              </w:rPr>
            </w:pPr>
            <w:r>
              <w:rPr>
                <w:rFonts w:hint="eastAsia"/>
                <w:color w:val="auto"/>
                <w:lang w:val="en-US" w:eastAsia="zh-CN"/>
              </w:rPr>
              <w:t>本项目搅拌机清洗废水和混凝土运输车清洗废水排入厂区的沉淀池内，废水中的泥砂会沉淀在沉淀池底部，主要以砂、土、碎石为主，经沉淀池沉淀后上清液回用于冲洗，泥砂作为原料回用于搅拌工序。根据企业提供资料，沉淀池泥砂产生量约为58.5t/a。根据《固体废物分类与代码目录》（2024年），本项目产生的沉淀池泥砂属于一般固体废物类别为“SW07污泥”中的“其他污泥。其他行业产生的废水处理污泥。”，废物代码为900-099-S07。</w:t>
            </w:r>
          </w:p>
          <w:p w14:paraId="0B63CAC4">
            <w:pPr>
              <w:pStyle w:val="54"/>
              <w:bidi w:val="0"/>
              <w:rPr>
                <w:rFonts w:hint="eastAsia"/>
                <w:color w:val="auto"/>
                <w:lang w:val="en-US" w:eastAsia="zh-CN"/>
              </w:rPr>
            </w:pPr>
            <w:r>
              <w:rPr>
                <w:rFonts w:hint="eastAsia"/>
                <w:color w:val="auto"/>
                <w:lang w:val="en-US" w:eastAsia="zh-CN"/>
              </w:rPr>
              <w:t>2）生活垃圾</w:t>
            </w:r>
          </w:p>
          <w:p w14:paraId="7D34BEF0">
            <w:pPr>
              <w:pStyle w:val="54"/>
              <w:bidi w:val="0"/>
              <w:rPr>
                <w:rFonts w:hint="eastAsia"/>
                <w:lang w:val="en-US" w:eastAsia="zh-CN"/>
              </w:rPr>
            </w:pPr>
            <w:r>
              <w:rPr>
                <w:rFonts w:hint="eastAsia"/>
                <w:color w:val="auto"/>
                <w:lang w:val="en-US" w:eastAsia="zh-CN"/>
              </w:rPr>
              <w:t>本项目劳动定员8人，生活垃圾产生系数按0.5kg/（人・d）计，则项目生活垃圾产生量为4kg/d（0.84t/a）。根据《固体废物分类与代码目录》（2024年），其一般固体废物类别为“SW64其他垃圾”中的“清扫垃圾。环境卫生管理服务中从公共场所清扫的垃圾、化粪池污泥、厕所粪便等”，废物代码为900-002-S64，经厂区设置垃圾桶集中收集后交由当地环卫部门处理。</w:t>
            </w:r>
          </w:p>
          <w:p w14:paraId="62553E39">
            <w:pPr>
              <w:pStyle w:val="54"/>
              <w:bidi w:val="0"/>
              <w:rPr>
                <w:rFonts w:hint="eastAsia"/>
                <w:lang w:val="en-US" w:eastAsia="zh-CN"/>
              </w:rPr>
            </w:pPr>
            <w:r>
              <w:rPr>
                <w:rFonts w:hint="eastAsia"/>
                <w:lang w:val="en-US" w:eastAsia="zh-CN"/>
              </w:rPr>
              <w:t>本项目固体废物产生及处置情况见表33。</w:t>
            </w:r>
          </w:p>
          <w:p w14:paraId="15E2B58D">
            <w:pPr>
              <w:pStyle w:val="33"/>
              <w:bidi w:val="0"/>
              <w:rPr>
                <w:rFonts w:hint="eastAsia"/>
                <w:lang w:val="en-US" w:eastAsia="zh-CN"/>
              </w:rPr>
            </w:pPr>
            <w:r>
              <w:rPr>
                <w:rFonts w:hint="eastAsia"/>
                <w:lang w:val="en-US" w:eastAsia="zh-CN"/>
              </w:rPr>
              <w:t>表33    本项目固体废物产生及处理情况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9"/>
              <w:gridCol w:w="1307"/>
              <w:gridCol w:w="1164"/>
              <w:gridCol w:w="1589"/>
              <w:gridCol w:w="1072"/>
              <w:gridCol w:w="2882"/>
            </w:tblGrid>
            <w:tr w14:paraId="69A122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0" w:type="pct"/>
                  <w:tcBorders>
                    <w:tl2br w:val="nil"/>
                    <w:tr2bl w:val="nil"/>
                  </w:tcBorders>
                  <w:noWrap w:val="0"/>
                  <w:vAlign w:val="center"/>
                </w:tcPr>
                <w:p w14:paraId="082761A9">
                  <w:pPr>
                    <w:pStyle w:val="53"/>
                    <w:bidi w:val="0"/>
                    <w:rPr>
                      <w:rFonts w:hint="eastAsia"/>
                      <w:lang w:val="en-US" w:eastAsia="zh-CN"/>
                    </w:rPr>
                  </w:pPr>
                  <w:r>
                    <w:rPr>
                      <w:rFonts w:hint="eastAsia"/>
                      <w:lang w:val="en-US" w:eastAsia="zh-CN"/>
                    </w:rPr>
                    <w:t>序号</w:t>
                  </w:r>
                </w:p>
              </w:tc>
              <w:tc>
                <w:tcPr>
                  <w:tcW w:w="771" w:type="pct"/>
                  <w:tcBorders>
                    <w:tl2br w:val="nil"/>
                    <w:tr2bl w:val="nil"/>
                  </w:tcBorders>
                  <w:noWrap w:val="0"/>
                  <w:vAlign w:val="center"/>
                </w:tcPr>
                <w:p w14:paraId="453B54D0">
                  <w:pPr>
                    <w:pStyle w:val="53"/>
                    <w:bidi w:val="0"/>
                    <w:rPr>
                      <w:rFonts w:hint="eastAsia"/>
                      <w:lang w:val="en-US" w:eastAsia="zh-CN"/>
                    </w:rPr>
                  </w:pPr>
                  <w:r>
                    <w:rPr>
                      <w:rFonts w:hint="eastAsia"/>
                      <w:lang w:val="en-US" w:eastAsia="zh-CN"/>
                    </w:rPr>
                    <w:t>废物名称</w:t>
                  </w:r>
                </w:p>
              </w:tc>
              <w:tc>
                <w:tcPr>
                  <w:tcW w:w="686" w:type="pct"/>
                  <w:tcBorders>
                    <w:tl2br w:val="nil"/>
                    <w:tr2bl w:val="nil"/>
                  </w:tcBorders>
                  <w:noWrap w:val="0"/>
                  <w:vAlign w:val="center"/>
                </w:tcPr>
                <w:p w14:paraId="3E3EC8B0">
                  <w:pPr>
                    <w:pStyle w:val="53"/>
                    <w:bidi w:val="0"/>
                    <w:rPr>
                      <w:rFonts w:hint="default"/>
                      <w:lang w:val="en-US" w:eastAsia="zh-CN"/>
                    </w:rPr>
                  </w:pPr>
                  <w:r>
                    <w:rPr>
                      <w:rFonts w:hint="eastAsia"/>
                      <w:lang w:val="en-US" w:eastAsia="zh-CN"/>
                    </w:rPr>
                    <w:t>产生工序</w:t>
                  </w:r>
                </w:p>
              </w:tc>
              <w:tc>
                <w:tcPr>
                  <w:tcW w:w="938" w:type="pct"/>
                  <w:tcBorders>
                    <w:tl2br w:val="nil"/>
                    <w:tr2bl w:val="nil"/>
                  </w:tcBorders>
                  <w:noWrap w:val="0"/>
                  <w:vAlign w:val="center"/>
                </w:tcPr>
                <w:p w14:paraId="509B66FC">
                  <w:pPr>
                    <w:pStyle w:val="53"/>
                    <w:bidi w:val="0"/>
                    <w:rPr>
                      <w:rFonts w:hint="eastAsia"/>
                      <w:lang w:val="en-US" w:eastAsia="zh-CN"/>
                    </w:rPr>
                  </w:pPr>
                  <w:r>
                    <w:rPr>
                      <w:rFonts w:hint="eastAsia"/>
                      <w:lang w:val="en-US" w:eastAsia="zh-CN"/>
                    </w:rPr>
                    <w:t>固废类别及代码</w:t>
                  </w:r>
                </w:p>
              </w:tc>
              <w:tc>
                <w:tcPr>
                  <w:tcW w:w="633" w:type="pct"/>
                  <w:tcBorders>
                    <w:tl2br w:val="nil"/>
                    <w:tr2bl w:val="nil"/>
                  </w:tcBorders>
                  <w:noWrap w:val="0"/>
                  <w:vAlign w:val="center"/>
                </w:tcPr>
                <w:p w14:paraId="4EF951FB">
                  <w:pPr>
                    <w:pStyle w:val="53"/>
                    <w:bidi w:val="0"/>
                    <w:rPr>
                      <w:rFonts w:hint="default"/>
                      <w:lang w:val="en-US" w:eastAsia="zh-CN"/>
                    </w:rPr>
                  </w:pPr>
                  <w:r>
                    <w:rPr>
                      <w:rFonts w:hint="eastAsia"/>
                      <w:lang w:val="en-US" w:eastAsia="zh-CN"/>
                    </w:rPr>
                    <w:t>产生量t/a</w:t>
                  </w:r>
                </w:p>
              </w:tc>
              <w:tc>
                <w:tcPr>
                  <w:tcW w:w="1699" w:type="pct"/>
                  <w:tcBorders>
                    <w:tl2br w:val="nil"/>
                    <w:tr2bl w:val="nil"/>
                  </w:tcBorders>
                  <w:noWrap w:val="0"/>
                  <w:vAlign w:val="center"/>
                </w:tcPr>
                <w:p w14:paraId="54975FA2">
                  <w:pPr>
                    <w:pStyle w:val="53"/>
                    <w:bidi w:val="0"/>
                    <w:rPr>
                      <w:rFonts w:hint="eastAsia"/>
                      <w:lang w:val="en-US" w:eastAsia="zh-CN"/>
                    </w:rPr>
                  </w:pPr>
                  <w:r>
                    <w:rPr>
                      <w:rFonts w:hint="eastAsia"/>
                      <w:lang w:val="en-US" w:eastAsia="zh-CN"/>
                    </w:rPr>
                    <w:t>处置措施</w:t>
                  </w:r>
                </w:p>
              </w:tc>
            </w:tr>
            <w:tr w14:paraId="411201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tcBorders>
                    <w:tl2br w:val="nil"/>
                    <w:tr2bl w:val="nil"/>
                  </w:tcBorders>
                  <w:noWrap w:val="0"/>
                  <w:vAlign w:val="center"/>
                </w:tcPr>
                <w:p w14:paraId="6462B587">
                  <w:pPr>
                    <w:pStyle w:val="53"/>
                    <w:bidi w:val="0"/>
                    <w:rPr>
                      <w:rFonts w:hint="default"/>
                      <w:lang w:val="en-US" w:eastAsia="zh-CN"/>
                    </w:rPr>
                  </w:pPr>
                  <w:r>
                    <w:rPr>
                      <w:rFonts w:hint="eastAsia"/>
                      <w:lang w:val="en-US" w:eastAsia="zh-CN"/>
                    </w:rPr>
                    <w:t>一般工业固废</w:t>
                  </w:r>
                </w:p>
              </w:tc>
            </w:tr>
            <w:tr w14:paraId="42B71F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0" w:type="pct"/>
                  <w:tcBorders>
                    <w:tl2br w:val="nil"/>
                    <w:tr2bl w:val="nil"/>
                  </w:tcBorders>
                  <w:noWrap w:val="0"/>
                  <w:vAlign w:val="center"/>
                </w:tcPr>
                <w:p w14:paraId="64D1E2AD">
                  <w:pPr>
                    <w:pStyle w:val="53"/>
                    <w:bidi w:val="0"/>
                    <w:rPr>
                      <w:rFonts w:hint="default"/>
                      <w:lang w:val="en-US" w:eastAsia="zh-CN"/>
                    </w:rPr>
                  </w:pPr>
                  <w:r>
                    <w:rPr>
                      <w:rFonts w:hint="eastAsia"/>
                      <w:lang w:val="en-US" w:eastAsia="zh-CN"/>
                    </w:rPr>
                    <w:t>1</w:t>
                  </w:r>
                </w:p>
              </w:tc>
              <w:tc>
                <w:tcPr>
                  <w:tcW w:w="771" w:type="pct"/>
                  <w:tcBorders>
                    <w:tl2br w:val="nil"/>
                    <w:tr2bl w:val="nil"/>
                  </w:tcBorders>
                  <w:noWrap w:val="0"/>
                  <w:vAlign w:val="center"/>
                </w:tcPr>
                <w:p w14:paraId="1428915F">
                  <w:pPr>
                    <w:pStyle w:val="53"/>
                    <w:bidi w:val="0"/>
                    <w:rPr>
                      <w:rFonts w:hint="eastAsia"/>
                      <w:lang w:val="en-US" w:eastAsia="zh-CN"/>
                    </w:rPr>
                  </w:pPr>
                  <w:r>
                    <w:rPr>
                      <w:rFonts w:hint="eastAsia"/>
                      <w:lang w:val="en-US" w:eastAsia="zh-CN"/>
                    </w:rPr>
                    <w:t>除尘灰</w:t>
                  </w:r>
                </w:p>
              </w:tc>
              <w:tc>
                <w:tcPr>
                  <w:tcW w:w="686" w:type="pct"/>
                  <w:tcBorders>
                    <w:tl2br w:val="nil"/>
                    <w:tr2bl w:val="nil"/>
                  </w:tcBorders>
                  <w:noWrap w:val="0"/>
                  <w:vAlign w:val="center"/>
                </w:tcPr>
                <w:p w14:paraId="22C1DC12">
                  <w:pPr>
                    <w:pStyle w:val="53"/>
                    <w:bidi w:val="0"/>
                    <w:rPr>
                      <w:rFonts w:hint="default"/>
                      <w:lang w:val="en-US" w:eastAsia="zh-CN"/>
                    </w:rPr>
                  </w:pPr>
                  <w:r>
                    <w:rPr>
                      <w:rFonts w:hint="eastAsia"/>
                      <w:lang w:val="en-US" w:eastAsia="zh-CN"/>
                    </w:rPr>
                    <w:t>筒仓呼吸工序</w:t>
                  </w:r>
                </w:p>
              </w:tc>
              <w:tc>
                <w:tcPr>
                  <w:tcW w:w="938" w:type="pct"/>
                  <w:tcBorders>
                    <w:tl2br w:val="nil"/>
                    <w:tr2bl w:val="nil"/>
                  </w:tcBorders>
                  <w:noWrap w:val="0"/>
                  <w:vAlign w:val="center"/>
                </w:tcPr>
                <w:p w14:paraId="6D8A5FE7">
                  <w:pPr>
                    <w:pStyle w:val="53"/>
                    <w:bidi w:val="0"/>
                    <w:rPr>
                      <w:rFonts w:hint="eastAsia"/>
                      <w:lang w:val="en-US" w:eastAsia="zh-CN"/>
                    </w:rPr>
                  </w:pPr>
                  <w:r>
                    <w:rPr>
                      <w:rFonts w:hint="eastAsia"/>
                      <w:lang w:val="en-US" w:eastAsia="zh-CN"/>
                    </w:rPr>
                    <w:t>SW59其他工业固体废物900-099-S59</w:t>
                  </w:r>
                </w:p>
              </w:tc>
              <w:tc>
                <w:tcPr>
                  <w:tcW w:w="633" w:type="pct"/>
                  <w:tcBorders>
                    <w:tl2br w:val="nil"/>
                    <w:tr2bl w:val="nil"/>
                  </w:tcBorders>
                  <w:noWrap w:val="0"/>
                  <w:vAlign w:val="center"/>
                </w:tcPr>
                <w:p w14:paraId="18253BBA">
                  <w:pPr>
                    <w:pStyle w:val="53"/>
                    <w:bidi w:val="0"/>
                    <w:rPr>
                      <w:rFonts w:hint="default"/>
                      <w:color w:val="auto"/>
                      <w:lang w:val="en-US" w:eastAsia="zh-CN"/>
                    </w:rPr>
                  </w:pPr>
                  <w:r>
                    <w:rPr>
                      <w:rFonts w:hint="eastAsia"/>
                      <w:color w:val="auto"/>
                      <w:lang w:val="en-US" w:eastAsia="zh-CN"/>
                    </w:rPr>
                    <w:t>2.213</w:t>
                  </w:r>
                </w:p>
              </w:tc>
              <w:tc>
                <w:tcPr>
                  <w:tcW w:w="1699" w:type="pct"/>
                  <w:tcBorders>
                    <w:tl2br w:val="nil"/>
                    <w:tr2bl w:val="nil"/>
                  </w:tcBorders>
                  <w:noWrap w:val="0"/>
                  <w:vAlign w:val="center"/>
                </w:tcPr>
                <w:p w14:paraId="07F3A071">
                  <w:pPr>
                    <w:pStyle w:val="53"/>
                    <w:bidi w:val="0"/>
                    <w:jc w:val="both"/>
                    <w:rPr>
                      <w:rFonts w:hint="eastAsia"/>
                      <w:color w:val="auto"/>
                      <w:lang w:val="en-US" w:eastAsia="zh-CN"/>
                    </w:rPr>
                  </w:pPr>
                  <w:r>
                    <w:rPr>
                      <w:rFonts w:hint="eastAsia"/>
                      <w:color w:val="auto"/>
                      <w:lang w:val="en-US" w:eastAsia="zh-CN"/>
                    </w:rPr>
                    <w:t>集中收集后回用于搅拌工序。</w:t>
                  </w:r>
                </w:p>
              </w:tc>
            </w:tr>
            <w:tr w14:paraId="3354B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0" w:type="pct"/>
                  <w:tcBorders>
                    <w:tl2br w:val="nil"/>
                    <w:tr2bl w:val="nil"/>
                  </w:tcBorders>
                  <w:noWrap w:val="0"/>
                  <w:vAlign w:val="center"/>
                </w:tcPr>
                <w:p w14:paraId="16B0423C">
                  <w:pPr>
                    <w:pStyle w:val="53"/>
                    <w:bidi w:val="0"/>
                    <w:rPr>
                      <w:rFonts w:hint="default"/>
                      <w:lang w:val="en-US" w:eastAsia="zh-CN"/>
                    </w:rPr>
                  </w:pPr>
                  <w:r>
                    <w:rPr>
                      <w:rFonts w:hint="eastAsia"/>
                      <w:lang w:val="en-US" w:eastAsia="zh-CN"/>
                    </w:rPr>
                    <w:t>2</w:t>
                  </w:r>
                </w:p>
              </w:tc>
              <w:tc>
                <w:tcPr>
                  <w:tcW w:w="771" w:type="pct"/>
                  <w:tcBorders>
                    <w:tl2br w:val="nil"/>
                    <w:tr2bl w:val="nil"/>
                  </w:tcBorders>
                  <w:noWrap w:val="0"/>
                  <w:vAlign w:val="center"/>
                </w:tcPr>
                <w:p w14:paraId="09F112D9">
                  <w:pPr>
                    <w:pStyle w:val="53"/>
                    <w:bidi w:val="0"/>
                    <w:rPr>
                      <w:rFonts w:hint="eastAsia"/>
                      <w:lang w:val="en-US" w:eastAsia="zh-CN"/>
                    </w:rPr>
                  </w:pPr>
                  <w:r>
                    <w:rPr>
                      <w:rFonts w:hint="eastAsia"/>
                      <w:lang w:val="en-US" w:eastAsia="zh-CN"/>
                    </w:rPr>
                    <w:t>沉淀池泥砂</w:t>
                  </w:r>
                </w:p>
              </w:tc>
              <w:tc>
                <w:tcPr>
                  <w:tcW w:w="686" w:type="pct"/>
                  <w:tcBorders>
                    <w:tl2br w:val="nil"/>
                    <w:tr2bl w:val="nil"/>
                  </w:tcBorders>
                  <w:noWrap w:val="0"/>
                  <w:vAlign w:val="center"/>
                </w:tcPr>
                <w:p w14:paraId="0EF17B08">
                  <w:pPr>
                    <w:pStyle w:val="53"/>
                    <w:bidi w:val="0"/>
                    <w:rPr>
                      <w:rFonts w:hint="default"/>
                      <w:lang w:val="en-US" w:eastAsia="zh-CN"/>
                    </w:rPr>
                  </w:pPr>
                  <w:r>
                    <w:rPr>
                      <w:rFonts w:hint="eastAsia"/>
                      <w:lang w:val="en-US" w:eastAsia="zh-CN"/>
                    </w:rPr>
                    <w:t>废水沉淀</w:t>
                  </w:r>
                </w:p>
              </w:tc>
              <w:tc>
                <w:tcPr>
                  <w:tcW w:w="938" w:type="pct"/>
                  <w:tcBorders>
                    <w:tl2br w:val="nil"/>
                    <w:tr2bl w:val="nil"/>
                  </w:tcBorders>
                  <w:noWrap w:val="0"/>
                  <w:vAlign w:val="center"/>
                </w:tcPr>
                <w:p w14:paraId="75063956">
                  <w:pPr>
                    <w:pStyle w:val="53"/>
                    <w:bidi w:val="0"/>
                    <w:rPr>
                      <w:rFonts w:hint="eastAsia"/>
                      <w:lang w:val="en-US" w:eastAsia="zh-CN"/>
                    </w:rPr>
                  </w:pPr>
                  <w:r>
                    <w:rPr>
                      <w:rFonts w:hint="eastAsia"/>
                      <w:lang w:val="en-US" w:eastAsia="zh-CN"/>
                    </w:rPr>
                    <w:t>SW07污泥900-099-S07</w:t>
                  </w:r>
                </w:p>
              </w:tc>
              <w:tc>
                <w:tcPr>
                  <w:tcW w:w="633" w:type="pct"/>
                  <w:tcBorders>
                    <w:tl2br w:val="nil"/>
                    <w:tr2bl w:val="nil"/>
                  </w:tcBorders>
                  <w:noWrap w:val="0"/>
                  <w:vAlign w:val="center"/>
                </w:tcPr>
                <w:p w14:paraId="268B05E4">
                  <w:pPr>
                    <w:pStyle w:val="53"/>
                    <w:bidi w:val="0"/>
                    <w:rPr>
                      <w:rFonts w:hint="default"/>
                      <w:lang w:val="en-US" w:eastAsia="zh-CN"/>
                    </w:rPr>
                  </w:pPr>
                  <w:r>
                    <w:rPr>
                      <w:rFonts w:hint="eastAsia"/>
                      <w:lang w:val="en-US" w:eastAsia="zh-CN"/>
                    </w:rPr>
                    <w:t>58.5</w:t>
                  </w:r>
                </w:p>
              </w:tc>
              <w:tc>
                <w:tcPr>
                  <w:tcW w:w="1699" w:type="pct"/>
                  <w:tcBorders>
                    <w:tl2br w:val="nil"/>
                    <w:tr2bl w:val="nil"/>
                  </w:tcBorders>
                  <w:noWrap w:val="0"/>
                  <w:vAlign w:val="center"/>
                </w:tcPr>
                <w:p w14:paraId="2BE40458">
                  <w:pPr>
                    <w:pStyle w:val="53"/>
                    <w:bidi w:val="0"/>
                    <w:jc w:val="both"/>
                    <w:rPr>
                      <w:rFonts w:hint="eastAsia"/>
                      <w:lang w:val="en-US" w:eastAsia="zh-CN"/>
                    </w:rPr>
                  </w:pPr>
                  <w:r>
                    <w:rPr>
                      <w:rFonts w:hint="eastAsia"/>
                      <w:lang w:val="en-US" w:eastAsia="zh-CN"/>
                    </w:rPr>
                    <w:t>集中收集后回用于搅拌工序。</w:t>
                  </w:r>
                </w:p>
              </w:tc>
            </w:tr>
            <w:tr w14:paraId="1B21C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tcBorders>
                    <w:tl2br w:val="nil"/>
                    <w:tr2bl w:val="nil"/>
                  </w:tcBorders>
                  <w:noWrap w:val="0"/>
                  <w:vAlign w:val="center"/>
                </w:tcPr>
                <w:p w14:paraId="49706BCD">
                  <w:pPr>
                    <w:pStyle w:val="53"/>
                    <w:bidi w:val="0"/>
                    <w:rPr>
                      <w:rFonts w:hint="default"/>
                      <w:lang w:val="en-US" w:eastAsia="zh-CN"/>
                    </w:rPr>
                  </w:pPr>
                  <w:r>
                    <w:rPr>
                      <w:rFonts w:hint="eastAsia"/>
                      <w:lang w:val="en-US" w:eastAsia="zh-CN"/>
                    </w:rPr>
                    <w:t>生活垃圾</w:t>
                  </w:r>
                </w:p>
              </w:tc>
            </w:tr>
            <w:tr w14:paraId="736A85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0" w:type="pct"/>
                  <w:tcBorders>
                    <w:tl2br w:val="nil"/>
                    <w:tr2bl w:val="nil"/>
                  </w:tcBorders>
                  <w:noWrap w:val="0"/>
                  <w:vAlign w:val="center"/>
                </w:tcPr>
                <w:p w14:paraId="26D516E6">
                  <w:pPr>
                    <w:pStyle w:val="53"/>
                    <w:bidi w:val="0"/>
                    <w:rPr>
                      <w:rFonts w:hint="default"/>
                      <w:lang w:val="en-US" w:eastAsia="zh-CN"/>
                    </w:rPr>
                  </w:pPr>
                  <w:r>
                    <w:rPr>
                      <w:rFonts w:hint="eastAsia"/>
                      <w:lang w:val="en-US" w:eastAsia="zh-CN"/>
                    </w:rPr>
                    <w:t>3</w:t>
                  </w:r>
                </w:p>
              </w:tc>
              <w:tc>
                <w:tcPr>
                  <w:tcW w:w="771" w:type="pct"/>
                  <w:tcBorders>
                    <w:tl2br w:val="nil"/>
                    <w:tr2bl w:val="nil"/>
                  </w:tcBorders>
                  <w:noWrap w:val="0"/>
                  <w:vAlign w:val="center"/>
                </w:tcPr>
                <w:p w14:paraId="58C38B4D">
                  <w:pPr>
                    <w:pStyle w:val="53"/>
                    <w:bidi w:val="0"/>
                    <w:rPr>
                      <w:rFonts w:hint="default"/>
                      <w:lang w:val="en-US" w:eastAsia="zh-CN"/>
                    </w:rPr>
                  </w:pPr>
                  <w:r>
                    <w:rPr>
                      <w:rFonts w:hint="eastAsia"/>
                      <w:lang w:val="en-US" w:eastAsia="zh-CN"/>
                    </w:rPr>
                    <w:t>生活垃圾</w:t>
                  </w:r>
                </w:p>
              </w:tc>
              <w:tc>
                <w:tcPr>
                  <w:tcW w:w="686" w:type="pct"/>
                  <w:tcBorders>
                    <w:tl2br w:val="nil"/>
                    <w:tr2bl w:val="nil"/>
                  </w:tcBorders>
                  <w:noWrap w:val="0"/>
                  <w:vAlign w:val="center"/>
                </w:tcPr>
                <w:p w14:paraId="63C6E343">
                  <w:pPr>
                    <w:pStyle w:val="53"/>
                    <w:bidi w:val="0"/>
                    <w:rPr>
                      <w:rFonts w:hint="default"/>
                      <w:lang w:val="en-US" w:eastAsia="zh-CN"/>
                    </w:rPr>
                  </w:pPr>
                  <w:r>
                    <w:rPr>
                      <w:rFonts w:hint="eastAsia"/>
                      <w:lang w:val="en-US" w:eastAsia="zh-CN"/>
                    </w:rPr>
                    <w:t>职工生活</w:t>
                  </w:r>
                </w:p>
              </w:tc>
              <w:tc>
                <w:tcPr>
                  <w:tcW w:w="938" w:type="pct"/>
                  <w:tcBorders>
                    <w:tl2br w:val="nil"/>
                    <w:tr2bl w:val="nil"/>
                  </w:tcBorders>
                  <w:noWrap w:val="0"/>
                  <w:vAlign w:val="center"/>
                </w:tcPr>
                <w:p w14:paraId="67A68C05">
                  <w:pPr>
                    <w:pStyle w:val="53"/>
                    <w:bidi w:val="0"/>
                    <w:rPr>
                      <w:rFonts w:hint="eastAsia"/>
                      <w:lang w:val="en-US" w:eastAsia="zh-CN"/>
                    </w:rPr>
                  </w:pPr>
                  <w:r>
                    <w:rPr>
                      <w:rFonts w:hint="eastAsia"/>
                      <w:lang w:val="en-US" w:eastAsia="zh-CN"/>
                    </w:rPr>
                    <w:t>SW64其他垃圾900-002-S64</w:t>
                  </w:r>
                </w:p>
              </w:tc>
              <w:tc>
                <w:tcPr>
                  <w:tcW w:w="633" w:type="pct"/>
                  <w:tcBorders>
                    <w:tl2br w:val="nil"/>
                    <w:tr2bl w:val="nil"/>
                  </w:tcBorders>
                  <w:noWrap w:val="0"/>
                  <w:vAlign w:val="center"/>
                </w:tcPr>
                <w:p w14:paraId="3FC02CD7">
                  <w:pPr>
                    <w:pStyle w:val="53"/>
                    <w:bidi w:val="0"/>
                    <w:rPr>
                      <w:rFonts w:hint="default"/>
                      <w:lang w:val="en-US" w:eastAsia="zh-CN"/>
                    </w:rPr>
                  </w:pPr>
                  <w:r>
                    <w:rPr>
                      <w:rFonts w:hint="eastAsia"/>
                      <w:lang w:val="en-US" w:eastAsia="zh-CN"/>
                    </w:rPr>
                    <w:t>0.84</w:t>
                  </w:r>
                </w:p>
              </w:tc>
              <w:tc>
                <w:tcPr>
                  <w:tcW w:w="1699" w:type="pct"/>
                  <w:tcBorders>
                    <w:tl2br w:val="nil"/>
                    <w:tr2bl w:val="nil"/>
                  </w:tcBorders>
                  <w:noWrap w:val="0"/>
                  <w:vAlign w:val="center"/>
                </w:tcPr>
                <w:p w14:paraId="7CCCFD98">
                  <w:pPr>
                    <w:pStyle w:val="53"/>
                    <w:bidi w:val="0"/>
                    <w:jc w:val="both"/>
                    <w:rPr>
                      <w:rFonts w:hint="eastAsia"/>
                      <w:lang w:val="en-US" w:eastAsia="zh-CN"/>
                    </w:rPr>
                  </w:pPr>
                  <w:r>
                    <w:rPr>
                      <w:rFonts w:hint="eastAsia"/>
                      <w:lang w:val="en-US" w:eastAsia="zh-CN"/>
                    </w:rPr>
                    <w:t>经厂区设置垃圾桶集中收集后交由当地环卫部门处理。</w:t>
                  </w:r>
                </w:p>
              </w:tc>
            </w:tr>
          </w:tbl>
          <w:p w14:paraId="51F17088">
            <w:pPr>
              <w:pStyle w:val="54"/>
              <w:bidi w:val="0"/>
              <w:rPr>
                <w:rFonts w:hint="eastAsia"/>
                <w:lang w:val="en-US" w:eastAsia="zh-CN"/>
              </w:rPr>
            </w:pPr>
            <w:r>
              <w:rPr>
                <w:rFonts w:hint="eastAsia"/>
                <w:lang w:val="en-US" w:eastAsia="zh-CN"/>
              </w:rPr>
              <w:t>4.2固废污染治理设施可行性分析</w:t>
            </w:r>
          </w:p>
          <w:p w14:paraId="5017658F">
            <w:pPr>
              <w:pStyle w:val="54"/>
              <w:bidi w:val="0"/>
              <w:rPr>
                <w:rFonts w:hint="eastAsia"/>
                <w:lang w:val="en-US" w:eastAsia="zh-CN"/>
              </w:rPr>
            </w:pPr>
            <w:r>
              <w:rPr>
                <w:rFonts w:hint="eastAsia"/>
                <w:lang w:val="en-US" w:eastAsia="zh-CN"/>
              </w:rPr>
              <w:t>本项目产生的固废均有明确的产生量和处理去向，生活垃圾经厂区设置垃圾桶集中收集后交由当地环卫部门处理；除尘灰集中收集后回用于搅拌工序；沉淀池泥砂收集后回用于搅拌工序。</w:t>
            </w:r>
          </w:p>
          <w:p w14:paraId="4145B1B3">
            <w:pPr>
              <w:pStyle w:val="54"/>
              <w:bidi w:val="0"/>
              <w:rPr>
                <w:rFonts w:hint="eastAsia"/>
                <w:lang w:val="en-US" w:eastAsia="zh-CN"/>
              </w:rPr>
            </w:pPr>
            <w:r>
              <w:rPr>
                <w:rFonts w:hint="eastAsia"/>
                <w:lang w:val="en-US" w:eastAsia="zh-CN"/>
              </w:rPr>
              <w:t>综上，项目固体废物可得到合理处置，对外环境影响较小。</w:t>
            </w:r>
          </w:p>
          <w:p w14:paraId="701A453C">
            <w:pPr>
              <w:pStyle w:val="54"/>
              <w:bidi w:val="0"/>
              <w:rPr>
                <w:rFonts w:hint="eastAsia"/>
                <w:lang w:val="en-US" w:eastAsia="zh-CN"/>
              </w:rPr>
            </w:pPr>
            <w:r>
              <w:rPr>
                <w:rFonts w:hint="eastAsia"/>
                <w:b/>
                <w:bCs/>
                <w:lang w:val="en-US" w:eastAsia="zh-CN"/>
              </w:rPr>
              <w:t>5、地下水和土壤影响及防治措施</w:t>
            </w:r>
          </w:p>
          <w:p w14:paraId="2A5052DF">
            <w:pPr>
              <w:pStyle w:val="54"/>
              <w:bidi w:val="0"/>
              <w:rPr>
                <w:rFonts w:hint="eastAsia"/>
                <w:lang w:val="en-US" w:eastAsia="zh-CN"/>
              </w:rPr>
            </w:pPr>
            <w:r>
              <w:rPr>
                <w:rFonts w:hint="eastAsia"/>
                <w:lang w:val="en-US" w:eastAsia="zh-CN"/>
              </w:rPr>
              <w:t>1）污染源分析</w:t>
            </w:r>
          </w:p>
          <w:p w14:paraId="6CE8FFD3">
            <w:pPr>
              <w:pStyle w:val="54"/>
              <w:bidi w:val="0"/>
              <w:rPr>
                <w:rFonts w:hint="eastAsia"/>
                <w:lang w:val="en-US" w:eastAsia="zh-CN"/>
              </w:rPr>
            </w:pPr>
            <w:r>
              <w:rPr>
                <w:rFonts w:hint="eastAsia"/>
                <w:lang w:val="en-US" w:eastAsia="zh-CN"/>
              </w:rPr>
              <w:t>项目营运期产生的大气污染物主要为生产过程中产生的粉尘。项目使用的原料组分不含有毒有害、重金属等污染物，不涉及建设用地土壤污染风险筛选值的其他污染物，因此本项目不涉及土壤影响因子。正常情况下，定期对沉淀池、化粪池进行检查、维护，发生事故后及时维修，建设项目对地下水的影响较小。</w:t>
            </w:r>
          </w:p>
          <w:p w14:paraId="50C2E9D2">
            <w:pPr>
              <w:pStyle w:val="54"/>
              <w:bidi w:val="0"/>
              <w:rPr>
                <w:rFonts w:hint="eastAsia"/>
                <w:lang w:val="en-US" w:eastAsia="zh-CN"/>
              </w:rPr>
            </w:pPr>
            <w:r>
              <w:rPr>
                <w:rFonts w:hint="eastAsia"/>
                <w:lang w:val="en-US" w:eastAsia="zh-CN"/>
              </w:rPr>
              <w:t>2）地下水及土壤污染防治措施</w:t>
            </w:r>
          </w:p>
          <w:p w14:paraId="3914F8B2">
            <w:pPr>
              <w:pStyle w:val="54"/>
              <w:bidi w:val="0"/>
              <w:rPr>
                <w:rFonts w:hint="eastAsia"/>
                <w:lang w:val="en-US" w:eastAsia="zh-CN"/>
              </w:rPr>
            </w:pPr>
            <w:r>
              <w:rPr>
                <w:rFonts w:hint="eastAsia"/>
                <w:lang w:val="en-US" w:eastAsia="zh-CN"/>
              </w:rPr>
              <w:t>根据“源头控制，分区防治”原则的要求，对污染防治区进行分区防渗，对可能造成污染的区域（污染防治区）地面基础采取防渗处理，阻止污染物下渗进入地下水及土壤环境。防渗区域划分及防渗要求见表34。</w:t>
            </w:r>
          </w:p>
          <w:p w14:paraId="79465F98">
            <w:pPr>
              <w:pStyle w:val="33"/>
              <w:bidi w:val="0"/>
              <w:spacing w:line="360" w:lineRule="auto"/>
              <w:rPr>
                <w:rFonts w:hint="eastAsia"/>
                <w:lang w:val="en-US" w:eastAsia="zh-CN"/>
              </w:rPr>
            </w:pPr>
            <w:r>
              <w:rPr>
                <w:rFonts w:hint="eastAsia"/>
                <w:lang w:val="en-US" w:eastAsia="zh-CN"/>
              </w:rPr>
              <w:t>表34    本项目污染防渗分区表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1544"/>
              <w:gridCol w:w="3089"/>
              <w:gridCol w:w="3842"/>
            </w:tblGrid>
            <w:tr w14:paraId="063C64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c>
                <w:tcPr>
                  <w:tcW w:w="1544" w:type="dxa"/>
                  <w:noWrap w:val="0"/>
                  <w:vAlign w:val="center"/>
                </w:tcPr>
                <w:p w14:paraId="586E3607">
                  <w:pPr>
                    <w:pStyle w:val="53"/>
                    <w:bidi w:val="0"/>
                    <w:ind w:firstLine="0" w:firstLineChars="0"/>
                  </w:pPr>
                  <w:r>
                    <w:rPr>
                      <w:rFonts w:hint="eastAsia"/>
                    </w:rPr>
                    <w:t>防渗分区等级</w:t>
                  </w:r>
                </w:p>
              </w:tc>
              <w:tc>
                <w:tcPr>
                  <w:tcW w:w="3088" w:type="dxa"/>
                  <w:noWrap w:val="0"/>
                  <w:vAlign w:val="center"/>
                </w:tcPr>
                <w:p w14:paraId="68453DCA">
                  <w:pPr>
                    <w:pStyle w:val="53"/>
                    <w:bidi w:val="0"/>
                    <w:ind w:firstLine="0" w:firstLineChars="0"/>
                  </w:pPr>
                  <w:r>
                    <w:rPr>
                      <w:rFonts w:hint="eastAsia"/>
                    </w:rPr>
                    <w:t>名称</w:t>
                  </w:r>
                </w:p>
              </w:tc>
              <w:tc>
                <w:tcPr>
                  <w:tcW w:w="3842" w:type="dxa"/>
                  <w:noWrap w:val="0"/>
                  <w:vAlign w:val="center"/>
                </w:tcPr>
                <w:p w14:paraId="4DCD1DF3">
                  <w:pPr>
                    <w:pStyle w:val="53"/>
                    <w:bidi w:val="0"/>
                  </w:pPr>
                  <w:r>
                    <w:rPr>
                      <w:rFonts w:hint="eastAsia"/>
                    </w:rPr>
                    <w:t>备注</w:t>
                  </w:r>
                </w:p>
              </w:tc>
            </w:tr>
            <w:tr w14:paraId="0CCA77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c>
                <w:tcPr>
                  <w:tcW w:w="1544" w:type="dxa"/>
                  <w:noWrap w:val="0"/>
                  <w:vAlign w:val="center"/>
                </w:tcPr>
                <w:p w14:paraId="72E1EE92">
                  <w:pPr>
                    <w:pStyle w:val="53"/>
                    <w:bidi w:val="0"/>
                    <w:ind w:firstLine="0" w:firstLineChars="0"/>
                  </w:pPr>
                  <w:r>
                    <w:rPr>
                      <w:rFonts w:hint="eastAsia"/>
                    </w:rPr>
                    <w:t>一般防渗区</w:t>
                  </w:r>
                </w:p>
              </w:tc>
              <w:tc>
                <w:tcPr>
                  <w:tcW w:w="3088" w:type="dxa"/>
                  <w:noWrap w:val="0"/>
                  <w:vAlign w:val="center"/>
                </w:tcPr>
                <w:p w14:paraId="2009AC46">
                  <w:pPr>
                    <w:pStyle w:val="53"/>
                    <w:bidi w:val="0"/>
                    <w:ind w:firstLine="0" w:firstLineChars="0"/>
                    <w:jc w:val="center"/>
                    <w:rPr>
                      <w:rFonts w:hint="default" w:eastAsia="宋体"/>
                      <w:lang w:val="en-US" w:eastAsia="zh-CN"/>
                    </w:rPr>
                  </w:pPr>
                  <w:r>
                    <w:rPr>
                      <w:rFonts w:hint="eastAsia"/>
                    </w:rPr>
                    <w:t>沉淀池</w:t>
                  </w:r>
                  <w:r>
                    <w:rPr>
                      <w:rFonts w:hint="eastAsia"/>
                      <w:lang w:eastAsia="zh-CN"/>
                    </w:rPr>
                    <w:t>、</w:t>
                  </w:r>
                  <w:r>
                    <w:rPr>
                      <w:rFonts w:hint="eastAsia"/>
                      <w:lang w:val="en-US" w:eastAsia="zh-CN"/>
                    </w:rPr>
                    <w:t>化粪池</w:t>
                  </w:r>
                </w:p>
              </w:tc>
              <w:tc>
                <w:tcPr>
                  <w:tcW w:w="3842" w:type="dxa"/>
                  <w:noWrap w:val="0"/>
                  <w:vAlign w:val="center"/>
                </w:tcPr>
                <w:p w14:paraId="088A13FE">
                  <w:pPr>
                    <w:pStyle w:val="53"/>
                    <w:bidi w:val="0"/>
                    <w:jc w:val="both"/>
                    <w:rPr>
                      <w:rFonts w:hint="eastAsia" w:eastAsia="宋体"/>
                      <w:lang w:eastAsia="zh-CN"/>
                    </w:rPr>
                  </w:pPr>
                  <w:r>
                    <w:rPr>
                      <w:rFonts w:hint="eastAsia"/>
                    </w:rPr>
                    <w:t>等效黏土防渗层Mb≥1.5m，K≤1.0×10</w:t>
                  </w:r>
                  <w:r>
                    <w:rPr>
                      <w:rFonts w:hint="eastAsia"/>
                      <w:vertAlign w:val="superscript"/>
                    </w:rPr>
                    <w:t>-7</w:t>
                  </w:r>
                  <w:r>
                    <w:rPr>
                      <w:rFonts w:hint="eastAsia"/>
                    </w:rPr>
                    <w:t>cm/s；或参照GB16889执行</w:t>
                  </w:r>
                  <w:r>
                    <w:rPr>
                      <w:rFonts w:hint="eastAsia"/>
                      <w:lang w:eastAsia="zh-CN"/>
                    </w:rPr>
                    <w:t>。</w:t>
                  </w:r>
                </w:p>
              </w:tc>
            </w:tr>
            <w:tr w14:paraId="5E31E0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c>
                <w:tcPr>
                  <w:tcW w:w="1544" w:type="dxa"/>
                  <w:noWrap w:val="0"/>
                  <w:vAlign w:val="center"/>
                </w:tcPr>
                <w:p w14:paraId="17F68390">
                  <w:pPr>
                    <w:pStyle w:val="53"/>
                    <w:bidi w:val="0"/>
                    <w:ind w:firstLine="0" w:firstLineChars="0"/>
                  </w:pPr>
                  <w:r>
                    <w:rPr>
                      <w:rFonts w:hint="eastAsia"/>
                    </w:rPr>
                    <w:t>简单防渗区</w:t>
                  </w:r>
                </w:p>
              </w:tc>
              <w:tc>
                <w:tcPr>
                  <w:tcW w:w="3088" w:type="dxa"/>
                  <w:noWrap w:val="0"/>
                  <w:vAlign w:val="center"/>
                </w:tcPr>
                <w:p w14:paraId="4E8D60EA">
                  <w:pPr>
                    <w:pStyle w:val="53"/>
                    <w:bidi w:val="0"/>
                    <w:ind w:firstLine="0" w:firstLineChars="0"/>
                    <w:jc w:val="center"/>
                    <w:rPr>
                      <w:rFonts w:hint="eastAsia" w:eastAsia="宋体"/>
                      <w:lang w:eastAsia="zh-CN"/>
                    </w:rPr>
                  </w:pPr>
                  <w:r>
                    <w:rPr>
                      <w:rFonts w:hint="eastAsia"/>
                      <w:lang w:val="en-US" w:eastAsia="zh-CN"/>
                    </w:rPr>
                    <w:t>厂区</w:t>
                  </w:r>
                </w:p>
              </w:tc>
              <w:tc>
                <w:tcPr>
                  <w:tcW w:w="3842" w:type="dxa"/>
                  <w:noWrap w:val="0"/>
                  <w:vAlign w:val="center"/>
                </w:tcPr>
                <w:p w14:paraId="196D6648">
                  <w:pPr>
                    <w:pStyle w:val="53"/>
                    <w:bidi w:val="0"/>
                    <w:rPr>
                      <w:rFonts w:hint="default" w:eastAsia="宋体"/>
                      <w:lang w:val="en-US" w:eastAsia="zh-CN"/>
                    </w:rPr>
                  </w:pPr>
                  <w:r>
                    <w:rPr>
                      <w:rFonts w:hint="eastAsia"/>
                      <w:lang w:val="en-US" w:eastAsia="zh-CN"/>
                    </w:rPr>
                    <w:t>一般地面硬化</w:t>
                  </w:r>
                </w:p>
              </w:tc>
            </w:tr>
          </w:tbl>
          <w:p w14:paraId="2E401D4E">
            <w:pPr>
              <w:pStyle w:val="54"/>
              <w:bidi w:val="0"/>
              <w:ind w:left="0" w:leftChars="0" w:firstLine="482" w:firstLineChars="200"/>
              <w:rPr>
                <w:rFonts w:hint="eastAsia"/>
                <w:lang w:val="en-US" w:eastAsia="zh-CN"/>
              </w:rPr>
            </w:pPr>
            <w:r>
              <w:rPr>
                <w:rFonts w:hint="eastAsia"/>
                <w:b/>
                <w:bCs/>
                <w:lang w:val="en-US" w:eastAsia="zh-CN"/>
              </w:rPr>
              <w:t>6、环境风险分析</w:t>
            </w:r>
          </w:p>
          <w:p w14:paraId="2243C283">
            <w:pPr>
              <w:pStyle w:val="54"/>
              <w:bidi w:val="0"/>
              <w:rPr>
                <w:rFonts w:hint="eastAsia"/>
                <w:lang w:val="en-US" w:eastAsia="zh-CN"/>
              </w:rPr>
            </w:pPr>
            <w:r>
              <w:rPr>
                <w:rFonts w:hint="eastAsia"/>
                <w:lang w:val="en-US" w:eastAsia="zh-CN"/>
              </w:rPr>
              <w:t>本项目主要原辅材料为碎石、石屑、水泥。不涉及《建设项目环境风险评价技术导则》（HJ169-2018）附录B和《危险化学品重大危险源辨识》（GB18218-2018）中危险物质，故Q值为0，Q＜1，根据《建设项目环境风险评价技术导则》（HJ169-2018），本项目环境风险潜势为I，评价工作等级为简单分析。建设项目环境风险简单分析内容表如下。</w:t>
            </w:r>
          </w:p>
          <w:p w14:paraId="54D1161A">
            <w:pPr>
              <w:pStyle w:val="33"/>
              <w:bidi w:val="0"/>
              <w:rPr>
                <w:rFonts w:hint="eastAsia"/>
                <w:lang w:val="en-US" w:eastAsia="zh-CN"/>
              </w:rPr>
            </w:pPr>
            <w:r>
              <w:rPr>
                <w:rFonts w:hint="eastAsia"/>
                <w:lang w:val="en-US" w:eastAsia="zh-CN"/>
              </w:rPr>
              <w:t>表35    建设项目环境风险简单分析内容表</w:t>
            </w:r>
          </w:p>
          <w:tbl>
            <w:tblPr>
              <w:tblStyle w:val="18"/>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20"/>
              <w:gridCol w:w="1064"/>
              <w:gridCol w:w="2400"/>
              <w:gridCol w:w="993"/>
              <w:gridCol w:w="2092"/>
            </w:tblGrid>
            <w:tr w14:paraId="22F48B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20" w:type="dxa"/>
                  <w:tcBorders>
                    <w:tl2br w:val="nil"/>
                    <w:tr2bl w:val="nil"/>
                  </w:tcBorders>
                  <w:noWrap w:val="0"/>
                  <w:vAlign w:val="center"/>
                </w:tcPr>
                <w:p w14:paraId="6C2C146E">
                  <w:pPr>
                    <w:pStyle w:val="53"/>
                    <w:bidi w:val="0"/>
                    <w:rPr>
                      <w:rFonts w:hint="default"/>
                      <w:lang w:val="en-US" w:eastAsia="zh-CN"/>
                    </w:rPr>
                  </w:pPr>
                  <w:r>
                    <w:rPr>
                      <w:rFonts w:hint="eastAsia"/>
                      <w:lang w:val="en-US" w:eastAsia="zh-CN"/>
                    </w:rPr>
                    <w:t>建设项目名称</w:t>
                  </w:r>
                </w:p>
              </w:tc>
              <w:tc>
                <w:tcPr>
                  <w:tcW w:w="6549" w:type="dxa"/>
                  <w:gridSpan w:val="4"/>
                  <w:tcBorders>
                    <w:tl2br w:val="nil"/>
                    <w:tr2bl w:val="nil"/>
                  </w:tcBorders>
                  <w:noWrap w:val="0"/>
                  <w:vAlign w:val="center"/>
                </w:tcPr>
                <w:p w14:paraId="547183F6">
                  <w:pPr>
                    <w:pStyle w:val="53"/>
                    <w:bidi w:val="0"/>
                    <w:rPr>
                      <w:rFonts w:hint="eastAsia"/>
                      <w:lang w:val="en-US" w:eastAsia="zh-CN"/>
                    </w:rPr>
                  </w:pPr>
                  <w:r>
                    <w:rPr>
                      <w:rFonts w:hint="eastAsia"/>
                      <w:lang w:val="en-US" w:eastAsia="zh-CN"/>
                    </w:rPr>
                    <w:t>乌拉特中旗炜景环保材料有限公司德岭镇四义堂村混凝土拌合站项目</w:t>
                  </w:r>
                </w:p>
              </w:tc>
            </w:tr>
            <w:tr w14:paraId="7E16F4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20" w:type="dxa"/>
                  <w:tcBorders>
                    <w:tl2br w:val="nil"/>
                    <w:tr2bl w:val="nil"/>
                  </w:tcBorders>
                  <w:noWrap w:val="0"/>
                  <w:vAlign w:val="center"/>
                </w:tcPr>
                <w:p w14:paraId="1A27562F">
                  <w:pPr>
                    <w:pStyle w:val="53"/>
                    <w:bidi w:val="0"/>
                    <w:rPr>
                      <w:rFonts w:hint="default"/>
                      <w:lang w:val="en-US" w:eastAsia="zh-CN"/>
                    </w:rPr>
                  </w:pPr>
                  <w:r>
                    <w:rPr>
                      <w:rFonts w:hint="eastAsia"/>
                      <w:lang w:val="en-US" w:eastAsia="zh-CN"/>
                    </w:rPr>
                    <w:t>建设地点</w:t>
                  </w:r>
                </w:p>
              </w:tc>
              <w:tc>
                <w:tcPr>
                  <w:tcW w:w="6549" w:type="dxa"/>
                  <w:gridSpan w:val="4"/>
                  <w:tcBorders>
                    <w:tl2br w:val="nil"/>
                    <w:tr2bl w:val="nil"/>
                  </w:tcBorders>
                  <w:noWrap w:val="0"/>
                  <w:vAlign w:val="center"/>
                </w:tcPr>
                <w:p w14:paraId="5E7E5A9E">
                  <w:pPr>
                    <w:pStyle w:val="53"/>
                    <w:bidi w:val="0"/>
                    <w:rPr>
                      <w:rFonts w:hint="default"/>
                      <w:lang w:val="en-US" w:eastAsia="zh-CN"/>
                    </w:rPr>
                  </w:pPr>
                  <w:r>
                    <w:rPr>
                      <w:rFonts w:hint="default"/>
                      <w:lang w:val="en-US" w:eastAsia="zh-CN"/>
                    </w:rPr>
                    <w:t>内蒙古自治区巴彦淖尔市乌拉特中旗德岭山镇四义堂村金诺公司西侧</w:t>
                  </w:r>
                </w:p>
              </w:tc>
            </w:tr>
            <w:tr w14:paraId="7140E7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20" w:type="dxa"/>
                  <w:tcBorders>
                    <w:tl2br w:val="nil"/>
                    <w:tr2bl w:val="nil"/>
                  </w:tcBorders>
                  <w:noWrap w:val="0"/>
                  <w:vAlign w:val="center"/>
                </w:tcPr>
                <w:p w14:paraId="6DAD93D6">
                  <w:pPr>
                    <w:pStyle w:val="53"/>
                    <w:bidi w:val="0"/>
                    <w:rPr>
                      <w:rFonts w:hint="default"/>
                      <w:lang w:val="en-US" w:eastAsia="zh-CN"/>
                    </w:rPr>
                  </w:pPr>
                  <w:r>
                    <w:rPr>
                      <w:rFonts w:hint="eastAsia"/>
                      <w:lang w:val="en-US" w:eastAsia="zh-CN"/>
                    </w:rPr>
                    <w:t>地理坐标</w:t>
                  </w:r>
                </w:p>
              </w:tc>
              <w:tc>
                <w:tcPr>
                  <w:tcW w:w="1064" w:type="dxa"/>
                  <w:tcBorders>
                    <w:tl2br w:val="nil"/>
                    <w:tr2bl w:val="nil"/>
                  </w:tcBorders>
                  <w:noWrap w:val="0"/>
                  <w:vAlign w:val="center"/>
                </w:tcPr>
                <w:p w14:paraId="60772B98">
                  <w:pPr>
                    <w:pStyle w:val="53"/>
                    <w:bidi w:val="0"/>
                    <w:rPr>
                      <w:rFonts w:hint="default"/>
                      <w:lang w:val="en-US" w:eastAsia="zh-CN"/>
                    </w:rPr>
                  </w:pPr>
                  <w:r>
                    <w:rPr>
                      <w:rFonts w:hint="eastAsia"/>
                      <w:lang w:val="en-US" w:eastAsia="zh-CN"/>
                    </w:rPr>
                    <w:t>经度</w:t>
                  </w:r>
                </w:p>
              </w:tc>
              <w:tc>
                <w:tcPr>
                  <w:tcW w:w="2400" w:type="dxa"/>
                  <w:tcBorders>
                    <w:tl2br w:val="nil"/>
                    <w:tr2bl w:val="nil"/>
                  </w:tcBorders>
                  <w:noWrap w:val="0"/>
                  <w:vAlign w:val="center"/>
                </w:tcPr>
                <w:p w14:paraId="6579190C">
                  <w:pPr>
                    <w:pStyle w:val="53"/>
                    <w:bidi w:val="0"/>
                    <w:rPr>
                      <w:rFonts w:hint="eastAsia"/>
                      <w:lang w:val="en-US" w:eastAsia="zh-CN"/>
                    </w:rPr>
                  </w:pPr>
                  <w:r>
                    <w:rPr>
                      <w:rFonts w:hint="eastAsia"/>
                      <w:lang w:val="en-US" w:eastAsia="zh-CN"/>
                    </w:rPr>
                    <w:t>108度27分51.441秒</w:t>
                  </w:r>
                </w:p>
              </w:tc>
              <w:tc>
                <w:tcPr>
                  <w:tcW w:w="993" w:type="dxa"/>
                  <w:tcBorders>
                    <w:tl2br w:val="nil"/>
                    <w:tr2bl w:val="nil"/>
                  </w:tcBorders>
                  <w:noWrap w:val="0"/>
                  <w:vAlign w:val="center"/>
                </w:tcPr>
                <w:p w14:paraId="1383C5E1">
                  <w:pPr>
                    <w:pStyle w:val="53"/>
                    <w:bidi w:val="0"/>
                    <w:rPr>
                      <w:rFonts w:hint="default"/>
                      <w:lang w:val="en-US" w:eastAsia="zh-CN"/>
                    </w:rPr>
                  </w:pPr>
                  <w:r>
                    <w:rPr>
                      <w:rFonts w:hint="eastAsia"/>
                      <w:lang w:val="en-US" w:eastAsia="zh-CN"/>
                    </w:rPr>
                    <w:t>纬度</w:t>
                  </w:r>
                </w:p>
              </w:tc>
              <w:tc>
                <w:tcPr>
                  <w:tcW w:w="2092" w:type="dxa"/>
                  <w:tcBorders>
                    <w:tl2br w:val="nil"/>
                    <w:tr2bl w:val="nil"/>
                  </w:tcBorders>
                  <w:noWrap w:val="0"/>
                  <w:vAlign w:val="center"/>
                </w:tcPr>
                <w:p w14:paraId="2970557D">
                  <w:pPr>
                    <w:pStyle w:val="53"/>
                    <w:bidi w:val="0"/>
                    <w:rPr>
                      <w:rFonts w:hint="eastAsia"/>
                      <w:lang w:val="en-US" w:eastAsia="zh-CN"/>
                    </w:rPr>
                  </w:pPr>
                  <w:r>
                    <w:rPr>
                      <w:rFonts w:hint="eastAsia"/>
                      <w:lang w:val="en-US" w:eastAsia="zh-CN"/>
                    </w:rPr>
                    <w:t>41度18分19.811秒</w:t>
                  </w:r>
                </w:p>
              </w:tc>
            </w:tr>
            <w:tr w14:paraId="41137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20" w:type="dxa"/>
                  <w:tcBorders>
                    <w:tl2br w:val="nil"/>
                    <w:tr2bl w:val="nil"/>
                  </w:tcBorders>
                  <w:noWrap w:val="0"/>
                  <w:vAlign w:val="center"/>
                </w:tcPr>
                <w:p w14:paraId="65B8BB30">
                  <w:pPr>
                    <w:pStyle w:val="53"/>
                    <w:bidi w:val="0"/>
                    <w:rPr>
                      <w:rFonts w:hint="default"/>
                      <w:lang w:val="en-US" w:eastAsia="zh-CN"/>
                    </w:rPr>
                  </w:pPr>
                  <w:r>
                    <w:rPr>
                      <w:rFonts w:hint="eastAsia"/>
                      <w:lang w:val="en-US" w:eastAsia="zh-CN"/>
                    </w:rPr>
                    <w:t>主要危险物资及发布</w:t>
                  </w:r>
                </w:p>
              </w:tc>
              <w:tc>
                <w:tcPr>
                  <w:tcW w:w="6549" w:type="dxa"/>
                  <w:gridSpan w:val="4"/>
                  <w:tcBorders>
                    <w:tl2br w:val="nil"/>
                    <w:tr2bl w:val="nil"/>
                  </w:tcBorders>
                  <w:noWrap w:val="0"/>
                  <w:vAlign w:val="center"/>
                </w:tcPr>
                <w:p w14:paraId="5EB201ED">
                  <w:pPr>
                    <w:pStyle w:val="53"/>
                    <w:bidi w:val="0"/>
                    <w:jc w:val="both"/>
                    <w:rPr>
                      <w:rFonts w:hint="default"/>
                      <w:lang w:val="en-US" w:eastAsia="zh-CN"/>
                    </w:rPr>
                  </w:pPr>
                  <w:r>
                    <w:rPr>
                      <w:rFonts w:hint="eastAsia"/>
                      <w:lang w:val="en-US" w:eastAsia="zh-CN"/>
                    </w:rPr>
                    <w:t>本项目不存在风险物质，主要考虑沉淀池、化粪池泄漏环境风险；废气处理设施运行不正常，导致大量粉尘逸散，污染大气。</w:t>
                  </w:r>
                </w:p>
              </w:tc>
            </w:tr>
            <w:tr w14:paraId="416E0D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20" w:type="dxa"/>
                  <w:tcBorders>
                    <w:tl2br w:val="nil"/>
                    <w:tr2bl w:val="nil"/>
                  </w:tcBorders>
                  <w:noWrap w:val="0"/>
                  <w:vAlign w:val="center"/>
                </w:tcPr>
                <w:p w14:paraId="60501F52">
                  <w:pPr>
                    <w:pStyle w:val="53"/>
                    <w:bidi w:val="0"/>
                    <w:rPr>
                      <w:rFonts w:hint="default"/>
                      <w:lang w:val="en-US" w:eastAsia="zh-CN"/>
                    </w:rPr>
                  </w:pPr>
                  <w:r>
                    <w:rPr>
                      <w:rFonts w:hint="eastAsia"/>
                      <w:lang w:val="en-US" w:eastAsia="zh-CN"/>
                    </w:rPr>
                    <w:t>环境影响途径及危害后果（大气、地表水、地下水等）</w:t>
                  </w:r>
                </w:p>
              </w:tc>
              <w:tc>
                <w:tcPr>
                  <w:tcW w:w="6549" w:type="dxa"/>
                  <w:gridSpan w:val="4"/>
                  <w:tcBorders>
                    <w:tl2br w:val="nil"/>
                    <w:tr2bl w:val="nil"/>
                  </w:tcBorders>
                  <w:noWrap w:val="0"/>
                  <w:vAlign w:val="center"/>
                </w:tcPr>
                <w:p w14:paraId="177FFF8A">
                  <w:pPr>
                    <w:pStyle w:val="53"/>
                    <w:bidi w:val="0"/>
                    <w:jc w:val="both"/>
                    <w:rPr>
                      <w:rFonts w:hint="default"/>
                      <w:lang w:val="en-US" w:eastAsia="zh-CN"/>
                    </w:rPr>
                  </w:pPr>
                  <w:r>
                    <w:rPr>
                      <w:rFonts w:hint="eastAsia"/>
                      <w:lang w:val="en-US" w:eastAsia="zh-CN"/>
                    </w:rPr>
                    <w:t>沉淀池、化粪池泄漏，导致废水进入土壤，可能导致土壤污染。废气超标排放，污染周边大气环境。</w:t>
                  </w:r>
                </w:p>
              </w:tc>
            </w:tr>
            <w:tr w14:paraId="3AAA20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20" w:type="dxa"/>
                  <w:tcBorders>
                    <w:tl2br w:val="nil"/>
                    <w:tr2bl w:val="nil"/>
                  </w:tcBorders>
                  <w:noWrap w:val="0"/>
                  <w:vAlign w:val="center"/>
                </w:tcPr>
                <w:p w14:paraId="2F369AE6">
                  <w:pPr>
                    <w:pStyle w:val="53"/>
                    <w:bidi w:val="0"/>
                    <w:rPr>
                      <w:rFonts w:hint="default"/>
                      <w:lang w:val="en-US" w:eastAsia="zh-CN"/>
                    </w:rPr>
                  </w:pPr>
                  <w:r>
                    <w:rPr>
                      <w:rFonts w:hint="eastAsia"/>
                      <w:lang w:val="en-US" w:eastAsia="zh-CN"/>
                    </w:rPr>
                    <w:t>风险防范措施要求</w:t>
                  </w:r>
                </w:p>
              </w:tc>
              <w:tc>
                <w:tcPr>
                  <w:tcW w:w="6549" w:type="dxa"/>
                  <w:gridSpan w:val="4"/>
                  <w:tcBorders>
                    <w:tl2br w:val="nil"/>
                    <w:tr2bl w:val="nil"/>
                  </w:tcBorders>
                  <w:noWrap w:val="0"/>
                  <w:vAlign w:val="center"/>
                </w:tcPr>
                <w:p w14:paraId="715E6DFC">
                  <w:pPr>
                    <w:pStyle w:val="53"/>
                    <w:bidi w:val="0"/>
                    <w:jc w:val="both"/>
                    <w:rPr>
                      <w:rFonts w:hint="eastAsia"/>
                      <w:lang w:val="en-US" w:eastAsia="zh-CN"/>
                    </w:rPr>
                  </w:pPr>
                  <w:r>
                    <w:rPr>
                      <w:rFonts w:hint="eastAsia"/>
                      <w:lang w:val="en-US" w:eastAsia="zh-CN"/>
                    </w:rPr>
                    <w:t>（1）沉淀池、化粪池必须做好防渗措施，防渗层的渗透系数不低于1.0×10</w:t>
                  </w:r>
                  <w:r>
                    <w:rPr>
                      <w:rFonts w:hint="eastAsia"/>
                      <w:vertAlign w:val="superscript"/>
                      <w:lang w:val="en-US" w:eastAsia="zh-CN"/>
                    </w:rPr>
                    <w:t>-7</w:t>
                  </w:r>
                  <w:r>
                    <w:rPr>
                      <w:rFonts w:hint="eastAsia"/>
                      <w:lang w:val="en-US" w:eastAsia="zh-CN"/>
                    </w:rPr>
                    <w:t>cm/s，防止生产废水对土壤产生影响；</w:t>
                  </w:r>
                </w:p>
                <w:p w14:paraId="5EC121F0">
                  <w:pPr>
                    <w:pStyle w:val="53"/>
                    <w:bidi w:val="0"/>
                    <w:jc w:val="both"/>
                    <w:rPr>
                      <w:rFonts w:hint="eastAsia"/>
                      <w:lang w:val="en-US" w:eastAsia="zh-CN"/>
                    </w:rPr>
                  </w:pPr>
                  <w:r>
                    <w:rPr>
                      <w:rFonts w:hint="eastAsia"/>
                      <w:lang w:val="en-US" w:eastAsia="zh-CN"/>
                    </w:rPr>
                    <w:t>（2）定期对除尘器进行检修，确保除尘器正常工作；</w:t>
                  </w:r>
                </w:p>
                <w:p w14:paraId="74DF9138">
                  <w:pPr>
                    <w:pStyle w:val="53"/>
                    <w:bidi w:val="0"/>
                    <w:jc w:val="both"/>
                    <w:rPr>
                      <w:rFonts w:hint="eastAsia"/>
                      <w:lang w:val="en-US" w:eastAsia="zh-CN"/>
                    </w:rPr>
                  </w:pPr>
                  <w:r>
                    <w:rPr>
                      <w:rFonts w:hint="eastAsia"/>
                      <w:lang w:val="en-US" w:eastAsia="zh-CN"/>
                    </w:rPr>
                    <w:t>（3）加强日常巡视和检查工作。</w:t>
                  </w:r>
                </w:p>
              </w:tc>
            </w:tr>
            <w:tr w14:paraId="023B6B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69" w:type="dxa"/>
                  <w:gridSpan w:val="5"/>
                  <w:tcBorders>
                    <w:tl2br w:val="nil"/>
                    <w:tr2bl w:val="nil"/>
                  </w:tcBorders>
                  <w:noWrap w:val="0"/>
                  <w:vAlign w:val="center"/>
                </w:tcPr>
                <w:p w14:paraId="7B082EAD">
                  <w:pPr>
                    <w:pStyle w:val="53"/>
                    <w:bidi w:val="0"/>
                    <w:jc w:val="both"/>
                    <w:rPr>
                      <w:rFonts w:hint="default"/>
                      <w:lang w:val="en-US" w:eastAsia="zh-CN"/>
                    </w:rPr>
                  </w:pPr>
                  <w:r>
                    <w:rPr>
                      <w:rFonts w:hint="eastAsia"/>
                      <w:lang w:val="en-US" w:eastAsia="zh-CN"/>
                    </w:rPr>
                    <w:t>填表说明（列出项目相关信息及评价说明）：/</w:t>
                  </w:r>
                </w:p>
              </w:tc>
            </w:tr>
          </w:tbl>
          <w:p w14:paraId="3AB968AB">
            <w:pPr>
              <w:bidi w:val="0"/>
              <w:spacing w:line="360" w:lineRule="auto"/>
              <w:ind w:firstLine="482" w:firstLineChars="200"/>
              <w:rPr>
                <w:rFonts w:hint="default" w:ascii="Times New Roman" w:hAnsi="Times New Roman" w:eastAsia="宋体" w:cs="Times New Roman"/>
                <w:b w:val="0"/>
                <w:bCs w:val="0"/>
                <w:color w:val="auto"/>
                <w:sz w:val="24"/>
                <w:szCs w:val="24"/>
                <w:lang w:val="en-US" w:eastAsia="zh-CN"/>
              </w:rPr>
            </w:pPr>
            <w:r>
              <w:rPr>
                <w:rFonts w:hint="eastAsia" w:cs="Times New Roman"/>
                <w:b/>
                <w:bCs/>
                <w:color w:val="auto"/>
                <w:sz w:val="24"/>
                <w:szCs w:val="24"/>
                <w:lang w:val="en-US" w:eastAsia="zh-CN"/>
              </w:rPr>
              <w:t>7</w:t>
            </w:r>
            <w:r>
              <w:rPr>
                <w:rFonts w:hint="eastAsia" w:ascii="Times New Roman" w:hAnsi="Times New Roman" w:eastAsia="宋体" w:cs="Times New Roman"/>
                <w:b/>
                <w:bCs/>
                <w:color w:val="auto"/>
                <w:sz w:val="24"/>
                <w:szCs w:val="24"/>
                <w:lang w:val="en-US" w:eastAsia="zh-CN"/>
              </w:rPr>
              <w:t>、监测计划</w:t>
            </w:r>
          </w:p>
          <w:p w14:paraId="3D88D72A">
            <w:pPr>
              <w:bidi w:val="0"/>
              <w:spacing w:line="360" w:lineRule="auto"/>
              <w:ind w:firstLine="480" w:firstLineChars="200"/>
              <w:rPr>
                <w:rFonts w:hint="eastAsia" w:ascii="Times New Roman" w:hAnsi="Times New Roman" w:cs="Times New Roman"/>
                <w:b w:val="0"/>
                <w:bCs/>
                <w:color w:val="auto"/>
                <w:spacing w:val="-10"/>
                <w:szCs w:val="24"/>
                <w:lang w:val="en-US" w:eastAsia="zh-CN"/>
              </w:rPr>
            </w:pPr>
            <w:r>
              <w:rPr>
                <w:rFonts w:hint="eastAsia" w:cs="Times New Roman"/>
                <w:color w:val="auto"/>
                <w:sz w:val="24"/>
                <w:szCs w:val="24"/>
                <w:lang w:val="en-US" w:eastAsia="zh-CN"/>
              </w:rPr>
              <w:t>根据</w:t>
            </w:r>
            <w:r>
              <w:rPr>
                <w:rFonts w:hint="default" w:ascii="Times New Roman" w:hAnsi="Times New Roman" w:cs="Times New Roman"/>
                <w:color w:val="auto"/>
                <w:sz w:val="24"/>
                <w:szCs w:val="24"/>
                <w:lang w:val="en-US" w:eastAsia="zh-CN"/>
              </w:rPr>
              <w:t>《排污单位自行监测技术指南</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lang w:val="en-US" w:eastAsia="zh-CN"/>
              </w:rPr>
              <w:t>水泥工业》（HJ</w:t>
            </w:r>
            <w:r>
              <w:rPr>
                <w:rFonts w:hint="eastAsia" w:ascii="Times New Roman" w:hAnsi="Times New Roman" w:cs="Times New Roman"/>
                <w:color w:val="auto"/>
                <w:sz w:val="24"/>
                <w:szCs w:val="24"/>
                <w:lang w:val="en-US" w:eastAsia="zh-CN"/>
              </w:rPr>
              <w:t>848</w:t>
            </w:r>
            <w:r>
              <w:rPr>
                <w:rFonts w:hint="default" w:ascii="Times New Roman" w:hAnsi="Times New Roman" w:cs="Times New Roman"/>
                <w:color w:val="auto"/>
                <w:sz w:val="24"/>
                <w:szCs w:val="24"/>
                <w:lang w:val="en-US" w:eastAsia="zh-CN"/>
              </w:rPr>
              <w:t>-201</w:t>
            </w:r>
            <w:r>
              <w:rPr>
                <w:rFonts w:hint="eastAsia"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和《排污单位自行监测技术指南 总则》（HJ819-2017）</w:t>
            </w:r>
            <w:r>
              <w:rPr>
                <w:rFonts w:hint="default" w:ascii="Times New Roman" w:hAnsi="Times New Roman" w:cs="Times New Roman"/>
                <w:color w:val="auto"/>
                <w:sz w:val="24"/>
                <w:szCs w:val="24"/>
                <w:lang w:val="en-US" w:eastAsia="zh-CN"/>
              </w:rPr>
              <w:t>，提出本项目自行监测计划要求。具体监测项目、频率、点位见下表。</w:t>
            </w:r>
          </w:p>
          <w:p w14:paraId="3FFC9111">
            <w:pPr>
              <w:pStyle w:val="33"/>
              <w:bidi w:val="0"/>
              <w:rPr>
                <w:rFonts w:hint="eastAsia" w:ascii="Times New Roman" w:hAnsi="Times New Roman" w:cs="Times New Roman"/>
                <w:b w:val="0"/>
                <w:bCs/>
                <w:color w:val="auto"/>
                <w:spacing w:val="-10"/>
                <w:szCs w:val="24"/>
                <w:lang w:val="en-US" w:eastAsia="zh-CN"/>
              </w:rPr>
            </w:pPr>
            <w:r>
              <w:rPr>
                <w:rFonts w:hint="eastAsia"/>
                <w:lang w:val="en-US" w:eastAsia="zh-CN"/>
              </w:rPr>
              <w:t>表36    项目监测计划一览表</w:t>
            </w:r>
          </w:p>
          <w:tbl>
            <w:tblPr>
              <w:tblStyle w:val="4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fixed"/>
              <w:tblCellMar>
                <w:top w:w="0" w:type="dxa"/>
                <w:left w:w="0" w:type="dxa"/>
                <w:bottom w:w="0" w:type="dxa"/>
                <w:right w:w="0" w:type="dxa"/>
              </w:tblCellMar>
            </w:tblPr>
            <w:tblGrid>
              <w:gridCol w:w="603"/>
              <w:gridCol w:w="1075"/>
              <w:gridCol w:w="1681"/>
              <w:gridCol w:w="1100"/>
              <w:gridCol w:w="1539"/>
              <w:gridCol w:w="2473"/>
            </w:tblGrid>
            <w:tr w14:paraId="2CEC4C22">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0" w:hRule="atLeast"/>
                <w:jc w:val="center"/>
              </w:trPr>
              <w:tc>
                <w:tcPr>
                  <w:tcW w:w="355" w:type="pct"/>
                  <w:tcBorders>
                    <w:tl2br w:val="nil"/>
                    <w:tr2bl w:val="nil"/>
                  </w:tcBorders>
                  <w:noWrap w:val="0"/>
                  <w:vAlign w:val="center"/>
                </w:tcPr>
                <w:p w14:paraId="6345FDE3">
                  <w:pPr>
                    <w:pStyle w:val="53"/>
                    <w:bidi w:val="0"/>
                    <w:rPr>
                      <w:rFonts w:hint="default"/>
                      <w:color w:val="auto"/>
                    </w:rPr>
                  </w:pPr>
                  <w:r>
                    <w:rPr>
                      <w:rFonts w:hint="default"/>
                      <w:color w:val="auto"/>
                    </w:rPr>
                    <w:t>名称</w:t>
                  </w:r>
                </w:p>
              </w:tc>
              <w:tc>
                <w:tcPr>
                  <w:tcW w:w="634" w:type="pct"/>
                  <w:tcBorders>
                    <w:tl2br w:val="nil"/>
                    <w:tr2bl w:val="nil"/>
                  </w:tcBorders>
                  <w:noWrap w:val="0"/>
                  <w:vAlign w:val="center"/>
                </w:tcPr>
                <w:p w14:paraId="2AB99AA3">
                  <w:pPr>
                    <w:pStyle w:val="53"/>
                    <w:bidi w:val="0"/>
                    <w:rPr>
                      <w:rFonts w:hint="default"/>
                      <w:color w:val="auto"/>
                    </w:rPr>
                  </w:pPr>
                  <w:r>
                    <w:rPr>
                      <w:rFonts w:hint="default"/>
                      <w:color w:val="auto"/>
                    </w:rPr>
                    <w:t>监测项目</w:t>
                  </w:r>
                </w:p>
              </w:tc>
              <w:tc>
                <w:tcPr>
                  <w:tcW w:w="992" w:type="pct"/>
                  <w:tcBorders>
                    <w:tl2br w:val="nil"/>
                    <w:tr2bl w:val="nil"/>
                  </w:tcBorders>
                  <w:noWrap w:val="0"/>
                  <w:vAlign w:val="center"/>
                </w:tcPr>
                <w:p w14:paraId="6301E469">
                  <w:pPr>
                    <w:pStyle w:val="53"/>
                    <w:bidi w:val="0"/>
                    <w:rPr>
                      <w:rFonts w:hint="default"/>
                      <w:color w:val="auto"/>
                    </w:rPr>
                  </w:pPr>
                  <w:r>
                    <w:rPr>
                      <w:rFonts w:hint="default"/>
                      <w:color w:val="auto"/>
                    </w:rPr>
                    <w:t>监测点位</w:t>
                  </w:r>
                </w:p>
              </w:tc>
              <w:tc>
                <w:tcPr>
                  <w:tcW w:w="649" w:type="pct"/>
                  <w:tcBorders>
                    <w:tl2br w:val="nil"/>
                    <w:tr2bl w:val="nil"/>
                  </w:tcBorders>
                  <w:noWrap w:val="0"/>
                  <w:vAlign w:val="center"/>
                </w:tcPr>
                <w:p w14:paraId="3602A6E1">
                  <w:pPr>
                    <w:pStyle w:val="53"/>
                    <w:bidi w:val="0"/>
                    <w:rPr>
                      <w:rFonts w:hint="default"/>
                      <w:color w:val="auto"/>
                    </w:rPr>
                  </w:pPr>
                  <w:r>
                    <w:rPr>
                      <w:rFonts w:hint="default"/>
                      <w:color w:val="auto"/>
                    </w:rPr>
                    <w:t>监测因子</w:t>
                  </w:r>
                </w:p>
              </w:tc>
              <w:tc>
                <w:tcPr>
                  <w:tcW w:w="908" w:type="pct"/>
                  <w:tcBorders>
                    <w:tl2br w:val="nil"/>
                    <w:tr2bl w:val="nil"/>
                  </w:tcBorders>
                  <w:noWrap w:val="0"/>
                  <w:vAlign w:val="center"/>
                </w:tcPr>
                <w:p w14:paraId="42405B0D">
                  <w:pPr>
                    <w:pStyle w:val="53"/>
                    <w:bidi w:val="0"/>
                    <w:rPr>
                      <w:rFonts w:hint="default"/>
                      <w:color w:val="auto"/>
                    </w:rPr>
                  </w:pPr>
                  <w:r>
                    <w:rPr>
                      <w:rFonts w:hint="default"/>
                      <w:color w:val="auto"/>
                    </w:rPr>
                    <w:t>监测频次</w:t>
                  </w:r>
                </w:p>
              </w:tc>
              <w:tc>
                <w:tcPr>
                  <w:tcW w:w="1459" w:type="pct"/>
                  <w:tcBorders>
                    <w:tl2br w:val="nil"/>
                    <w:tr2bl w:val="nil"/>
                  </w:tcBorders>
                  <w:noWrap w:val="0"/>
                  <w:vAlign w:val="center"/>
                </w:tcPr>
                <w:p w14:paraId="31BD2378">
                  <w:pPr>
                    <w:pStyle w:val="53"/>
                    <w:bidi w:val="0"/>
                    <w:rPr>
                      <w:rFonts w:hint="default"/>
                      <w:color w:val="auto"/>
                    </w:rPr>
                  </w:pPr>
                  <w:r>
                    <w:rPr>
                      <w:rFonts w:hint="default"/>
                      <w:color w:val="auto"/>
                    </w:rPr>
                    <w:t>执行标准</w:t>
                  </w:r>
                </w:p>
              </w:tc>
            </w:tr>
            <w:tr w14:paraId="69DFE9C1">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1000" w:hRule="atLeast"/>
                <w:jc w:val="center"/>
              </w:trPr>
              <w:tc>
                <w:tcPr>
                  <w:tcW w:w="355" w:type="pct"/>
                  <w:tcBorders>
                    <w:tl2br w:val="nil"/>
                    <w:tr2bl w:val="nil"/>
                  </w:tcBorders>
                  <w:noWrap w:val="0"/>
                  <w:vAlign w:val="center"/>
                </w:tcPr>
                <w:p w14:paraId="43C5BA15">
                  <w:pPr>
                    <w:pStyle w:val="53"/>
                    <w:bidi w:val="0"/>
                    <w:rPr>
                      <w:rFonts w:hint="default"/>
                      <w:color w:val="auto"/>
                    </w:rPr>
                  </w:pPr>
                  <w:r>
                    <w:rPr>
                      <w:rFonts w:hint="default"/>
                      <w:color w:val="auto"/>
                    </w:rPr>
                    <w:t>废气</w:t>
                  </w:r>
                </w:p>
              </w:tc>
              <w:tc>
                <w:tcPr>
                  <w:tcW w:w="634" w:type="pct"/>
                  <w:tcBorders>
                    <w:tl2br w:val="nil"/>
                    <w:tr2bl w:val="nil"/>
                  </w:tcBorders>
                  <w:noWrap w:val="0"/>
                  <w:vAlign w:val="center"/>
                </w:tcPr>
                <w:p w14:paraId="36DC9E5B">
                  <w:pPr>
                    <w:pStyle w:val="53"/>
                    <w:bidi w:val="0"/>
                    <w:rPr>
                      <w:rFonts w:hint="default"/>
                      <w:color w:val="auto"/>
                    </w:rPr>
                  </w:pPr>
                  <w:r>
                    <w:rPr>
                      <w:rFonts w:hint="default"/>
                      <w:color w:val="auto"/>
                    </w:rPr>
                    <w:t>无组织</w:t>
                  </w:r>
                </w:p>
              </w:tc>
              <w:tc>
                <w:tcPr>
                  <w:tcW w:w="992" w:type="pct"/>
                  <w:tcBorders>
                    <w:tl2br w:val="nil"/>
                    <w:tr2bl w:val="nil"/>
                  </w:tcBorders>
                  <w:noWrap w:val="0"/>
                  <w:vAlign w:val="center"/>
                </w:tcPr>
                <w:p w14:paraId="71FD8205">
                  <w:pPr>
                    <w:pStyle w:val="53"/>
                    <w:bidi w:val="0"/>
                    <w:rPr>
                      <w:rFonts w:hint="default"/>
                      <w:color w:val="auto"/>
                    </w:rPr>
                  </w:pPr>
                  <w:r>
                    <w:rPr>
                      <w:rFonts w:hint="default"/>
                      <w:color w:val="auto"/>
                    </w:rPr>
                    <w:t>厂界周界上风向1个对照点，下风向设3个监控点</w:t>
                  </w:r>
                </w:p>
              </w:tc>
              <w:tc>
                <w:tcPr>
                  <w:tcW w:w="649" w:type="pct"/>
                  <w:tcBorders>
                    <w:tl2br w:val="nil"/>
                    <w:tr2bl w:val="nil"/>
                  </w:tcBorders>
                  <w:noWrap w:val="0"/>
                  <w:vAlign w:val="center"/>
                </w:tcPr>
                <w:p w14:paraId="78FE2DD2">
                  <w:pPr>
                    <w:pStyle w:val="53"/>
                    <w:bidi w:val="0"/>
                    <w:rPr>
                      <w:rFonts w:hint="default"/>
                      <w:color w:val="auto"/>
                    </w:rPr>
                  </w:pPr>
                  <w:r>
                    <w:rPr>
                      <w:rFonts w:hint="default"/>
                      <w:color w:val="auto"/>
                    </w:rPr>
                    <w:t>颗粒物</w:t>
                  </w:r>
                </w:p>
              </w:tc>
              <w:tc>
                <w:tcPr>
                  <w:tcW w:w="908" w:type="pct"/>
                  <w:tcBorders>
                    <w:tl2br w:val="nil"/>
                    <w:tr2bl w:val="nil"/>
                  </w:tcBorders>
                  <w:noWrap w:val="0"/>
                  <w:vAlign w:val="center"/>
                </w:tcPr>
                <w:p w14:paraId="65C1E125">
                  <w:pPr>
                    <w:pStyle w:val="53"/>
                    <w:bidi w:val="0"/>
                    <w:rPr>
                      <w:rFonts w:hint="eastAsia" w:eastAsia="宋体"/>
                      <w:color w:val="auto"/>
                      <w:lang w:eastAsia="zh-CN"/>
                    </w:rPr>
                  </w:pPr>
                  <w:r>
                    <w:rPr>
                      <w:rFonts w:hint="default"/>
                      <w:color w:val="auto"/>
                    </w:rPr>
                    <w:t>1次/</w:t>
                  </w:r>
                  <w:r>
                    <w:rPr>
                      <w:rFonts w:hint="eastAsia"/>
                      <w:color w:val="auto"/>
                      <w:lang w:val="en-US" w:eastAsia="zh-CN"/>
                    </w:rPr>
                    <w:t>季度</w:t>
                  </w:r>
                </w:p>
              </w:tc>
              <w:tc>
                <w:tcPr>
                  <w:tcW w:w="1459" w:type="pct"/>
                  <w:tcBorders>
                    <w:tl2br w:val="nil"/>
                    <w:tr2bl w:val="nil"/>
                  </w:tcBorders>
                  <w:noWrap w:val="0"/>
                  <w:vAlign w:val="center"/>
                </w:tcPr>
                <w:p w14:paraId="20560FC0">
                  <w:pPr>
                    <w:pStyle w:val="53"/>
                    <w:bidi w:val="0"/>
                    <w:rPr>
                      <w:rFonts w:hint="default"/>
                      <w:color w:val="auto"/>
                    </w:rPr>
                  </w:pPr>
                  <w:r>
                    <w:rPr>
                      <w:rFonts w:hint="default"/>
                      <w:color w:val="auto"/>
                    </w:rPr>
                    <w:t>《水泥工业大气污染物排放标准》（GB4915-2013）</w:t>
                  </w:r>
                </w:p>
              </w:tc>
            </w:tr>
            <w:tr w14:paraId="7019EE98">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0" w:hRule="atLeast"/>
                <w:jc w:val="center"/>
              </w:trPr>
              <w:tc>
                <w:tcPr>
                  <w:tcW w:w="355" w:type="pct"/>
                  <w:tcBorders>
                    <w:tl2br w:val="nil"/>
                    <w:tr2bl w:val="nil"/>
                  </w:tcBorders>
                  <w:noWrap w:val="0"/>
                  <w:vAlign w:val="center"/>
                </w:tcPr>
                <w:p w14:paraId="0B9C633D">
                  <w:pPr>
                    <w:pStyle w:val="53"/>
                    <w:bidi w:val="0"/>
                    <w:rPr>
                      <w:rFonts w:hint="eastAsia"/>
                      <w:color w:val="auto"/>
                      <w:lang w:val="en-US" w:eastAsia="zh-CN"/>
                    </w:rPr>
                  </w:pPr>
                  <w:r>
                    <w:rPr>
                      <w:rFonts w:hint="eastAsia"/>
                      <w:color w:val="auto"/>
                      <w:lang w:val="en-US" w:eastAsia="zh-CN"/>
                    </w:rPr>
                    <w:t>噪声</w:t>
                  </w:r>
                </w:p>
              </w:tc>
              <w:tc>
                <w:tcPr>
                  <w:tcW w:w="634" w:type="pct"/>
                  <w:tcBorders>
                    <w:tl2br w:val="nil"/>
                    <w:tr2bl w:val="nil"/>
                  </w:tcBorders>
                  <w:noWrap w:val="0"/>
                  <w:vAlign w:val="center"/>
                </w:tcPr>
                <w:p w14:paraId="4173B939">
                  <w:pPr>
                    <w:pStyle w:val="53"/>
                    <w:bidi w:val="0"/>
                    <w:rPr>
                      <w:rFonts w:hint="default"/>
                      <w:color w:val="auto"/>
                      <w:lang w:val="en-US" w:eastAsia="zh-CN"/>
                    </w:rPr>
                  </w:pPr>
                  <w:r>
                    <w:rPr>
                      <w:rFonts w:hint="eastAsia"/>
                      <w:color w:val="auto"/>
                      <w:lang w:val="en-US" w:eastAsia="zh-CN"/>
                    </w:rPr>
                    <w:t>机械噪声</w:t>
                  </w:r>
                </w:p>
              </w:tc>
              <w:tc>
                <w:tcPr>
                  <w:tcW w:w="992" w:type="pct"/>
                  <w:tcBorders>
                    <w:tl2br w:val="nil"/>
                    <w:tr2bl w:val="nil"/>
                  </w:tcBorders>
                  <w:noWrap w:val="0"/>
                  <w:vAlign w:val="center"/>
                </w:tcPr>
                <w:p w14:paraId="43DB621C">
                  <w:pPr>
                    <w:pStyle w:val="53"/>
                    <w:bidi w:val="0"/>
                    <w:rPr>
                      <w:rFonts w:hint="eastAsia"/>
                      <w:color w:val="auto"/>
                      <w:lang w:val="en-US" w:eastAsia="zh-CN"/>
                    </w:rPr>
                  </w:pPr>
                  <w:r>
                    <w:rPr>
                      <w:rFonts w:hint="default"/>
                      <w:color w:val="auto"/>
                      <w:lang w:val="en-US" w:eastAsia="zh-CN"/>
                    </w:rPr>
                    <w:t>厂界东、南、西、北侧外1m</w:t>
                  </w:r>
                </w:p>
              </w:tc>
              <w:tc>
                <w:tcPr>
                  <w:tcW w:w="649" w:type="pct"/>
                  <w:tcBorders>
                    <w:tl2br w:val="nil"/>
                    <w:tr2bl w:val="nil"/>
                  </w:tcBorders>
                  <w:noWrap w:val="0"/>
                  <w:vAlign w:val="center"/>
                </w:tcPr>
                <w:p w14:paraId="6A2D1099">
                  <w:pPr>
                    <w:pStyle w:val="53"/>
                    <w:bidi w:val="0"/>
                    <w:rPr>
                      <w:rFonts w:hint="default"/>
                      <w:color w:val="auto"/>
                    </w:rPr>
                  </w:pPr>
                  <w:r>
                    <w:rPr>
                      <w:rFonts w:hint="default"/>
                      <w:color w:val="auto"/>
                      <w:lang w:val="en-US" w:eastAsia="zh-CN"/>
                    </w:rPr>
                    <w:t>Leq（A）</w:t>
                  </w:r>
                </w:p>
              </w:tc>
              <w:tc>
                <w:tcPr>
                  <w:tcW w:w="908" w:type="pct"/>
                  <w:tcBorders>
                    <w:tl2br w:val="nil"/>
                    <w:tr2bl w:val="nil"/>
                  </w:tcBorders>
                  <w:noWrap w:val="0"/>
                  <w:vAlign w:val="center"/>
                </w:tcPr>
                <w:p w14:paraId="03FDD72C">
                  <w:pPr>
                    <w:pStyle w:val="53"/>
                    <w:bidi w:val="0"/>
                    <w:rPr>
                      <w:rFonts w:hint="eastAsia"/>
                      <w:color w:val="auto"/>
                      <w:lang w:val="en-US" w:eastAsia="zh-CN"/>
                    </w:rPr>
                  </w:pPr>
                  <w:r>
                    <w:rPr>
                      <w:rFonts w:hint="eastAsia"/>
                      <w:color w:val="auto"/>
                      <w:lang w:val="en-US" w:eastAsia="zh-CN"/>
                    </w:rPr>
                    <w:t>1次/季度</w:t>
                  </w:r>
                </w:p>
              </w:tc>
              <w:tc>
                <w:tcPr>
                  <w:tcW w:w="1459" w:type="pct"/>
                  <w:tcBorders>
                    <w:tl2br w:val="nil"/>
                    <w:tr2bl w:val="nil"/>
                  </w:tcBorders>
                  <w:noWrap w:val="0"/>
                  <w:vAlign w:val="center"/>
                </w:tcPr>
                <w:p w14:paraId="32364CA0">
                  <w:pPr>
                    <w:pStyle w:val="53"/>
                    <w:bidi w:val="0"/>
                    <w:rPr>
                      <w:rFonts w:hint="eastAsia"/>
                      <w:color w:val="auto"/>
                      <w:lang w:val="en-US" w:eastAsia="zh-CN"/>
                    </w:rPr>
                  </w:pPr>
                  <w:r>
                    <w:rPr>
                      <w:rFonts w:hint="eastAsia"/>
                      <w:color w:val="auto"/>
                      <w:lang w:val="en-US" w:eastAsia="zh-CN"/>
                    </w:rPr>
                    <w:t>《工业企业厂界环境噪声排放标准》（GB12348-2008）2类标准</w:t>
                  </w:r>
                </w:p>
              </w:tc>
            </w:tr>
            <w:tr w14:paraId="1A91CE1F">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0" w:type="dxa"/>
                  <w:bottom w:w="0" w:type="dxa"/>
                  <w:right w:w="0" w:type="dxa"/>
                </w:tblCellMar>
              </w:tblPrEx>
              <w:trPr>
                <w:trHeight w:val="0" w:hRule="atLeast"/>
                <w:jc w:val="center"/>
              </w:trPr>
              <w:tc>
                <w:tcPr>
                  <w:tcW w:w="355" w:type="pct"/>
                  <w:tcBorders>
                    <w:tl2br w:val="nil"/>
                    <w:tr2bl w:val="nil"/>
                  </w:tcBorders>
                  <w:noWrap w:val="0"/>
                  <w:vAlign w:val="center"/>
                </w:tcPr>
                <w:p w14:paraId="73E56A49">
                  <w:pPr>
                    <w:pStyle w:val="53"/>
                    <w:bidi w:val="0"/>
                    <w:rPr>
                      <w:rFonts w:hint="default"/>
                      <w:color w:val="auto"/>
                      <w:lang w:val="en-US" w:eastAsia="zh-CN"/>
                    </w:rPr>
                  </w:pPr>
                  <w:r>
                    <w:rPr>
                      <w:rFonts w:hint="eastAsia"/>
                      <w:color w:val="auto"/>
                      <w:lang w:val="en-US" w:eastAsia="zh-CN"/>
                    </w:rPr>
                    <w:t>废水</w:t>
                  </w:r>
                </w:p>
              </w:tc>
              <w:tc>
                <w:tcPr>
                  <w:tcW w:w="634" w:type="pct"/>
                  <w:tcBorders>
                    <w:tl2br w:val="nil"/>
                    <w:tr2bl w:val="nil"/>
                  </w:tcBorders>
                  <w:noWrap w:val="0"/>
                  <w:vAlign w:val="center"/>
                </w:tcPr>
                <w:p w14:paraId="43C7184B">
                  <w:pPr>
                    <w:pStyle w:val="53"/>
                    <w:bidi w:val="0"/>
                    <w:rPr>
                      <w:rFonts w:hint="default"/>
                      <w:color w:val="auto"/>
                      <w:lang w:val="en-US" w:eastAsia="zh-CN"/>
                    </w:rPr>
                  </w:pPr>
                  <w:r>
                    <w:rPr>
                      <w:rFonts w:hint="eastAsia"/>
                      <w:color w:val="auto"/>
                      <w:lang w:val="en-US" w:eastAsia="zh-CN"/>
                    </w:rPr>
                    <w:t>生活污水</w:t>
                  </w:r>
                </w:p>
              </w:tc>
              <w:tc>
                <w:tcPr>
                  <w:tcW w:w="992" w:type="pct"/>
                  <w:tcBorders>
                    <w:tl2br w:val="nil"/>
                    <w:tr2bl w:val="nil"/>
                  </w:tcBorders>
                  <w:noWrap w:val="0"/>
                  <w:vAlign w:val="center"/>
                </w:tcPr>
                <w:p w14:paraId="39CFA88B">
                  <w:pPr>
                    <w:pStyle w:val="53"/>
                    <w:bidi w:val="0"/>
                    <w:rPr>
                      <w:rFonts w:hint="default"/>
                      <w:color w:val="auto"/>
                      <w:lang w:val="en-US" w:eastAsia="zh-CN"/>
                    </w:rPr>
                  </w:pPr>
                  <w:r>
                    <w:rPr>
                      <w:rFonts w:hint="eastAsia"/>
                      <w:color w:val="auto"/>
                      <w:lang w:val="en-US" w:eastAsia="zh-CN"/>
                    </w:rPr>
                    <w:t>生活污水排水口</w:t>
                  </w:r>
                </w:p>
              </w:tc>
              <w:tc>
                <w:tcPr>
                  <w:tcW w:w="649" w:type="pct"/>
                  <w:tcBorders>
                    <w:tl2br w:val="nil"/>
                    <w:tr2bl w:val="nil"/>
                  </w:tcBorders>
                  <w:noWrap w:val="0"/>
                  <w:vAlign w:val="center"/>
                </w:tcPr>
                <w:p w14:paraId="2AF68E32">
                  <w:pPr>
                    <w:pStyle w:val="53"/>
                    <w:bidi w:val="0"/>
                    <w:rPr>
                      <w:rFonts w:hint="default"/>
                      <w:color w:val="auto"/>
                      <w:lang w:val="en-US" w:eastAsia="zh-CN"/>
                    </w:rPr>
                  </w:pPr>
                  <w:r>
                    <w:rPr>
                      <w:rFonts w:hint="default"/>
                      <w:color w:val="auto"/>
                      <w:lang w:val="en-US" w:eastAsia="zh-CN"/>
                    </w:rPr>
                    <w:t>pH</w:t>
                  </w:r>
                  <w:r>
                    <w:rPr>
                      <w:rFonts w:hint="eastAsia"/>
                      <w:color w:val="auto"/>
                      <w:lang w:val="en-US" w:eastAsia="zh-CN"/>
                    </w:rPr>
                    <w:t>、</w:t>
                  </w:r>
                  <w:r>
                    <w:rPr>
                      <w:rFonts w:hint="default"/>
                      <w:color w:val="auto"/>
                      <w:lang w:val="en-US" w:eastAsia="zh-CN"/>
                    </w:rPr>
                    <w:t>COD</w:t>
                  </w:r>
                  <w:r>
                    <w:rPr>
                      <w:rFonts w:hint="eastAsia"/>
                      <w:color w:val="auto"/>
                      <w:lang w:val="en-US" w:eastAsia="zh-CN"/>
                    </w:rPr>
                    <w:t>、</w:t>
                  </w:r>
                  <w:r>
                    <w:rPr>
                      <w:rFonts w:hint="default"/>
                      <w:color w:val="auto"/>
                      <w:lang w:val="en-US" w:eastAsia="zh-CN"/>
                    </w:rPr>
                    <w:t>NH</w:t>
                  </w:r>
                  <w:r>
                    <w:rPr>
                      <w:rFonts w:hint="default"/>
                      <w:color w:val="auto"/>
                      <w:vertAlign w:val="subscript"/>
                      <w:lang w:val="en-US" w:eastAsia="zh-CN"/>
                    </w:rPr>
                    <w:t>3</w:t>
                  </w:r>
                  <w:r>
                    <w:rPr>
                      <w:rFonts w:hint="default"/>
                      <w:color w:val="auto"/>
                      <w:lang w:val="en-US" w:eastAsia="zh-CN"/>
                    </w:rPr>
                    <w:t>-N</w:t>
                  </w:r>
                  <w:r>
                    <w:rPr>
                      <w:rFonts w:hint="eastAsia"/>
                      <w:color w:val="auto"/>
                      <w:lang w:val="en-US" w:eastAsia="zh-CN"/>
                    </w:rPr>
                    <w:t>、</w:t>
                  </w:r>
                  <w:r>
                    <w:rPr>
                      <w:rFonts w:hint="default"/>
                      <w:color w:val="auto"/>
                      <w:lang w:val="en-US" w:eastAsia="zh-CN"/>
                    </w:rPr>
                    <w:t>SS</w:t>
                  </w:r>
                  <w:r>
                    <w:rPr>
                      <w:rFonts w:hint="eastAsia"/>
                      <w:color w:val="auto"/>
                      <w:lang w:val="en-US" w:eastAsia="zh-CN"/>
                    </w:rPr>
                    <w:t>、</w:t>
                  </w:r>
                </w:p>
                <w:p w14:paraId="22FCC959">
                  <w:pPr>
                    <w:pStyle w:val="53"/>
                    <w:bidi w:val="0"/>
                    <w:rPr>
                      <w:rFonts w:hint="default"/>
                      <w:color w:val="auto"/>
                      <w:vertAlign w:val="baseline"/>
                      <w:lang w:val="en-US" w:eastAsia="zh-CN"/>
                    </w:rPr>
                  </w:pPr>
                  <w:r>
                    <w:rPr>
                      <w:rFonts w:hint="default"/>
                      <w:color w:val="auto"/>
                      <w:lang w:val="en-US" w:eastAsia="zh-CN"/>
                    </w:rPr>
                    <w:t>BOD</w:t>
                  </w:r>
                  <w:r>
                    <w:rPr>
                      <w:rFonts w:hint="default"/>
                      <w:color w:val="auto"/>
                      <w:vertAlign w:val="subscript"/>
                      <w:lang w:val="en-US" w:eastAsia="zh-CN"/>
                    </w:rPr>
                    <w:t>5</w:t>
                  </w:r>
                  <w:r>
                    <w:rPr>
                      <w:rFonts w:hint="eastAsia"/>
                      <w:color w:val="auto"/>
                      <w:vertAlign w:val="baseline"/>
                      <w:lang w:val="en-US" w:eastAsia="zh-CN"/>
                    </w:rPr>
                    <w:t>、动植物油</w:t>
                  </w:r>
                </w:p>
              </w:tc>
              <w:tc>
                <w:tcPr>
                  <w:tcW w:w="908" w:type="pct"/>
                  <w:tcBorders>
                    <w:tl2br w:val="nil"/>
                    <w:tr2bl w:val="nil"/>
                  </w:tcBorders>
                  <w:noWrap w:val="0"/>
                  <w:vAlign w:val="center"/>
                </w:tcPr>
                <w:p w14:paraId="7922E5E8">
                  <w:pPr>
                    <w:pStyle w:val="53"/>
                    <w:bidi w:val="0"/>
                    <w:rPr>
                      <w:rFonts w:hint="eastAsia"/>
                      <w:color w:val="auto"/>
                      <w:lang w:val="en-US" w:eastAsia="zh-CN"/>
                    </w:rPr>
                  </w:pPr>
                  <w:r>
                    <w:rPr>
                      <w:rFonts w:hint="eastAsia"/>
                      <w:color w:val="auto"/>
                      <w:lang w:val="en-US" w:eastAsia="zh-CN"/>
                    </w:rPr>
                    <w:t>1次/半年</w:t>
                  </w:r>
                </w:p>
              </w:tc>
              <w:tc>
                <w:tcPr>
                  <w:tcW w:w="1459" w:type="pct"/>
                  <w:tcBorders>
                    <w:tl2br w:val="nil"/>
                    <w:tr2bl w:val="nil"/>
                  </w:tcBorders>
                  <w:noWrap w:val="0"/>
                  <w:vAlign w:val="center"/>
                </w:tcPr>
                <w:p w14:paraId="30BA2C25">
                  <w:pPr>
                    <w:pStyle w:val="53"/>
                    <w:bidi w:val="0"/>
                    <w:rPr>
                      <w:rFonts w:hint="eastAsia"/>
                      <w:color w:val="auto"/>
                      <w:lang w:val="en-US" w:eastAsia="zh-CN"/>
                    </w:rPr>
                  </w:pPr>
                  <w:r>
                    <w:rPr>
                      <w:rFonts w:ascii="Times New Roman"/>
                      <w:szCs w:val="21"/>
                    </w:rPr>
                    <w:t>《污水综合排放标准》（GB8978-1996）三级标准浓度限值</w:t>
                  </w:r>
                </w:p>
              </w:tc>
            </w:tr>
          </w:tbl>
          <w:p w14:paraId="38F3DD39">
            <w:pPr>
              <w:pStyle w:val="54"/>
              <w:bidi w:val="0"/>
              <w:rPr>
                <w:rFonts w:hint="eastAsia"/>
                <w:lang w:val="en-US" w:eastAsia="zh-CN"/>
              </w:rPr>
            </w:pPr>
            <w:r>
              <w:rPr>
                <w:rFonts w:hint="eastAsia"/>
                <w:b/>
                <w:bCs/>
                <w:lang w:val="en-US" w:eastAsia="zh-CN"/>
              </w:rPr>
              <w:t>8、环保治理措施及投资估算</w:t>
            </w:r>
          </w:p>
          <w:p w14:paraId="348F50F9">
            <w:pPr>
              <w:pStyle w:val="54"/>
              <w:bidi w:val="0"/>
              <w:rPr>
                <w:rFonts w:hint="eastAsia"/>
                <w:lang w:val="en-US" w:eastAsia="zh-CN"/>
              </w:rPr>
            </w:pPr>
            <w:r>
              <w:rPr>
                <w:rFonts w:hint="eastAsia"/>
                <w:lang w:val="en-US" w:eastAsia="zh-CN"/>
              </w:rPr>
              <w:t>本项目总投资1000万元，其中环保投资109.1万元，占总投资10.91%，详见表37。</w:t>
            </w:r>
          </w:p>
          <w:p w14:paraId="15F998D8">
            <w:pPr>
              <w:pStyle w:val="33"/>
              <w:bidi w:val="0"/>
              <w:rPr>
                <w:rFonts w:hint="eastAsia"/>
                <w:lang w:val="en-US" w:eastAsia="zh-CN"/>
              </w:rPr>
            </w:pPr>
            <w:r>
              <w:rPr>
                <w:rFonts w:hint="eastAsia"/>
                <w:lang w:val="en-US" w:eastAsia="zh-CN"/>
              </w:rPr>
              <w:t>表37    拟采取的环保措施及投资估算一览表  单位：万元</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57" w:type="dxa"/>
                <w:bottom w:w="28" w:type="dxa"/>
                <w:right w:w="57" w:type="dxa"/>
              </w:tblCellMar>
            </w:tblPr>
            <w:tblGrid>
              <w:gridCol w:w="820"/>
              <w:gridCol w:w="1616"/>
              <w:gridCol w:w="693"/>
              <w:gridCol w:w="4430"/>
              <w:gridCol w:w="915"/>
            </w:tblGrid>
            <w:tr w14:paraId="5B303E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tcBorders>
                    <w:tl2br w:val="nil"/>
                    <w:tr2bl w:val="nil"/>
                  </w:tcBorders>
                  <w:noWrap w:val="0"/>
                  <w:vAlign w:val="center"/>
                </w:tcPr>
                <w:p w14:paraId="52D3D1FC">
                  <w:pPr>
                    <w:pStyle w:val="53"/>
                    <w:bidi w:val="0"/>
                  </w:pPr>
                  <w:r>
                    <w:t>项目</w:t>
                  </w:r>
                </w:p>
              </w:tc>
              <w:tc>
                <w:tcPr>
                  <w:tcW w:w="953" w:type="pct"/>
                  <w:tcBorders>
                    <w:tl2br w:val="nil"/>
                    <w:tr2bl w:val="nil"/>
                  </w:tcBorders>
                  <w:noWrap w:val="0"/>
                  <w:vAlign w:val="center"/>
                </w:tcPr>
                <w:p w14:paraId="4E3A94CE">
                  <w:pPr>
                    <w:pStyle w:val="53"/>
                    <w:bidi w:val="0"/>
                  </w:pPr>
                  <w:r>
                    <w:t>污染源</w:t>
                  </w:r>
                </w:p>
              </w:tc>
              <w:tc>
                <w:tcPr>
                  <w:tcW w:w="3022" w:type="pct"/>
                  <w:gridSpan w:val="2"/>
                  <w:tcBorders>
                    <w:tl2br w:val="nil"/>
                    <w:tr2bl w:val="nil"/>
                  </w:tcBorders>
                  <w:noWrap w:val="0"/>
                  <w:vAlign w:val="center"/>
                </w:tcPr>
                <w:p w14:paraId="50580362">
                  <w:pPr>
                    <w:pStyle w:val="53"/>
                    <w:bidi w:val="0"/>
                  </w:pPr>
                  <w:r>
                    <w:t>治理措施</w:t>
                  </w:r>
                </w:p>
              </w:tc>
              <w:tc>
                <w:tcPr>
                  <w:tcW w:w="539" w:type="pct"/>
                  <w:tcBorders>
                    <w:tl2br w:val="nil"/>
                    <w:tr2bl w:val="nil"/>
                  </w:tcBorders>
                  <w:noWrap w:val="0"/>
                  <w:vAlign w:val="center"/>
                </w:tcPr>
                <w:p w14:paraId="61954161">
                  <w:pPr>
                    <w:pStyle w:val="53"/>
                    <w:bidi w:val="0"/>
                  </w:pPr>
                  <w:r>
                    <w:t>投资（万元）</w:t>
                  </w:r>
                </w:p>
              </w:tc>
            </w:tr>
            <w:tr w14:paraId="000304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restart"/>
                  <w:tcBorders>
                    <w:tl2br w:val="nil"/>
                    <w:tr2bl w:val="nil"/>
                  </w:tcBorders>
                  <w:noWrap w:val="0"/>
                  <w:vAlign w:val="center"/>
                </w:tcPr>
                <w:p w14:paraId="6989310A">
                  <w:pPr>
                    <w:pStyle w:val="53"/>
                    <w:bidi w:val="0"/>
                  </w:pPr>
                  <w:r>
                    <w:rPr>
                      <w:rFonts w:hint="eastAsia"/>
                    </w:rPr>
                    <w:t>废气治理工程</w:t>
                  </w:r>
                </w:p>
              </w:tc>
              <w:tc>
                <w:tcPr>
                  <w:tcW w:w="953" w:type="pct"/>
                  <w:vMerge w:val="restart"/>
                  <w:tcBorders>
                    <w:tl2br w:val="nil"/>
                    <w:tr2bl w:val="nil"/>
                  </w:tcBorders>
                  <w:noWrap w:val="0"/>
                  <w:vAlign w:val="center"/>
                </w:tcPr>
                <w:p w14:paraId="1BC1F681">
                  <w:pPr>
                    <w:pStyle w:val="53"/>
                    <w:bidi w:val="0"/>
                    <w:ind w:firstLine="0" w:firstLineChars="0"/>
                  </w:pPr>
                  <w:r>
                    <w:rPr>
                      <w:rFonts w:hint="eastAsia"/>
                    </w:rPr>
                    <w:t>水泥筒仓呼吸粉尘</w:t>
                  </w:r>
                </w:p>
              </w:tc>
              <w:tc>
                <w:tcPr>
                  <w:tcW w:w="3022" w:type="pct"/>
                  <w:gridSpan w:val="2"/>
                  <w:tcBorders>
                    <w:tl2br w:val="nil"/>
                    <w:tr2bl w:val="nil"/>
                  </w:tcBorders>
                  <w:noWrap w:val="0"/>
                  <w:vAlign w:val="center"/>
                </w:tcPr>
                <w:p w14:paraId="4166E255">
                  <w:pPr>
                    <w:pStyle w:val="53"/>
                    <w:bidi w:val="0"/>
                    <w:ind w:firstLine="0" w:firstLineChars="0"/>
                    <w:jc w:val="both"/>
                  </w:pPr>
                  <w:r>
                    <w:rPr>
                      <w:rFonts w:hint="eastAsia"/>
                      <w:color w:val="auto"/>
                      <w:lang w:val="en-US" w:eastAsia="zh-CN"/>
                    </w:rPr>
                    <w:t>1#</w:t>
                  </w:r>
                  <w:r>
                    <w:rPr>
                      <w:rFonts w:hint="eastAsia"/>
                      <w:color w:val="auto"/>
                    </w:rPr>
                    <w:t>水泥筒仓呼吸粉尘（G</w:t>
                  </w:r>
                  <w:r>
                    <w:rPr>
                      <w:rFonts w:hint="eastAsia"/>
                      <w:color w:val="auto"/>
                      <w:vertAlign w:val="subscript"/>
                    </w:rPr>
                    <w:t>1-1</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c>
                <w:tcPr>
                  <w:tcW w:w="539" w:type="pct"/>
                  <w:tcBorders>
                    <w:tl2br w:val="nil"/>
                    <w:tr2bl w:val="nil"/>
                  </w:tcBorders>
                  <w:noWrap w:val="0"/>
                  <w:vAlign w:val="center"/>
                </w:tcPr>
                <w:p w14:paraId="444B2F99">
                  <w:pPr>
                    <w:pStyle w:val="53"/>
                    <w:bidi w:val="0"/>
                    <w:jc w:val="center"/>
                    <w:rPr>
                      <w:rFonts w:hint="default" w:eastAsia="宋体"/>
                      <w:lang w:val="en-US" w:eastAsia="zh-CN"/>
                    </w:rPr>
                  </w:pPr>
                  <w:r>
                    <w:rPr>
                      <w:rFonts w:hint="eastAsia"/>
                      <w:lang w:val="en-US" w:eastAsia="zh-CN"/>
                    </w:rPr>
                    <w:t>0.4</w:t>
                  </w:r>
                </w:p>
              </w:tc>
            </w:tr>
            <w:tr w14:paraId="7E867A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continue"/>
                  <w:tcBorders>
                    <w:tl2br w:val="nil"/>
                    <w:tr2bl w:val="nil"/>
                  </w:tcBorders>
                  <w:noWrap w:val="0"/>
                  <w:vAlign w:val="center"/>
                </w:tcPr>
                <w:p w14:paraId="2C0AA7C6">
                  <w:pPr>
                    <w:pStyle w:val="53"/>
                    <w:bidi w:val="0"/>
                    <w:ind w:firstLine="0" w:firstLineChars="0"/>
                    <w:jc w:val="both"/>
                  </w:pPr>
                </w:p>
              </w:tc>
              <w:tc>
                <w:tcPr>
                  <w:tcW w:w="953" w:type="pct"/>
                  <w:vMerge w:val="continue"/>
                  <w:tcBorders>
                    <w:tl2br w:val="nil"/>
                    <w:tr2bl w:val="nil"/>
                  </w:tcBorders>
                  <w:noWrap w:val="0"/>
                  <w:vAlign w:val="center"/>
                </w:tcPr>
                <w:p w14:paraId="55EE24C2">
                  <w:pPr>
                    <w:pStyle w:val="53"/>
                    <w:bidi w:val="0"/>
                    <w:ind w:firstLine="0" w:firstLineChars="0"/>
                    <w:jc w:val="both"/>
                  </w:pPr>
                </w:p>
              </w:tc>
              <w:tc>
                <w:tcPr>
                  <w:tcW w:w="3022" w:type="pct"/>
                  <w:gridSpan w:val="2"/>
                  <w:tcBorders>
                    <w:tl2br w:val="nil"/>
                    <w:tr2bl w:val="nil"/>
                  </w:tcBorders>
                  <w:noWrap w:val="0"/>
                  <w:vAlign w:val="center"/>
                </w:tcPr>
                <w:p w14:paraId="1BC30103">
                  <w:pPr>
                    <w:pStyle w:val="53"/>
                    <w:bidi w:val="0"/>
                    <w:ind w:firstLine="0" w:firstLineChars="0"/>
                    <w:jc w:val="both"/>
                  </w:pPr>
                  <w:r>
                    <w:rPr>
                      <w:rFonts w:hint="eastAsia"/>
                      <w:color w:val="auto"/>
                      <w:lang w:val="en-US" w:eastAsia="zh-CN"/>
                    </w:rPr>
                    <w:t>2#</w:t>
                  </w:r>
                  <w:r>
                    <w:rPr>
                      <w:rFonts w:hint="eastAsia"/>
                      <w:color w:val="auto"/>
                    </w:rPr>
                    <w:t>水泥筒仓呼吸粉尘（G</w:t>
                  </w:r>
                  <w:r>
                    <w:rPr>
                      <w:rFonts w:hint="eastAsia"/>
                      <w:color w:val="auto"/>
                      <w:vertAlign w:val="subscript"/>
                    </w:rPr>
                    <w:t>1-</w:t>
                  </w:r>
                  <w:r>
                    <w:rPr>
                      <w:rFonts w:hint="eastAsia"/>
                      <w:color w:val="auto"/>
                      <w:vertAlign w:val="subscript"/>
                      <w:lang w:val="en-US" w:eastAsia="zh-CN"/>
                    </w:rPr>
                    <w:t>2</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c>
                <w:tcPr>
                  <w:tcW w:w="539" w:type="pct"/>
                  <w:tcBorders>
                    <w:tl2br w:val="nil"/>
                    <w:tr2bl w:val="nil"/>
                  </w:tcBorders>
                  <w:noWrap w:val="0"/>
                  <w:vAlign w:val="center"/>
                </w:tcPr>
                <w:p w14:paraId="025F27DC">
                  <w:pPr>
                    <w:pStyle w:val="53"/>
                    <w:bidi w:val="0"/>
                    <w:ind w:firstLine="0" w:firstLineChars="0"/>
                    <w:jc w:val="center"/>
                    <w:rPr>
                      <w:rFonts w:hint="default" w:eastAsia="宋体"/>
                      <w:lang w:val="en-US" w:eastAsia="zh-CN"/>
                    </w:rPr>
                  </w:pPr>
                  <w:r>
                    <w:rPr>
                      <w:rFonts w:hint="eastAsia"/>
                      <w:lang w:val="en-US" w:eastAsia="zh-CN"/>
                    </w:rPr>
                    <w:t>0.4</w:t>
                  </w:r>
                </w:p>
              </w:tc>
            </w:tr>
            <w:tr w14:paraId="4EA68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continue"/>
                  <w:tcBorders>
                    <w:tl2br w:val="nil"/>
                    <w:tr2bl w:val="nil"/>
                  </w:tcBorders>
                  <w:noWrap w:val="0"/>
                  <w:vAlign w:val="center"/>
                </w:tcPr>
                <w:p w14:paraId="4B7E0BEF">
                  <w:pPr>
                    <w:pStyle w:val="53"/>
                    <w:bidi w:val="0"/>
                  </w:pPr>
                </w:p>
              </w:tc>
              <w:tc>
                <w:tcPr>
                  <w:tcW w:w="953" w:type="pct"/>
                  <w:tcBorders>
                    <w:tl2br w:val="nil"/>
                    <w:tr2bl w:val="nil"/>
                  </w:tcBorders>
                  <w:noWrap w:val="0"/>
                  <w:vAlign w:val="center"/>
                </w:tcPr>
                <w:p w14:paraId="5303C786">
                  <w:pPr>
                    <w:pStyle w:val="53"/>
                    <w:bidi w:val="0"/>
                    <w:ind w:firstLine="0" w:firstLineChars="0"/>
                  </w:pPr>
                  <w:r>
                    <w:rPr>
                      <w:rFonts w:hint="eastAsia"/>
                      <w:color w:val="auto"/>
                    </w:rPr>
                    <w:t>砂石料堆存和装卸料粉尘</w:t>
                  </w:r>
                </w:p>
              </w:tc>
              <w:tc>
                <w:tcPr>
                  <w:tcW w:w="3022" w:type="pct"/>
                  <w:gridSpan w:val="2"/>
                  <w:tcBorders>
                    <w:tl2br w:val="nil"/>
                    <w:tr2bl w:val="nil"/>
                  </w:tcBorders>
                  <w:noWrap w:val="0"/>
                  <w:vAlign w:val="center"/>
                </w:tcPr>
                <w:p w14:paraId="6BAA0703">
                  <w:pPr>
                    <w:pStyle w:val="53"/>
                    <w:bidi w:val="0"/>
                    <w:ind w:firstLine="0" w:firstLineChars="0"/>
                    <w:jc w:val="both"/>
                    <w:rPr>
                      <w:rFonts w:hint="default"/>
                    </w:rPr>
                  </w:pPr>
                  <w:r>
                    <w:rPr>
                      <w:rFonts w:hint="default"/>
                    </w:rPr>
                    <w:t>通过</w:t>
                  </w:r>
                  <w:r>
                    <w:rPr>
                      <w:rFonts w:hint="eastAsia"/>
                      <w:lang w:eastAsia="zh-CN"/>
                    </w:rPr>
                    <w:t>“</w:t>
                  </w:r>
                  <w:r>
                    <w:rPr>
                      <w:rFonts w:hint="default"/>
                    </w:rPr>
                    <w:t>全封闭骨料仓+在堆存和装卸过程使用雾炮机抑尘+厂区四周设置防风抑尘网</w:t>
                  </w:r>
                  <w:r>
                    <w:rPr>
                      <w:rFonts w:hint="eastAsia"/>
                      <w:lang w:eastAsia="zh-CN"/>
                    </w:rPr>
                    <w:t>”</w:t>
                  </w:r>
                  <w:r>
                    <w:rPr>
                      <w:rFonts w:hint="default"/>
                    </w:rPr>
                    <w:t>处理后以无组织形式排放。</w:t>
                  </w:r>
                </w:p>
              </w:tc>
              <w:tc>
                <w:tcPr>
                  <w:tcW w:w="539" w:type="pct"/>
                  <w:vMerge w:val="restart"/>
                  <w:tcBorders>
                    <w:tl2br w:val="nil"/>
                    <w:tr2bl w:val="nil"/>
                  </w:tcBorders>
                  <w:noWrap w:val="0"/>
                  <w:vAlign w:val="center"/>
                </w:tcPr>
                <w:p w14:paraId="4AFC781A">
                  <w:pPr>
                    <w:pStyle w:val="53"/>
                    <w:bidi w:val="0"/>
                    <w:rPr>
                      <w:rFonts w:hint="default" w:eastAsia="宋体"/>
                      <w:lang w:val="en-US" w:eastAsia="zh-CN"/>
                    </w:rPr>
                  </w:pPr>
                  <w:r>
                    <w:rPr>
                      <w:rFonts w:hint="eastAsia"/>
                      <w:lang w:val="en-US" w:eastAsia="zh-CN"/>
                    </w:rPr>
                    <w:t>80</w:t>
                  </w:r>
                </w:p>
              </w:tc>
            </w:tr>
            <w:tr w14:paraId="7F475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continue"/>
                  <w:tcBorders>
                    <w:tl2br w:val="nil"/>
                    <w:tr2bl w:val="nil"/>
                  </w:tcBorders>
                  <w:noWrap w:val="0"/>
                  <w:vAlign w:val="center"/>
                </w:tcPr>
                <w:p w14:paraId="6903A7B7">
                  <w:pPr>
                    <w:pStyle w:val="53"/>
                    <w:bidi w:val="0"/>
                  </w:pPr>
                </w:p>
              </w:tc>
              <w:tc>
                <w:tcPr>
                  <w:tcW w:w="953" w:type="pct"/>
                  <w:tcBorders>
                    <w:tl2br w:val="nil"/>
                    <w:tr2bl w:val="nil"/>
                  </w:tcBorders>
                  <w:noWrap w:val="0"/>
                  <w:vAlign w:val="center"/>
                </w:tcPr>
                <w:p w14:paraId="50799262">
                  <w:pPr>
                    <w:pStyle w:val="53"/>
                    <w:bidi w:val="0"/>
                    <w:rPr>
                      <w:rFonts w:hint="eastAsia"/>
                    </w:rPr>
                  </w:pPr>
                  <w:r>
                    <w:rPr>
                      <w:rFonts w:hint="eastAsia"/>
                      <w:color w:val="auto"/>
                    </w:rPr>
                    <w:t>砂石料投料、输送、计量粉尘</w:t>
                  </w:r>
                </w:p>
              </w:tc>
              <w:tc>
                <w:tcPr>
                  <w:tcW w:w="3022" w:type="pct"/>
                  <w:gridSpan w:val="2"/>
                  <w:tcBorders>
                    <w:tl2br w:val="nil"/>
                    <w:tr2bl w:val="nil"/>
                  </w:tcBorders>
                  <w:noWrap w:val="0"/>
                  <w:vAlign w:val="center"/>
                </w:tcPr>
                <w:p w14:paraId="297D3B3F">
                  <w:pPr>
                    <w:pStyle w:val="53"/>
                    <w:bidi w:val="0"/>
                    <w:ind w:firstLine="0" w:firstLineChars="0"/>
                    <w:jc w:val="both"/>
                  </w:pPr>
                  <w:r>
                    <w:rPr>
                      <w:rFonts w:hint="eastAsia"/>
                      <w:color w:val="auto"/>
                    </w:rPr>
                    <w:t>通过“全封闭骨料仓、输送带+在装载机投料过程中使用雾炮机抑尘+厂区四周设置防风抑尘网”处理后以无组织形式排放。</w:t>
                  </w:r>
                </w:p>
              </w:tc>
              <w:tc>
                <w:tcPr>
                  <w:tcW w:w="539" w:type="pct"/>
                  <w:vMerge w:val="continue"/>
                  <w:tcBorders>
                    <w:tl2br w:val="nil"/>
                    <w:tr2bl w:val="nil"/>
                  </w:tcBorders>
                  <w:noWrap w:val="0"/>
                  <w:vAlign w:val="center"/>
                </w:tcPr>
                <w:p w14:paraId="65681225">
                  <w:pPr>
                    <w:pStyle w:val="53"/>
                    <w:bidi w:val="0"/>
                    <w:rPr>
                      <w:rFonts w:hint="default" w:eastAsia="宋体"/>
                      <w:lang w:val="en-US" w:eastAsia="zh-CN"/>
                    </w:rPr>
                  </w:pPr>
                </w:p>
              </w:tc>
            </w:tr>
            <w:tr w14:paraId="3B446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continue"/>
                  <w:tcBorders>
                    <w:tl2br w:val="nil"/>
                    <w:tr2bl w:val="nil"/>
                  </w:tcBorders>
                  <w:noWrap w:val="0"/>
                  <w:vAlign w:val="center"/>
                </w:tcPr>
                <w:p w14:paraId="42359717">
                  <w:pPr>
                    <w:pStyle w:val="53"/>
                    <w:bidi w:val="0"/>
                  </w:pPr>
                </w:p>
              </w:tc>
              <w:tc>
                <w:tcPr>
                  <w:tcW w:w="953" w:type="pct"/>
                  <w:tcBorders>
                    <w:tl2br w:val="nil"/>
                    <w:tr2bl w:val="nil"/>
                  </w:tcBorders>
                  <w:noWrap w:val="0"/>
                  <w:vAlign w:val="center"/>
                </w:tcPr>
                <w:p w14:paraId="1A776AE6">
                  <w:pPr>
                    <w:pStyle w:val="53"/>
                    <w:bidi w:val="0"/>
                    <w:rPr>
                      <w:rFonts w:hint="default" w:eastAsia="宋体"/>
                      <w:color w:val="auto"/>
                      <w:lang w:val="en-US" w:eastAsia="zh-CN"/>
                    </w:rPr>
                  </w:pPr>
                  <w:r>
                    <w:rPr>
                      <w:rFonts w:hint="eastAsia" w:eastAsia="宋体"/>
                      <w:color w:val="auto"/>
                      <w:lang w:val="en-US" w:eastAsia="zh-CN"/>
                    </w:rPr>
                    <w:t>运输扬尘</w:t>
                  </w:r>
                </w:p>
              </w:tc>
              <w:tc>
                <w:tcPr>
                  <w:tcW w:w="3022" w:type="pct"/>
                  <w:gridSpan w:val="2"/>
                  <w:tcBorders>
                    <w:tl2br w:val="nil"/>
                    <w:tr2bl w:val="nil"/>
                  </w:tcBorders>
                  <w:noWrap w:val="0"/>
                  <w:vAlign w:val="center"/>
                </w:tcPr>
                <w:p w14:paraId="0DD885E9">
                  <w:pPr>
                    <w:pStyle w:val="53"/>
                    <w:bidi w:val="0"/>
                    <w:ind w:firstLine="0" w:firstLineChars="0"/>
                    <w:jc w:val="both"/>
                    <w:rPr>
                      <w:rFonts w:hint="eastAsia"/>
                      <w:color w:val="auto"/>
                    </w:rPr>
                  </w:pPr>
                  <w:r>
                    <w:rPr>
                      <w:rFonts w:hint="eastAsia"/>
                      <w:color w:val="auto"/>
                    </w:rPr>
                    <w:t>通过</w:t>
                  </w:r>
                  <w:r>
                    <w:rPr>
                      <w:rFonts w:hint="eastAsia"/>
                      <w:color w:val="auto"/>
                      <w:lang w:val="en-US" w:eastAsia="zh-CN"/>
                    </w:rPr>
                    <w:t>洒水车</w:t>
                  </w:r>
                  <w:r>
                    <w:rPr>
                      <w:rFonts w:hint="eastAsia"/>
                      <w:color w:val="auto"/>
                    </w:rPr>
                    <w:t>洒水抑尘和清洗运输车辆措施减少粉尘排放。</w:t>
                  </w:r>
                </w:p>
              </w:tc>
              <w:tc>
                <w:tcPr>
                  <w:tcW w:w="539" w:type="pct"/>
                  <w:tcBorders>
                    <w:tl2br w:val="nil"/>
                    <w:tr2bl w:val="nil"/>
                  </w:tcBorders>
                  <w:noWrap w:val="0"/>
                  <w:vAlign w:val="center"/>
                </w:tcPr>
                <w:p w14:paraId="587DC063">
                  <w:pPr>
                    <w:pStyle w:val="53"/>
                    <w:bidi w:val="0"/>
                    <w:rPr>
                      <w:rFonts w:hint="default" w:eastAsia="宋体"/>
                      <w:lang w:val="en-US" w:eastAsia="zh-CN"/>
                    </w:rPr>
                  </w:pPr>
                  <w:r>
                    <w:rPr>
                      <w:rFonts w:hint="eastAsia"/>
                      <w:lang w:val="en-US" w:eastAsia="zh-CN"/>
                    </w:rPr>
                    <w:t>3.5</w:t>
                  </w:r>
                </w:p>
              </w:tc>
            </w:tr>
            <w:tr w14:paraId="062698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restart"/>
                  <w:tcBorders>
                    <w:tl2br w:val="nil"/>
                    <w:tr2bl w:val="nil"/>
                  </w:tcBorders>
                  <w:noWrap w:val="0"/>
                  <w:vAlign w:val="center"/>
                </w:tcPr>
                <w:p w14:paraId="3DA0EC3F">
                  <w:pPr>
                    <w:pStyle w:val="53"/>
                    <w:bidi w:val="0"/>
                  </w:pPr>
                  <w:r>
                    <w:rPr>
                      <w:rFonts w:hint="eastAsia"/>
                    </w:rPr>
                    <w:t>废水污染防治工程</w:t>
                  </w:r>
                </w:p>
              </w:tc>
              <w:tc>
                <w:tcPr>
                  <w:tcW w:w="953" w:type="pct"/>
                  <w:tcBorders>
                    <w:tl2br w:val="nil"/>
                    <w:tr2bl w:val="nil"/>
                  </w:tcBorders>
                  <w:noWrap w:val="0"/>
                  <w:vAlign w:val="center"/>
                </w:tcPr>
                <w:p w14:paraId="78458429">
                  <w:pPr>
                    <w:pStyle w:val="53"/>
                    <w:bidi w:val="0"/>
                    <w:ind w:firstLine="0" w:firstLineChars="0"/>
                    <w:rPr>
                      <w:rFonts w:hint="eastAsia"/>
                      <w:lang w:val="en-US" w:eastAsia="zh-CN"/>
                    </w:rPr>
                  </w:pPr>
                  <w:r>
                    <w:rPr>
                      <w:rFonts w:hint="eastAsia"/>
                      <w:lang w:val="en-US" w:eastAsia="zh-CN"/>
                    </w:rPr>
                    <w:t>生活污水</w:t>
                  </w:r>
                </w:p>
              </w:tc>
              <w:tc>
                <w:tcPr>
                  <w:tcW w:w="3022" w:type="pct"/>
                  <w:gridSpan w:val="2"/>
                  <w:tcBorders>
                    <w:tl2br w:val="nil"/>
                    <w:tr2bl w:val="nil"/>
                  </w:tcBorders>
                  <w:noWrap w:val="0"/>
                  <w:vAlign w:val="center"/>
                </w:tcPr>
                <w:p w14:paraId="63791914">
                  <w:pPr>
                    <w:pStyle w:val="53"/>
                    <w:bidi w:val="0"/>
                    <w:jc w:val="both"/>
                    <w:rPr>
                      <w:rFonts w:hint="eastAsia"/>
                      <w:lang w:val="en-US" w:eastAsia="zh-CN"/>
                    </w:rPr>
                  </w:pPr>
                  <w:r>
                    <w:rPr>
                      <w:rFonts w:hint="default"/>
                    </w:rPr>
                    <w:t>经化粪池预处理后，定期拉运至甘其毛都口岸加工园区污水处理厂。</w:t>
                  </w:r>
                </w:p>
              </w:tc>
              <w:tc>
                <w:tcPr>
                  <w:tcW w:w="539" w:type="pct"/>
                  <w:tcBorders>
                    <w:tl2br w:val="nil"/>
                    <w:tr2bl w:val="nil"/>
                  </w:tcBorders>
                  <w:noWrap w:val="0"/>
                  <w:vAlign w:val="center"/>
                </w:tcPr>
                <w:p w14:paraId="347EA2E7">
                  <w:pPr>
                    <w:pStyle w:val="53"/>
                    <w:bidi w:val="0"/>
                    <w:rPr>
                      <w:rFonts w:hint="default"/>
                      <w:lang w:val="en-US" w:eastAsia="zh-CN"/>
                    </w:rPr>
                  </w:pPr>
                  <w:r>
                    <w:rPr>
                      <w:rFonts w:hint="eastAsia"/>
                      <w:lang w:val="en-US" w:eastAsia="zh-CN"/>
                    </w:rPr>
                    <w:t>0.8</w:t>
                  </w:r>
                </w:p>
              </w:tc>
            </w:tr>
            <w:tr w14:paraId="05E20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continue"/>
                  <w:tcBorders>
                    <w:tl2br w:val="nil"/>
                    <w:tr2bl w:val="nil"/>
                  </w:tcBorders>
                  <w:noWrap w:val="0"/>
                  <w:vAlign w:val="center"/>
                </w:tcPr>
                <w:p w14:paraId="62851F89">
                  <w:pPr>
                    <w:pStyle w:val="53"/>
                    <w:bidi w:val="0"/>
                  </w:pPr>
                </w:p>
              </w:tc>
              <w:tc>
                <w:tcPr>
                  <w:tcW w:w="953" w:type="pct"/>
                  <w:tcBorders>
                    <w:tl2br w:val="nil"/>
                    <w:tr2bl w:val="nil"/>
                  </w:tcBorders>
                  <w:noWrap w:val="0"/>
                  <w:vAlign w:val="center"/>
                </w:tcPr>
                <w:p w14:paraId="23F060A3">
                  <w:pPr>
                    <w:pStyle w:val="53"/>
                    <w:bidi w:val="0"/>
                    <w:ind w:firstLine="0" w:firstLineChars="0"/>
                    <w:rPr>
                      <w:rFonts w:hint="eastAsia"/>
                      <w:lang w:val="en-US" w:eastAsia="zh-CN"/>
                    </w:rPr>
                  </w:pPr>
                  <w:r>
                    <w:rPr>
                      <w:rFonts w:hint="eastAsia"/>
                      <w:lang w:val="en-US" w:eastAsia="zh-CN"/>
                    </w:rPr>
                    <w:t>搅拌废水</w:t>
                  </w:r>
                </w:p>
              </w:tc>
              <w:tc>
                <w:tcPr>
                  <w:tcW w:w="3022" w:type="pct"/>
                  <w:gridSpan w:val="2"/>
                  <w:tcBorders>
                    <w:tl2br w:val="nil"/>
                    <w:tr2bl w:val="nil"/>
                  </w:tcBorders>
                  <w:noWrap w:val="0"/>
                  <w:vAlign w:val="center"/>
                </w:tcPr>
                <w:p w14:paraId="5C9B7751">
                  <w:pPr>
                    <w:pStyle w:val="53"/>
                    <w:bidi w:val="0"/>
                    <w:ind w:firstLine="0" w:firstLineChars="0"/>
                    <w:jc w:val="both"/>
                    <w:rPr>
                      <w:rFonts w:hint="eastAsia"/>
                      <w:lang w:val="en-US" w:eastAsia="zh-CN"/>
                    </w:rPr>
                  </w:pPr>
                  <w:r>
                    <w:rPr>
                      <w:rFonts w:hint="eastAsia"/>
                      <w:lang w:val="en-US" w:eastAsia="zh-CN"/>
                    </w:rPr>
                    <w:t>全部进入产品中，无废水外排。</w:t>
                  </w:r>
                </w:p>
              </w:tc>
              <w:tc>
                <w:tcPr>
                  <w:tcW w:w="539" w:type="pct"/>
                  <w:tcBorders>
                    <w:tl2br w:val="nil"/>
                    <w:tr2bl w:val="nil"/>
                  </w:tcBorders>
                  <w:noWrap w:val="0"/>
                  <w:vAlign w:val="center"/>
                </w:tcPr>
                <w:p w14:paraId="3AD1CFB6">
                  <w:pPr>
                    <w:pStyle w:val="53"/>
                    <w:bidi w:val="0"/>
                    <w:rPr>
                      <w:rFonts w:hint="default"/>
                      <w:lang w:val="en-US" w:eastAsia="zh-CN"/>
                    </w:rPr>
                  </w:pPr>
                  <w:r>
                    <w:rPr>
                      <w:rFonts w:hint="eastAsia"/>
                      <w:lang w:val="en-US" w:eastAsia="zh-CN"/>
                    </w:rPr>
                    <w:t>/</w:t>
                  </w:r>
                </w:p>
              </w:tc>
            </w:tr>
            <w:tr w14:paraId="58D84E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continue"/>
                  <w:tcBorders>
                    <w:tl2br w:val="nil"/>
                    <w:tr2bl w:val="nil"/>
                  </w:tcBorders>
                  <w:noWrap w:val="0"/>
                  <w:vAlign w:val="center"/>
                </w:tcPr>
                <w:p w14:paraId="233BC8E7">
                  <w:pPr>
                    <w:pStyle w:val="53"/>
                    <w:bidi w:val="0"/>
                  </w:pPr>
                </w:p>
              </w:tc>
              <w:tc>
                <w:tcPr>
                  <w:tcW w:w="953" w:type="pct"/>
                  <w:tcBorders>
                    <w:tl2br w:val="nil"/>
                    <w:tr2bl w:val="nil"/>
                  </w:tcBorders>
                  <w:noWrap w:val="0"/>
                  <w:vAlign w:val="center"/>
                </w:tcPr>
                <w:p w14:paraId="5AA8BB5B">
                  <w:pPr>
                    <w:pStyle w:val="53"/>
                    <w:bidi w:val="0"/>
                    <w:ind w:firstLine="0" w:firstLineChars="0"/>
                    <w:rPr>
                      <w:rFonts w:hint="eastAsia"/>
                      <w:lang w:val="en-US" w:eastAsia="zh-CN"/>
                    </w:rPr>
                  </w:pPr>
                  <w:r>
                    <w:rPr>
                      <w:rFonts w:hint="eastAsia"/>
                      <w:lang w:val="en-US" w:eastAsia="zh-CN"/>
                    </w:rPr>
                    <w:t>全封闭搅拌机清洗废水</w:t>
                  </w:r>
                </w:p>
              </w:tc>
              <w:tc>
                <w:tcPr>
                  <w:tcW w:w="3022" w:type="pct"/>
                  <w:gridSpan w:val="2"/>
                  <w:tcBorders>
                    <w:tl2br w:val="nil"/>
                    <w:tr2bl w:val="nil"/>
                  </w:tcBorders>
                  <w:noWrap w:val="0"/>
                  <w:vAlign w:val="center"/>
                </w:tcPr>
                <w:p w14:paraId="5B8A358B">
                  <w:pPr>
                    <w:pStyle w:val="53"/>
                    <w:bidi w:val="0"/>
                    <w:jc w:val="both"/>
                    <w:rPr>
                      <w:rFonts w:hint="eastAsia"/>
                      <w:lang w:val="en-US" w:eastAsia="zh-CN"/>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tc>
              <w:tc>
                <w:tcPr>
                  <w:tcW w:w="539" w:type="pct"/>
                  <w:vMerge w:val="restart"/>
                  <w:tcBorders>
                    <w:tl2br w:val="nil"/>
                    <w:tr2bl w:val="nil"/>
                  </w:tcBorders>
                  <w:noWrap w:val="0"/>
                  <w:vAlign w:val="center"/>
                </w:tcPr>
                <w:p w14:paraId="2C639E8B">
                  <w:pPr>
                    <w:pStyle w:val="53"/>
                    <w:bidi w:val="0"/>
                    <w:rPr>
                      <w:rFonts w:hint="default"/>
                      <w:lang w:val="en-US" w:eastAsia="zh-CN"/>
                    </w:rPr>
                  </w:pPr>
                  <w:r>
                    <w:rPr>
                      <w:rFonts w:hint="eastAsia"/>
                      <w:lang w:val="en-US" w:eastAsia="zh-CN"/>
                    </w:rPr>
                    <w:t>1.2</w:t>
                  </w:r>
                </w:p>
              </w:tc>
            </w:tr>
            <w:tr w14:paraId="6275A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continue"/>
                  <w:tcBorders>
                    <w:tl2br w:val="nil"/>
                    <w:tr2bl w:val="nil"/>
                  </w:tcBorders>
                  <w:noWrap w:val="0"/>
                  <w:vAlign w:val="center"/>
                </w:tcPr>
                <w:p w14:paraId="46F5DAA3">
                  <w:pPr>
                    <w:pStyle w:val="53"/>
                    <w:bidi w:val="0"/>
                  </w:pPr>
                </w:p>
              </w:tc>
              <w:tc>
                <w:tcPr>
                  <w:tcW w:w="953" w:type="pct"/>
                  <w:tcBorders>
                    <w:tl2br w:val="nil"/>
                    <w:tr2bl w:val="nil"/>
                  </w:tcBorders>
                  <w:noWrap w:val="0"/>
                  <w:vAlign w:val="center"/>
                </w:tcPr>
                <w:p w14:paraId="61B10605">
                  <w:pPr>
                    <w:pStyle w:val="53"/>
                    <w:bidi w:val="0"/>
                    <w:ind w:firstLine="0" w:firstLineChars="0"/>
                    <w:rPr>
                      <w:rFonts w:hint="eastAsia"/>
                      <w:lang w:val="en-US" w:eastAsia="zh-CN"/>
                    </w:rPr>
                  </w:pPr>
                  <w:r>
                    <w:rPr>
                      <w:rFonts w:hint="default"/>
                      <w:lang w:val="en-US" w:eastAsia="zh-CN"/>
                    </w:rPr>
                    <w:t>混凝土运输车清洗废水</w:t>
                  </w:r>
                </w:p>
              </w:tc>
              <w:tc>
                <w:tcPr>
                  <w:tcW w:w="3022" w:type="pct"/>
                  <w:gridSpan w:val="2"/>
                  <w:tcBorders>
                    <w:tl2br w:val="nil"/>
                    <w:tr2bl w:val="nil"/>
                  </w:tcBorders>
                  <w:noWrap w:val="0"/>
                  <w:vAlign w:val="center"/>
                </w:tcPr>
                <w:p w14:paraId="6B5BAC4F">
                  <w:pPr>
                    <w:pStyle w:val="53"/>
                    <w:bidi w:val="0"/>
                    <w:jc w:val="both"/>
                    <w:rPr>
                      <w:rFonts w:hint="eastAsia"/>
                      <w:lang w:val="en-US" w:eastAsia="zh-CN"/>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tc>
              <w:tc>
                <w:tcPr>
                  <w:tcW w:w="539" w:type="pct"/>
                  <w:vMerge w:val="continue"/>
                  <w:tcBorders>
                    <w:tl2br w:val="nil"/>
                    <w:tr2bl w:val="nil"/>
                  </w:tcBorders>
                  <w:noWrap w:val="0"/>
                  <w:vAlign w:val="center"/>
                </w:tcPr>
                <w:p w14:paraId="2C4ADB3E">
                  <w:pPr>
                    <w:pStyle w:val="53"/>
                    <w:bidi w:val="0"/>
                    <w:rPr>
                      <w:rFonts w:hint="eastAsia"/>
                      <w:lang w:val="en-US" w:eastAsia="zh-CN"/>
                    </w:rPr>
                  </w:pPr>
                </w:p>
              </w:tc>
            </w:tr>
            <w:tr w14:paraId="2CDC44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continue"/>
                  <w:tcBorders>
                    <w:tl2br w:val="nil"/>
                    <w:tr2bl w:val="nil"/>
                  </w:tcBorders>
                  <w:noWrap w:val="0"/>
                  <w:vAlign w:val="center"/>
                </w:tcPr>
                <w:p w14:paraId="0827AC28">
                  <w:pPr>
                    <w:pStyle w:val="53"/>
                    <w:bidi w:val="0"/>
                  </w:pPr>
                </w:p>
              </w:tc>
              <w:tc>
                <w:tcPr>
                  <w:tcW w:w="953" w:type="pct"/>
                  <w:tcBorders>
                    <w:tl2br w:val="nil"/>
                    <w:tr2bl w:val="nil"/>
                  </w:tcBorders>
                  <w:noWrap w:val="0"/>
                  <w:vAlign w:val="center"/>
                </w:tcPr>
                <w:p w14:paraId="1F5F83C1">
                  <w:pPr>
                    <w:pStyle w:val="53"/>
                    <w:bidi w:val="0"/>
                    <w:ind w:firstLine="0" w:firstLineChars="0"/>
                    <w:rPr>
                      <w:rFonts w:hint="eastAsia"/>
                      <w:lang w:val="en-US" w:eastAsia="zh-CN"/>
                    </w:rPr>
                  </w:pPr>
                  <w:r>
                    <w:rPr>
                      <w:rFonts w:hint="eastAsia"/>
                      <w:lang w:val="en-US" w:eastAsia="zh-CN"/>
                    </w:rPr>
                    <w:t>抑尘废水</w:t>
                  </w:r>
                </w:p>
              </w:tc>
              <w:tc>
                <w:tcPr>
                  <w:tcW w:w="3022" w:type="pct"/>
                  <w:gridSpan w:val="2"/>
                  <w:tcBorders>
                    <w:tl2br w:val="nil"/>
                    <w:tr2bl w:val="nil"/>
                  </w:tcBorders>
                  <w:noWrap w:val="0"/>
                  <w:vAlign w:val="center"/>
                </w:tcPr>
                <w:p w14:paraId="07F569F7">
                  <w:pPr>
                    <w:pStyle w:val="53"/>
                    <w:bidi w:val="0"/>
                    <w:jc w:val="both"/>
                    <w:rPr>
                      <w:rFonts w:hint="eastAsia"/>
                      <w:lang w:val="en-US" w:eastAsia="zh-CN"/>
                    </w:rPr>
                  </w:pPr>
                  <w:r>
                    <w:rPr>
                      <w:rFonts w:hint="eastAsia"/>
                      <w:lang w:val="en-US" w:eastAsia="zh-CN"/>
                    </w:rPr>
                    <w:t>全部自然蒸发，无废水外排。</w:t>
                  </w:r>
                </w:p>
              </w:tc>
              <w:tc>
                <w:tcPr>
                  <w:tcW w:w="539" w:type="pct"/>
                  <w:tcBorders>
                    <w:tl2br w:val="nil"/>
                    <w:tr2bl w:val="nil"/>
                  </w:tcBorders>
                  <w:noWrap w:val="0"/>
                  <w:vAlign w:val="center"/>
                </w:tcPr>
                <w:p w14:paraId="7F7130F3">
                  <w:pPr>
                    <w:pStyle w:val="53"/>
                    <w:bidi w:val="0"/>
                    <w:rPr>
                      <w:rFonts w:hint="default"/>
                      <w:lang w:val="en-US" w:eastAsia="zh-CN"/>
                    </w:rPr>
                  </w:pPr>
                  <w:r>
                    <w:rPr>
                      <w:rFonts w:hint="eastAsia"/>
                      <w:lang w:val="en-US" w:eastAsia="zh-CN"/>
                    </w:rPr>
                    <w:t>/</w:t>
                  </w:r>
                </w:p>
              </w:tc>
            </w:tr>
            <w:tr w14:paraId="3EF163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tcBorders>
                    <w:tl2br w:val="nil"/>
                    <w:tr2bl w:val="nil"/>
                  </w:tcBorders>
                  <w:noWrap w:val="0"/>
                  <w:vAlign w:val="center"/>
                </w:tcPr>
                <w:p w14:paraId="336CD7DF">
                  <w:pPr>
                    <w:pStyle w:val="53"/>
                    <w:bidi w:val="0"/>
                  </w:pPr>
                  <w:r>
                    <w:rPr>
                      <w:rFonts w:hint="eastAsia"/>
                    </w:rPr>
                    <w:t>固废污染防治工程</w:t>
                  </w:r>
                </w:p>
              </w:tc>
              <w:tc>
                <w:tcPr>
                  <w:tcW w:w="953" w:type="pct"/>
                  <w:tcBorders>
                    <w:tl2br w:val="nil"/>
                    <w:tr2bl w:val="nil"/>
                  </w:tcBorders>
                  <w:noWrap w:val="0"/>
                  <w:vAlign w:val="center"/>
                </w:tcPr>
                <w:p w14:paraId="042CE31A">
                  <w:pPr>
                    <w:pStyle w:val="53"/>
                    <w:bidi w:val="0"/>
                  </w:pPr>
                  <w:r>
                    <w:rPr>
                      <w:rFonts w:hint="eastAsia"/>
                    </w:rPr>
                    <w:t>一般</w:t>
                  </w:r>
                  <w:r>
                    <w:t>固废</w:t>
                  </w:r>
                </w:p>
              </w:tc>
              <w:tc>
                <w:tcPr>
                  <w:tcW w:w="3022" w:type="pct"/>
                  <w:gridSpan w:val="2"/>
                  <w:tcBorders>
                    <w:tl2br w:val="nil"/>
                    <w:tr2bl w:val="nil"/>
                  </w:tcBorders>
                  <w:noWrap w:val="0"/>
                  <w:vAlign w:val="center"/>
                </w:tcPr>
                <w:p w14:paraId="179ABE81">
                  <w:pPr>
                    <w:pStyle w:val="53"/>
                    <w:bidi w:val="0"/>
                    <w:jc w:val="both"/>
                    <w:rPr>
                      <w:rFonts w:hint="eastAsia"/>
                    </w:rPr>
                  </w:pPr>
                  <w:r>
                    <w:rPr>
                      <w:rFonts w:hint="eastAsia"/>
                    </w:rPr>
                    <w:t>①生活垃圾</w:t>
                  </w:r>
                </w:p>
                <w:p w14:paraId="6207F5E3">
                  <w:pPr>
                    <w:pStyle w:val="53"/>
                    <w:bidi w:val="0"/>
                    <w:jc w:val="both"/>
                    <w:rPr>
                      <w:rFonts w:hint="eastAsia"/>
                    </w:rPr>
                  </w:pPr>
                  <w:r>
                    <w:rPr>
                      <w:rFonts w:hint="eastAsia"/>
                    </w:rPr>
                    <w:t>经厂区设置垃圾桶集中收集后交由当地环卫部门处理。</w:t>
                  </w:r>
                </w:p>
                <w:p w14:paraId="03302DC8">
                  <w:pPr>
                    <w:pStyle w:val="53"/>
                    <w:bidi w:val="0"/>
                    <w:jc w:val="both"/>
                    <w:rPr>
                      <w:rFonts w:hint="eastAsia"/>
                    </w:rPr>
                  </w:pPr>
                  <w:r>
                    <w:rPr>
                      <w:rFonts w:hint="eastAsia"/>
                    </w:rPr>
                    <w:t>②除尘灰</w:t>
                  </w:r>
                </w:p>
                <w:p w14:paraId="1CE51B53">
                  <w:pPr>
                    <w:pStyle w:val="53"/>
                    <w:bidi w:val="0"/>
                    <w:jc w:val="both"/>
                    <w:rPr>
                      <w:rFonts w:hint="eastAsia"/>
                    </w:rPr>
                  </w:pPr>
                  <w:r>
                    <w:rPr>
                      <w:rFonts w:hint="eastAsia"/>
                    </w:rPr>
                    <w:t>定期集中收集后，直接回用于搅拌工序。</w:t>
                  </w:r>
                </w:p>
                <w:p w14:paraId="4E6C7727">
                  <w:pPr>
                    <w:pStyle w:val="53"/>
                    <w:bidi w:val="0"/>
                    <w:jc w:val="both"/>
                    <w:rPr>
                      <w:rFonts w:hint="eastAsia"/>
                    </w:rPr>
                  </w:pPr>
                  <w:r>
                    <w:rPr>
                      <w:rFonts w:hint="eastAsia"/>
                    </w:rPr>
                    <w:t>③沉淀池泥砂</w:t>
                  </w:r>
                </w:p>
                <w:p w14:paraId="4F520BFC">
                  <w:pPr>
                    <w:pStyle w:val="53"/>
                    <w:bidi w:val="0"/>
                    <w:jc w:val="both"/>
                  </w:pPr>
                  <w:r>
                    <w:rPr>
                      <w:rFonts w:hint="eastAsia"/>
                    </w:rPr>
                    <w:t>定期集中收集后，直接回用于搅拌工序。</w:t>
                  </w:r>
                </w:p>
              </w:tc>
              <w:tc>
                <w:tcPr>
                  <w:tcW w:w="539" w:type="pct"/>
                  <w:tcBorders>
                    <w:tl2br w:val="nil"/>
                    <w:tr2bl w:val="nil"/>
                  </w:tcBorders>
                  <w:noWrap w:val="0"/>
                  <w:vAlign w:val="center"/>
                </w:tcPr>
                <w:p w14:paraId="6159A55B">
                  <w:pPr>
                    <w:pStyle w:val="53"/>
                    <w:bidi w:val="0"/>
                    <w:rPr>
                      <w:rFonts w:hint="default" w:eastAsia="宋体"/>
                      <w:lang w:val="en-US" w:eastAsia="zh-CN"/>
                    </w:rPr>
                  </w:pPr>
                  <w:r>
                    <w:rPr>
                      <w:rFonts w:hint="eastAsia" w:eastAsia="宋体"/>
                      <w:lang w:val="en-US" w:eastAsia="zh-CN"/>
                    </w:rPr>
                    <w:t>0.8</w:t>
                  </w:r>
                </w:p>
              </w:tc>
            </w:tr>
            <w:tr w14:paraId="167671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1437" w:type="pct"/>
                  <w:gridSpan w:val="2"/>
                  <w:tcBorders>
                    <w:tl2br w:val="nil"/>
                    <w:tr2bl w:val="nil"/>
                  </w:tcBorders>
                  <w:noWrap w:val="0"/>
                  <w:vAlign w:val="center"/>
                </w:tcPr>
                <w:p w14:paraId="1E8CE7AC">
                  <w:pPr>
                    <w:pStyle w:val="53"/>
                    <w:bidi w:val="0"/>
                  </w:pPr>
                  <w:r>
                    <w:rPr>
                      <w:rFonts w:hint="eastAsia"/>
                    </w:rPr>
                    <w:t>噪声污染防治工程</w:t>
                  </w:r>
                </w:p>
              </w:tc>
              <w:tc>
                <w:tcPr>
                  <w:tcW w:w="3022" w:type="pct"/>
                  <w:gridSpan w:val="2"/>
                  <w:tcBorders>
                    <w:tl2br w:val="nil"/>
                    <w:tr2bl w:val="nil"/>
                  </w:tcBorders>
                  <w:noWrap w:val="0"/>
                  <w:vAlign w:val="center"/>
                </w:tcPr>
                <w:p w14:paraId="1DB48D23">
                  <w:pPr>
                    <w:pStyle w:val="53"/>
                    <w:bidi w:val="0"/>
                    <w:jc w:val="both"/>
                    <w:rPr>
                      <w:rFonts w:hint="eastAsia"/>
                    </w:rPr>
                  </w:pPr>
                  <w:r>
                    <w:rPr>
                      <w:rFonts w:hint="eastAsia"/>
                    </w:rPr>
                    <w:t>①生产机械设备噪声：采购低噪声设备，基础减振、风机安装消声器、墙体隔声，合理布局，定期检查、维修设备，使设备处于良好的运行状态。</w:t>
                  </w:r>
                </w:p>
                <w:p w14:paraId="49DBD921">
                  <w:pPr>
                    <w:pStyle w:val="53"/>
                    <w:bidi w:val="0"/>
                    <w:jc w:val="both"/>
                    <w:rPr>
                      <w:rFonts w:hint="eastAsia" w:eastAsia="宋体"/>
                      <w:lang w:val="en-US" w:eastAsia="zh-CN"/>
                    </w:rPr>
                  </w:pPr>
                  <w:r>
                    <w:rPr>
                      <w:rFonts w:hint="eastAsia"/>
                    </w:rPr>
                    <w:t>②运输车辆噪声：加强对厂区内的交通管理，对进出厂区的线路进行规定，运输车辆限制车速、减少车辆鸣笛，设立禁鸣标志，确保交通能通畅和安静，严禁轰鸣。</w:t>
                  </w:r>
                </w:p>
              </w:tc>
              <w:tc>
                <w:tcPr>
                  <w:tcW w:w="539" w:type="pct"/>
                  <w:tcBorders>
                    <w:tl2br w:val="nil"/>
                    <w:tr2bl w:val="nil"/>
                  </w:tcBorders>
                  <w:noWrap w:val="0"/>
                  <w:vAlign w:val="center"/>
                </w:tcPr>
                <w:p w14:paraId="796DFEA3">
                  <w:pPr>
                    <w:pStyle w:val="53"/>
                    <w:bidi w:val="0"/>
                    <w:rPr>
                      <w:rFonts w:hint="default" w:eastAsia="宋体"/>
                      <w:lang w:val="en-US" w:eastAsia="zh-CN"/>
                    </w:rPr>
                  </w:pPr>
                  <w:r>
                    <w:rPr>
                      <w:rFonts w:hint="eastAsia" w:eastAsia="宋体"/>
                      <w:lang w:val="en-US" w:eastAsia="zh-CN"/>
                    </w:rPr>
                    <w:t>2</w:t>
                  </w:r>
                </w:p>
              </w:tc>
            </w:tr>
            <w:tr w14:paraId="3D7C29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restart"/>
                  <w:tcBorders>
                    <w:tl2br w:val="nil"/>
                    <w:tr2bl w:val="nil"/>
                  </w:tcBorders>
                  <w:noWrap w:val="0"/>
                  <w:vAlign w:val="center"/>
                </w:tcPr>
                <w:p w14:paraId="5A06064D">
                  <w:pPr>
                    <w:pStyle w:val="53"/>
                    <w:bidi w:val="0"/>
                  </w:pPr>
                  <w:r>
                    <w:rPr>
                      <w:rFonts w:hint="eastAsia"/>
                    </w:rPr>
                    <w:t>地下水污染防治工程</w:t>
                  </w:r>
                </w:p>
              </w:tc>
              <w:tc>
                <w:tcPr>
                  <w:tcW w:w="953" w:type="pct"/>
                  <w:tcBorders>
                    <w:tl2br w:val="nil"/>
                    <w:tr2bl w:val="nil"/>
                  </w:tcBorders>
                  <w:noWrap w:val="0"/>
                  <w:vAlign w:val="center"/>
                </w:tcPr>
                <w:p w14:paraId="34D8EB70">
                  <w:pPr>
                    <w:pStyle w:val="53"/>
                    <w:bidi w:val="0"/>
                  </w:pPr>
                  <w:r>
                    <w:rPr>
                      <w:rFonts w:hint="eastAsia"/>
                    </w:rPr>
                    <w:t>一般防渗区</w:t>
                  </w:r>
                </w:p>
              </w:tc>
              <w:tc>
                <w:tcPr>
                  <w:tcW w:w="408" w:type="pct"/>
                  <w:tcBorders>
                    <w:tl2br w:val="nil"/>
                    <w:tr2bl w:val="nil"/>
                  </w:tcBorders>
                  <w:noWrap w:val="0"/>
                  <w:vAlign w:val="center"/>
                </w:tcPr>
                <w:p w14:paraId="193DEC86">
                  <w:pPr>
                    <w:pStyle w:val="53"/>
                    <w:bidi w:val="0"/>
                    <w:ind w:firstLine="0" w:firstLineChars="0"/>
                    <w:rPr>
                      <w:rFonts w:hint="default" w:eastAsia="宋体"/>
                      <w:lang w:val="en-US" w:eastAsia="zh-CN"/>
                    </w:rPr>
                  </w:pPr>
                  <w:r>
                    <w:rPr>
                      <w:rFonts w:hint="eastAsia"/>
                      <w:lang w:val="en-US" w:eastAsia="zh-CN"/>
                    </w:rPr>
                    <w:t>沉淀池、化粪池</w:t>
                  </w:r>
                </w:p>
              </w:tc>
              <w:tc>
                <w:tcPr>
                  <w:tcW w:w="2613" w:type="pct"/>
                  <w:tcBorders>
                    <w:tl2br w:val="nil"/>
                    <w:tr2bl w:val="nil"/>
                  </w:tcBorders>
                  <w:noWrap w:val="0"/>
                  <w:vAlign w:val="center"/>
                </w:tcPr>
                <w:p w14:paraId="74F6871E">
                  <w:pPr>
                    <w:pStyle w:val="53"/>
                    <w:bidi w:val="0"/>
                    <w:ind w:firstLine="0" w:firstLineChars="0"/>
                    <w:jc w:val="both"/>
                    <w:rPr>
                      <w:rFonts w:hint="eastAsia"/>
                    </w:rPr>
                  </w:pPr>
                  <w:r>
                    <w:rPr>
                      <w:rFonts w:hint="eastAsia"/>
                    </w:rPr>
                    <w:t>等效黏土防渗层Mb≥1.5m，K≤1.0×10</w:t>
                  </w:r>
                  <w:r>
                    <w:rPr>
                      <w:rFonts w:hint="eastAsia"/>
                      <w:vertAlign w:val="superscript"/>
                    </w:rPr>
                    <w:t>-7</w:t>
                  </w:r>
                  <w:r>
                    <w:rPr>
                      <w:rFonts w:hint="eastAsia"/>
                    </w:rPr>
                    <w:t>cm/s；或参照GB16889执行</w:t>
                  </w:r>
                  <w:r>
                    <w:rPr>
                      <w:rFonts w:hint="eastAsia"/>
                      <w:lang w:eastAsia="zh-CN"/>
                    </w:rPr>
                    <w:t>。</w:t>
                  </w:r>
                </w:p>
              </w:tc>
              <w:tc>
                <w:tcPr>
                  <w:tcW w:w="539" w:type="pct"/>
                  <w:vMerge w:val="restart"/>
                  <w:tcBorders>
                    <w:tl2br w:val="nil"/>
                    <w:tr2bl w:val="nil"/>
                  </w:tcBorders>
                  <w:noWrap w:val="0"/>
                  <w:vAlign w:val="center"/>
                </w:tcPr>
                <w:p w14:paraId="5ADEDCE3">
                  <w:pPr>
                    <w:pStyle w:val="53"/>
                    <w:bidi w:val="0"/>
                    <w:rPr>
                      <w:rFonts w:hint="default" w:eastAsia="宋体"/>
                      <w:lang w:val="en-US" w:eastAsia="zh-CN"/>
                    </w:rPr>
                  </w:pPr>
                  <w:r>
                    <w:rPr>
                      <w:rFonts w:hint="eastAsia"/>
                      <w:lang w:val="en-US" w:eastAsia="zh-CN"/>
                    </w:rPr>
                    <w:t>20</w:t>
                  </w:r>
                </w:p>
              </w:tc>
            </w:tr>
            <w:tr w14:paraId="0883BD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83" w:type="pct"/>
                  <w:vMerge w:val="continue"/>
                  <w:tcBorders>
                    <w:tl2br w:val="nil"/>
                    <w:tr2bl w:val="nil"/>
                  </w:tcBorders>
                  <w:noWrap w:val="0"/>
                  <w:vAlign w:val="center"/>
                </w:tcPr>
                <w:p w14:paraId="62B6C709">
                  <w:pPr>
                    <w:pStyle w:val="53"/>
                    <w:bidi w:val="0"/>
                  </w:pPr>
                </w:p>
              </w:tc>
              <w:tc>
                <w:tcPr>
                  <w:tcW w:w="953" w:type="pct"/>
                  <w:tcBorders>
                    <w:tl2br w:val="nil"/>
                    <w:tr2bl w:val="nil"/>
                  </w:tcBorders>
                  <w:noWrap w:val="0"/>
                  <w:vAlign w:val="center"/>
                </w:tcPr>
                <w:p w14:paraId="35E93E92">
                  <w:pPr>
                    <w:pStyle w:val="53"/>
                    <w:bidi w:val="0"/>
                  </w:pPr>
                  <w:r>
                    <w:rPr>
                      <w:rFonts w:hint="eastAsia"/>
                    </w:rPr>
                    <w:t>简单防渗区</w:t>
                  </w:r>
                </w:p>
              </w:tc>
              <w:tc>
                <w:tcPr>
                  <w:tcW w:w="408" w:type="pct"/>
                  <w:tcBorders>
                    <w:tl2br w:val="nil"/>
                    <w:tr2bl w:val="nil"/>
                  </w:tcBorders>
                  <w:noWrap w:val="0"/>
                  <w:vAlign w:val="center"/>
                </w:tcPr>
                <w:p w14:paraId="68D556DA">
                  <w:pPr>
                    <w:pStyle w:val="53"/>
                    <w:bidi w:val="0"/>
                    <w:ind w:firstLine="0" w:firstLineChars="0"/>
                    <w:rPr>
                      <w:rFonts w:hint="eastAsia" w:eastAsia="宋体"/>
                      <w:lang w:eastAsia="zh-CN"/>
                    </w:rPr>
                  </w:pPr>
                  <w:r>
                    <w:rPr>
                      <w:rFonts w:hint="eastAsia"/>
                      <w:lang w:val="en-US" w:eastAsia="zh-CN"/>
                    </w:rPr>
                    <w:t>厂区</w:t>
                  </w:r>
                </w:p>
              </w:tc>
              <w:tc>
                <w:tcPr>
                  <w:tcW w:w="2613" w:type="pct"/>
                  <w:tcBorders>
                    <w:tl2br w:val="nil"/>
                    <w:tr2bl w:val="nil"/>
                  </w:tcBorders>
                  <w:noWrap w:val="0"/>
                  <w:vAlign w:val="center"/>
                </w:tcPr>
                <w:p w14:paraId="1EF83769">
                  <w:pPr>
                    <w:pStyle w:val="53"/>
                    <w:bidi w:val="0"/>
                    <w:ind w:firstLine="0" w:firstLineChars="0"/>
                    <w:rPr>
                      <w:rFonts w:hint="default"/>
                      <w:lang w:val="en-US"/>
                    </w:rPr>
                  </w:pPr>
                  <w:r>
                    <w:rPr>
                      <w:rFonts w:hint="eastAsia"/>
                      <w:lang w:val="en-US" w:eastAsia="zh-CN"/>
                    </w:rPr>
                    <w:t>一般地面硬化</w:t>
                  </w:r>
                </w:p>
              </w:tc>
              <w:tc>
                <w:tcPr>
                  <w:tcW w:w="539" w:type="pct"/>
                  <w:vMerge w:val="continue"/>
                  <w:tcBorders>
                    <w:tl2br w:val="nil"/>
                    <w:tr2bl w:val="nil"/>
                  </w:tcBorders>
                  <w:noWrap w:val="0"/>
                  <w:vAlign w:val="center"/>
                </w:tcPr>
                <w:p w14:paraId="3F410B66">
                  <w:pPr>
                    <w:pStyle w:val="53"/>
                    <w:bidi w:val="0"/>
                  </w:pPr>
                </w:p>
              </w:tc>
            </w:tr>
            <w:tr w14:paraId="267C8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57" w:type="dxa"/>
                  <w:bottom w:w="28" w:type="dxa"/>
                  <w:right w:w="57" w:type="dxa"/>
                </w:tblCellMar>
              </w:tblPrEx>
              <w:trPr>
                <w:trHeight w:val="0" w:hRule="atLeast"/>
              </w:trPr>
              <w:tc>
                <w:tcPr>
                  <w:tcW w:w="4460" w:type="pct"/>
                  <w:gridSpan w:val="4"/>
                  <w:tcBorders>
                    <w:tl2br w:val="nil"/>
                    <w:tr2bl w:val="nil"/>
                  </w:tcBorders>
                  <w:noWrap w:val="0"/>
                  <w:vAlign w:val="center"/>
                </w:tcPr>
                <w:p w14:paraId="3BA55F04">
                  <w:pPr>
                    <w:pStyle w:val="53"/>
                    <w:bidi w:val="0"/>
                  </w:pPr>
                  <w:r>
                    <w:rPr>
                      <w:rFonts w:hint="eastAsia"/>
                    </w:rPr>
                    <w:t>合计</w:t>
                  </w:r>
                </w:p>
              </w:tc>
              <w:tc>
                <w:tcPr>
                  <w:tcW w:w="539" w:type="pct"/>
                  <w:tcBorders>
                    <w:tl2br w:val="nil"/>
                    <w:tr2bl w:val="nil"/>
                  </w:tcBorders>
                  <w:noWrap w:val="0"/>
                  <w:vAlign w:val="center"/>
                </w:tcPr>
                <w:p w14:paraId="4015A94D">
                  <w:pPr>
                    <w:pStyle w:val="53"/>
                    <w:bidi w:val="0"/>
                    <w:rPr>
                      <w:rFonts w:hint="default" w:eastAsia="宋体"/>
                      <w:lang w:val="en-US" w:eastAsia="zh-CN"/>
                    </w:rPr>
                  </w:pPr>
                  <w:r>
                    <w:rPr>
                      <w:rFonts w:hint="eastAsia"/>
                      <w:lang w:val="en-US" w:eastAsia="zh-CN"/>
                    </w:rPr>
                    <w:t>109.1</w:t>
                  </w:r>
                </w:p>
              </w:tc>
            </w:tr>
          </w:tbl>
          <w:p w14:paraId="21C90F36">
            <w:pPr>
              <w:pStyle w:val="54"/>
              <w:bidi w:val="0"/>
              <w:rPr>
                <w:rFonts w:hint="eastAsia"/>
                <w:lang w:val="en-US" w:eastAsia="zh-CN"/>
              </w:rPr>
            </w:pPr>
            <w:r>
              <w:rPr>
                <w:rFonts w:hint="eastAsia"/>
                <w:b/>
                <w:bCs/>
                <w:lang w:val="en-US" w:eastAsia="zh-CN"/>
              </w:rPr>
              <w:t>9、竣工环保验收</w:t>
            </w:r>
          </w:p>
          <w:p w14:paraId="7BBBCB32">
            <w:pPr>
              <w:pStyle w:val="54"/>
              <w:bidi w:val="0"/>
              <w:rPr>
                <w:rFonts w:hint="default" w:ascii="宋体" w:hAnsi="宋体" w:eastAsia="宋体" w:cs="宋体"/>
                <w:bCs/>
                <w:spacing w:val="-10"/>
                <w:szCs w:val="24"/>
                <w:lang w:val="en-US" w:eastAsia="zh-CN"/>
              </w:rPr>
            </w:pPr>
            <w:r>
              <w:rPr>
                <w:rFonts w:hint="eastAsia"/>
                <w:lang w:val="en-US" w:eastAsia="zh-CN"/>
              </w:rPr>
              <w:t>本项目投入试运行后，建设单位应按照《建设项目竣工环境保护验收管理办法》（国环规评[2017]4号）的有关规定，及时向环保行政主管部门提出环保设施竣工验收申请，进行验收。同时与有资质检测单位取得联系，要求有资质监测单位对本项目环保“三同时”设施组织竣工验收监测，由有资质监测单位编制竣工验收监测方案，对环境保护设施的运行情况和建设项目对环境的影响进行检测，建议的环保“三同时”设施竣工验收内容和要求见下表。</w:t>
            </w:r>
          </w:p>
        </w:tc>
      </w:tr>
    </w:tbl>
    <w:p w14:paraId="06E1AA43">
      <w:pPr>
        <w:rPr>
          <w:rFonts w:hint="eastAsia"/>
        </w:rPr>
        <w:sectPr>
          <w:pgSz w:w="11907" w:h="16840"/>
          <w:pgMar w:top="1701" w:right="1531" w:bottom="2127" w:left="1531" w:header="851" w:footer="1757" w:gutter="0"/>
          <w:pgBorders>
            <w:top w:val="none" w:sz="0" w:space="0"/>
            <w:left w:val="none" w:sz="0" w:space="0"/>
            <w:bottom w:val="none" w:sz="0" w:space="0"/>
            <w:right w:val="none" w:sz="0" w:space="0"/>
          </w:pgBorders>
          <w:pgNumType w:fmt="decimal"/>
          <w:cols w:space="720" w:num="1"/>
          <w:docGrid w:linePitch="312" w:charSpace="0"/>
        </w:sectPr>
      </w:pPr>
    </w:p>
    <w:p w14:paraId="1CFA67CC">
      <w:pPr>
        <w:pStyle w:val="33"/>
        <w:bidi w:val="0"/>
        <w:rPr>
          <w:rFonts w:hint="eastAsia" w:ascii="Times New Roman" w:hAnsi="Times New Roman" w:cs="Times New Roman"/>
          <w:b/>
          <w:bCs/>
          <w:szCs w:val="24"/>
          <w:lang w:val="en-US" w:eastAsia="zh-CN"/>
        </w:rPr>
      </w:pPr>
      <w:r>
        <w:rPr>
          <w:rFonts w:hint="eastAsia"/>
          <w:lang w:val="en-US" w:eastAsia="zh-CN"/>
        </w:rPr>
        <w:t>表38    项目“三同时”竣工验收一览表</w:t>
      </w:r>
    </w:p>
    <w:tbl>
      <w:tblPr>
        <w:tblStyle w:val="1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384"/>
        <w:gridCol w:w="897"/>
        <w:gridCol w:w="3926"/>
        <w:gridCol w:w="2077"/>
        <w:gridCol w:w="1869"/>
        <w:gridCol w:w="1221"/>
        <w:gridCol w:w="1213"/>
      </w:tblGrid>
      <w:tr w14:paraId="57081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tcBorders>
              <w:tl2br w:val="nil"/>
              <w:tr2bl w:val="nil"/>
            </w:tcBorders>
            <w:noWrap w:val="0"/>
            <w:vAlign w:val="center"/>
          </w:tcPr>
          <w:p w14:paraId="3AADDEBD">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类别</w:t>
            </w:r>
          </w:p>
        </w:tc>
        <w:tc>
          <w:tcPr>
            <w:tcW w:w="2281" w:type="dxa"/>
            <w:gridSpan w:val="2"/>
            <w:tcBorders>
              <w:tl2br w:val="nil"/>
              <w:tr2bl w:val="nil"/>
            </w:tcBorders>
            <w:noWrap w:val="0"/>
            <w:vAlign w:val="center"/>
          </w:tcPr>
          <w:p w14:paraId="7213F55A">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项目</w:t>
            </w:r>
          </w:p>
        </w:tc>
        <w:tc>
          <w:tcPr>
            <w:tcW w:w="3926" w:type="dxa"/>
            <w:tcBorders>
              <w:tl2br w:val="nil"/>
              <w:tr2bl w:val="nil"/>
            </w:tcBorders>
            <w:noWrap w:val="0"/>
            <w:vAlign w:val="center"/>
          </w:tcPr>
          <w:p w14:paraId="3046B255">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环保设施</w:t>
            </w:r>
          </w:p>
        </w:tc>
        <w:tc>
          <w:tcPr>
            <w:tcW w:w="2077" w:type="dxa"/>
            <w:tcBorders>
              <w:tl2br w:val="nil"/>
              <w:tr2bl w:val="nil"/>
            </w:tcBorders>
            <w:noWrap w:val="0"/>
            <w:vAlign w:val="center"/>
          </w:tcPr>
          <w:p w14:paraId="6905BA44">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验收标准</w:t>
            </w:r>
          </w:p>
        </w:tc>
        <w:tc>
          <w:tcPr>
            <w:tcW w:w="1869" w:type="dxa"/>
            <w:tcBorders>
              <w:tl2br w:val="nil"/>
              <w:tr2bl w:val="nil"/>
            </w:tcBorders>
            <w:noWrap w:val="0"/>
            <w:vAlign w:val="center"/>
          </w:tcPr>
          <w:p w14:paraId="3F6D7A49">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监测项目</w:t>
            </w:r>
          </w:p>
        </w:tc>
        <w:tc>
          <w:tcPr>
            <w:tcW w:w="1221" w:type="dxa"/>
            <w:tcBorders>
              <w:tl2br w:val="nil"/>
              <w:tr2bl w:val="nil"/>
            </w:tcBorders>
            <w:noWrap w:val="0"/>
            <w:vAlign w:val="center"/>
          </w:tcPr>
          <w:p w14:paraId="0CE0A3AA">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监测频次</w:t>
            </w:r>
          </w:p>
        </w:tc>
        <w:tc>
          <w:tcPr>
            <w:tcW w:w="1213" w:type="dxa"/>
            <w:tcBorders>
              <w:tl2br w:val="nil"/>
              <w:tr2bl w:val="nil"/>
            </w:tcBorders>
            <w:noWrap w:val="0"/>
            <w:vAlign w:val="center"/>
          </w:tcPr>
          <w:p w14:paraId="2CC06CD2">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监测点位</w:t>
            </w:r>
          </w:p>
        </w:tc>
      </w:tr>
      <w:tr w14:paraId="5759D2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restart"/>
            <w:tcBorders>
              <w:tl2br w:val="nil"/>
              <w:tr2bl w:val="nil"/>
            </w:tcBorders>
            <w:noWrap w:val="0"/>
            <w:vAlign w:val="center"/>
          </w:tcPr>
          <w:p w14:paraId="146574F2">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废气</w:t>
            </w:r>
          </w:p>
        </w:tc>
        <w:tc>
          <w:tcPr>
            <w:tcW w:w="1384" w:type="dxa"/>
            <w:vMerge w:val="restart"/>
            <w:tcBorders>
              <w:tl2br w:val="nil"/>
              <w:tr2bl w:val="nil"/>
            </w:tcBorders>
            <w:noWrap w:val="0"/>
            <w:vAlign w:val="center"/>
          </w:tcPr>
          <w:p w14:paraId="0CC6C120">
            <w:pPr>
              <w:pStyle w:val="53"/>
              <w:bidi w:val="0"/>
              <w:ind w:firstLine="0" w:firstLineChars="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水泥筒仓呼吸粉尘</w:t>
            </w:r>
          </w:p>
        </w:tc>
        <w:tc>
          <w:tcPr>
            <w:tcW w:w="897" w:type="dxa"/>
            <w:vMerge w:val="restart"/>
            <w:tcBorders>
              <w:tl2br w:val="nil"/>
              <w:tr2bl w:val="nil"/>
            </w:tcBorders>
            <w:noWrap w:val="0"/>
            <w:vAlign w:val="center"/>
          </w:tcPr>
          <w:p w14:paraId="1D6B58F6">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颗粒物</w:t>
            </w:r>
          </w:p>
        </w:tc>
        <w:tc>
          <w:tcPr>
            <w:tcW w:w="3926" w:type="dxa"/>
            <w:tcBorders>
              <w:tl2br w:val="nil"/>
              <w:tr2bl w:val="nil"/>
            </w:tcBorders>
            <w:noWrap w:val="0"/>
            <w:vAlign w:val="center"/>
          </w:tcPr>
          <w:p w14:paraId="1D457D1C">
            <w:pPr>
              <w:pStyle w:val="53"/>
              <w:bidi w:val="0"/>
              <w:ind w:firstLine="0" w:firstLineChars="0"/>
              <w:jc w:val="both"/>
              <w:rPr>
                <w:rFonts w:hint="default" w:ascii="Times New Roman" w:hAnsi="Times New Roman" w:cs="Times New Roman"/>
                <w:sz w:val="21"/>
                <w:szCs w:val="21"/>
                <w:lang w:val="en-US" w:eastAsia="zh-CN"/>
              </w:rPr>
            </w:pPr>
            <w:r>
              <w:rPr>
                <w:rFonts w:hint="eastAsia"/>
                <w:color w:val="auto"/>
                <w:lang w:val="en-US" w:eastAsia="zh-CN"/>
              </w:rPr>
              <w:t>1#</w:t>
            </w:r>
            <w:r>
              <w:rPr>
                <w:rFonts w:hint="eastAsia"/>
                <w:color w:val="auto"/>
              </w:rPr>
              <w:t>水泥筒仓呼吸粉尘（G</w:t>
            </w:r>
            <w:r>
              <w:rPr>
                <w:rFonts w:hint="eastAsia"/>
                <w:color w:val="auto"/>
                <w:vertAlign w:val="subscript"/>
              </w:rPr>
              <w:t>1-1</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c>
          <w:tcPr>
            <w:tcW w:w="2077" w:type="dxa"/>
            <w:vMerge w:val="restart"/>
            <w:tcBorders>
              <w:tl2br w:val="nil"/>
              <w:tr2bl w:val="nil"/>
            </w:tcBorders>
            <w:noWrap w:val="0"/>
            <w:vAlign w:val="center"/>
          </w:tcPr>
          <w:p w14:paraId="0929C1EF">
            <w:pPr>
              <w:pStyle w:val="53"/>
              <w:bidi w:val="0"/>
              <w:rPr>
                <w:rFonts w:hint="default"/>
                <w:lang w:val="en-US" w:eastAsia="zh-CN"/>
              </w:rPr>
            </w:pPr>
            <w:r>
              <w:rPr>
                <w:rFonts w:hint="default"/>
              </w:rPr>
              <w:t>《水泥工业大气污染物排放标准》（GB4915-2013）</w:t>
            </w:r>
          </w:p>
        </w:tc>
        <w:tc>
          <w:tcPr>
            <w:tcW w:w="1869" w:type="dxa"/>
            <w:tcBorders>
              <w:tl2br w:val="nil"/>
              <w:tr2bl w:val="nil"/>
            </w:tcBorders>
            <w:noWrap w:val="0"/>
            <w:vAlign w:val="center"/>
          </w:tcPr>
          <w:p w14:paraId="5811D1C7">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颗粒物</w:t>
            </w:r>
          </w:p>
        </w:tc>
        <w:tc>
          <w:tcPr>
            <w:tcW w:w="1221" w:type="dxa"/>
            <w:vMerge w:val="restart"/>
            <w:tcBorders>
              <w:tl2br w:val="nil"/>
              <w:tr2bl w:val="nil"/>
            </w:tcBorders>
            <w:noWrap w:val="0"/>
            <w:vAlign w:val="center"/>
          </w:tcPr>
          <w:p w14:paraId="2C757EE6">
            <w:pPr>
              <w:pStyle w:val="38"/>
              <w:bidi w:val="0"/>
              <w:rPr>
                <w:rFonts w:hint="default" w:ascii="Times New Roman" w:hAnsi="Times New Roman" w:cs="Times New Roman"/>
                <w:sz w:val="21"/>
                <w:szCs w:val="21"/>
                <w:lang w:val="en-US" w:eastAsia="zh-CN"/>
              </w:rPr>
            </w:pPr>
            <w:r>
              <w:rPr>
                <w:rFonts w:hint="eastAsia" w:ascii="Times New Roman" w:cs="Times New Roman"/>
                <w:sz w:val="21"/>
                <w:szCs w:val="21"/>
                <w:lang w:val="en-US" w:eastAsia="zh-CN"/>
              </w:rPr>
              <w:t>3</w:t>
            </w:r>
            <w:r>
              <w:rPr>
                <w:rFonts w:hint="default" w:ascii="Times New Roman" w:hAnsi="Times New Roman" w:cs="Times New Roman"/>
                <w:sz w:val="21"/>
                <w:szCs w:val="21"/>
                <w:lang w:val="en-US" w:eastAsia="zh-CN"/>
              </w:rPr>
              <w:t>次/d，共监测2天</w:t>
            </w:r>
            <w:r>
              <w:rPr>
                <w:rFonts w:hint="eastAsia" w:ascii="Times New Roman" w:cs="Times New Roman"/>
                <w:sz w:val="21"/>
                <w:szCs w:val="21"/>
                <w:lang w:val="en-US" w:eastAsia="zh-CN"/>
              </w:rPr>
              <w:t>。</w:t>
            </w:r>
          </w:p>
        </w:tc>
        <w:tc>
          <w:tcPr>
            <w:tcW w:w="1213" w:type="dxa"/>
            <w:vMerge w:val="restart"/>
            <w:tcBorders>
              <w:tl2br w:val="nil"/>
              <w:tr2bl w:val="nil"/>
            </w:tcBorders>
            <w:noWrap w:val="0"/>
            <w:vAlign w:val="center"/>
          </w:tcPr>
          <w:p w14:paraId="7CE18372">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厂界周界上风向1个对照点，下风向设3个监控点</w:t>
            </w:r>
          </w:p>
        </w:tc>
      </w:tr>
      <w:tr w14:paraId="44DB89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continue"/>
            <w:tcBorders>
              <w:tl2br w:val="nil"/>
              <w:tr2bl w:val="nil"/>
            </w:tcBorders>
            <w:noWrap w:val="0"/>
            <w:vAlign w:val="center"/>
          </w:tcPr>
          <w:p w14:paraId="1C3B8BA3">
            <w:pPr>
              <w:pStyle w:val="53"/>
              <w:bidi w:val="0"/>
              <w:ind w:firstLine="0" w:firstLineChars="0"/>
              <w:jc w:val="both"/>
            </w:pPr>
          </w:p>
        </w:tc>
        <w:tc>
          <w:tcPr>
            <w:tcW w:w="1384" w:type="dxa"/>
            <w:vMerge w:val="continue"/>
            <w:tcBorders>
              <w:tl2br w:val="nil"/>
              <w:tr2bl w:val="nil"/>
            </w:tcBorders>
            <w:noWrap w:val="0"/>
            <w:vAlign w:val="center"/>
          </w:tcPr>
          <w:p w14:paraId="2FBA88FE">
            <w:pPr>
              <w:pStyle w:val="53"/>
              <w:bidi w:val="0"/>
              <w:ind w:firstLine="0" w:firstLineChars="0"/>
              <w:jc w:val="both"/>
            </w:pPr>
          </w:p>
        </w:tc>
        <w:tc>
          <w:tcPr>
            <w:tcW w:w="897" w:type="dxa"/>
            <w:vMerge w:val="continue"/>
            <w:tcBorders>
              <w:tl2br w:val="nil"/>
              <w:tr2bl w:val="nil"/>
            </w:tcBorders>
            <w:noWrap w:val="0"/>
            <w:vAlign w:val="center"/>
          </w:tcPr>
          <w:p w14:paraId="467CDD80">
            <w:pPr>
              <w:pStyle w:val="53"/>
              <w:bidi w:val="0"/>
              <w:ind w:firstLine="0" w:firstLineChars="0"/>
              <w:jc w:val="both"/>
            </w:pPr>
          </w:p>
        </w:tc>
        <w:tc>
          <w:tcPr>
            <w:tcW w:w="3926" w:type="dxa"/>
            <w:tcBorders>
              <w:tl2br w:val="nil"/>
              <w:tr2bl w:val="nil"/>
            </w:tcBorders>
            <w:noWrap w:val="0"/>
            <w:vAlign w:val="center"/>
          </w:tcPr>
          <w:p w14:paraId="64FBC23D">
            <w:pPr>
              <w:pStyle w:val="53"/>
              <w:bidi w:val="0"/>
              <w:ind w:firstLine="0" w:firstLineChars="0"/>
              <w:jc w:val="both"/>
              <w:rPr>
                <w:rFonts w:hint="default" w:ascii="Times New Roman" w:hAnsi="Times New Roman" w:cs="Times New Roman"/>
                <w:sz w:val="21"/>
                <w:szCs w:val="21"/>
                <w:lang w:val="en-US" w:eastAsia="zh-CN"/>
              </w:rPr>
            </w:pPr>
            <w:r>
              <w:rPr>
                <w:rFonts w:hint="eastAsia"/>
                <w:color w:val="auto"/>
                <w:lang w:val="en-US" w:eastAsia="zh-CN"/>
              </w:rPr>
              <w:t>2#</w:t>
            </w:r>
            <w:r>
              <w:rPr>
                <w:rFonts w:hint="eastAsia"/>
                <w:color w:val="auto"/>
              </w:rPr>
              <w:t>水泥筒仓呼吸粉尘（G</w:t>
            </w:r>
            <w:r>
              <w:rPr>
                <w:rFonts w:hint="eastAsia"/>
                <w:color w:val="auto"/>
                <w:vertAlign w:val="subscript"/>
              </w:rPr>
              <w:t>1-</w:t>
            </w:r>
            <w:r>
              <w:rPr>
                <w:rFonts w:hint="eastAsia"/>
                <w:color w:val="auto"/>
                <w:vertAlign w:val="subscript"/>
                <w:lang w:val="en-US" w:eastAsia="zh-CN"/>
              </w:rPr>
              <w:t>2</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c>
          <w:tcPr>
            <w:tcW w:w="2077" w:type="dxa"/>
            <w:vMerge w:val="continue"/>
            <w:tcBorders>
              <w:tl2br w:val="nil"/>
              <w:tr2bl w:val="nil"/>
            </w:tcBorders>
            <w:noWrap w:val="0"/>
            <w:vAlign w:val="center"/>
          </w:tcPr>
          <w:p w14:paraId="3A967205">
            <w:pPr>
              <w:pStyle w:val="53"/>
              <w:bidi w:val="0"/>
              <w:ind w:firstLine="0" w:firstLineChars="0"/>
              <w:jc w:val="both"/>
              <w:rPr>
                <w:rFonts w:hint="default" w:ascii="Times New Roman" w:hAnsi="Times New Roman" w:cs="Times New Roman"/>
                <w:sz w:val="21"/>
                <w:szCs w:val="21"/>
                <w:lang w:val="en-US" w:eastAsia="zh-CN"/>
              </w:rPr>
            </w:pPr>
          </w:p>
        </w:tc>
        <w:tc>
          <w:tcPr>
            <w:tcW w:w="1869" w:type="dxa"/>
            <w:tcBorders>
              <w:tl2br w:val="nil"/>
              <w:tr2bl w:val="nil"/>
            </w:tcBorders>
            <w:noWrap w:val="0"/>
            <w:vAlign w:val="center"/>
          </w:tcPr>
          <w:p w14:paraId="7244D17A">
            <w:pPr>
              <w:pStyle w:val="53"/>
              <w:bidi w:val="0"/>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颗粒物</w:t>
            </w:r>
          </w:p>
        </w:tc>
        <w:tc>
          <w:tcPr>
            <w:tcW w:w="1221" w:type="dxa"/>
            <w:vMerge w:val="continue"/>
            <w:tcBorders>
              <w:tl2br w:val="nil"/>
              <w:tr2bl w:val="nil"/>
            </w:tcBorders>
            <w:noWrap w:val="0"/>
            <w:vAlign w:val="center"/>
          </w:tcPr>
          <w:p w14:paraId="6E81D609">
            <w:pPr>
              <w:pStyle w:val="53"/>
              <w:bidi w:val="0"/>
              <w:ind w:firstLine="0" w:firstLineChars="0"/>
              <w:jc w:val="both"/>
              <w:rPr>
                <w:rFonts w:hint="default" w:ascii="Times New Roman" w:hAnsi="Times New Roman" w:cs="Times New Roman"/>
                <w:sz w:val="21"/>
                <w:szCs w:val="21"/>
                <w:lang w:val="en-US" w:eastAsia="zh-CN"/>
              </w:rPr>
            </w:pPr>
          </w:p>
        </w:tc>
        <w:tc>
          <w:tcPr>
            <w:tcW w:w="1213" w:type="dxa"/>
            <w:vMerge w:val="continue"/>
            <w:tcBorders>
              <w:tl2br w:val="nil"/>
              <w:tr2bl w:val="nil"/>
            </w:tcBorders>
            <w:noWrap w:val="0"/>
            <w:vAlign w:val="center"/>
          </w:tcPr>
          <w:p w14:paraId="50448E97">
            <w:pPr>
              <w:pStyle w:val="53"/>
              <w:bidi w:val="0"/>
              <w:ind w:firstLine="0" w:firstLineChars="0"/>
              <w:jc w:val="both"/>
              <w:rPr>
                <w:rFonts w:hint="default" w:ascii="Times New Roman" w:hAnsi="Times New Roman" w:cs="Times New Roman"/>
                <w:sz w:val="21"/>
                <w:szCs w:val="21"/>
                <w:lang w:val="en-US" w:eastAsia="zh-CN"/>
              </w:rPr>
            </w:pPr>
          </w:p>
        </w:tc>
      </w:tr>
      <w:tr w14:paraId="3274E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continue"/>
            <w:tcBorders>
              <w:tl2br w:val="nil"/>
              <w:tr2bl w:val="nil"/>
            </w:tcBorders>
            <w:noWrap w:val="0"/>
            <w:vAlign w:val="center"/>
          </w:tcPr>
          <w:p w14:paraId="301BE458">
            <w:pPr>
              <w:pStyle w:val="38"/>
              <w:bidi w:val="0"/>
              <w:rPr>
                <w:rFonts w:hint="default" w:ascii="Times New Roman" w:hAnsi="Times New Roman" w:cs="Times New Roman"/>
                <w:sz w:val="21"/>
                <w:szCs w:val="21"/>
                <w:lang w:val="en-US" w:eastAsia="zh-CN"/>
              </w:rPr>
            </w:pPr>
          </w:p>
        </w:tc>
        <w:tc>
          <w:tcPr>
            <w:tcW w:w="1384" w:type="dxa"/>
            <w:tcBorders>
              <w:tl2br w:val="nil"/>
              <w:tr2bl w:val="nil"/>
            </w:tcBorders>
            <w:noWrap w:val="0"/>
            <w:vAlign w:val="center"/>
          </w:tcPr>
          <w:p w14:paraId="31C45207">
            <w:pPr>
              <w:pStyle w:val="53"/>
              <w:bidi w:val="0"/>
              <w:ind w:firstLine="0" w:firstLineChars="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砂石料堆存和装卸料粉尘</w:t>
            </w:r>
          </w:p>
        </w:tc>
        <w:tc>
          <w:tcPr>
            <w:tcW w:w="897" w:type="dxa"/>
            <w:tcBorders>
              <w:tl2br w:val="nil"/>
              <w:tr2bl w:val="nil"/>
            </w:tcBorders>
            <w:noWrap w:val="0"/>
            <w:vAlign w:val="center"/>
          </w:tcPr>
          <w:p w14:paraId="189AEBD8">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颗粒物</w:t>
            </w:r>
          </w:p>
        </w:tc>
        <w:tc>
          <w:tcPr>
            <w:tcW w:w="3926" w:type="dxa"/>
            <w:tcBorders>
              <w:tl2br w:val="nil"/>
              <w:tr2bl w:val="nil"/>
            </w:tcBorders>
            <w:noWrap w:val="0"/>
            <w:vAlign w:val="center"/>
          </w:tcPr>
          <w:p w14:paraId="76E85EBA">
            <w:pPr>
              <w:pStyle w:val="53"/>
              <w:bidi w:val="0"/>
              <w:ind w:firstLine="0" w:firstLineChars="0"/>
              <w:jc w:val="both"/>
              <w:rPr>
                <w:rFonts w:hint="default" w:ascii="Times New Roman" w:hAnsi="Times New Roman" w:cs="Times New Roman"/>
                <w:sz w:val="21"/>
                <w:szCs w:val="21"/>
                <w:lang w:val="en-US" w:eastAsia="zh-CN"/>
              </w:rPr>
            </w:pPr>
            <w:r>
              <w:rPr>
                <w:rFonts w:hint="default"/>
              </w:rPr>
              <w:t>通过</w:t>
            </w:r>
            <w:r>
              <w:rPr>
                <w:rFonts w:hint="eastAsia"/>
                <w:lang w:eastAsia="zh-CN"/>
              </w:rPr>
              <w:t>“</w:t>
            </w:r>
            <w:r>
              <w:rPr>
                <w:rFonts w:hint="default"/>
              </w:rPr>
              <w:t>全封闭骨料仓+在堆存和装卸过程使用雾炮机抑尘+</w:t>
            </w:r>
            <w:r>
              <w:rPr>
                <w:rFonts w:hint="eastAsia"/>
                <w:color w:val="auto"/>
              </w:rPr>
              <w:t>厂区四周设置</w:t>
            </w:r>
            <w:r>
              <w:rPr>
                <w:rFonts w:hint="eastAsia"/>
                <w:color w:val="auto"/>
                <w:lang w:val="en-US" w:eastAsia="zh-CN"/>
              </w:rPr>
              <w:t>长655m、高5m的</w:t>
            </w:r>
            <w:r>
              <w:rPr>
                <w:rFonts w:hint="eastAsia"/>
                <w:color w:val="auto"/>
              </w:rPr>
              <w:t>防风抑尘网</w:t>
            </w:r>
            <w:r>
              <w:rPr>
                <w:rFonts w:hint="eastAsia"/>
                <w:lang w:eastAsia="zh-CN"/>
              </w:rPr>
              <w:t>”</w:t>
            </w:r>
            <w:r>
              <w:rPr>
                <w:rFonts w:hint="default"/>
              </w:rPr>
              <w:t>处理后以无组织形式排放。</w:t>
            </w:r>
          </w:p>
        </w:tc>
        <w:tc>
          <w:tcPr>
            <w:tcW w:w="2077" w:type="dxa"/>
            <w:vMerge w:val="continue"/>
            <w:tcBorders>
              <w:tl2br w:val="nil"/>
              <w:tr2bl w:val="nil"/>
            </w:tcBorders>
            <w:noWrap w:val="0"/>
            <w:vAlign w:val="center"/>
          </w:tcPr>
          <w:p w14:paraId="06F52D81">
            <w:pPr>
              <w:pStyle w:val="53"/>
              <w:bidi w:val="0"/>
              <w:rPr>
                <w:rFonts w:hint="default"/>
                <w:lang w:val="en-US" w:eastAsia="zh-CN"/>
              </w:rPr>
            </w:pPr>
          </w:p>
        </w:tc>
        <w:tc>
          <w:tcPr>
            <w:tcW w:w="1869" w:type="dxa"/>
            <w:tcBorders>
              <w:tl2br w:val="nil"/>
              <w:tr2bl w:val="nil"/>
            </w:tcBorders>
            <w:noWrap w:val="0"/>
            <w:vAlign w:val="center"/>
          </w:tcPr>
          <w:p w14:paraId="40D1F0D9">
            <w:pPr>
              <w:pStyle w:val="53"/>
              <w:bidi w:val="0"/>
              <w:rPr>
                <w:rFonts w:hint="default"/>
                <w:lang w:val="en-US" w:eastAsia="zh-CN"/>
              </w:rPr>
            </w:pPr>
            <w:r>
              <w:rPr>
                <w:rFonts w:hint="eastAsia"/>
                <w:lang w:val="en-US" w:eastAsia="zh-CN"/>
              </w:rPr>
              <w:t>颗粒物</w:t>
            </w:r>
          </w:p>
        </w:tc>
        <w:tc>
          <w:tcPr>
            <w:tcW w:w="1221" w:type="dxa"/>
            <w:vMerge w:val="continue"/>
            <w:tcBorders>
              <w:tl2br w:val="nil"/>
              <w:tr2bl w:val="nil"/>
            </w:tcBorders>
            <w:noWrap w:val="0"/>
            <w:vAlign w:val="center"/>
          </w:tcPr>
          <w:p w14:paraId="479E5985">
            <w:pPr>
              <w:pStyle w:val="38"/>
              <w:bidi w:val="0"/>
              <w:rPr>
                <w:rFonts w:hint="default" w:ascii="Times New Roman" w:hAnsi="Times New Roman" w:cs="Times New Roman"/>
                <w:sz w:val="21"/>
                <w:szCs w:val="21"/>
                <w:lang w:val="en-US" w:eastAsia="zh-CN"/>
              </w:rPr>
            </w:pPr>
          </w:p>
        </w:tc>
        <w:tc>
          <w:tcPr>
            <w:tcW w:w="1213" w:type="dxa"/>
            <w:vMerge w:val="continue"/>
            <w:tcBorders>
              <w:tl2br w:val="nil"/>
              <w:tr2bl w:val="nil"/>
            </w:tcBorders>
            <w:noWrap w:val="0"/>
            <w:vAlign w:val="center"/>
          </w:tcPr>
          <w:p w14:paraId="193DFF66">
            <w:pPr>
              <w:pStyle w:val="38"/>
              <w:bidi w:val="0"/>
              <w:rPr>
                <w:rFonts w:hint="default" w:ascii="Times New Roman" w:hAnsi="Times New Roman" w:cs="Times New Roman"/>
                <w:sz w:val="21"/>
                <w:szCs w:val="21"/>
                <w:lang w:val="en-US" w:eastAsia="zh-CN"/>
              </w:rPr>
            </w:pPr>
          </w:p>
        </w:tc>
      </w:tr>
      <w:tr w14:paraId="651F94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continue"/>
            <w:tcBorders>
              <w:tl2br w:val="nil"/>
              <w:tr2bl w:val="nil"/>
            </w:tcBorders>
            <w:noWrap w:val="0"/>
            <w:vAlign w:val="center"/>
          </w:tcPr>
          <w:p w14:paraId="7D8A2650">
            <w:pPr>
              <w:pStyle w:val="38"/>
              <w:bidi w:val="0"/>
              <w:rPr>
                <w:rFonts w:hint="default" w:ascii="Times New Roman" w:hAnsi="Times New Roman" w:cs="Times New Roman"/>
                <w:sz w:val="21"/>
                <w:szCs w:val="21"/>
                <w:lang w:val="en-US" w:eastAsia="zh-CN"/>
              </w:rPr>
            </w:pPr>
          </w:p>
        </w:tc>
        <w:tc>
          <w:tcPr>
            <w:tcW w:w="1384" w:type="dxa"/>
            <w:tcBorders>
              <w:tl2br w:val="nil"/>
              <w:tr2bl w:val="nil"/>
            </w:tcBorders>
            <w:noWrap w:val="0"/>
            <w:vAlign w:val="center"/>
          </w:tcPr>
          <w:p w14:paraId="4B728696">
            <w:pPr>
              <w:pStyle w:val="53"/>
              <w:bidi w:val="0"/>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砂石料投料、输送、计量粉尘</w:t>
            </w:r>
          </w:p>
        </w:tc>
        <w:tc>
          <w:tcPr>
            <w:tcW w:w="897" w:type="dxa"/>
            <w:tcBorders>
              <w:tl2br w:val="nil"/>
              <w:tr2bl w:val="nil"/>
            </w:tcBorders>
            <w:noWrap w:val="0"/>
            <w:vAlign w:val="center"/>
          </w:tcPr>
          <w:p w14:paraId="3E8EA8C0">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颗粒物</w:t>
            </w:r>
          </w:p>
        </w:tc>
        <w:tc>
          <w:tcPr>
            <w:tcW w:w="3926" w:type="dxa"/>
            <w:tcBorders>
              <w:tl2br w:val="nil"/>
              <w:tr2bl w:val="nil"/>
            </w:tcBorders>
            <w:noWrap w:val="0"/>
            <w:vAlign w:val="center"/>
          </w:tcPr>
          <w:p w14:paraId="081457CE">
            <w:pPr>
              <w:pStyle w:val="53"/>
              <w:bidi w:val="0"/>
              <w:ind w:firstLine="0" w:firstLineChars="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通过</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lang w:val="en-US" w:eastAsia="zh-CN"/>
              </w:rPr>
              <w:t>全封闭骨料仓、</w:t>
            </w:r>
            <w:r>
              <w:rPr>
                <w:rFonts w:hint="eastAsia" w:cs="Times New Roman"/>
                <w:sz w:val="21"/>
                <w:szCs w:val="21"/>
                <w:lang w:val="en-US" w:eastAsia="zh-CN"/>
              </w:rPr>
              <w:t>全封闭</w:t>
            </w:r>
            <w:r>
              <w:rPr>
                <w:rFonts w:hint="default" w:ascii="Times New Roman" w:hAnsi="Times New Roman" w:cs="Times New Roman"/>
                <w:sz w:val="21"/>
                <w:szCs w:val="21"/>
                <w:lang w:val="en-US" w:eastAsia="zh-CN"/>
              </w:rPr>
              <w:t>输送带+在装载机投料过程中使用雾炮机抑尘+</w:t>
            </w:r>
            <w:r>
              <w:rPr>
                <w:rFonts w:hint="eastAsia"/>
                <w:color w:val="auto"/>
              </w:rPr>
              <w:t>厂区四周设置</w:t>
            </w:r>
            <w:r>
              <w:rPr>
                <w:rFonts w:hint="eastAsia"/>
                <w:color w:val="auto"/>
                <w:lang w:val="en-US" w:eastAsia="zh-CN"/>
              </w:rPr>
              <w:t>长655m、高5m的</w:t>
            </w:r>
            <w:r>
              <w:rPr>
                <w:rFonts w:hint="eastAsia"/>
                <w:color w:val="auto"/>
              </w:rPr>
              <w:t>防风抑尘网</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lang w:val="en-US" w:eastAsia="zh-CN"/>
              </w:rPr>
              <w:t>处理后以无组织形式排放。</w:t>
            </w:r>
          </w:p>
        </w:tc>
        <w:tc>
          <w:tcPr>
            <w:tcW w:w="2077" w:type="dxa"/>
            <w:vMerge w:val="continue"/>
            <w:tcBorders>
              <w:tl2br w:val="nil"/>
              <w:tr2bl w:val="nil"/>
            </w:tcBorders>
            <w:noWrap w:val="0"/>
            <w:vAlign w:val="center"/>
          </w:tcPr>
          <w:p w14:paraId="28C5DF67">
            <w:pPr>
              <w:pStyle w:val="53"/>
              <w:bidi w:val="0"/>
              <w:rPr>
                <w:rFonts w:hint="default"/>
                <w:lang w:val="en-US" w:eastAsia="zh-CN"/>
              </w:rPr>
            </w:pPr>
          </w:p>
        </w:tc>
        <w:tc>
          <w:tcPr>
            <w:tcW w:w="1869" w:type="dxa"/>
            <w:tcBorders>
              <w:tl2br w:val="nil"/>
              <w:tr2bl w:val="nil"/>
            </w:tcBorders>
            <w:noWrap w:val="0"/>
            <w:vAlign w:val="center"/>
          </w:tcPr>
          <w:p w14:paraId="671CBFCE">
            <w:pPr>
              <w:pStyle w:val="53"/>
              <w:bidi w:val="0"/>
              <w:rPr>
                <w:rFonts w:hint="default"/>
                <w:lang w:val="en-US" w:eastAsia="zh-CN"/>
              </w:rPr>
            </w:pPr>
            <w:r>
              <w:rPr>
                <w:rFonts w:hint="eastAsia"/>
                <w:lang w:val="en-US" w:eastAsia="zh-CN"/>
              </w:rPr>
              <w:t>颗粒物</w:t>
            </w:r>
          </w:p>
        </w:tc>
        <w:tc>
          <w:tcPr>
            <w:tcW w:w="1221" w:type="dxa"/>
            <w:vMerge w:val="continue"/>
            <w:tcBorders>
              <w:tl2br w:val="nil"/>
              <w:tr2bl w:val="nil"/>
            </w:tcBorders>
            <w:noWrap w:val="0"/>
            <w:vAlign w:val="center"/>
          </w:tcPr>
          <w:p w14:paraId="75F9F4C0">
            <w:pPr>
              <w:pStyle w:val="38"/>
              <w:bidi w:val="0"/>
              <w:jc w:val="center"/>
              <w:rPr>
                <w:rFonts w:hint="default" w:ascii="Times New Roman" w:hAnsi="Times New Roman" w:cs="Times New Roman"/>
                <w:sz w:val="21"/>
                <w:szCs w:val="21"/>
                <w:lang w:val="en-US" w:eastAsia="zh-CN"/>
              </w:rPr>
            </w:pPr>
          </w:p>
        </w:tc>
        <w:tc>
          <w:tcPr>
            <w:tcW w:w="1213" w:type="dxa"/>
            <w:vMerge w:val="continue"/>
            <w:tcBorders>
              <w:tl2br w:val="nil"/>
              <w:tr2bl w:val="nil"/>
            </w:tcBorders>
            <w:noWrap w:val="0"/>
            <w:vAlign w:val="center"/>
          </w:tcPr>
          <w:p w14:paraId="799D8096">
            <w:pPr>
              <w:pStyle w:val="38"/>
              <w:bidi w:val="0"/>
              <w:rPr>
                <w:rFonts w:hint="default" w:ascii="Times New Roman" w:hAnsi="Times New Roman" w:cs="Times New Roman"/>
                <w:sz w:val="21"/>
                <w:szCs w:val="21"/>
                <w:lang w:val="en-US" w:eastAsia="zh-CN"/>
              </w:rPr>
            </w:pPr>
          </w:p>
        </w:tc>
      </w:tr>
      <w:tr w14:paraId="4E3855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41" w:type="dxa"/>
            <w:vMerge w:val="continue"/>
            <w:tcBorders>
              <w:tl2br w:val="nil"/>
              <w:tr2bl w:val="nil"/>
            </w:tcBorders>
            <w:noWrap w:val="0"/>
            <w:vAlign w:val="center"/>
          </w:tcPr>
          <w:p w14:paraId="22E4D3C8">
            <w:pPr>
              <w:pStyle w:val="38"/>
              <w:bidi w:val="0"/>
              <w:rPr>
                <w:rFonts w:hint="default" w:ascii="Times New Roman" w:hAnsi="Times New Roman" w:cs="Times New Roman"/>
                <w:sz w:val="21"/>
                <w:szCs w:val="21"/>
                <w:lang w:val="en-US" w:eastAsia="zh-CN"/>
              </w:rPr>
            </w:pPr>
          </w:p>
        </w:tc>
        <w:tc>
          <w:tcPr>
            <w:tcW w:w="1384" w:type="dxa"/>
            <w:tcBorders>
              <w:tl2br w:val="nil"/>
              <w:tr2bl w:val="nil"/>
            </w:tcBorders>
            <w:noWrap w:val="0"/>
            <w:vAlign w:val="center"/>
          </w:tcPr>
          <w:p w14:paraId="5871B114">
            <w:pPr>
              <w:pStyle w:val="53"/>
              <w:bidi w:val="0"/>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运输扬尘</w:t>
            </w:r>
          </w:p>
        </w:tc>
        <w:tc>
          <w:tcPr>
            <w:tcW w:w="897" w:type="dxa"/>
            <w:tcBorders>
              <w:tl2br w:val="nil"/>
              <w:tr2bl w:val="nil"/>
            </w:tcBorders>
            <w:noWrap w:val="0"/>
            <w:vAlign w:val="center"/>
          </w:tcPr>
          <w:p w14:paraId="4BC59DF3">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颗粒物</w:t>
            </w:r>
          </w:p>
        </w:tc>
        <w:tc>
          <w:tcPr>
            <w:tcW w:w="3926" w:type="dxa"/>
            <w:tcBorders>
              <w:tl2br w:val="nil"/>
              <w:tr2bl w:val="nil"/>
            </w:tcBorders>
            <w:noWrap w:val="0"/>
            <w:vAlign w:val="center"/>
          </w:tcPr>
          <w:p w14:paraId="061EB5DE">
            <w:pPr>
              <w:pStyle w:val="53"/>
              <w:bidi w:val="0"/>
              <w:ind w:firstLine="0" w:firstLineChars="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通过</w:t>
            </w:r>
            <w:r>
              <w:rPr>
                <w:rFonts w:hint="eastAsia" w:cs="Times New Roman"/>
                <w:sz w:val="21"/>
                <w:szCs w:val="21"/>
                <w:lang w:val="en-US" w:eastAsia="zh-CN"/>
              </w:rPr>
              <w:t>洒水车</w:t>
            </w:r>
            <w:r>
              <w:rPr>
                <w:rFonts w:hint="default" w:ascii="Times New Roman" w:hAnsi="Times New Roman" w:cs="Times New Roman"/>
                <w:sz w:val="21"/>
                <w:szCs w:val="21"/>
                <w:lang w:val="en-US" w:eastAsia="zh-CN"/>
              </w:rPr>
              <w:t>洒水抑尘和清洗运输车辆措施减少粉尘排放。</w:t>
            </w:r>
          </w:p>
        </w:tc>
        <w:tc>
          <w:tcPr>
            <w:tcW w:w="2077" w:type="dxa"/>
            <w:vMerge w:val="continue"/>
            <w:tcBorders>
              <w:tl2br w:val="nil"/>
              <w:tr2bl w:val="nil"/>
            </w:tcBorders>
            <w:noWrap w:val="0"/>
            <w:vAlign w:val="center"/>
          </w:tcPr>
          <w:p w14:paraId="5E987662">
            <w:pPr>
              <w:pStyle w:val="53"/>
              <w:bidi w:val="0"/>
              <w:rPr>
                <w:rFonts w:hint="default"/>
                <w:lang w:val="en-US" w:eastAsia="zh-CN"/>
              </w:rPr>
            </w:pPr>
          </w:p>
        </w:tc>
        <w:tc>
          <w:tcPr>
            <w:tcW w:w="1869" w:type="dxa"/>
            <w:tcBorders>
              <w:tl2br w:val="nil"/>
              <w:tr2bl w:val="nil"/>
            </w:tcBorders>
            <w:noWrap w:val="0"/>
            <w:vAlign w:val="center"/>
          </w:tcPr>
          <w:p w14:paraId="455C2039">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颗粒物</w:t>
            </w:r>
          </w:p>
        </w:tc>
        <w:tc>
          <w:tcPr>
            <w:tcW w:w="1221" w:type="dxa"/>
            <w:vMerge w:val="continue"/>
            <w:tcBorders>
              <w:tl2br w:val="nil"/>
              <w:tr2bl w:val="nil"/>
            </w:tcBorders>
            <w:noWrap w:val="0"/>
            <w:vAlign w:val="center"/>
          </w:tcPr>
          <w:p w14:paraId="6119928A">
            <w:pPr>
              <w:pStyle w:val="38"/>
              <w:bidi w:val="0"/>
              <w:rPr>
                <w:rFonts w:hint="default" w:ascii="Times New Roman" w:hAnsi="Times New Roman" w:cs="Times New Roman"/>
                <w:sz w:val="21"/>
                <w:szCs w:val="21"/>
                <w:lang w:val="en-US" w:eastAsia="zh-CN"/>
              </w:rPr>
            </w:pPr>
          </w:p>
        </w:tc>
        <w:tc>
          <w:tcPr>
            <w:tcW w:w="1213" w:type="dxa"/>
            <w:vMerge w:val="continue"/>
            <w:tcBorders>
              <w:tl2br w:val="nil"/>
              <w:tr2bl w:val="nil"/>
            </w:tcBorders>
            <w:noWrap w:val="0"/>
            <w:vAlign w:val="center"/>
          </w:tcPr>
          <w:p w14:paraId="19D0877E">
            <w:pPr>
              <w:pStyle w:val="38"/>
              <w:bidi w:val="0"/>
              <w:rPr>
                <w:rFonts w:hint="default" w:ascii="Times New Roman" w:hAnsi="Times New Roman" w:cs="Times New Roman"/>
                <w:sz w:val="21"/>
                <w:szCs w:val="21"/>
                <w:lang w:val="en-US" w:eastAsia="zh-CN"/>
              </w:rPr>
            </w:pPr>
          </w:p>
        </w:tc>
      </w:tr>
      <w:tr w14:paraId="2F6CA1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restart"/>
            <w:tcBorders>
              <w:tl2br w:val="nil"/>
              <w:tr2bl w:val="nil"/>
            </w:tcBorders>
            <w:noWrap w:val="0"/>
            <w:vAlign w:val="center"/>
          </w:tcPr>
          <w:p w14:paraId="25C0623E">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废水</w:t>
            </w:r>
          </w:p>
        </w:tc>
        <w:tc>
          <w:tcPr>
            <w:tcW w:w="2281" w:type="dxa"/>
            <w:gridSpan w:val="2"/>
            <w:tcBorders>
              <w:tl2br w:val="nil"/>
              <w:tr2bl w:val="nil"/>
            </w:tcBorders>
            <w:noWrap w:val="0"/>
            <w:vAlign w:val="center"/>
          </w:tcPr>
          <w:p w14:paraId="350CEFF1">
            <w:pPr>
              <w:pStyle w:val="53"/>
              <w:bidi w:val="0"/>
              <w:ind w:firstLine="0" w:firstLineChars="0"/>
              <w:rPr>
                <w:rFonts w:hint="default" w:ascii="Times New Roman" w:hAnsi="Times New Roman" w:cs="Times New Roman"/>
                <w:sz w:val="21"/>
                <w:szCs w:val="21"/>
                <w:lang w:val="en-US" w:eastAsia="zh-CN"/>
              </w:rPr>
            </w:pPr>
            <w:r>
              <w:rPr>
                <w:rFonts w:hint="eastAsia"/>
                <w:lang w:val="en-US" w:eastAsia="zh-CN"/>
              </w:rPr>
              <w:t>生活污水</w:t>
            </w:r>
          </w:p>
        </w:tc>
        <w:tc>
          <w:tcPr>
            <w:tcW w:w="3926" w:type="dxa"/>
            <w:tcBorders>
              <w:tl2br w:val="nil"/>
              <w:tr2bl w:val="nil"/>
            </w:tcBorders>
            <w:noWrap w:val="0"/>
            <w:vAlign w:val="center"/>
          </w:tcPr>
          <w:p w14:paraId="1748E807">
            <w:pPr>
              <w:pStyle w:val="53"/>
              <w:bidi w:val="0"/>
              <w:ind w:firstLine="0" w:firstLineChars="0"/>
              <w:jc w:val="both"/>
              <w:rPr>
                <w:rFonts w:hint="default" w:ascii="Times New Roman" w:hAnsi="Times New Roman" w:cs="Times New Roman"/>
                <w:sz w:val="21"/>
                <w:szCs w:val="21"/>
                <w:lang w:val="en-US" w:eastAsia="zh-CN"/>
              </w:rPr>
            </w:pPr>
            <w:r>
              <w:rPr>
                <w:rFonts w:hint="default"/>
              </w:rPr>
              <w:t>经化粪池预处理后，定期拉运至甘其毛都口岸加工园区污水处理厂。</w:t>
            </w:r>
          </w:p>
        </w:tc>
        <w:tc>
          <w:tcPr>
            <w:tcW w:w="2077" w:type="dxa"/>
            <w:vMerge w:val="restart"/>
            <w:tcBorders>
              <w:tl2br w:val="nil"/>
              <w:tr2bl w:val="nil"/>
            </w:tcBorders>
            <w:noWrap w:val="0"/>
            <w:vAlign w:val="center"/>
          </w:tcPr>
          <w:p w14:paraId="52502255">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《污水综合排放标准》（GB8978-1996）三级标准浓度限值</w:t>
            </w:r>
          </w:p>
        </w:tc>
        <w:tc>
          <w:tcPr>
            <w:tcW w:w="1869" w:type="dxa"/>
            <w:tcBorders>
              <w:tl2br w:val="nil"/>
              <w:tr2bl w:val="nil"/>
            </w:tcBorders>
            <w:noWrap w:val="0"/>
            <w:vAlign w:val="center"/>
          </w:tcPr>
          <w:p w14:paraId="34907F29">
            <w:pPr>
              <w:pStyle w:val="53"/>
              <w:bidi w:val="0"/>
              <w:rPr>
                <w:rFonts w:hint="default" w:ascii="Times New Roman" w:hAnsi="Times New Roman" w:cs="Times New Roman"/>
                <w:sz w:val="21"/>
                <w:szCs w:val="21"/>
                <w:lang w:val="en-US" w:eastAsia="zh-CN"/>
              </w:rPr>
            </w:pPr>
            <w:r>
              <w:rPr>
                <w:rFonts w:hint="default"/>
                <w:color w:val="auto"/>
                <w:lang w:val="en-US" w:eastAsia="zh-CN"/>
              </w:rPr>
              <w:t>pH</w:t>
            </w:r>
            <w:r>
              <w:rPr>
                <w:rFonts w:hint="eastAsia"/>
                <w:color w:val="auto"/>
                <w:lang w:val="en-US" w:eastAsia="zh-CN"/>
              </w:rPr>
              <w:t>、</w:t>
            </w:r>
            <w:r>
              <w:rPr>
                <w:rFonts w:hint="default"/>
                <w:color w:val="auto"/>
                <w:lang w:val="en-US" w:eastAsia="zh-CN"/>
              </w:rPr>
              <w:t>COD</w:t>
            </w:r>
            <w:r>
              <w:rPr>
                <w:rFonts w:hint="eastAsia"/>
                <w:color w:val="auto"/>
                <w:lang w:val="en-US" w:eastAsia="zh-CN"/>
              </w:rPr>
              <w:t>、</w:t>
            </w:r>
            <w:r>
              <w:rPr>
                <w:rFonts w:hint="default"/>
                <w:color w:val="auto"/>
                <w:lang w:val="en-US" w:eastAsia="zh-CN"/>
              </w:rPr>
              <w:t>NH</w:t>
            </w:r>
            <w:r>
              <w:rPr>
                <w:rFonts w:hint="default"/>
                <w:color w:val="auto"/>
                <w:vertAlign w:val="subscript"/>
                <w:lang w:val="en-US" w:eastAsia="zh-CN"/>
              </w:rPr>
              <w:t>3</w:t>
            </w:r>
            <w:r>
              <w:rPr>
                <w:rFonts w:hint="default"/>
                <w:color w:val="auto"/>
                <w:lang w:val="en-US" w:eastAsia="zh-CN"/>
              </w:rPr>
              <w:t>-N</w:t>
            </w:r>
            <w:r>
              <w:rPr>
                <w:rFonts w:hint="eastAsia"/>
                <w:color w:val="auto"/>
                <w:lang w:val="en-US" w:eastAsia="zh-CN"/>
              </w:rPr>
              <w:t>、</w:t>
            </w:r>
            <w:r>
              <w:rPr>
                <w:rFonts w:hint="default"/>
                <w:color w:val="auto"/>
                <w:lang w:val="en-US" w:eastAsia="zh-CN"/>
              </w:rPr>
              <w:t>SS</w:t>
            </w:r>
            <w:r>
              <w:rPr>
                <w:rFonts w:hint="eastAsia"/>
                <w:color w:val="auto"/>
                <w:lang w:val="en-US" w:eastAsia="zh-CN"/>
              </w:rPr>
              <w:t>、</w:t>
            </w:r>
            <w:r>
              <w:rPr>
                <w:rFonts w:hint="default"/>
                <w:color w:val="auto"/>
                <w:lang w:val="en-US" w:eastAsia="zh-CN"/>
              </w:rPr>
              <w:t>BOD</w:t>
            </w:r>
            <w:r>
              <w:rPr>
                <w:rFonts w:hint="default"/>
                <w:color w:val="auto"/>
                <w:vertAlign w:val="subscript"/>
                <w:lang w:val="en-US" w:eastAsia="zh-CN"/>
              </w:rPr>
              <w:t>5</w:t>
            </w:r>
            <w:r>
              <w:rPr>
                <w:rFonts w:hint="eastAsia"/>
                <w:color w:val="auto"/>
                <w:vertAlign w:val="baseline"/>
                <w:lang w:val="en-US" w:eastAsia="zh-CN"/>
              </w:rPr>
              <w:t>、动植物油</w:t>
            </w:r>
          </w:p>
        </w:tc>
        <w:tc>
          <w:tcPr>
            <w:tcW w:w="1221" w:type="dxa"/>
            <w:tcBorders>
              <w:tl2br w:val="nil"/>
              <w:tr2bl w:val="nil"/>
            </w:tcBorders>
            <w:noWrap w:val="0"/>
            <w:vAlign w:val="center"/>
          </w:tcPr>
          <w:p w14:paraId="57528042">
            <w:pPr>
              <w:pStyle w:val="53"/>
              <w:bidi w:val="0"/>
              <w:ind w:firstLine="0" w:firstLineChars="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4次/d，共监测2天</w:t>
            </w:r>
            <w:r>
              <w:rPr>
                <w:rFonts w:hint="eastAsia" w:cs="Times New Roman"/>
                <w:sz w:val="21"/>
                <w:szCs w:val="21"/>
                <w:lang w:val="en-US" w:eastAsia="zh-CN"/>
              </w:rPr>
              <w:t>。</w:t>
            </w:r>
          </w:p>
        </w:tc>
        <w:tc>
          <w:tcPr>
            <w:tcW w:w="1213" w:type="dxa"/>
            <w:tcBorders>
              <w:tl2br w:val="nil"/>
              <w:tr2bl w:val="nil"/>
            </w:tcBorders>
            <w:noWrap w:val="0"/>
            <w:vAlign w:val="center"/>
          </w:tcPr>
          <w:p w14:paraId="1AB67878">
            <w:pPr>
              <w:pStyle w:val="53"/>
              <w:bidi w:val="0"/>
              <w:ind w:firstLine="0" w:firstLineChars="0"/>
              <w:rPr>
                <w:rFonts w:hint="default" w:ascii="Times New Roman" w:hAnsi="Times New Roman" w:cs="Times New Roman"/>
                <w:sz w:val="21"/>
                <w:szCs w:val="21"/>
                <w:lang w:val="en-US" w:eastAsia="zh-CN"/>
              </w:rPr>
            </w:pPr>
            <w:r>
              <w:rPr>
                <w:rFonts w:hint="eastAsia" w:cs="Times New Roman"/>
                <w:sz w:val="21"/>
                <w:szCs w:val="21"/>
                <w:lang w:val="en-US" w:eastAsia="zh-CN"/>
              </w:rPr>
              <w:t>化粪池</w:t>
            </w:r>
          </w:p>
        </w:tc>
      </w:tr>
      <w:tr w14:paraId="1333A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continue"/>
            <w:tcBorders>
              <w:tl2br w:val="nil"/>
              <w:tr2bl w:val="nil"/>
            </w:tcBorders>
            <w:noWrap w:val="0"/>
            <w:vAlign w:val="center"/>
          </w:tcPr>
          <w:p w14:paraId="7C3746DB">
            <w:pPr>
              <w:pStyle w:val="38"/>
              <w:bidi w:val="0"/>
              <w:rPr>
                <w:rFonts w:hint="default" w:ascii="Times New Roman" w:hAnsi="Times New Roman" w:cs="Times New Roman"/>
                <w:sz w:val="21"/>
                <w:szCs w:val="21"/>
                <w:lang w:val="en-US" w:eastAsia="zh-CN"/>
              </w:rPr>
            </w:pPr>
          </w:p>
        </w:tc>
        <w:tc>
          <w:tcPr>
            <w:tcW w:w="2281" w:type="dxa"/>
            <w:gridSpan w:val="2"/>
            <w:tcBorders>
              <w:tl2br w:val="nil"/>
              <w:tr2bl w:val="nil"/>
            </w:tcBorders>
            <w:noWrap w:val="0"/>
            <w:vAlign w:val="center"/>
          </w:tcPr>
          <w:p w14:paraId="55F83152">
            <w:pPr>
              <w:pStyle w:val="53"/>
              <w:bidi w:val="0"/>
              <w:ind w:firstLine="0" w:firstLineChars="0"/>
              <w:rPr>
                <w:rFonts w:hint="default" w:ascii="Times New Roman" w:hAnsi="Times New Roman" w:cs="Times New Roman"/>
                <w:sz w:val="21"/>
                <w:szCs w:val="21"/>
                <w:lang w:val="en-US" w:eastAsia="zh-CN"/>
              </w:rPr>
            </w:pPr>
            <w:r>
              <w:rPr>
                <w:rFonts w:hint="eastAsia"/>
                <w:lang w:val="en-US" w:eastAsia="zh-CN"/>
              </w:rPr>
              <w:t>搅拌废水</w:t>
            </w:r>
          </w:p>
        </w:tc>
        <w:tc>
          <w:tcPr>
            <w:tcW w:w="3926" w:type="dxa"/>
            <w:tcBorders>
              <w:tl2br w:val="nil"/>
              <w:tr2bl w:val="nil"/>
            </w:tcBorders>
            <w:noWrap w:val="0"/>
            <w:vAlign w:val="center"/>
          </w:tcPr>
          <w:p w14:paraId="7C25DD67">
            <w:pPr>
              <w:pStyle w:val="53"/>
              <w:bidi w:val="0"/>
              <w:ind w:firstLine="0" w:firstLineChars="0"/>
              <w:jc w:val="both"/>
              <w:rPr>
                <w:rFonts w:hint="default" w:ascii="Times New Roman" w:hAnsi="Times New Roman" w:cs="Times New Roman"/>
                <w:sz w:val="21"/>
                <w:szCs w:val="21"/>
                <w:lang w:val="en-US" w:eastAsia="zh-CN"/>
              </w:rPr>
            </w:pPr>
            <w:r>
              <w:rPr>
                <w:rFonts w:hint="eastAsia"/>
                <w:lang w:val="en-US" w:eastAsia="zh-CN"/>
              </w:rPr>
              <w:t>全部进入产品中，无废水外排。</w:t>
            </w:r>
          </w:p>
        </w:tc>
        <w:tc>
          <w:tcPr>
            <w:tcW w:w="2077" w:type="dxa"/>
            <w:vMerge w:val="continue"/>
            <w:tcBorders>
              <w:tl2br w:val="nil"/>
              <w:tr2bl w:val="nil"/>
            </w:tcBorders>
            <w:noWrap w:val="0"/>
            <w:vAlign w:val="center"/>
          </w:tcPr>
          <w:p w14:paraId="30F76ACB">
            <w:pPr>
              <w:pStyle w:val="38"/>
              <w:bidi w:val="0"/>
              <w:rPr>
                <w:rFonts w:hint="default" w:ascii="Times New Roman" w:hAnsi="Times New Roman" w:cs="Times New Roman"/>
                <w:sz w:val="21"/>
                <w:szCs w:val="21"/>
                <w:lang w:val="en-US" w:eastAsia="zh-CN"/>
              </w:rPr>
            </w:pPr>
          </w:p>
        </w:tc>
        <w:tc>
          <w:tcPr>
            <w:tcW w:w="1869" w:type="dxa"/>
            <w:tcBorders>
              <w:tl2br w:val="nil"/>
              <w:tr2bl w:val="nil"/>
            </w:tcBorders>
            <w:noWrap w:val="0"/>
            <w:vAlign w:val="center"/>
          </w:tcPr>
          <w:p w14:paraId="1CA21844">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SS</w:t>
            </w:r>
          </w:p>
        </w:tc>
        <w:tc>
          <w:tcPr>
            <w:tcW w:w="1221" w:type="dxa"/>
            <w:tcBorders>
              <w:tl2br w:val="nil"/>
              <w:tr2bl w:val="nil"/>
            </w:tcBorders>
            <w:noWrap w:val="0"/>
            <w:vAlign w:val="center"/>
          </w:tcPr>
          <w:p w14:paraId="267745D4">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c>
          <w:tcPr>
            <w:tcW w:w="1213" w:type="dxa"/>
            <w:tcBorders>
              <w:tl2br w:val="nil"/>
              <w:tr2bl w:val="nil"/>
            </w:tcBorders>
            <w:noWrap w:val="0"/>
            <w:vAlign w:val="center"/>
          </w:tcPr>
          <w:p w14:paraId="71DF626D">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r>
      <w:tr w14:paraId="01382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continue"/>
            <w:tcBorders>
              <w:tl2br w:val="nil"/>
              <w:tr2bl w:val="nil"/>
            </w:tcBorders>
            <w:noWrap w:val="0"/>
            <w:vAlign w:val="center"/>
          </w:tcPr>
          <w:p w14:paraId="241ED7E9">
            <w:pPr>
              <w:pStyle w:val="38"/>
              <w:bidi w:val="0"/>
              <w:rPr>
                <w:rFonts w:hint="default" w:ascii="Times New Roman" w:hAnsi="Times New Roman" w:cs="Times New Roman"/>
                <w:sz w:val="21"/>
                <w:szCs w:val="21"/>
                <w:lang w:val="en-US" w:eastAsia="zh-CN"/>
              </w:rPr>
            </w:pPr>
          </w:p>
        </w:tc>
        <w:tc>
          <w:tcPr>
            <w:tcW w:w="2281" w:type="dxa"/>
            <w:gridSpan w:val="2"/>
            <w:tcBorders>
              <w:tl2br w:val="nil"/>
              <w:tr2bl w:val="nil"/>
            </w:tcBorders>
            <w:noWrap w:val="0"/>
            <w:vAlign w:val="center"/>
          </w:tcPr>
          <w:p w14:paraId="2B4AC703">
            <w:pPr>
              <w:pStyle w:val="53"/>
              <w:bidi w:val="0"/>
              <w:ind w:firstLine="0" w:firstLineChars="0"/>
              <w:rPr>
                <w:rFonts w:hint="default" w:ascii="Times New Roman" w:hAnsi="Times New Roman" w:cs="Times New Roman"/>
                <w:sz w:val="21"/>
                <w:szCs w:val="21"/>
                <w:lang w:val="en-US" w:eastAsia="zh-CN"/>
              </w:rPr>
            </w:pPr>
            <w:r>
              <w:rPr>
                <w:rFonts w:hint="eastAsia"/>
                <w:lang w:val="en-US" w:eastAsia="zh-CN"/>
              </w:rPr>
              <w:t>全封闭搅拌机清洗废水</w:t>
            </w:r>
          </w:p>
        </w:tc>
        <w:tc>
          <w:tcPr>
            <w:tcW w:w="3926" w:type="dxa"/>
            <w:tcBorders>
              <w:tl2br w:val="nil"/>
              <w:tr2bl w:val="nil"/>
            </w:tcBorders>
            <w:noWrap w:val="0"/>
            <w:vAlign w:val="center"/>
          </w:tcPr>
          <w:p w14:paraId="35060163">
            <w:pPr>
              <w:pStyle w:val="53"/>
              <w:bidi w:val="0"/>
              <w:ind w:firstLine="0" w:firstLineChars="0"/>
              <w:jc w:val="both"/>
              <w:rPr>
                <w:rFonts w:hint="default" w:ascii="Times New Roman" w:hAnsi="Times New Roman" w:cs="Times New Roman"/>
                <w:sz w:val="21"/>
                <w:szCs w:val="21"/>
                <w:lang w:val="en-US" w:eastAsia="zh-CN"/>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tc>
        <w:tc>
          <w:tcPr>
            <w:tcW w:w="2077" w:type="dxa"/>
            <w:vMerge w:val="continue"/>
            <w:tcBorders>
              <w:tl2br w:val="nil"/>
              <w:tr2bl w:val="nil"/>
            </w:tcBorders>
            <w:noWrap w:val="0"/>
            <w:vAlign w:val="center"/>
          </w:tcPr>
          <w:p w14:paraId="3DE13F66">
            <w:pPr>
              <w:pStyle w:val="38"/>
              <w:bidi w:val="0"/>
              <w:rPr>
                <w:rFonts w:hint="default" w:ascii="Times New Roman" w:hAnsi="Times New Roman" w:cs="Times New Roman"/>
                <w:sz w:val="21"/>
                <w:szCs w:val="21"/>
                <w:lang w:val="en-US" w:eastAsia="zh-CN"/>
              </w:rPr>
            </w:pPr>
          </w:p>
        </w:tc>
        <w:tc>
          <w:tcPr>
            <w:tcW w:w="1869" w:type="dxa"/>
            <w:tcBorders>
              <w:tl2br w:val="nil"/>
              <w:tr2bl w:val="nil"/>
            </w:tcBorders>
            <w:noWrap w:val="0"/>
            <w:vAlign w:val="center"/>
          </w:tcPr>
          <w:p w14:paraId="56707DAF">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SS</w:t>
            </w:r>
          </w:p>
        </w:tc>
        <w:tc>
          <w:tcPr>
            <w:tcW w:w="1221" w:type="dxa"/>
            <w:tcBorders>
              <w:tl2br w:val="nil"/>
              <w:tr2bl w:val="nil"/>
            </w:tcBorders>
            <w:noWrap w:val="0"/>
            <w:vAlign w:val="center"/>
          </w:tcPr>
          <w:p w14:paraId="67ECC9BF">
            <w:pPr>
              <w:pStyle w:val="53"/>
              <w:bidi w:val="0"/>
              <w:ind w:firstLine="0" w:firstLineChars="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c>
          <w:tcPr>
            <w:tcW w:w="1213" w:type="dxa"/>
            <w:tcBorders>
              <w:tl2br w:val="nil"/>
              <w:tr2bl w:val="nil"/>
            </w:tcBorders>
            <w:noWrap w:val="0"/>
            <w:vAlign w:val="center"/>
          </w:tcPr>
          <w:p w14:paraId="69282902">
            <w:pPr>
              <w:pStyle w:val="53"/>
              <w:bidi w:val="0"/>
              <w:ind w:firstLine="0" w:firstLineChars="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r>
      <w:tr w14:paraId="583A5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continue"/>
            <w:tcBorders>
              <w:tl2br w:val="nil"/>
              <w:tr2bl w:val="nil"/>
            </w:tcBorders>
            <w:noWrap w:val="0"/>
            <w:vAlign w:val="center"/>
          </w:tcPr>
          <w:p w14:paraId="69B3C348">
            <w:pPr>
              <w:pStyle w:val="38"/>
              <w:bidi w:val="0"/>
              <w:rPr>
                <w:rFonts w:hint="default" w:ascii="Times New Roman" w:hAnsi="Times New Roman" w:cs="Times New Roman"/>
                <w:sz w:val="21"/>
                <w:szCs w:val="21"/>
                <w:lang w:val="en-US" w:eastAsia="zh-CN"/>
              </w:rPr>
            </w:pPr>
          </w:p>
        </w:tc>
        <w:tc>
          <w:tcPr>
            <w:tcW w:w="2281" w:type="dxa"/>
            <w:gridSpan w:val="2"/>
            <w:tcBorders>
              <w:tl2br w:val="nil"/>
              <w:tr2bl w:val="nil"/>
            </w:tcBorders>
            <w:noWrap w:val="0"/>
            <w:vAlign w:val="center"/>
          </w:tcPr>
          <w:p w14:paraId="5228AF6F">
            <w:pPr>
              <w:pStyle w:val="53"/>
              <w:bidi w:val="0"/>
              <w:ind w:firstLine="0" w:firstLineChars="0"/>
              <w:rPr>
                <w:rFonts w:hint="default" w:ascii="Times New Roman" w:hAnsi="Times New Roman" w:cs="Times New Roman"/>
                <w:sz w:val="21"/>
                <w:szCs w:val="21"/>
                <w:lang w:val="en-US" w:eastAsia="zh-CN"/>
              </w:rPr>
            </w:pPr>
            <w:r>
              <w:rPr>
                <w:rFonts w:hint="default"/>
                <w:lang w:val="en-US" w:eastAsia="zh-CN"/>
              </w:rPr>
              <w:t>混凝土运输车清洗废水</w:t>
            </w:r>
          </w:p>
        </w:tc>
        <w:tc>
          <w:tcPr>
            <w:tcW w:w="3926" w:type="dxa"/>
            <w:tcBorders>
              <w:tl2br w:val="nil"/>
              <w:tr2bl w:val="nil"/>
            </w:tcBorders>
            <w:noWrap w:val="0"/>
            <w:vAlign w:val="center"/>
          </w:tcPr>
          <w:p w14:paraId="775048AF">
            <w:pPr>
              <w:pStyle w:val="53"/>
              <w:bidi w:val="0"/>
              <w:ind w:firstLine="0" w:firstLineChars="0"/>
              <w:jc w:val="both"/>
              <w:rPr>
                <w:rFonts w:hint="default" w:ascii="Times New Roman" w:hAnsi="Times New Roman" w:cs="Times New Roman"/>
                <w:sz w:val="21"/>
                <w:szCs w:val="21"/>
                <w:lang w:val="en-US" w:eastAsia="zh-CN"/>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tc>
        <w:tc>
          <w:tcPr>
            <w:tcW w:w="2077" w:type="dxa"/>
            <w:vMerge w:val="continue"/>
            <w:tcBorders>
              <w:tl2br w:val="nil"/>
              <w:tr2bl w:val="nil"/>
            </w:tcBorders>
            <w:noWrap w:val="0"/>
            <w:vAlign w:val="center"/>
          </w:tcPr>
          <w:p w14:paraId="68137BCE">
            <w:pPr>
              <w:pStyle w:val="38"/>
              <w:bidi w:val="0"/>
              <w:rPr>
                <w:rFonts w:hint="default" w:ascii="Times New Roman" w:hAnsi="Times New Roman" w:cs="Times New Roman"/>
                <w:sz w:val="21"/>
                <w:szCs w:val="21"/>
                <w:lang w:val="en-US" w:eastAsia="zh-CN"/>
              </w:rPr>
            </w:pPr>
          </w:p>
        </w:tc>
        <w:tc>
          <w:tcPr>
            <w:tcW w:w="1869" w:type="dxa"/>
            <w:tcBorders>
              <w:tl2br w:val="nil"/>
              <w:tr2bl w:val="nil"/>
            </w:tcBorders>
            <w:noWrap w:val="0"/>
            <w:vAlign w:val="center"/>
          </w:tcPr>
          <w:p w14:paraId="612280AF">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SS</w:t>
            </w:r>
          </w:p>
        </w:tc>
        <w:tc>
          <w:tcPr>
            <w:tcW w:w="1221" w:type="dxa"/>
            <w:tcBorders>
              <w:tl2br w:val="nil"/>
              <w:tr2bl w:val="nil"/>
            </w:tcBorders>
            <w:noWrap w:val="0"/>
            <w:vAlign w:val="center"/>
          </w:tcPr>
          <w:p w14:paraId="7D91E849">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c>
          <w:tcPr>
            <w:tcW w:w="1213" w:type="dxa"/>
            <w:tcBorders>
              <w:tl2br w:val="nil"/>
              <w:tr2bl w:val="nil"/>
            </w:tcBorders>
            <w:noWrap w:val="0"/>
            <w:vAlign w:val="center"/>
          </w:tcPr>
          <w:p w14:paraId="392BFEAD">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r>
      <w:tr w14:paraId="52D2E4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continue"/>
            <w:tcBorders>
              <w:tl2br w:val="nil"/>
              <w:tr2bl w:val="nil"/>
            </w:tcBorders>
            <w:noWrap w:val="0"/>
            <w:vAlign w:val="center"/>
          </w:tcPr>
          <w:p w14:paraId="73591833">
            <w:pPr>
              <w:pStyle w:val="38"/>
              <w:bidi w:val="0"/>
              <w:rPr>
                <w:rFonts w:hint="default" w:ascii="Times New Roman" w:hAnsi="Times New Roman" w:cs="Times New Roman"/>
                <w:sz w:val="21"/>
                <w:szCs w:val="21"/>
                <w:lang w:val="en-US" w:eastAsia="zh-CN"/>
              </w:rPr>
            </w:pPr>
          </w:p>
        </w:tc>
        <w:tc>
          <w:tcPr>
            <w:tcW w:w="2281" w:type="dxa"/>
            <w:gridSpan w:val="2"/>
            <w:tcBorders>
              <w:tl2br w:val="nil"/>
              <w:tr2bl w:val="nil"/>
            </w:tcBorders>
            <w:noWrap w:val="0"/>
            <w:vAlign w:val="center"/>
          </w:tcPr>
          <w:p w14:paraId="384F3F69">
            <w:pPr>
              <w:pStyle w:val="53"/>
              <w:bidi w:val="0"/>
              <w:ind w:firstLine="0" w:firstLineChars="0"/>
              <w:rPr>
                <w:rFonts w:hint="eastAsia"/>
                <w:color w:val="auto"/>
              </w:rPr>
            </w:pPr>
            <w:r>
              <w:rPr>
                <w:rFonts w:hint="eastAsia"/>
                <w:lang w:val="en-US" w:eastAsia="zh-CN"/>
              </w:rPr>
              <w:t>抑尘废水</w:t>
            </w:r>
          </w:p>
        </w:tc>
        <w:tc>
          <w:tcPr>
            <w:tcW w:w="3926" w:type="dxa"/>
            <w:tcBorders>
              <w:tl2br w:val="nil"/>
              <w:tr2bl w:val="nil"/>
            </w:tcBorders>
            <w:noWrap w:val="0"/>
            <w:vAlign w:val="center"/>
          </w:tcPr>
          <w:p w14:paraId="00F6A9EA">
            <w:pPr>
              <w:pStyle w:val="53"/>
              <w:bidi w:val="0"/>
              <w:ind w:firstLine="0" w:firstLineChars="0"/>
              <w:jc w:val="both"/>
              <w:rPr>
                <w:rFonts w:hint="eastAsia"/>
                <w:color w:val="auto"/>
              </w:rPr>
            </w:pPr>
            <w:r>
              <w:rPr>
                <w:rFonts w:hint="eastAsia"/>
                <w:lang w:val="en-US" w:eastAsia="zh-CN"/>
              </w:rPr>
              <w:t>全部自然蒸发，无废水外排。</w:t>
            </w:r>
          </w:p>
        </w:tc>
        <w:tc>
          <w:tcPr>
            <w:tcW w:w="2077" w:type="dxa"/>
            <w:vMerge w:val="continue"/>
            <w:tcBorders>
              <w:tl2br w:val="nil"/>
              <w:tr2bl w:val="nil"/>
            </w:tcBorders>
            <w:noWrap w:val="0"/>
            <w:vAlign w:val="center"/>
          </w:tcPr>
          <w:p w14:paraId="7EB89EF5">
            <w:pPr>
              <w:pStyle w:val="38"/>
              <w:bidi w:val="0"/>
              <w:rPr>
                <w:rFonts w:hint="default" w:ascii="Times New Roman" w:hAnsi="Times New Roman" w:cs="Times New Roman"/>
                <w:sz w:val="21"/>
                <w:szCs w:val="21"/>
                <w:lang w:val="en-US" w:eastAsia="zh-CN"/>
              </w:rPr>
            </w:pPr>
          </w:p>
        </w:tc>
        <w:tc>
          <w:tcPr>
            <w:tcW w:w="1869" w:type="dxa"/>
            <w:tcBorders>
              <w:tl2br w:val="nil"/>
              <w:tr2bl w:val="nil"/>
            </w:tcBorders>
            <w:noWrap w:val="0"/>
            <w:vAlign w:val="center"/>
          </w:tcPr>
          <w:p w14:paraId="2D639654">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SS</w:t>
            </w:r>
          </w:p>
        </w:tc>
        <w:tc>
          <w:tcPr>
            <w:tcW w:w="1221" w:type="dxa"/>
            <w:tcBorders>
              <w:tl2br w:val="nil"/>
              <w:tr2bl w:val="nil"/>
            </w:tcBorders>
            <w:noWrap w:val="0"/>
            <w:vAlign w:val="center"/>
          </w:tcPr>
          <w:p w14:paraId="0827066E">
            <w:pPr>
              <w:pStyle w:val="38"/>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c>
          <w:tcPr>
            <w:tcW w:w="1213" w:type="dxa"/>
            <w:tcBorders>
              <w:tl2br w:val="nil"/>
              <w:tr2bl w:val="nil"/>
            </w:tcBorders>
            <w:noWrap w:val="0"/>
            <w:vAlign w:val="center"/>
          </w:tcPr>
          <w:p w14:paraId="615BCA77">
            <w:pPr>
              <w:pStyle w:val="38"/>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w:t>
            </w:r>
          </w:p>
        </w:tc>
      </w:tr>
      <w:tr w14:paraId="2D27E6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restart"/>
            <w:tcBorders>
              <w:tl2br w:val="nil"/>
              <w:tr2bl w:val="nil"/>
            </w:tcBorders>
            <w:noWrap w:val="0"/>
            <w:vAlign w:val="center"/>
          </w:tcPr>
          <w:p w14:paraId="04224743">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噪声</w:t>
            </w:r>
          </w:p>
        </w:tc>
        <w:tc>
          <w:tcPr>
            <w:tcW w:w="2281" w:type="dxa"/>
            <w:gridSpan w:val="2"/>
            <w:tcBorders>
              <w:tl2br w:val="nil"/>
              <w:tr2bl w:val="nil"/>
            </w:tcBorders>
            <w:noWrap w:val="0"/>
            <w:vAlign w:val="center"/>
          </w:tcPr>
          <w:p w14:paraId="16D6F015">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机械噪声</w:t>
            </w:r>
          </w:p>
        </w:tc>
        <w:tc>
          <w:tcPr>
            <w:tcW w:w="3926" w:type="dxa"/>
            <w:tcBorders>
              <w:tl2br w:val="nil"/>
              <w:tr2bl w:val="nil"/>
            </w:tcBorders>
            <w:noWrap w:val="0"/>
            <w:vAlign w:val="center"/>
          </w:tcPr>
          <w:p w14:paraId="68D0EF6E">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采购低噪声设备，基础减振、风机安装消声器、墙体隔声，合理布局，定期检查、维修设备，使设备处于良好的运行状态。</w:t>
            </w:r>
          </w:p>
        </w:tc>
        <w:tc>
          <w:tcPr>
            <w:tcW w:w="2077" w:type="dxa"/>
            <w:vMerge w:val="restart"/>
            <w:tcBorders>
              <w:tl2br w:val="nil"/>
              <w:tr2bl w:val="nil"/>
            </w:tcBorders>
            <w:noWrap w:val="0"/>
            <w:vAlign w:val="center"/>
          </w:tcPr>
          <w:p w14:paraId="57EB1A2D">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《工业企业厂界环境噪声排放标准》（GB12348-2008）</w:t>
            </w:r>
            <w:r>
              <w:rPr>
                <w:rFonts w:hint="eastAsia" w:ascii="Times New Roman" w:cs="Times New Roman"/>
                <w:sz w:val="21"/>
                <w:szCs w:val="21"/>
                <w:lang w:val="en-US" w:eastAsia="zh-CN"/>
              </w:rPr>
              <w:t>2</w:t>
            </w:r>
            <w:r>
              <w:rPr>
                <w:rFonts w:hint="default" w:ascii="Times New Roman" w:hAnsi="Times New Roman" w:cs="Times New Roman"/>
                <w:sz w:val="21"/>
                <w:szCs w:val="21"/>
                <w:lang w:val="en-US" w:eastAsia="zh-CN"/>
              </w:rPr>
              <w:t>类标准</w:t>
            </w:r>
          </w:p>
        </w:tc>
        <w:tc>
          <w:tcPr>
            <w:tcW w:w="1869" w:type="dxa"/>
            <w:tcBorders>
              <w:tl2br w:val="nil"/>
              <w:tr2bl w:val="nil"/>
            </w:tcBorders>
            <w:noWrap w:val="0"/>
            <w:vAlign w:val="center"/>
          </w:tcPr>
          <w:p w14:paraId="46F07FD4">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Cs w:val="21"/>
              </w:rPr>
              <w:t>Leq（A）</w:t>
            </w:r>
          </w:p>
        </w:tc>
        <w:tc>
          <w:tcPr>
            <w:tcW w:w="1221" w:type="dxa"/>
            <w:tcBorders>
              <w:tl2br w:val="nil"/>
              <w:tr2bl w:val="nil"/>
            </w:tcBorders>
            <w:noWrap w:val="0"/>
            <w:vAlign w:val="center"/>
          </w:tcPr>
          <w:p w14:paraId="3AE7B211">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昼间1次，共监测2天</w:t>
            </w:r>
            <w:r>
              <w:rPr>
                <w:rFonts w:hint="eastAsia" w:ascii="Times New Roman" w:cs="Times New Roman"/>
                <w:sz w:val="21"/>
                <w:szCs w:val="21"/>
                <w:lang w:val="en-US" w:eastAsia="zh-CN"/>
              </w:rPr>
              <w:t>。</w:t>
            </w:r>
          </w:p>
        </w:tc>
        <w:tc>
          <w:tcPr>
            <w:tcW w:w="1213" w:type="dxa"/>
            <w:tcBorders>
              <w:tl2br w:val="nil"/>
              <w:tr2bl w:val="nil"/>
            </w:tcBorders>
            <w:noWrap w:val="0"/>
            <w:vAlign w:val="center"/>
          </w:tcPr>
          <w:p w14:paraId="68FE3BD3">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厂界东、南、西、北侧外1m</w:t>
            </w:r>
          </w:p>
        </w:tc>
      </w:tr>
      <w:tr w14:paraId="0D368A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continue"/>
            <w:tcBorders>
              <w:tl2br w:val="nil"/>
              <w:tr2bl w:val="nil"/>
            </w:tcBorders>
            <w:noWrap w:val="0"/>
            <w:vAlign w:val="center"/>
          </w:tcPr>
          <w:p w14:paraId="43E5C83A">
            <w:pPr>
              <w:pStyle w:val="38"/>
              <w:bidi w:val="0"/>
              <w:rPr>
                <w:rFonts w:hint="eastAsia" w:ascii="Times New Roman" w:hAnsi="Times New Roman" w:cs="Times New Roman"/>
                <w:sz w:val="21"/>
                <w:szCs w:val="21"/>
                <w:lang w:val="en-US" w:eastAsia="zh-CN"/>
              </w:rPr>
            </w:pPr>
          </w:p>
        </w:tc>
        <w:tc>
          <w:tcPr>
            <w:tcW w:w="2281" w:type="dxa"/>
            <w:gridSpan w:val="2"/>
            <w:tcBorders>
              <w:tl2br w:val="nil"/>
              <w:tr2bl w:val="nil"/>
            </w:tcBorders>
            <w:noWrap w:val="0"/>
            <w:vAlign w:val="center"/>
          </w:tcPr>
          <w:p w14:paraId="11DCAB6B">
            <w:pPr>
              <w:pStyle w:val="38"/>
              <w:bidi w:val="0"/>
              <w:rPr>
                <w:rFonts w:hint="default" w:ascii="Times New Roman" w:hAnsi="Times New Roman" w:cs="Times New Roman"/>
                <w:sz w:val="21"/>
                <w:szCs w:val="21"/>
                <w:lang w:val="en-US" w:eastAsia="zh-CN"/>
              </w:rPr>
            </w:pPr>
            <w:r>
              <w:rPr>
                <w:rFonts w:hint="eastAsia" w:ascii="Times New Roman" w:cs="Times New Roman"/>
                <w:sz w:val="21"/>
                <w:szCs w:val="21"/>
                <w:lang w:val="en-US" w:eastAsia="zh-CN"/>
              </w:rPr>
              <w:t>运输车辆噪声</w:t>
            </w:r>
          </w:p>
        </w:tc>
        <w:tc>
          <w:tcPr>
            <w:tcW w:w="3926" w:type="dxa"/>
            <w:tcBorders>
              <w:tl2br w:val="nil"/>
              <w:tr2bl w:val="nil"/>
            </w:tcBorders>
            <w:noWrap w:val="0"/>
            <w:vAlign w:val="center"/>
          </w:tcPr>
          <w:p w14:paraId="24E99DAC">
            <w:pPr>
              <w:pStyle w:val="38"/>
              <w:bidi w:val="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加强对厂区内的交通管理，对进出厂区的线路进行规定，运输车辆限制车速、减少车辆鸣笛，设立禁鸣标志，确保交通能通畅和安静，严禁轰鸣。</w:t>
            </w:r>
          </w:p>
        </w:tc>
        <w:tc>
          <w:tcPr>
            <w:tcW w:w="2077" w:type="dxa"/>
            <w:vMerge w:val="continue"/>
            <w:tcBorders>
              <w:tl2br w:val="nil"/>
              <w:tr2bl w:val="nil"/>
            </w:tcBorders>
            <w:noWrap w:val="0"/>
            <w:vAlign w:val="center"/>
          </w:tcPr>
          <w:p w14:paraId="4D83B95D">
            <w:pPr>
              <w:pStyle w:val="38"/>
              <w:bidi w:val="0"/>
              <w:rPr>
                <w:rFonts w:hint="default" w:ascii="Times New Roman" w:hAnsi="Times New Roman" w:cs="Times New Roman"/>
                <w:sz w:val="21"/>
                <w:szCs w:val="21"/>
                <w:lang w:val="en-US" w:eastAsia="zh-CN"/>
              </w:rPr>
            </w:pPr>
          </w:p>
        </w:tc>
        <w:tc>
          <w:tcPr>
            <w:tcW w:w="1869" w:type="dxa"/>
            <w:tcBorders>
              <w:tl2br w:val="nil"/>
              <w:tr2bl w:val="nil"/>
            </w:tcBorders>
            <w:noWrap w:val="0"/>
            <w:vAlign w:val="center"/>
          </w:tcPr>
          <w:p w14:paraId="6D8EB0C7">
            <w:pPr>
              <w:pStyle w:val="38"/>
              <w:bidi w:val="0"/>
              <w:rPr>
                <w:rFonts w:hint="eastAsia" w:ascii="Times New Roman" w:hAnsi="Times New Roman" w:eastAsia="宋体" w:cs="Times New Roman"/>
                <w:szCs w:val="21"/>
                <w:lang w:val="en-US" w:eastAsia="zh-CN"/>
              </w:rPr>
            </w:pPr>
            <w:r>
              <w:rPr>
                <w:rFonts w:hint="eastAsia" w:ascii="Times New Roman" w:cs="Times New Roman"/>
                <w:szCs w:val="21"/>
                <w:lang w:val="en-US" w:eastAsia="zh-CN"/>
              </w:rPr>
              <w:t>/</w:t>
            </w:r>
          </w:p>
        </w:tc>
        <w:tc>
          <w:tcPr>
            <w:tcW w:w="1221" w:type="dxa"/>
            <w:tcBorders>
              <w:tl2br w:val="nil"/>
              <w:tr2bl w:val="nil"/>
            </w:tcBorders>
            <w:noWrap w:val="0"/>
            <w:vAlign w:val="center"/>
          </w:tcPr>
          <w:p w14:paraId="0F9965B5">
            <w:pPr>
              <w:pStyle w:val="38"/>
              <w:bidi w:val="0"/>
              <w:rPr>
                <w:rFonts w:hint="default"/>
                <w:color w:val="auto"/>
                <w:lang w:val="en-US" w:eastAsia="zh-CN"/>
              </w:rPr>
            </w:pPr>
            <w:r>
              <w:rPr>
                <w:rFonts w:hint="eastAsia"/>
                <w:color w:val="auto"/>
                <w:lang w:val="en-US" w:eastAsia="zh-CN"/>
              </w:rPr>
              <w:t>/</w:t>
            </w:r>
          </w:p>
        </w:tc>
        <w:tc>
          <w:tcPr>
            <w:tcW w:w="1213" w:type="dxa"/>
            <w:tcBorders>
              <w:tl2br w:val="nil"/>
              <w:tr2bl w:val="nil"/>
            </w:tcBorders>
            <w:noWrap w:val="0"/>
            <w:vAlign w:val="center"/>
          </w:tcPr>
          <w:p w14:paraId="059D7D3E">
            <w:pPr>
              <w:pStyle w:val="38"/>
              <w:bidi w:val="0"/>
              <w:rPr>
                <w:rFonts w:hint="default" w:ascii="Times New Roman" w:hAnsi="Times New Roman" w:cs="Times New Roman"/>
                <w:sz w:val="21"/>
                <w:szCs w:val="21"/>
                <w:lang w:val="en-US" w:eastAsia="zh-CN"/>
              </w:rPr>
            </w:pPr>
            <w:r>
              <w:rPr>
                <w:rFonts w:hint="eastAsia" w:ascii="Times New Roman" w:cs="Times New Roman"/>
                <w:sz w:val="21"/>
                <w:szCs w:val="21"/>
                <w:lang w:val="en-US" w:eastAsia="zh-CN"/>
              </w:rPr>
              <w:t>/</w:t>
            </w:r>
          </w:p>
        </w:tc>
      </w:tr>
      <w:tr w14:paraId="3BFF90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tcBorders>
              <w:tl2br w:val="nil"/>
              <w:tr2bl w:val="nil"/>
            </w:tcBorders>
            <w:noWrap w:val="0"/>
            <w:vAlign w:val="center"/>
          </w:tcPr>
          <w:p w14:paraId="52D0A397">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固废</w:t>
            </w:r>
          </w:p>
        </w:tc>
        <w:tc>
          <w:tcPr>
            <w:tcW w:w="2281" w:type="dxa"/>
            <w:gridSpan w:val="2"/>
            <w:tcBorders>
              <w:tl2br w:val="nil"/>
              <w:tr2bl w:val="nil"/>
            </w:tcBorders>
            <w:noWrap w:val="0"/>
            <w:vAlign w:val="center"/>
          </w:tcPr>
          <w:p w14:paraId="352729C5">
            <w:pPr>
              <w:pStyle w:val="53"/>
              <w:bidi w:val="0"/>
              <w:ind w:firstLine="0" w:firstLineChars="0"/>
              <w:rPr>
                <w:rFonts w:hint="default" w:ascii="Times New Roman" w:hAnsi="Times New Roman" w:cs="Times New Roman"/>
                <w:sz w:val="21"/>
                <w:szCs w:val="21"/>
                <w:lang w:val="en-US" w:eastAsia="zh-CN"/>
              </w:rPr>
            </w:pPr>
            <w:r>
              <w:rPr>
                <w:rFonts w:hint="eastAsia"/>
              </w:rPr>
              <w:t>一般固体废物</w:t>
            </w:r>
          </w:p>
        </w:tc>
        <w:tc>
          <w:tcPr>
            <w:tcW w:w="3926" w:type="dxa"/>
            <w:tcBorders>
              <w:tl2br w:val="nil"/>
              <w:tr2bl w:val="nil"/>
            </w:tcBorders>
            <w:noWrap w:val="0"/>
            <w:vAlign w:val="center"/>
          </w:tcPr>
          <w:p w14:paraId="5362F959">
            <w:pPr>
              <w:pStyle w:val="53"/>
              <w:bidi w:val="0"/>
              <w:jc w:val="both"/>
              <w:rPr>
                <w:rFonts w:hint="default" w:eastAsia="宋体"/>
                <w:lang w:val="en-US" w:eastAsia="zh-CN"/>
              </w:rPr>
            </w:pPr>
            <w:r>
              <w:rPr>
                <w:rFonts w:hint="default" w:eastAsia="宋体"/>
                <w:lang w:val="en-US" w:eastAsia="zh-CN"/>
              </w:rPr>
              <w:fldChar w:fldCharType="begin"/>
            </w:r>
            <w:r>
              <w:rPr>
                <w:rFonts w:hint="default" w:eastAsia="宋体"/>
                <w:lang w:val="en-US" w:eastAsia="zh-CN"/>
              </w:rPr>
              <w:instrText xml:space="preserve"> = 1 \* GB3 \* MERGEFORMAT </w:instrText>
            </w:r>
            <w:r>
              <w:rPr>
                <w:rFonts w:hint="default" w:eastAsia="宋体"/>
                <w:lang w:val="en-US" w:eastAsia="zh-CN"/>
              </w:rPr>
              <w:fldChar w:fldCharType="separate"/>
            </w:r>
            <w:r>
              <w:t>①</w:t>
            </w:r>
            <w:r>
              <w:rPr>
                <w:rFonts w:hint="default" w:eastAsia="宋体"/>
                <w:lang w:val="en-US" w:eastAsia="zh-CN"/>
              </w:rPr>
              <w:fldChar w:fldCharType="end"/>
            </w:r>
            <w:r>
              <w:rPr>
                <w:rFonts w:hint="default" w:eastAsia="宋体"/>
                <w:lang w:val="en-US" w:eastAsia="zh-CN"/>
              </w:rPr>
              <w:t>生活垃圾</w:t>
            </w:r>
          </w:p>
          <w:p w14:paraId="19D15EF1">
            <w:pPr>
              <w:pStyle w:val="53"/>
              <w:bidi w:val="0"/>
              <w:jc w:val="both"/>
              <w:rPr>
                <w:rFonts w:hint="default" w:eastAsia="宋体"/>
                <w:lang w:val="en-US" w:eastAsia="zh-CN"/>
              </w:rPr>
            </w:pPr>
            <w:r>
              <w:rPr>
                <w:rFonts w:hint="default" w:eastAsia="宋体"/>
                <w:lang w:val="en-US" w:eastAsia="zh-CN"/>
              </w:rPr>
              <w:t>经厂区设置垃圾桶集中收集后交由当地环卫部门处理。</w:t>
            </w:r>
          </w:p>
          <w:p w14:paraId="6F4A4886">
            <w:pPr>
              <w:pStyle w:val="53"/>
              <w:bidi w:val="0"/>
              <w:jc w:val="both"/>
              <w:rPr>
                <w:rFonts w:hint="default" w:eastAsia="宋体"/>
                <w:lang w:val="en-US" w:eastAsia="zh-CN"/>
              </w:rPr>
            </w:pPr>
            <w:r>
              <w:rPr>
                <w:rFonts w:hint="default" w:eastAsia="宋体"/>
                <w:lang w:val="en-US" w:eastAsia="zh-CN"/>
              </w:rPr>
              <w:fldChar w:fldCharType="begin"/>
            </w:r>
            <w:r>
              <w:rPr>
                <w:rFonts w:hint="default" w:eastAsia="宋体"/>
                <w:lang w:val="en-US" w:eastAsia="zh-CN"/>
              </w:rPr>
              <w:instrText xml:space="preserve"> = 2 \* GB3 \* MERGEFORMAT </w:instrText>
            </w:r>
            <w:r>
              <w:rPr>
                <w:rFonts w:hint="default" w:eastAsia="宋体"/>
                <w:lang w:val="en-US" w:eastAsia="zh-CN"/>
              </w:rPr>
              <w:fldChar w:fldCharType="separate"/>
            </w:r>
            <w:r>
              <w:t>②</w:t>
            </w:r>
            <w:r>
              <w:rPr>
                <w:rFonts w:hint="default" w:eastAsia="宋体"/>
                <w:lang w:val="en-US" w:eastAsia="zh-CN"/>
              </w:rPr>
              <w:fldChar w:fldCharType="end"/>
            </w:r>
            <w:r>
              <w:rPr>
                <w:rFonts w:hint="default" w:eastAsia="宋体"/>
                <w:lang w:val="en-US" w:eastAsia="zh-CN"/>
              </w:rPr>
              <w:t>除尘灰</w:t>
            </w:r>
          </w:p>
          <w:p w14:paraId="15AF9F57">
            <w:pPr>
              <w:pStyle w:val="53"/>
              <w:bidi w:val="0"/>
              <w:jc w:val="both"/>
              <w:rPr>
                <w:rFonts w:hint="default" w:eastAsia="宋体"/>
                <w:lang w:val="en-US" w:eastAsia="zh-CN"/>
              </w:rPr>
            </w:pPr>
            <w:r>
              <w:rPr>
                <w:rFonts w:hint="eastAsia" w:eastAsia="宋体"/>
                <w:lang w:val="en-US" w:eastAsia="zh-CN"/>
              </w:rPr>
              <w:t>定期</w:t>
            </w:r>
            <w:r>
              <w:rPr>
                <w:rFonts w:hint="default" w:eastAsia="宋体"/>
                <w:lang w:val="en-US" w:eastAsia="zh-CN"/>
              </w:rPr>
              <w:t>集中收集后</w:t>
            </w:r>
            <w:r>
              <w:rPr>
                <w:rFonts w:hint="eastAsia" w:eastAsia="宋体"/>
                <w:lang w:val="en-US" w:eastAsia="zh-CN"/>
              </w:rPr>
              <w:t>，直接</w:t>
            </w:r>
            <w:r>
              <w:rPr>
                <w:rFonts w:hint="default" w:eastAsia="宋体"/>
                <w:lang w:val="en-US" w:eastAsia="zh-CN"/>
              </w:rPr>
              <w:t>回用于搅拌工序。</w:t>
            </w:r>
          </w:p>
          <w:p w14:paraId="7E079412">
            <w:pPr>
              <w:pStyle w:val="53"/>
              <w:bidi w:val="0"/>
              <w:jc w:val="both"/>
              <w:rPr>
                <w:rFonts w:hint="default" w:eastAsia="宋体"/>
                <w:lang w:val="en-US" w:eastAsia="zh-CN"/>
              </w:rPr>
            </w:pPr>
            <w:r>
              <w:rPr>
                <w:rFonts w:hint="default" w:eastAsia="宋体"/>
                <w:lang w:val="en-US" w:eastAsia="zh-CN"/>
              </w:rPr>
              <w:fldChar w:fldCharType="begin"/>
            </w:r>
            <w:r>
              <w:rPr>
                <w:rFonts w:hint="default" w:eastAsia="宋体"/>
                <w:lang w:val="en-US" w:eastAsia="zh-CN"/>
              </w:rPr>
              <w:instrText xml:space="preserve"> = 3 \* GB3 \* MERGEFORMAT </w:instrText>
            </w:r>
            <w:r>
              <w:rPr>
                <w:rFonts w:hint="default" w:eastAsia="宋体"/>
                <w:lang w:val="en-US" w:eastAsia="zh-CN"/>
              </w:rPr>
              <w:fldChar w:fldCharType="separate"/>
            </w:r>
            <w:r>
              <w:t>③</w:t>
            </w:r>
            <w:r>
              <w:rPr>
                <w:rFonts w:hint="default" w:eastAsia="宋体"/>
                <w:lang w:val="en-US" w:eastAsia="zh-CN"/>
              </w:rPr>
              <w:fldChar w:fldCharType="end"/>
            </w:r>
            <w:r>
              <w:rPr>
                <w:rFonts w:hint="default" w:eastAsia="宋体"/>
                <w:lang w:val="en-US" w:eastAsia="zh-CN"/>
              </w:rPr>
              <w:t>沉淀池泥砂</w:t>
            </w:r>
          </w:p>
          <w:p w14:paraId="00996E44">
            <w:pPr>
              <w:pStyle w:val="53"/>
              <w:bidi w:val="0"/>
              <w:jc w:val="both"/>
              <w:rPr>
                <w:rFonts w:hint="default" w:ascii="Times New Roman" w:hAnsi="Times New Roman" w:cs="Times New Roman"/>
                <w:sz w:val="21"/>
                <w:szCs w:val="21"/>
                <w:lang w:val="en-US" w:eastAsia="zh-CN"/>
              </w:rPr>
            </w:pPr>
            <w:r>
              <w:rPr>
                <w:rFonts w:hint="eastAsia" w:eastAsia="宋体"/>
                <w:lang w:val="en-US" w:eastAsia="zh-CN"/>
              </w:rPr>
              <w:t>定期</w:t>
            </w:r>
            <w:r>
              <w:rPr>
                <w:rFonts w:hint="default" w:eastAsia="宋体"/>
                <w:lang w:val="en-US" w:eastAsia="zh-CN"/>
              </w:rPr>
              <w:t>集中收集后</w:t>
            </w:r>
            <w:r>
              <w:rPr>
                <w:rFonts w:hint="eastAsia" w:eastAsia="宋体"/>
                <w:lang w:val="en-US" w:eastAsia="zh-CN"/>
              </w:rPr>
              <w:t>，直接</w:t>
            </w:r>
            <w:r>
              <w:rPr>
                <w:rFonts w:hint="default" w:eastAsia="宋体"/>
                <w:lang w:val="en-US" w:eastAsia="zh-CN"/>
              </w:rPr>
              <w:t>回用于搅拌工序。</w:t>
            </w:r>
          </w:p>
        </w:tc>
        <w:tc>
          <w:tcPr>
            <w:tcW w:w="2077" w:type="dxa"/>
            <w:tcBorders>
              <w:tl2br w:val="nil"/>
              <w:tr2bl w:val="nil"/>
            </w:tcBorders>
            <w:noWrap w:val="0"/>
            <w:vAlign w:val="center"/>
          </w:tcPr>
          <w:p w14:paraId="42AB31A3">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《一般工业固体废物贮存和填埋污染控制标准》</w:t>
            </w:r>
          </w:p>
          <w:p w14:paraId="55A3EF9E">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（GB 18599-2020）</w:t>
            </w:r>
          </w:p>
        </w:tc>
        <w:tc>
          <w:tcPr>
            <w:tcW w:w="1869" w:type="dxa"/>
            <w:tcBorders>
              <w:tl2br w:val="nil"/>
              <w:tr2bl w:val="nil"/>
            </w:tcBorders>
            <w:noWrap w:val="0"/>
            <w:vAlign w:val="center"/>
          </w:tcPr>
          <w:p w14:paraId="7000E3CD">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c>
          <w:tcPr>
            <w:tcW w:w="1221" w:type="dxa"/>
            <w:tcBorders>
              <w:tl2br w:val="nil"/>
              <w:tr2bl w:val="nil"/>
            </w:tcBorders>
            <w:noWrap w:val="0"/>
            <w:vAlign w:val="center"/>
          </w:tcPr>
          <w:p w14:paraId="74E5810B">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c>
          <w:tcPr>
            <w:tcW w:w="1213" w:type="dxa"/>
            <w:tcBorders>
              <w:tl2br w:val="nil"/>
              <w:tr2bl w:val="nil"/>
            </w:tcBorders>
            <w:noWrap w:val="0"/>
            <w:vAlign w:val="center"/>
          </w:tcPr>
          <w:p w14:paraId="686E3F5A">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r>
      <w:tr w14:paraId="51DEB0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restart"/>
            <w:tcBorders>
              <w:tl2br w:val="nil"/>
              <w:tr2bl w:val="nil"/>
            </w:tcBorders>
            <w:noWrap w:val="0"/>
            <w:vAlign w:val="center"/>
          </w:tcPr>
          <w:p w14:paraId="08E20A23">
            <w:pPr>
              <w:pStyle w:val="38"/>
              <w:bidi w:val="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土壤及地下水</w:t>
            </w:r>
          </w:p>
        </w:tc>
        <w:tc>
          <w:tcPr>
            <w:tcW w:w="2281" w:type="dxa"/>
            <w:gridSpan w:val="2"/>
            <w:tcBorders>
              <w:tl2br w:val="nil"/>
              <w:tr2bl w:val="nil"/>
            </w:tcBorders>
            <w:noWrap w:val="0"/>
            <w:vAlign w:val="center"/>
          </w:tcPr>
          <w:p w14:paraId="7673B662">
            <w:pPr>
              <w:pStyle w:val="53"/>
              <w:bidi w:val="0"/>
              <w:ind w:firstLine="0" w:firstLineChars="0"/>
              <w:rPr>
                <w:rFonts w:hint="default" w:ascii="Times New Roman" w:hAnsi="Times New Roman" w:cs="Times New Roman"/>
                <w:sz w:val="21"/>
                <w:szCs w:val="21"/>
                <w:lang w:val="en-US" w:eastAsia="zh-CN"/>
              </w:rPr>
            </w:pPr>
            <w:r>
              <w:rPr>
                <w:rFonts w:hint="eastAsia"/>
                <w:lang w:val="en-US" w:eastAsia="zh-CN"/>
              </w:rPr>
              <w:t>沉淀池、化粪池</w:t>
            </w:r>
          </w:p>
        </w:tc>
        <w:tc>
          <w:tcPr>
            <w:tcW w:w="3926" w:type="dxa"/>
            <w:tcBorders>
              <w:tl2br w:val="nil"/>
              <w:tr2bl w:val="nil"/>
            </w:tcBorders>
            <w:noWrap w:val="0"/>
            <w:vAlign w:val="center"/>
          </w:tcPr>
          <w:p w14:paraId="62327713">
            <w:pPr>
              <w:pStyle w:val="53"/>
              <w:bidi w:val="0"/>
              <w:ind w:firstLine="0" w:firstLineChars="0"/>
              <w:jc w:val="both"/>
              <w:rPr>
                <w:rFonts w:hint="default" w:ascii="Times New Roman" w:hAnsi="Times New Roman" w:cs="Times New Roman"/>
                <w:sz w:val="21"/>
                <w:szCs w:val="21"/>
                <w:lang w:val="en-US" w:eastAsia="zh-CN"/>
              </w:rPr>
            </w:pPr>
            <w:r>
              <w:rPr>
                <w:rFonts w:hint="eastAsia"/>
              </w:rPr>
              <w:t>等效黏土防渗层Mb≥6.0m，K≤1.0×10</w:t>
            </w:r>
            <w:r>
              <w:rPr>
                <w:rFonts w:hint="eastAsia"/>
                <w:vertAlign w:val="superscript"/>
              </w:rPr>
              <w:t>-7</w:t>
            </w:r>
            <w:r>
              <w:rPr>
                <w:rFonts w:hint="eastAsia"/>
              </w:rPr>
              <w:t>cm/s；或参照GB18598执行</w:t>
            </w:r>
            <w:r>
              <w:rPr>
                <w:rFonts w:hint="eastAsia"/>
                <w:lang w:eastAsia="zh-CN"/>
              </w:rPr>
              <w:t>。</w:t>
            </w:r>
          </w:p>
        </w:tc>
        <w:tc>
          <w:tcPr>
            <w:tcW w:w="2077" w:type="dxa"/>
            <w:tcBorders>
              <w:tl2br w:val="nil"/>
              <w:tr2bl w:val="nil"/>
            </w:tcBorders>
            <w:noWrap w:val="0"/>
            <w:vAlign w:val="center"/>
          </w:tcPr>
          <w:p w14:paraId="612EBBB8">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检查落实</w:t>
            </w:r>
          </w:p>
        </w:tc>
        <w:tc>
          <w:tcPr>
            <w:tcW w:w="1869" w:type="dxa"/>
            <w:tcBorders>
              <w:tl2br w:val="nil"/>
              <w:tr2bl w:val="nil"/>
            </w:tcBorders>
            <w:noWrap w:val="0"/>
            <w:vAlign w:val="center"/>
          </w:tcPr>
          <w:p w14:paraId="02F4FE35">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c>
          <w:tcPr>
            <w:tcW w:w="1221" w:type="dxa"/>
            <w:tcBorders>
              <w:tl2br w:val="nil"/>
              <w:tr2bl w:val="nil"/>
            </w:tcBorders>
            <w:noWrap w:val="0"/>
            <w:vAlign w:val="center"/>
          </w:tcPr>
          <w:p w14:paraId="73137B0D">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c>
          <w:tcPr>
            <w:tcW w:w="1213" w:type="dxa"/>
            <w:tcBorders>
              <w:tl2br w:val="nil"/>
              <w:tr2bl w:val="nil"/>
            </w:tcBorders>
            <w:noWrap w:val="0"/>
            <w:vAlign w:val="center"/>
          </w:tcPr>
          <w:p w14:paraId="0BC635D1">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r>
      <w:tr w14:paraId="1613AD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1" w:type="dxa"/>
            <w:vMerge w:val="continue"/>
            <w:tcBorders>
              <w:tl2br w:val="nil"/>
              <w:tr2bl w:val="nil"/>
            </w:tcBorders>
            <w:noWrap w:val="0"/>
            <w:vAlign w:val="center"/>
          </w:tcPr>
          <w:p w14:paraId="148F690E">
            <w:pPr>
              <w:pStyle w:val="38"/>
              <w:bidi w:val="0"/>
              <w:rPr>
                <w:rFonts w:hint="default" w:ascii="Times New Roman" w:hAnsi="Times New Roman" w:cs="Times New Roman"/>
                <w:sz w:val="21"/>
                <w:szCs w:val="21"/>
                <w:lang w:val="en-US" w:eastAsia="zh-CN"/>
              </w:rPr>
            </w:pPr>
          </w:p>
        </w:tc>
        <w:tc>
          <w:tcPr>
            <w:tcW w:w="2281" w:type="dxa"/>
            <w:gridSpan w:val="2"/>
            <w:tcBorders>
              <w:tl2br w:val="nil"/>
              <w:tr2bl w:val="nil"/>
            </w:tcBorders>
            <w:noWrap w:val="0"/>
            <w:vAlign w:val="center"/>
          </w:tcPr>
          <w:p w14:paraId="059EAFE4">
            <w:pPr>
              <w:pStyle w:val="53"/>
              <w:bidi w:val="0"/>
              <w:ind w:firstLine="0" w:firstLineChars="0"/>
              <w:rPr>
                <w:rFonts w:hint="default" w:ascii="Times New Roman" w:hAnsi="Times New Roman" w:cs="Times New Roman"/>
                <w:sz w:val="21"/>
                <w:szCs w:val="21"/>
                <w:lang w:val="en-US" w:eastAsia="zh-CN"/>
              </w:rPr>
            </w:pPr>
            <w:r>
              <w:rPr>
                <w:rFonts w:hint="eastAsia"/>
              </w:rPr>
              <w:t>厂区</w:t>
            </w:r>
          </w:p>
        </w:tc>
        <w:tc>
          <w:tcPr>
            <w:tcW w:w="3926" w:type="dxa"/>
            <w:tcBorders>
              <w:tl2br w:val="nil"/>
              <w:tr2bl w:val="nil"/>
            </w:tcBorders>
            <w:noWrap w:val="0"/>
            <w:vAlign w:val="center"/>
          </w:tcPr>
          <w:p w14:paraId="4B8574BD">
            <w:pPr>
              <w:pStyle w:val="53"/>
              <w:bidi w:val="0"/>
              <w:ind w:firstLine="0" w:firstLineChars="0"/>
              <w:rPr>
                <w:rFonts w:hint="default" w:ascii="Times New Roman" w:hAnsi="Times New Roman" w:cs="Times New Roman"/>
                <w:sz w:val="21"/>
                <w:szCs w:val="21"/>
                <w:lang w:val="en-US" w:eastAsia="zh-CN"/>
              </w:rPr>
            </w:pPr>
            <w:r>
              <w:rPr>
                <w:rFonts w:hint="eastAsia"/>
                <w:lang w:val="en-US" w:eastAsia="zh-CN"/>
              </w:rPr>
              <w:t>一般地面硬化</w:t>
            </w:r>
          </w:p>
        </w:tc>
        <w:tc>
          <w:tcPr>
            <w:tcW w:w="2077" w:type="dxa"/>
            <w:tcBorders>
              <w:tl2br w:val="nil"/>
              <w:tr2bl w:val="nil"/>
            </w:tcBorders>
            <w:noWrap w:val="0"/>
            <w:vAlign w:val="center"/>
          </w:tcPr>
          <w:p w14:paraId="2E882C1D">
            <w:pPr>
              <w:pStyle w:val="53"/>
              <w:bidi w:val="0"/>
              <w:rPr>
                <w:rFonts w:hint="default"/>
                <w:lang w:val="en-US" w:eastAsia="zh-CN"/>
              </w:rPr>
            </w:pPr>
            <w:r>
              <w:rPr>
                <w:rFonts w:hint="eastAsia"/>
                <w:lang w:val="en-US" w:eastAsia="zh-CN"/>
              </w:rPr>
              <w:t>检查落实</w:t>
            </w:r>
          </w:p>
        </w:tc>
        <w:tc>
          <w:tcPr>
            <w:tcW w:w="1869" w:type="dxa"/>
            <w:tcBorders>
              <w:tl2br w:val="nil"/>
              <w:tr2bl w:val="nil"/>
            </w:tcBorders>
            <w:noWrap w:val="0"/>
            <w:vAlign w:val="center"/>
          </w:tcPr>
          <w:p w14:paraId="55328A41">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c>
          <w:tcPr>
            <w:tcW w:w="1221" w:type="dxa"/>
            <w:tcBorders>
              <w:tl2br w:val="nil"/>
              <w:tr2bl w:val="nil"/>
            </w:tcBorders>
            <w:noWrap w:val="0"/>
            <w:vAlign w:val="center"/>
          </w:tcPr>
          <w:p w14:paraId="605A6323">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c>
          <w:tcPr>
            <w:tcW w:w="1213" w:type="dxa"/>
            <w:tcBorders>
              <w:tl2br w:val="nil"/>
              <w:tr2bl w:val="nil"/>
            </w:tcBorders>
            <w:noWrap w:val="0"/>
            <w:vAlign w:val="center"/>
          </w:tcPr>
          <w:p w14:paraId="785D4C6E">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w:t>
            </w:r>
          </w:p>
        </w:tc>
      </w:tr>
    </w:tbl>
    <w:p w14:paraId="0967D948">
      <w:pPr>
        <w:pStyle w:val="4"/>
        <w:spacing w:before="0" w:beforeAutospacing="0" w:after="0" w:afterAutospacing="0" w:line="360" w:lineRule="auto"/>
        <w:jc w:val="both"/>
        <w:rPr>
          <w:rFonts w:hint="default" w:ascii="Times New Roman" w:hAnsi="Times New Roman" w:eastAsia="宋体" w:cs="Times New Roman"/>
          <w:b w:val="0"/>
          <w:bCs w:val="0"/>
          <w:sz w:val="24"/>
          <w:szCs w:val="24"/>
          <w:lang w:val="en-US" w:eastAsia="zh-CN"/>
        </w:rPr>
        <w:sectPr>
          <w:pgSz w:w="16840" w:h="11907" w:orient="landscape"/>
          <w:pgMar w:top="1531" w:right="1701" w:bottom="1531" w:left="2127" w:header="851" w:footer="1077" w:gutter="0"/>
          <w:pgBorders>
            <w:top w:val="none" w:sz="0" w:space="0"/>
            <w:left w:val="none" w:sz="0" w:space="0"/>
            <w:bottom w:val="none" w:sz="0" w:space="0"/>
            <w:right w:val="none" w:sz="0" w:space="0"/>
          </w:pgBorders>
          <w:pgNumType w:fmt="decimal"/>
          <w:cols w:space="720" w:num="1"/>
          <w:docGrid w:linePitch="312" w:charSpace="0"/>
        </w:sectPr>
      </w:pPr>
    </w:p>
    <w:p w14:paraId="18C2BB62">
      <w:pPr>
        <w:pStyle w:val="13"/>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2" w:name="_Hlk54167917"/>
      <w:r>
        <w:rPr>
          <w:rFonts w:hint="eastAsia" w:ascii="黑体" w:hAnsi="黑体" w:eastAsia="黑体"/>
          <w:snapToGrid w:val="0"/>
          <w:sz w:val="30"/>
          <w:szCs w:val="30"/>
        </w:rPr>
        <w:t>环境保护措施监督检查清单</w:t>
      </w:r>
      <w:bookmarkEnd w:id="2"/>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59"/>
        <w:gridCol w:w="1211"/>
        <w:gridCol w:w="1316"/>
        <w:gridCol w:w="2855"/>
        <w:gridCol w:w="1959"/>
      </w:tblGrid>
      <w:tr w14:paraId="67D25A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tcBorders>
              <w:tl2br w:val="single" w:color="auto" w:sz="4" w:space="0"/>
            </w:tcBorders>
            <w:noWrap w:val="0"/>
            <w:vAlign w:val="top"/>
          </w:tcPr>
          <w:p w14:paraId="158D3D70">
            <w:pPr>
              <w:adjustRightInd w:val="0"/>
              <w:snapToGrid w:val="0"/>
              <w:ind w:firstLine="630" w:firstLineChars="300"/>
              <w:rPr>
                <w:rFonts w:hint="default" w:ascii="Times New Roman" w:hAnsi="Times New Roman" w:cs="Times New Roman"/>
                <w:szCs w:val="21"/>
              </w:rPr>
            </w:pPr>
            <w:r>
              <w:rPr>
                <w:rFonts w:hint="default" w:ascii="Times New Roman" w:hAnsi="Times New Roman" w:cs="Times New Roman"/>
                <w:szCs w:val="21"/>
              </w:rPr>
              <w:t>内容</w:t>
            </w:r>
          </w:p>
          <w:p w14:paraId="45E1D7A6">
            <w:pPr>
              <w:adjustRightInd w:val="0"/>
              <w:snapToGrid w:val="0"/>
              <w:rPr>
                <w:rFonts w:hint="default" w:ascii="Times New Roman" w:hAnsi="Times New Roman" w:cs="Times New Roman"/>
                <w:szCs w:val="21"/>
              </w:rPr>
            </w:pPr>
            <w:r>
              <w:rPr>
                <w:rFonts w:hint="default" w:ascii="Times New Roman" w:hAnsi="Times New Roman" w:cs="Times New Roman"/>
                <w:szCs w:val="21"/>
              </w:rPr>
              <w:t>要素</w:t>
            </w:r>
          </w:p>
        </w:tc>
        <w:tc>
          <w:tcPr>
            <w:tcW w:w="1211" w:type="dxa"/>
            <w:noWrap w:val="0"/>
            <w:vAlign w:val="center"/>
          </w:tcPr>
          <w:p w14:paraId="41B469FC">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排放口(编号、名称)/污染源</w:t>
            </w:r>
          </w:p>
        </w:tc>
        <w:tc>
          <w:tcPr>
            <w:tcW w:w="1316" w:type="dxa"/>
            <w:noWrap w:val="0"/>
            <w:vAlign w:val="center"/>
          </w:tcPr>
          <w:p w14:paraId="0253D75A">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污染物项目</w:t>
            </w:r>
          </w:p>
        </w:tc>
        <w:tc>
          <w:tcPr>
            <w:tcW w:w="2855" w:type="dxa"/>
            <w:noWrap w:val="0"/>
            <w:vAlign w:val="center"/>
          </w:tcPr>
          <w:p w14:paraId="39B164A4">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环境保护措施</w:t>
            </w:r>
          </w:p>
        </w:tc>
        <w:tc>
          <w:tcPr>
            <w:tcW w:w="1959" w:type="dxa"/>
            <w:noWrap w:val="0"/>
            <w:vAlign w:val="center"/>
          </w:tcPr>
          <w:p w14:paraId="61F326F4">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执行标准</w:t>
            </w:r>
          </w:p>
        </w:tc>
      </w:tr>
      <w:tr w14:paraId="0FFC29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restart"/>
            <w:noWrap w:val="0"/>
            <w:vAlign w:val="center"/>
          </w:tcPr>
          <w:p w14:paraId="6344719A">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大气环境</w:t>
            </w:r>
          </w:p>
        </w:tc>
        <w:tc>
          <w:tcPr>
            <w:tcW w:w="1211" w:type="dxa"/>
            <w:noWrap w:val="0"/>
            <w:vAlign w:val="center"/>
          </w:tcPr>
          <w:p w14:paraId="2B14E20C">
            <w:pPr>
              <w:adjustRightInd w:val="0"/>
              <w:snapToGrid w:val="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水泥筒仓</w:t>
            </w:r>
          </w:p>
        </w:tc>
        <w:tc>
          <w:tcPr>
            <w:tcW w:w="1316" w:type="dxa"/>
            <w:noWrap w:val="0"/>
            <w:vAlign w:val="center"/>
          </w:tcPr>
          <w:p w14:paraId="344AC0CA">
            <w:pPr>
              <w:pStyle w:val="53"/>
              <w:bidi w:val="0"/>
              <w:ind w:firstLine="0" w:firstLineChars="0"/>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颗粒物</w:t>
            </w:r>
          </w:p>
        </w:tc>
        <w:tc>
          <w:tcPr>
            <w:tcW w:w="2855" w:type="dxa"/>
            <w:noWrap w:val="0"/>
            <w:vAlign w:val="center"/>
          </w:tcPr>
          <w:p w14:paraId="31FFDE9D">
            <w:pPr>
              <w:pStyle w:val="53"/>
              <w:bidi w:val="0"/>
              <w:ind w:firstLine="0" w:firstLineChars="0"/>
              <w:jc w:val="both"/>
              <w:rPr>
                <w:rFonts w:hint="eastAsia"/>
                <w:lang w:val="en-US" w:eastAsia="zh-CN"/>
              </w:rPr>
            </w:pPr>
            <w:r>
              <w:rPr>
                <w:rFonts w:hint="eastAsia"/>
                <w:color w:val="auto"/>
                <w:lang w:val="en-US" w:eastAsia="zh-CN"/>
              </w:rPr>
              <w:t>1#</w:t>
            </w:r>
            <w:r>
              <w:rPr>
                <w:rFonts w:hint="eastAsia"/>
                <w:color w:val="auto"/>
              </w:rPr>
              <w:t>水泥筒仓呼吸粉尘（G</w:t>
            </w:r>
            <w:r>
              <w:rPr>
                <w:rFonts w:hint="eastAsia"/>
                <w:color w:val="auto"/>
                <w:vertAlign w:val="subscript"/>
              </w:rPr>
              <w:t>1-1</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c>
          <w:tcPr>
            <w:tcW w:w="1959" w:type="dxa"/>
            <w:vMerge w:val="restart"/>
            <w:noWrap w:val="0"/>
            <w:vAlign w:val="center"/>
          </w:tcPr>
          <w:p w14:paraId="638F0C71">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《水泥工业大气污染物排放标准》（GB4915-2013）</w:t>
            </w:r>
          </w:p>
        </w:tc>
      </w:tr>
      <w:tr w14:paraId="6BBD87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continue"/>
            <w:noWrap w:val="0"/>
            <w:vAlign w:val="center"/>
          </w:tcPr>
          <w:p w14:paraId="56588A3D">
            <w:pPr>
              <w:adjustRightInd w:val="0"/>
              <w:snapToGrid w:val="0"/>
              <w:jc w:val="center"/>
              <w:rPr>
                <w:rFonts w:hint="default" w:ascii="Times New Roman" w:hAnsi="Times New Roman" w:eastAsia="宋体" w:cs="Times New Roman"/>
                <w:szCs w:val="21"/>
                <w:lang w:val="en-US" w:eastAsia="zh-CN"/>
              </w:rPr>
            </w:pPr>
          </w:p>
        </w:tc>
        <w:tc>
          <w:tcPr>
            <w:tcW w:w="1211" w:type="dxa"/>
            <w:vMerge w:val="restart"/>
            <w:noWrap w:val="0"/>
            <w:vAlign w:val="center"/>
          </w:tcPr>
          <w:p w14:paraId="4064FAC6">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水泥筒仓</w:t>
            </w:r>
          </w:p>
        </w:tc>
        <w:tc>
          <w:tcPr>
            <w:tcW w:w="1316" w:type="dxa"/>
            <w:vMerge w:val="restart"/>
            <w:noWrap w:val="0"/>
            <w:vAlign w:val="center"/>
          </w:tcPr>
          <w:p w14:paraId="0EC2FFA9">
            <w:pPr>
              <w:pStyle w:val="53"/>
              <w:bidi w:val="0"/>
              <w:ind w:firstLine="0" w:firstLineChars="0"/>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颗粒物</w:t>
            </w:r>
          </w:p>
        </w:tc>
        <w:tc>
          <w:tcPr>
            <w:tcW w:w="2855" w:type="dxa"/>
            <w:noWrap w:val="0"/>
            <w:vAlign w:val="center"/>
          </w:tcPr>
          <w:p w14:paraId="2772647C">
            <w:pPr>
              <w:pStyle w:val="53"/>
              <w:bidi w:val="0"/>
              <w:ind w:firstLine="0" w:firstLineChars="0"/>
              <w:jc w:val="both"/>
              <w:rPr>
                <w:rFonts w:hint="default"/>
              </w:rPr>
            </w:pPr>
            <w:r>
              <w:rPr>
                <w:rFonts w:hint="eastAsia"/>
                <w:color w:val="auto"/>
                <w:lang w:val="en-US" w:eastAsia="zh-CN"/>
              </w:rPr>
              <w:t>2#</w:t>
            </w:r>
            <w:r>
              <w:rPr>
                <w:rFonts w:hint="eastAsia"/>
                <w:color w:val="auto"/>
              </w:rPr>
              <w:t>水泥筒仓呼吸粉尘（G</w:t>
            </w:r>
            <w:r>
              <w:rPr>
                <w:rFonts w:hint="eastAsia"/>
                <w:color w:val="auto"/>
                <w:vertAlign w:val="subscript"/>
              </w:rPr>
              <w:t>1-</w:t>
            </w:r>
            <w:r>
              <w:rPr>
                <w:rFonts w:hint="eastAsia"/>
                <w:color w:val="auto"/>
                <w:vertAlign w:val="subscript"/>
                <w:lang w:val="en-US" w:eastAsia="zh-CN"/>
              </w:rPr>
              <w:t>2</w:t>
            </w:r>
            <w:r>
              <w:rPr>
                <w:rFonts w:hint="eastAsia"/>
                <w:color w:val="auto"/>
              </w:rPr>
              <w:t>）经</w:t>
            </w:r>
            <w:r>
              <w:rPr>
                <w:rFonts w:hint="eastAsia"/>
                <w:color w:val="auto"/>
                <w:lang w:val="en-US" w:eastAsia="zh-CN"/>
              </w:rPr>
              <w:t>仓顶</w:t>
            </w:r>
            <w:r>
              <w:rPr>
                <w:rFonts w:hint="eastAsia"/>
                <w:color w:val="auto"/>
              </w:rPr>
              <w:t>除尘器处理后</w:t>
            </w:r>
            <w:r>
              <w:rPr>
                <w:rFonts w:hint="eastAsia"/>
                <w:color w:val="auto"/>
                <w:lang w:eastAsia="zh-CN"/>
              </w:rPr>
              <w:t>，</w:t>
            </w:r>
            <w:r>
              <w:rPr>
                <w:rFonts w:hint="eastAsia"/>
                <w:color w:val="auto"/>
                <w:lang w:val="en-US" w:eastAsia="zh-CN"/>
              </w:rPr>
              <w:t>以无组织形式排放</w:t>
            </w:r>
            <w:r>
              <w:rPr>
                <w:rFonts w:hint="eastAsia"/>
                <w:color w:val="auto"/>
              </w:rPr>
              <w:t>。</w:t>
            </w:r>
          </w:p>
        </w:tc>
        <w:tc>
          <w:tcPr>
            <w:tcW w:w="1959" w:type="dxa"/>
            <w:vMerge w:val="continue"/>
            <w:noWrap w:val="0"/>
            <w:vAlign w:val="center"/>
          </w:tcPr>
          <w:p w14:paraId="41DC50CF">
            <w:pPr>
              <w:adjustRightInd w:val="0"/>
              <w:snapToGrid w:val="0"/>
              <w:jc w:val="center"/>
              <w:rPr>
                <w:rFonts w:hint="default" w:ascii="Times New Roman" w:hAnsi="Times New Roman" w:cs="Times New Roman"/>
                <w:szCs w:val="21"/>
              </w:rPr>
            </w:pPr>
          </w:p>
        </w:tc>
      </w:tr>
      <w:tr w14:paraId="343F4B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continue"/>
            <w:noWrap w:val="0"/>
            <w:vAlign w:val="center"/>
          </w:tcPr>
          <w:p w14:paraId="240CA25E">
            <w:pPr>
              <w:adjustRightInd w:val="0"/>
              <w:snapToGrid w:val="0"/>
              <w:jc w:val="center"/>
              <w:rPr>
                <w:rFonts w:hint="default" w:ascii="Times New Roman" w:hAnsi="Times New Roman" w:cs="Times New Roman"/>
                <w:szCs w:val="21"/>
              </w:rPr>
            </w:pPr>
          </w:p>
        </w:tc>
        <w:tc>
          <w:tcPr>
            <w:tcW w:w="1211" w:type="dxa"/>
            <w:noWrap w:val="0"/>
            <w:vAlign w:val="center"/>
          </w:tcPr>
          <w:p w14:paraId="1F1EE02D">
            <w:pPr>
              <w:pStyle w:val="53"/>
              <w:bidi w:val="0"/>
              <w:ind w:firstLine="0" w:firstLineChars="0"/>
              <w:rPr>
                <w:rFonts w:hint="default" w:ascii="Times New Roman" w:hAnsi="Times New Roman" w:cs="Times New Roman"/>
                <w:szCs w:val="21"/>
                <w:lang w:val="en-US" w:eastAsia="zh-CN"/>
              </w:rPr>
            </w:pPr>
            <w:r>
              <w:rPr>
                <w:rFonts w:hint="default" w:ascii="Times New Roman" w:hAnsi="Times New Roman" w:cs="Times New Roman"/>
                <w:sz w:val="21"/>
                <w:szCs w:val="21"/>
                <w:lang w:val="en-US" w:eastAsia="zh-CN"/>
              </w:rPr>
              <w:t>砂石料堆存和装卸料粉尘</w:t>
            </w:r>
          </w:p>
        </w:tc>
        <w:tc>
          <w:tcPr>
            <w:tcW w:w="1316" w:type="dxa"/>
            <w:noWrap w:val="0"/>
            <w:vAlign w:val="center"/>
          </w:tcPr>
          <w:p w14:paraId="22610E2A">
            <w:pPr>
              <w:pStyle w:val="38"/>
              <w:bidi w:val="0"/>
              <w:rPr>
                <w:rFonts w:hint="default" w:ascii="Times New Roman" w:hAnsi="Times New Roman" w:eastAsia="宋体" w:cs="Times New Roman"/>
                <w:szCs w:val="21"/>
                <w:lang w:val="en-US" w:eastAsia="zh-CN"/>
              </w:rPr>
            </w:pPr>
            <w:r>
              <w:rPr>
                <w:rFonts w:hint="eastAsia" w:ascii="Times New Roman" w:hAnsi="Times New Roman" w:cs="Times New Roman"/>
                <w:sz w:val="21"/>
                <w:szCs w:val="21"/>
                <w:lang w:val="en-US" w:eastAsia="zh-CN"/>
              </w:rPr>
              <w:t>颗粒物</w:t>
            </w:r>
          </w:p>
        </w:tc>
        <w:tc>
          <w:tcPr>
            <w:tcW w:w="2855" w:type="dxa"/>
            <w:noWrap w:val="0"/>
            <w:vAlign w:val="center"/>
          </w:tcPr>
          <w:p w14:paraId="60A3CDAF">
            <w:pPr>
              <w:pStyle w:val="53"/>
              <w:bidi w:val="0"/>
              <w:ind w:firstLine="0" w:firstLineChars="0"/>
              <w:jc w:val="both"/>
              <w:rPr>
                <w:rFonts w:hint="eastAsia" w:ascii="Times New Roman" w:hAnsi="Times New Roman" w:cs="Times New Roman"/>
                <w:szCs w:val="21"/>
                <w:lang w:val="en-US" w:eastAsia="zh-CN"/>
              </w:rPr>
            </w:pPr>
            <w:r>
              <w:rPr>
                <w:rFonts w:hint="default"/>
              </w:rPr>
              <w:t>通过</w:t>
            </w:r>
            <w:r>
              <w:rPr>
                <w:rFonts w:hint="eastAsia"/>
                <w:lang w:eastAsia="zh-CN"/>
              </w:rPr>
              <w:t>“</w:t>
            </w:r>
            <w:r>
              <w:rPr>
                <w:rFonts w:hint="default"/>
              </w:rPr>
              <w:t>全封闭骨料仓+在堆存和装卸过程使用雾炮机抑尘+</w:t>
            </w:r>
            <w:r>
              <w:rPr>
                <w:rFonts w:hint="eastAsia"/>
                <w:color w:val="auto"/>
              </w:rPr>
              <w:t>厂区四周设置</w:t>
            </w:r>
            <w:r>
              <w:rPr>
                <w:rFonts w:hint="eastAsia"/>
                <w:color w:val="auto"/>
                <w:lang w:val="en-US" w:eastAsia="zh-CN"/>
              </w:rPr>
              <w:t>长655m、高5m的</w:t>
            </w:r>
            <w:r>
              <w:rPr>
                <w:rFonts w:hint="eastAsia"/>
                <w:color w:val="auto"/>
              </w:rPr>
              <w:t>防风抑尘网</w:t>
            </w:r>
            <w:r>
              <w:rPr>
                <w:rFonts w:hint="eastAsia"/>
                <w:lang w:eastAsia="zh-CN"/>
              </w:rPr>
              <w:t>”</w:t>
            </w:r>
            <w:r>
              <w:rPr>
                <w:rFonts w:hint="default"/>
              </w:rPr>
              <w:t>处理后以无组织形式排放。</w:t>
            </w:r>
          </w:p>
        </w:tc>
        <w:tc>
          <w:tcPr>
            <w:tcW w:w="1959" w:type="dxa"/>
            <w:vMerge w:val="continue"/>
            <w:noWrap w:val="0"/>
            <w:vAlign w:val="center"/>
          </w:tcPr>
          <w:p w14:paraId="3F5A72C3">
            <w:pPr>
              <w:adjustRightInd w:val="0"/>
              <w:snapToGrid w:val="0"/>
              <w:jc w:val="center"/>
              <w:rPr>
                <w:rFonts w:hint="default" w:ascii="Times New Roman" w:hAnsi="Times New Roman" w:cs="Times New Roman"/>
                <w:szCs w:val="21"/>
              </w:rPr>
            </w:pPr>
          </w:p>
        </w:tc>
      </w:tr>
      <w:tr w14:paraId="691DA4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continue"/>
            <w:noWrap w:val="0"/>
            <w:vAlign w:val="center"/>
          </w:tcPr>
          <w:p w14:paraId="19AB8F40">
            <w:pPr>
              <w:adjustRightInd w:val="0"/>
              <w:snapToGrid w:val="0"/>
              <w:jc w:val="center"/>
              <w:rPr>
                <w:rFonts w:hint="default" w:ascii="Times New Roman" w:hAnsi="Times New Roman" w:cs="Times New Roman"/>
                <w:szCs w:val="21"/>
              </w:rPr>
            </w:pPr>
          </w:p>
        </w:tc>
        <w:tc>
          <w:tcPr>
            <w:tcW w:w="1211" w:type="dxa"/>
            <w:noWrap w:val="0"/>
            <w:vAlign w:val="center"/>
          </w:tcPr>
          <w:p w14:paraId="6868566C">
            <w:pPr>
              <w:pStyle w:val="53"/>
              <w:bidi w:val="0"/>
              <w:ind w:firstLine="0" w:firstLineChars="0"/>
              <w:jc w:val="center"/>
              <w:rPr>
                <w:rFonts w:hint="eastAsia" w:ascii="Times New Roman" w:hAnsi="Times New Roman" w:cs="Times New Roman"/>
                <w:szCs w:val="21"/>
                <w:lang w:val="en-US" w:eastAsia="zh-CN"/>
              </w:rPr>
            </w:pPr>
            <w:r>
              <w:rPr>
                <w:rFonts w:hint="default" w:ascii="Times New Roman" w:hAnsi="Times New Roman" w:cs="Times New Roman"/>
                <w:sz w:val="21"/>
                <w:szCs w:val="21"/>
                <w:lang w:val="en-US" w:eastAsia="zh-CN"/>
              </w:rPr>
              <w:t>砂石料投料、输送、计量粉尘</w:t>
            </w:r>
          </w:p>
        </w:tc>
        <w:tc>
          <w:tcPr>
            <w:tcW w:w="1316" w:type="dxa"/>
            <w:noWrap w:val="0"/>
            <w:vAlign w:val="center"/>
          </w:tcPr>
          <w:p w14:paraId="5C48B9A7">
            <w:pPr>
              <w:pStyle w:val="38"/>
              <w:bidi w:val="0"/>
              <w:rPr>
                <w:rFonts w:hint="eastAsia" w:ascii="Times New Roman" w:hAnsi="Times New Roman" w:cs="Times New Roman"/>
                <w:szCs w:val="21"/>
                <w:lang w:val="en-US" w:eastAsia="zh-CN"/>
              </w:rPr>
            </w:pPr>
            <w:r>
              <w:rPr>
                <w:rFonts w:hint="eastAsia" w:ascii="Times New Roman" w:hAnsi="Times New Roman" w:cs="Times New Roman"/>
                <w:sz w:val="21"/>
                <w:szCs w:val="21"/>
                <w:lang w:val="en-US" w:eastAsia="zh-CN"/>
              </w:rPr>
              <w:t>颗粒物</w:t>
            </w:r>
          </w:p>
        </w:tc>
        <w:tc>
          <w:tcPr>
            <w:tcW w:w="2855" w:type="dxa"/>
            <w:noWrap w:val="0"/>
            <w:vAlign w:val="center"/>
          </w:tcPr>
          <w:p w14:paraId="7E89FD8F">
            <w:pPr>
              <w:pStyle w:val="53"/>
              <w:bidi w:val="0"/>
              <w:ind w:firstLine="0" w:firstLineChars="0"/>
              <w:jc w:val="both"/>
              <w:rPr>
                <w:rFonts w:hint="eastAsia"/>
                <w:lang w:val="en-US" w:eastAsia="zh-CN"/>
              </w:rPr>
            </w:pPr>
            <w:r>
              <w:rPr>
                <w:rFonts w:hint="default" w:ascii="Times New Roman" w:hAnsi="Times New Roman" w:cs="Times New Roman"/>
                <w:sz w:val="21"/>
                <w:szCs w:val="21"/>
                <w:lang w:val="en-US" w:eastAsia="zh-CN"/>
              </w:rPr>
              <w:t>通过</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lang w:val="en-US" w:eastAsia="zh-CN"/>
              </w:rPr>
              <w:t>全封闭骨料仓、</w:t>
            </w:r>
            <w:r>
              <w:rPr>
                <w:rFonts w:hint="eastAsia" w:cs="Times New Roman"/>
                <w:sz w:val="21"/>
                <w:szCs w:val="21"/>
                <w:lang w:val="en-US" w:eastAsia="zh-CN"/>
              </w:rPr>
              <w:t>全封闭</w:t>
            </w:r>
            <w:r>
              <w:rPr>
                <w:rFonts w:hint="default" w:ascii="Times New Roman" w:hAnsi="Times New Roman" w:cs="Times New Roman"/>
                <w:sz w:val="21"/>
                <w:szCs w:val="21"/>
                <w:lang w:val="en-US" w:eastAsia="zh-CN"/>
              </w:rPr>
              <w:t>输送带+在装载机投料过程中使用雾炮机抑尘+</w:t>
            </w:r>
            <w:r>
              <w:rPr>
                <w:rFonts w:hint="eastAsia"/>
                <w:color w:val="auto"/>
              </w:rPr>
              <w:t>厂区四周设置</w:t>
            </w:r>
            <w:r>
              <w:rPr>
                <w:rFonts w:hint="eastAsia"/>
                <w:color w:val="auto"/>
                <w:lang w:val="en-US" w:eastAsia="zh-CN"/>
              </w:rPr>
              <w:t>长655m、高5m的</w:t>
            </w:r>
            <w:r>
              <w:rPr>
                <w:rFonts w:hint="eastAsia"/>
                <w:color w:val="auto"/>
              </w:rPr>
              <w:t>防风抑尘网</w:t>
            </w:r>
            <w:r>
              <w:rPr>
                <w:rFonts w:hint="eastAsia" w:ascii="Times New Roman" w:hAnsi="Times New Roman" w:cs="Times New Roman"/>
                <w:sz w:val="21"/>
                <w:szCs w:val="21"/>
                <w:lang w:val="en-US" w:eastAsia="zh-CN"/>
              </w:rPr>
              <w:t>”</w:t>
            </w:r>
            <w:r>
              <w:rPr>
                <w:rFonts w:hint="default" w:ascii="Times New Roman" w:hAnsi="Times New Roman" w:cs="Times New Roman"/>
                <w:sz w:val="21"/>
                <w:szCs w:val="21"/>
                <w:lang w:val="en-US" w:eastAsia="zh-CN"/>
              </w:rPr>
              <w:t>处理后以无组织形式排放。</w:t>
            </w:r>
          </w:p>
        </w:tc>
        <w:tc>
          <w:tcPr>
            <w:tcW w:w="1959" w:type="dxa"/>
            <w:vMerge w:val="continue"/>
            <w:noWrap w:val="0"/>
            <w:vAlign w:val="center"/>
          </w:tcPr>
          <w:p w14:paraId="20CB3606">
            <w:pPr>
              <w:adjustRightInd w:val="0"/>
              <w:snapToGrid w:val="0"/>
              <w:jc w:val="center"/>
              <w:rPr>
                <w:rFonts w:hint="default" w:ascii="Times New Roman" w:hAnsi="Times New Roman" w:cs="Times New Roman"/>
                <w:szCs w:val="21"/>
              </w:rPr>
            </w:pPr>
          </w:p>
        </w:tc>
      </w:tr>
      <w:tr w14:paraId="2DA34C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continue"/>
            <w:noWrap w:val="0"/>
            <w:vAlign w:val="center"/>
          </w:tcPr>
          <w:p w14:paraId="1FF4623B">
            <w:pPr>
              <w:adjustRightInd w:val="0"/>
              <w:snapToGrid w:val="0"/>
              <w:jc w:val="center"/>
              <w:rPr>
                <w:rFonts w:hint="default" w:ascii="Times New Roman" w:hAnsi="Times New Roman" w:cs="Times New Roman"/>
                <w:szCs w:val="21"/>
              </w:rPr>
            </w:pPr>
          </w:p>
        </w:tc>
        <w:tc>
          <w:tcPr>
            <w:tcW w:w="1211" w:type="dxa"/>
            <w:noWrap w:val="0"/>
            <w:vAlign w:val="center"/>
          </w:tcPr>
          <w:p w14:paraId="4F3A4EE2">
            <w:pPr>
              <w:pStyle w:val="53"/>
              <w:bidi w:val="0"/>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运输扬尘</w:t>
            </w:r>
          </w:p>
        </w:tc>
        <w:tc>
          <w:tcPr>
            <w:tcW w:w="1316" w:type="dxa"/>
            <w:noWrap w:val="0"/>
            <w:vAlign w:val="center"/>
          </w:tcPr>
          <w:p w14:paraId="5E02A302">
            <w:pPr>
              <w:pStyle w:val="38"/>
              <w:bidi w:val="0"/>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颗粒物</w:t>
            </w:r>
          </w:p>
        </w:tc>
        <w:tc>
          <w:tcPr>
            <w:tcW w:w="2855" w:type="dxa"/>
            <w:noWrap w:val="0"/>
            <w:vAlign w:val="center"/>
          </w:tcPr>
          <w:p w14:paraId="02801C96">
            <w:pPr>
              <w:pStyle w:val="53"/>
              <w:bidi w:val="0"/>
              <w:ind w:firstLine="0" w:firstLineChars="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通过</w:t>
            </w:r>
            <w:r>
              <w:rPr>
                <w:rFonts w:hint="eastAsia" w:cs="Times New Roman"/>
                <w:sz w:val="21"/>
                <w:szCs w:val="21"/>
                <w:lang w:val="en-US" w:eastAsia="zh-CN"/>
              </w:rPr>
              <w:t>洒水车</w:t>
            </w:r>
            <w:r>
              <w:rPr>
                <w:rFonts w:hint="default" w:ascii="Times New Roman" w:hAnsi="Times New Roman" w:cs="Times New Roman"/>
                <w:sz w:val="21"/>
                <w:szCs w:val="21"/>
                <w:lang w:val="en-US" w:eastAsia="zh-CN"/>
              </w:rPr>
              <w:t>洒水抑尘和清洗运输车辆减少粉尘排放。</w:t>
            </w:r>
          </w:p>
        </w:tc>
        <w:tc>
          <w:tcPr>
            <w:tcW w:w="1959" w:type="dxa"/>
            <w:vMerge w:val="continue"/>
            <w:noWrap w:val="0"/>
            <w:vAlign w:val="center"/>
          </w:tcPr>
          <w:p w14:paraId="638CB99C">
            <w:pPr>
              <w:adjustRightInd w:val="0"/>
              <w:snapToGrid w:val="0"/>
              <w:jc w:val="center"/>
              <w:rPr>
                <w:rFonts w:hint="default" w:ascii="Times New Roman" w:hAnsi="Times New Roman" w:cs="Times New Roman"/>
                <w:szCs w:val="21"/>
              </w:rPr>
            </w:pPr>
          </w:p>
        </w:tc>
      </w:tr>
      <w:tr w14:paraId="5F07CE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restart"/>
            <w:noWrap w:val="0"/>
            <w:vAlign w:val="center"/>
          </w:tcPr>
          <w:p w14:paraId="1E253A2A">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地表水环境</w:t>
            </w:r>
          </w:p>
        </w:tc>
        <w:tc>
          <w:tcPr>
            <w:tcW w:w="1211" w:type="dxa"/>
            <w:noWrap w:val="0"/>
            <w:vAlign w:val="center"/>
          </w:tcPr>
          <w:p w14:paraId="190C2704">
            <w:pPr>
              <w:adjustRightInd w:val="0"/>
              <w:snapToGrid w:val="0"/>
              <w:jc w:val="center"/>
              <w:rPr>
                <w:rFonts w:hint="default" w:ascii="Times New Roman" w:hAnsi="Times New Roman" w:eastAsia="宋体" w:cs="Times New Roman"/>
                <w:szCs w:val="21"/>
                <w:lang w:val="en-US" w:eastAsia="zh-CN"/>
              </w:rPr>
            </w:pPr>
            <w:r>
              <w:rPr>
                <w:rFonts w:hint="eastAsia" w:cs="Times New Roman"/>
                <w:szCs w:val="21"/>
                <w:lang w:val="en-US" w:eastAsia="zh-CN"/>
              </w:rPr>
              <w:t>/</w:t>
            </w:r>
          </w:p>
        </w:tc>
        <w:tc>
          <w:tcPr>
            <w:tcW w:w="1316" w:type="dxa"/>
            <w:noWrap w:val="0"/>
            <w:vAlign w:val="center"/>
          </w:tcPr>
          <w:p w14:paraId="324F1C5E">
            <w:pPr>
              <w:pStyle w:val="53"/>
              <w:bidi w:val="0"/>
              <w:ind w:firstLine="0" w:firstLineChars="0"/>
              <w:rPr>
                <w:rFonts w:hint="eastAsia" w:ascii="Times New Roman" w:hAnsi="Times New Roman" w:eastAsia="宋体" w:cs="Times New Roman"/>
                <w:szCs w:val="21"/>
                <w:lang w:eastAsia="zh-CN"/>
              </w:rPr>
            </w:pPr>
            <w:r>
              <w:rPr>
                <w:rFonts w:hint="eastAsia"/>
                <w:color w:val="auto"/>
                <w:lang w:val="en-US" w:eastAsia="zh-CN"/>
              </w:rPr>
              <w:t>生活污水</w:t>
            </w:r>
          </w:p>
        </w:tc>
        <w:tc>
          <w:tcPr>
            <w:tcW w:w="2855" w:type="dxa"/>
            <w:noWrap w:val="0"/>
            <w:vAlign w:val="center"/>
          </w:tcPr>
          <w:p w14:paraId="7ED7342F">
            <w:pPr>
              <w:pStyle w:val="53"/>
              <w:bidi w:val="0"/>
              <w:ind w:firstLine="0" w:firstLineChars="0"/>
              <w:jc w:val="both"/>
              <w:rPr>
                <w:rFonts w:hint="eastAsia" w:ascii="Times New Roman" w:hAnsi="Times New Roman" w:eastAsia="宋体" w:cs="Times New Roman"/>
                <w:szCs w:val="21"/>
                <w:lang w:eastAsia="zh-CN"/>
              </w:rPr>
            </w:pPr>
            <w:r>
              <w:rPr>
                <w:rFonts w:hint="default"/>
              </w:rPr>
              <w:t>经化粪池预处理后，定期拉运至甘其毛都口岸加工园区污水处理厂。</w:t>
            </w:r>
          </w:p>
        </w:tc>
        <w:tc>
          <w:tcPr>
            <w:tcW w:w="1959" w:type="dxa"/>
            <w:vMerge w:val="restart"/>
            <w:noWrap w:val="0"/>
            <w:vAlign w:val="center"/>
          </w:tcPr>
          <w:p w14:paraId="63045BA0">
            <w:pPr>
              <w:pStyle w:val="53"/>
              <w:bidi w:val="0"/>
              <w:rPr>
                <w:rFonts w:hint="default" w:ascii="Times New Roman" w:hAnsi="Times New Roman" w:cs="Times New Roman"/>
                <w:szCs w:val="21"/>
              </w:rPr>
            </w:pPr>
            <w:r>
              <w:rPr>
                <w:rFonts w:hint="default"/>
                <w:lang w:val="en-US" w:eastAsia="zh-CN"/>
              </w:rPr>
              <w:t>《污水综合排放标准》（GB8978-1996）</w:t>
            </w:r>
            <w:r>
              <w:rPr>
                <w:rFonts w:hint="default"/>
                <w:color w:val="auto"/>
                <w:lang w:val="en-US" w:eastAsia="zh-CN"/>
              </w:rPr>
              <w:t>三级标准浓度限值</w:t>
            </w:r>
          </w:p>
        </w:tc>
      </w:tr>
      <w:tr w14:paraId="5398B8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continue"/>
            <w:noWrap w:val="0"/>
            <w:vAlign w:val="center"/>
          </w:tcPr>
          <w:p w14:paraId="276A4821">
            <w:pPr>
              <w:adjustRightInd w:val="0"/>
              <w:snapToGrid w:val="0"/>
              <w:jc w:val="center"/>
              <w:rPr>
                <w:rFonts w:hint="default" w:ascii="Times New Roman" w:hAnsi="Times New Roman" w:cs="Times New Roman"/>
                <w:szCs w:val="21"/>
              </w:rPr>
            </w:pPr>
          </w:p>
        </w:tc>
        <w:tc>
          <w:tcPr>
            <w:tcW w:w="1211" w:type="dxa"/>
            <w:vMerge w:val="restart"/>
            <w:noWrap w:val="0"/>
            <w:vAlign w:val="center"/>
          </w:tcPr>
          <w:p w14:paraId="0D61176C">
            <w:pPr>
              <w:adjustRightInd w:val="0"/>
              <w:snapToGrid w:val="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w:t>
            </w:r>
          </w:p>
        </w:tc>
        <w:tc>
          <w:tcPr>
            <w:tcW w:w="1316" w:type="dxa"/>
            <w:noWrap w:val="0"/>
            <w:vAlign w:val="center"/>
          </w:tcPr>
          <w:p w14:paraId="63C3AB47">
            <w:pPr>
              <w:pStyle w:val="53"/>
              <w:bidi w:val="0"/>
              <w:ind w:firstLine="0" w:firstLineChars="0"/>
              <w:rPr>
                <w:rFonts w:hint="default" w:ascii="Times New Roman" w:hAnsi="Times New Roman" w:eastAsia="宋体" w:cs="Times New Roman"/>
                <w:szCs w:val="21"/>
                <w:lang w:val="en-US" w:eastAsia="zh-CN"/>
              </w:rPr>
            </w:pPr>
            <w:r>
              <w:rPr>
                <w:rFonts w:hint="eastAsia"/>
                <w:lang w:val="en-US" w:eastAsia="zh-CN"/>
              </w:rPr>
              <w:t>搅拌废水</w:t>
            </w:r>
          </w:p>
        </w:tc>
        <w:tc>
          <w:tcPr>
            <w:tcW w:w="2855" w:type="dxa"/>
            <w:noWrap w:val="0"/>
            <w:vAlign w:val="center"/>
          </w:tcPr>
          <w:p w14:paraId="735C551B">
            <w:pPr>
              <w:pStyle w:val="53"/>
              <w:bidi w:val="0"/>
              <w:ind w:firstLine="0" w:firstLineChars="0"/>
              <w:jc w:val="both"/>
              <w:rPr>
                <w:rFonts w:hint="default" w:ascii="Times New Roman" w:hAnsi="Times New Roman" w:cs="Times New Roman"/>
                <w:szCs w:val="21"/>
              </w:rPr>
            </w:pPr>
            <w:r>
              <w:rPr>
                <w:rFonts w:hint="eastAsia"/>
                <w:lang w:val="en-US" w:eastAsia="zh-CN"/>
              </w:rPr>
              <w:t>全部进入产品中，无废水外排。</w:t>
            </w:r>
          </w:p>
        </w:tc>
        <w:tc>
          <w:tcPr>
            <w:tcW w:w="1959" w:type="dxa"/>
            <w:vMerge w:val="continue"/>
            <w:noWrap w:val="0"/>
            <w:vAlign w:val="center"/>
          </w:tcPr>
          <w:p w14:paraId="30CD1B91">
            <w:pPr>
              <w:adjustRightInd w:val="0"/>
              <w:snapToGrid w:val="0"/>
              <w:jc w:val="center"/>
              <w:rPr>
                <w:rFonts w:hint="eastAsia" w:ascii="Times New Roman" w:hAnsi="Times New Roman" w:eastAsia="宋体" w:cs="Times New Roman"/>
                <w:szCs w:val="21"/>
                <w:lang w:val="en-US" w:eastAsia="zh-CN"/>
              </w:rPr>
            </w:pPr>
          </w:p>
        </w:tc>
      </w:tr>
      <w:tr w14:paraId="5BD215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continue"/>
            <w:noWrap w:val="0"/>
            <w:vAlign w:val="center"/>
          </w:tcPr>
          <w:p w14:paraId="5B19C592">
            <w:pPr>
              <w:pStyle w:val="53"/>
              <w:bidi w:val="0"/>
              <w:ind w:firstLine="0" w:firstLineChars="0"/>
            </w:pPr>
          </w:p>
        </w:tc>
        <w:tc>
          <w:tcPr>
            <w:tcW w:w="1211" w:type="dxa"/>
            <w:vMerge w:val="continue"/>
            <w:noWrap w:val="0"/>
            <w:vAlign w:val="center"/>
          </w:tcPr>
          <w:p w14:paraId="631B1B31">
            <w:pPr>
              <w:pStyle w:val="53"/>
              <w:bidi w:val="0"/>
              <w:ind w:firstLine="0" w:firstLineChars="0"/>
            </w:pPr>
          </w:p>
        </w:tc>
        <w:tc>
          <w:tcPr>
            <w:tcW w:w="1316" w:type="dxa"/>
            <w:noWrap w:val="0"/>
            <w:vAlign w:val="center"/>
          </w:tcPr>
          <w:p w14:paraId="2B3358F7">
            <w:pPr>
              <w:pStyle w:val="53"/>
              <w:bidi w:val="0"/>
              <w:ind w:firstLine="0" w:firstLineChars="0"/>
              <w:rPr>
                <w:rFonts w:hint="default" w:ascii="Times New Roman" w:hAnsi="Times New Roman" w:eastAsia="宋体" w:cs="Times New Roman"/>
                <w:szCs w:val="21"/>
                <w:lang w:val="en-US" w:eastAsia="zh-CN"/>
              </w:rPr>
            </w:pPr>
            <w:r>
              <w:rPr>
                <w:rFonts w:hint="eastAsia"/>
                <w:lang w:val="en-US" w:eastAsia="zh-CN"/>
              </w:rPr>
              <w:t>全封闭搅拌机清洗废水</w:t>
            </w:r>
          </w:p>
        </w:tc>
        <w:tc>
          <w:tcPr>
            <w:tcW w:w="2855" w:type="dxa"/>
            <w:noWrap w:val="0"/>
            <w:vAlign w:val="center"/>
          </w:tcPr>
          <w:p w14:paraId="03422E3C">
            <w:pPr>
              <w:pStyle w:val="53"/>
              <w:bidi w:val="0"/>
              <w:ind w:firstLine="0" w:firstLineChars="0"/>
              <w:jc w:val="both"/>
              <w:rPr>
                <w:rFonts w:hint="default" w:ascii="Times New Roman" w:hAnsi="Times New Roman" w:eastAsia="宋体" w:cs="Times New Roman"/>
                <w:szCs w:val="21"/>
                <w:lang w:val="en-US" w:eastAsia="zh-CN"/>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tc>
        <w:tc>
          <w:tcPr>
            <w:tcW w:w="1959" w:type="dxa"/>
            <w:vMerge w:val="continue"/>
            <w:noWrap w:val="0"/>
            <w:vAlign w:val="center"/>
          </w:tcPr>
          <w:p w14:paraId="0B6BFE9E">
            <w:pPr>
              <w:pStyle w:val="53"/>
              <w:bidi w:val="0"/>
              <w:ind w:firstLine="0" w:firstLineChars="0"/>
              <w:rPr>
                <w:rFonts w:hint="default" w:ascii="Times New Roman" w:hAnsi="Times New Roman" w:eastAsia="宋体" w:cs="Times New Roman"/>
                <w:szCs w:val="21"/>
                <w:lang w:val="en-US" w:eastAsia="zh-CN"/>
              </w:rPr>
            </w:pPr>
          </w:p>
        </w:tc>
      </w:tr>
      <w:tr w14:paraId="30B0D6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continue"/>
            <w:noWrap w:val="0"/>
            <w:vAlign w:val="center"/>
          </w:tcPr>
          <w:p w14:paraId="3205BD5C">
            <w:pPr>
              <w:pStyle w:val="53"/>
              <w:bidi w:val="0"/>
              <w:ind w:firstLine="0" w:firstLineChars="0"/>
              <w:rPr>
                <w:rFonts w:hint="default" w:ascii="Times New Roman" w:hAnsi="Times New Roman" w:eastAsia="宋体" w:cs="Times New Roman"/>
                <w:szCs w:val="21"/>
                <w:lang w:val="en-US" w:eastAsia="zh-CN"/>
              </w:rPr>
            </w:pPr>
          </w:p>
        </w:tc>
        <w:tc>
          <w:tcPr>
            <w:tcW w:w="1211" w:type="dxa"/>
            <w:vMerge w:val="continue"/>
            <w:noWrap w:val="0"/>
            <w:vAlign w:val="center"/>
          </w:tcPr>
          <w:p w14:paraId="1509DFB1">
            <w:pPr>
              <w:pStyle w:val="53"/>
              <w:bidi w:val="0"/>
              <w:ind w:firstLine="0" w:firstLineChars="0"/>
              <w:rPr>
                <w:rFonts w:hint="default" w:ascii="Times New Roman" w:hAnsi="Times New Roman" w:eastAsia="宋体" w:cs="Times New Roman"/>
                <w:szCs w:val="21"/>
                <w:lang w:val="en-US" w:eastAsia="zh-CN"/>
              </w:rPr>
            </w:pPr>
          </w:p>
        </w:tc>
        <w:tc>
          <w:tcPr>
            <w:tcW w:w="1316" w:type="dxa"/>
            <w:noWrap w:val="0"/>
            <w:vAlign w:val="center"/>
          </w:tcPr>
          <w:p w14:paraId="4F3363AA">
            <w:pPr>
              <w:pStyle w:val="53"/>
              <w:bidi w:val="0"/>
              <w:ind w:firstLine="0" w:firstLineChars="0"/>
              <w:rPr>
                <w:rFonts w:hint="default" w:ascii="Times New Roman" w:hAnsi="Times New Roman" w:eastAsia="宋体" w:cs="Times New Roman"/>
                <w:szCs w:val="21"/>
                <w:lang w:val="en-US" w:eastAsia="zh-CN"/>
              </w:rPr>
            </w:pPr>
            <w:r>
              <w:rPr>
                <w:rFonts w:hint="default"/>
                <w:lang w:val="en-US" w:eastAsia="zh-CN"/>
              </w:rPr>
              <w:t>混凝土运输车清洗废水</w:t>
            </w:r>
          </w:p>
        </w:tc>
        <w:tc>
          <w:tcPr>
            <w:tcW w:w="2855" w:type="dxa"/>
            <w:noWrap w:val="0"/>
            <w:vAlign w:val="center"/>
          </w:tcPr>
          <w:p w14:paraId="130B23B7">
            <w:pPr>
              <w:pStyle w:val="53"/>
              <w:bidi w:val="0"/>
              <w:ind w:firstLine="0" w:firstLineChars="0"/>
              <w:jc w:val="both"/>
              <w:rPr>
                <w:rFonts w:hint="default" w:ascii="Times New Roman" w:hAnsi="Times New Roman" w:eastAsia="宋体" w:cs="Times New Roman"/>
                <w:szCs w:val="21"/>
                <w:lang w:val="en-US" w:eastAsia="zh-CN"/>
              </w:rPr>
            </w:pPr>
            <w:r>
              <w:rPr>
                <w:rFonts w:hint="default"/>
              </w:rPr>
              <w:t>排入厂区的沉淀池</w:t>
            </w:r>
            <w:r>
              <w:rPr>
                <w:rFonts w:hint="eastAsia"/>
                <w:lang w:eastAsia="zh-CN"/>
              </w:rPr>
              <w:t>（</w:t>
            </w:r>
            <w:r>
              <w:rPr>
                <w:rFonts w:hint="eastAsia"/>
                <w:lang w:val="en-US" w:eastAsia="zh-CN"/>
              </w:rPr>
              <w:t>10m</w:t>
            </w:r>
            <w:r>
              <w:rPr>
                <w:rFonts w:hint="eastAsia"/>
                <w:vertAlign w:val="superscript"/>
                <w:lang w:val="en-US" w:eastAsia="zh-CN"/>
              </w:rPr>
              <w:t>3</w:t>
            </w:r>
            <w:r>
              <w:rPr>
                <w:rFonts w:hint="eastAsia"/>
                <w:lang w:eastAsia="zh-CN"/>
              </w:rPr>
              <w:t>）</w:t>
            </w:r>
            <w:r>
              <w:rPr>
                <w:rFonts w:hint="default"/>
              </w:rPr>
              <w:t>内，沉淀后上清液全部回用于搅拌机和混凝土运输车清洗，不外排。</w:t>
            </w:r>
          </w:p>
        </w:tc>
        <w:tc>
          <w:tcPr>
            <w:tcW w:w="1959" w:type="dxa"/>
            <w:vMerge w:val="continue"/>
            <w:noWrap w:val="0"/>
            <w:vAlign w:val="center"/>
          </w:tcPr>
          <w:p w14:paraId="7CDED7EA">
            <w:pPr>
              <w:pStyle w:val="53"/>
              <w:bidi w:val="0"/>
              <w:ind w:firstLine="0" w:firstLineChars="0"/>
              <w:rPr>
                <w:rFonts w:hint="default" w:ascii="Times New Roman" w:hAnsi="Times New Roman" w:eastAsia="宋体" w:cs="Times New Roman"/>
                <w:szCs w:val="21"/>
                <w:lang w:val="en-US" w:eastAsia="zh-CN"/>
              </w:rPr>
            </w:pPr>
          </w:p>
        </w:tc>
      </w:tr>
      <w:tr w14:paraId="7FE851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continue"/>
            <w:noWrap w:val="0"/>
            <w:vAlign w:val="center"/>
          </w:tcPr>
          <w:p w14:paraId="3F840AD7">
            <w:pPr>
              <w:pStyle w:val="53"/>
              <w:bidi w:val="0"/>
              <w:ind w:firstLine="0" w:firstLineChars="0"/>
              <w:rPr>
                <w:rFonts w:hint="default" w:ascii="Times New Roman" w:hAnsi="Times New Roman" w:eastAsia="宋体" w:cs="Times New Roman"/>
                <w:szCs w:val="21"/>
                <w:lang w:val="en-US" w:eastAsia="zh-CN"/>
              </w:rPr>
            </w:pPr>
          </w:p>
        </w:tc>
        <w:tc>
          <w:tcPr>
            <w:tcW w:w="1211" w:type="dxa"/>
            <w:vMerge w:val="continue"/>
            <w:noWrap w:val="0"/>
            <w:vAlign w:val="center"/>
          </w:tcPr>
          <w:p w14:paraId="281A3355">
            <w:pPr>
              <w:pStyle w:val="53"/>
              <w:bidi w:val="0"/>
              <w:ind w:firstLine="0" w:firstLineChars="0"/>
              <w:rPr>
                <w:rFonts w:hint="default" w:ascii="Times New Roman" w:hAnsi="Times New Roman" w:eastAsia="宋体" w:cs="Times New Roman"/>
                <w:szCs w:val="21"/>
                <w:lang w:val="en-US" w:eastAsia="zh-CN"/>
              </w:rPr>
            </w:pPr>
          </w:p>
        </w:tc>
        <w:tc>
          <w:tcPr>
            <w:tcW w:w="1316" w:type="dxa"/>
            <w:noWrap w:val="0"/>
            <w:vAlign w:val="center"/>
          </w:tcPr>
          <w:p w14:paraId="0D041DEA">
            <w:pPr>
              <w:pStyle w:val="53"/>
              <w:bidi w:val="0"/>
              <w:ind w:firstLine="0" w:firstLineChars="0"/>
              <w:rPr>
                <w:rFonts w:hint="default" w:ascii="Times New Roman" w:hAnsi="Times New Roman" w:eastAsia="宋体" w:cs="Times New Roman"/>
                <w:szCs w:val="21"/>
                <w:lang w:val="en-US" w:eastAsia="zh-CN"/>
              </w:rPr>
            </w:pPr>
            <w:r>
              <w:rPr>
                <w:rFonts w:hint="eastAsia"/>
                <w:lang w:val="en-US" w:eastAsia="zh-CN"/>
              </w:rPr>
              <w:t>抑尘废水</w:t>
            </w:r>
          </w:p>
        </w:tc>
        <w:tc>
          <w:tcPr>
            <w:tcW w:w="2855" w:type="dxa"/>
            <w:noWrap w:val="0"/>
            <w:vAlign w:val="center"/>
          </w:tcPr>
          <w:p w14:paraId="7866E1F6">
            <w:pPr>
              <w:pStyle w:val="53"/>
              <w:bidi w:val="0"/>
              <w:ind w:firstLine="0" w:firstLineChars="0"/>
              <w:jc w:val="both"/>
              <w:rPr>
                <w:rFonts w:hint="default" w:ascii="Times New Roman" w:hAnsi="Times New Roman" w:eastAsia="宋体" w:cs="Times New Roman"/>
                <w:szCs w:val="21"/>
                <w:lang w:val="en-US" w:eastAsia="zh-CN"/>
              </w:rPr>
            </w:pPr>
            <w:r>
              <w:rPr>
                <w:rFonts w:hint="eastAsia"/>
                <w:lang w:val="en-US" w:eastAsia="zh-CN"/>
              </w:rPr>
              <w:t>全部自然蒸发，无废水外排。</w:t>
            </w:r>
          </w:p>
        </w:tc>
        <w:tc>
          <w:tcPr>
            <w:tcW w:w="1959" w:type="dxa"/>
            <w:vMerge w:val="continue"/>
            <w:noWrap w:val="0"/>
            <w:vAlign w:val="center"/>
          </w:tcPr>
          <w:p w14:paraId="76A1E7C4">
            <w:pPr>
              <w:pStyle w:val="53"/>
              <w:bidi w:val="0"/>
              <w:ind w:firstLine="0" w:firstLineChars="0"/>
              <w:rPr>
                <w:rFonts w:hint="default" w:ascii="Times New Roman" w:hAnsi="Times New Roman" w:eastAsia="宋体" w:cs="Times New Roman"/>
                <w:szCs w:val="21"/>
                <w:lang w:val="en-US" w:eastAsia="zh-CN"/>
              </w:rPr>
            </w:pPr>
          </w:p>
        </w:tc>
      </w:tr>
      <w:tr w14:paraId="272C30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restart"/>
            <w:noWrap w:val="0"/>
            <w:vAlign w:val="center"/>
          </w:tcPr>
          <w:p w14:paraId="2E64570A">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声环境</w:t>
            </w:r>
          </w:p>
        </w:tc>
        <w:tc>
          <w:tcPr>
            <w:tcW w:w="1211" w:type="dxa"/>
            <w:noWrap w:val="0"/>
            <w:vAlign w:val="center"/>
          </w:tcPr>
          <w:p w14:paraId="041A1B02">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机械噪声</w:t>
            </w:r>
          </w:p>
        </w:tc>
        <w:tc>
          <w:tcPr>
            <w:tcW w:w="1316" w:type="dxa"/>
            <w:vMerge w:val="restart"/>
            <w:noWrap w:val="0"/>
            <w:vAlign w:val="center"/>
          </w:tcPr>
          <w:p w14:paraId="0EBC76CD">
            <w:pPr>
              <w:pStyle w:val="53"/>
              <w:bidi w:val="0"/>
              <w:ind w:firstLine="0" w:firstLineChars="0"/>
              <w:rPr>
                <w:rFonts w:hint="default" w:ascii="Times New Roman" w:hAnsi="Times New Roman" w:cs="Times New Roman"/>
                <w:szCs w:val="21"/>
              </w:rPr>
            </w:pPr>
            <w:r>
              <w:rPr>
                <w:rFonts w:hint="default" w:ascii="Times New Roman" w:hAnsi="Times New Roman" w:cs="Times New Roman"/>
                <w:szCs w:val="21"/>
              </w:rPr>
              <w:t>Leq（A）</w:t>
            </w:r>
          </w:p>
        </w:tc>
        <w:tc>
          <w:tcPr>
            <w:tcW w:w="2855" w:type="dxa"/>
            <w:noWrap w:val="0"/>
            <w:vAlign w:val="center"/>
          </w:tcPr>
          <w:p w14:paraId="4D2C4BBB">
            <w:pPr>
              <w:pStyle w:val="53"/>
              <w:bidi w:val="0"/>
              <w:ind w:firstLine="0" w:firstLineChars="0"/>
              <w:jc w:val="both"/>
              <w:rPr>
                <w:rFonts w:hint="default" w:ascii="Times New Roman" w:hAnsi="Times New Roman" w:cs="Times New Roman"/>
                <w:szCs w:val="21"/>
              </w:rPr>
            </w:pPr>
            <w:r>
              <w:rPr>
                <w:rFonts w:hint="default" w:ascii="Times New Roman" w:hAnsi="Times New Roman" w:cs="Times New Roman"/>
                <w:szCs w:val="21"/>
              </w:rPr>
              <w:t>采购低噪声设备，基础减振、风机安装消声器、墙体隔声，合理布局，定期检查、维修设备，使设备处于良好的运行状态。</w:t>
            </w:r>
          </w:p>
        </w:tc>
        <w:tc>
          <w:tcPr>
            <w:tcW w:w="1959" w:type="dxa"/>
            <w:vMerge w:val="restart"/>
            <w:noWrap w:val="0"/>
            <w:vAlign w:val="center"/>
          </w:tcPr>
          <w:p w14:paraId="06BF47B6">
            <w:pPr>
              <w:pStyle w:val="53"/>
              <w:bidi w:val="0"/>
              <w:rPr>
                <w:rFonts w:hint="default"/>
              </w:rPr>
            </w:pPr>
            <w:r>
              <w:rPr>
                <w:rFonts w:hint="default"/>
              </w:rPr>
              <w:t>《工业企业厂界环境噪声排放标准》（GB12348-2008）</w:t>
            </w:r>
            <w:r>
              <w:rPr>
                <w:rFonts w:hint="eastAsia"/>
                <w:lang w:val="en-US" w:eastAsia="zh-CN"/>
              </w:rPr>
              <w:t>2</w:t>
            </w:r>
            <w:r>
              <w:rPr>
                <w:rFonts w:hint="default"/>
              </w:rPr>
              <w:t>类标准</w:t>
            </w:r>
          </w:p>
        </w:tc>
      </w:tr>
      <w:tr w14:paraId="4E4D14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vMerge w:val="continue"/>
            <w:noWrap w:val="0"/>
            <w:vAlign w:val="center"/>
          </w:tcPr>
          <w:p w14:paraId="48487ECF">
            <w:pPr>
              <w:adjustRightInd w:val="0"/>
              <w:snapToGrid w:val="0"/>
              <w:jc w:val="center"/>
              <w:rPr>
                <w:rFonts w:hint="eastAsia" w:ascii="Times New Roman" w:hAnsi="Times New Roman" w:cs="Times New Roman"/>
                <w:szCs w:val="21"/>
                <w:lang w:val="en-US" w:eastAsia="zh-CN"/>
              </w:rPr>
            </w:pPr>
          </w:p>
        </w:tc>
        <w:tc>
          <w:tcPr>
            <w:tcW w:w="1211" w:type="dxa"/>
            <w:noWrap w:val="0"/>
            <w:vAlign w:val="center"/>
          </w:tcPr>
          <w:p w14:paraId="2A411F8C">
            <w:pPr>
              <w:adjustRightInd w:val="0"/>
              <w:snapToGrid w:val="0"/>
              <w:jc w:val="center"/>
              <w:rPr>
                <w:rFonts w:hint="default" w:ascii="Times New Roman" w:hAnsi="Times New Roman" w:cs="Times New Roman"/>
                <w:szCs w:val="21"/>
                <w:lang w:val="en-US" w:eastAsia="zh-CN"/>
              </w:rPr>
            </w:pPr>
            <w:r>
              <w:rPr>
                <w:rFonts w:hint="eastAsia" w:cs="Times New Roman"/>
                <w:szCs w:val="21"/>
                <w:lang w:val="en-US" w:eastAsia="zh-CN"/>
              </w:rPr>
              <w:t>运输车辆噪声</w:t>
            </w:r>
          </w:p>
        </w:tc>
        <w:tc>
          <w:tcPr>
            <w:tcW w:w="1316" w:type="dxa"/>
            <w:vMerge w:val="continue"/>
            <w:noWrap w:val="0"/>
            <w:vAlign w:val="center"/>
          </w:tcPr>
          <w:p w14:paraId="0300D1CE">
            <w:pPr>
              <w:pStyle w:val="53"/>
              <w:bidi w:val="0"/>
              <w:ind w:firstLine="0" w:firstLineChars="0"/>
              <w:rPr>
                <w:rFonts w:hint="default" w:ascii="Times New Roman" w:hAnsi="Times New Roman" w:cs="Times New Roman"/>
                <w:szCs w:val="21"/>
              </w:rPr>
            </w:pPr>
          </w:p>
        </w:tc>
        <w:tc>
          <w:tcPr>
            <w:tcW w:w="2855" w:type="dxa"/>
            <w:noWrap w:val="0"/>
            <w:vAlign w:val="center"/>
          </w:tcPr>
          <w:p w14:paraId="4079B7C5">
            <w:pPr>
              <w:pStyle w:val="53"/>
              <w:bidi w:val="0"/>
              <w:ind w:firstLine="0" w:firstLineChars="0"/>
              <w:jc w:val="both"/>
              <w:rPr>
                <w:rFonts w:hint="default" w:ascii="Times New Roman" w:hAnsi="Times New Roman" w:cs="Times New Roman"/>
                <w:szCs w:val="21"/>
              </w:rPr>
            </w:pPr>
            <w:r>
              <w:rPr>
                <w:rFonts w:hint="default" w:ascii="Times New Roman" w:hAnsi="Times New Roman" w:cs="Times New Roman"/>
                <w:szCs w:val="21"/>
              </w:rPr>
              <w:t>加强对厂区内的交通管理，对进出厂区的线路进行规定，运输车辆限制车速、减少车辆鸣笛，设立禁鸣标志，确保交通能通畅和安静，严禁轰鸣。</w:t>
            </w:r>
          </w:p>
        </w:tc>
        <w:tc>
          <w:tcPr>
            <w:tcW w:w="1959" w:type="dxa"/>
            <w:vMerge w:val="continue"/>
            <w:noWrap w:val="0"/>
            <w:vAlign w:val="center"/>
          </w:tcPr>
          <w:p w14:paraId="2BFA30A0">
            <w:pPr>
              <w:pStyle w:val="53"/>
              <w:bidi w:val="0"/>
              <w:rPr>
                <w:rFonts w:hint="default"/>
              </w:rPr>
            </w:pPr>
          </w:p>
        </w:tc>
      </w:tr>
      <w:tr w14:paraId="7CDB2C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noWrap w:val="0"/>
            <w:vAlign w:val="center"/>
          </w:tcPr>
          <w:p w14:paraId="2C4617E6">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固体废物</w:t>
            </w:r>
          </w:p>
        </w:tc>
        <w:tc>
          <w:tcPr>
            <w:tcW w:w="7341" w:type="dxa"/>
            <w:gridSpan w:val="4"/>
            <w:noWrap w:val="0"/>
            <w:vAlign w:val="center"/>
          </w:tcPr>
          <w:p w14:paraId="62BC3600">
            <w:pPr>
              <w:pStyle w:val="38"/>
              <w:bidi w:val="0"/>
              <w:jc w:val="both"/>
              <w:rPr>
                <w:rFonts w:hint="default" w:ascii="Times New Roman" w:hAnsi="Times New Roman" w:cs="Times New Roman"/>
                <w:kern w:val="0"/>
                <w:sz w:val="21"/>
                <w:szCs w:val="20"/>
                <w:lang w:val="en-US" w:eastAsia="zh-CN" w:bidi="ar-SA"/>
              </w:rPr>
            </w:pPr>
            <w:r>
              <w:rPr>
                <w:rFonts w:hint="default" w:ascii="Times New Roman" w:hAnsi="Times New Roman" w:cs="Times New Roman"/>
                <w:kern w:val="0"/>
                <w:sz w:val="21"/>
                <w:szCs w:val="20"/>
                <w:lang w:val="en-US" w:eastAsia="zh-CN" w:bidi="ar-SA"/>
              </w:rPr>
              <w:t>①生活垃圾</w:t>
            </w:r>
          </w:p>
          <w:p w14:paraId="76F00256">
            <w:pPr>
              <w:pStyle w:val="38"/>
              <w:bidi w:val="0"/>
              <w:jc w:val="both"/>
              <w:rPr>
                <w:rFonts w:hint="default" w:ascii="Times New Roman" w:hAnsi="Times New Roman" w:cs="Times New Roman"/>
                <w:kern w:val="0"/>
                <w:sz w:val="21"/>
                <w:szCs w:val="20"/>
                <w:lang w:val="en-US" w:eastAsia="zh-CN" w:bidi="ar-SA"/>
              </w:rPr>
            </w:pPr>
            <w:r>
              <w:rPr>
                <w:rFonts w:hint="default" w:ascii="Times New Roman" w:hAnsi="Times New Roman" w:cs="Times New Roman"/>
                <w:kern w:val="0"/>
                <w:sz w:val="21"/>
                <w:szCs w:val="20"/>
                <w:lang w:val="en-US" w:eastAsia="zh-CN" w:bidi="ar-SA"/>
              </w:rPr>
              <w:t>经厂区设置垃圾桶集中收集后交由当地环卫部门处理。</w:t>
            </w:r>
          </w:p>
          <w:p w14:paraId="169F1ED0">
            <w:pPr>
              <w:pStyle w:val="38"/>
              <w:bidi w:val="0"/>
              <w:jc w:val="both"/>
              <w:rPr>
                <w:rFonts w:hint="default" w:ascii="Times New Roman" w:hAnsi="Times New Roman" w:cs="Times New Roman"/>
                <w:kern w:val="0"/>
                <w:sz w:val="21"/>
                <w:szCs w:val="20"/>
                <w:lang w:val="en-US" w:eastAsia="zh-CN" w:bidi="ar-SA"/>
              </w:rPr>
            </w:pPr>
            <w:r>
              <w:rPr>
                <w:rFonts w:hint="default" w:ascii="Times New Roman" w:hAnsi="Times New Roman" w:cs="Times New Roman"/>
                <w:kern w:val="0"/>
                <w:sz w:val="21"/>
                <w:szCs w:val="20"/>
                <w:lang w:val="en-US" w:eastAsia="zh-CN" w:bidi="ar-SA"/>
              </w:rPr>
              <w:t>②除尘灰</w:t>
            </w:r>
          </w:p>
          <w:p w14:paraId="7505A06C">
            <w:pPr>
              <w:pStyle w:val="38"/>
              <w:bidi w:val="0"/>
              <w:jc w:val="both"/>
              <w:rPr>
                <w:rFonts w:hint="default" w:ascii="Times New Roman" w:hAnsi="Times New Roman" w:cs="Times New Roman"/>
                <w:kern w:val="0"/>
                <w:sz w:val="21"/>
                <w:szCs w:val="20"/>
                <w:lang w:val="en-US" w:eastAsia="zh-CN" w:bidi="ar-SA"/>
              </w:rPr>
            </w:pPr>
            <w:r>
              <w:rPr>
                <w:rFonts w:hint="default" w:ascii="Times New Roman" w:hAnsi="Times New Roman" w:cs="Times New Roman"/>
                <w:kern w:val="0"/>
                <w:sz w:val="21"/>
                <w:szCs w:val="20"/>
                <w:lang w:val="en-US" w:eastAsia="zh-CN" w:bidi="ar-SA"/>
              </w:rPr>
              <w:t>定期集中收集后，直接回用于搅拌工序。</w:t>
            </w:r>
          </w:p>
          <w:p w14:paraId="4E279549">
            <w:pPr>
              <w:pStyle w:val="38"/>
              <w:bidi w:val="0"/>
              <w:jc w:val="both"/>
              <w:rPr>
                <w:rFonts w:hint="default" w:ascii="Times New Roman" w:hAnsi="Times New Roman" w:cs="Times New Roman"/>
                <w:kern w:val="0"/>
                <w:sz w:val="21"/>
                <w:szCs w:val="20"/>
                <w:lang w:val="en-US" w:eastAsia="zh-CN" w:bidi="ar-SA"/>
              </w:rPr>
            </w:pPr>
            <w:r>
              <w:rPr>
                <w:rFonts w:hint="default" w:ascii="Times New Roman" w:hAnsi="Times New Roman" w:cs="Times New Roman"/>
                <w:kern w:val="0"/>
                <w:sz w:val="21"/>
                <w:szCs w:val="20"/>
                <w:lang w:val="en-US" w:eastAsia="zh-CN" w:bidi="ar-SA"/>
              </w:rPr>
              <w:t>③沉淀池泥砂</w:t>
            </w:r>
          </w:p>
          <w:p w14:paraId="4D3D284C">
            <w:pPr>
              <w:pStyle w:val="38"/>
              <w:bidi w:val="0"/>
              <w:jc w:val="both"/>
              <w:rPr>
                <w:rFonts w:hint="default" w:ascii="Times New Roman" w:hAnsi="Times New Roman" w:cs="Times New Roman"/>
                <w:kern w:val="0"/>
                <w:sz w:val="21"/>
                <w:szCs w:val="20"/>
                <w:lang w:val="en-US" w:eastAsia="zh-CN" w:bidi="ar-SA"/>
              </w:rPr>
            </w:pPr>
            <w:r>
              <w:rPr>
                <w:rFonts w:hint="default" w:ascii="Times New Roman" w:hAnsi="Times New Roman" w:cs="Times New Roman"/>
                <w:kern w:val="0"/>
                <w:sz w:val="21"/>
                <w:szCs w:val="20"/>
                <w:lang w:val="en-US" w:eastAsia="zh-CN" w:bidi="ar-SA"/>
              </w:rPr>
              <w:t>定期集中收集后，直接回用于搅拌工序。</w:t>
            </w:r>
          </w:p>
        </w:tc>
      </w:tr>
      <w:tr w14:paraId="389DBA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noWrap w:val="0"/>
            <w:vAlign w:val="center"/>
          </w:tcPr>
          <w:p w14:paraId="79DB790B">
            <w:pPr>
              <w:pStyle w:val="53"/>
              <w:bidi w:val="0"/>
              <w:rPr>
                <w:rFonts w:hint="default"/>
              </w:rPr>
            </w:pPr>
            <w:r>
              <w:rPr>
                <w:rFonts w:hint="default"/>
              </w:rPr>
              <w:t>土壤及地下水污染防治措施</w:t>
            </w:r>
          </w:p>
        </w:tc>
        <w:tc>
          <w:tcPr>
            <w:tcW w:w="7341" w:type="dxa"/>
            <w:gridSpan w:val="4"/>
            <w:noWrap w:val="0"/>
            <w:vAlign w:val="center"/>
          </w:tcPr>
          <w:p w14:paraId="28DD1E29">
            <w:pPr>
              <w:pStyle w:val="53"/>
              <w:bidi w:val="0"/>
              <w:jc w:val="both"/>
              <w:rPr>
                <w:rFonts w:hint="default" w:eastAsia="宋体"/>
                <w:lang w:val="en-US" w:eastAsia="zh-CN"/>
              </w:rPr>
            </w:pPr>
            <w:r>
              <w:rPr>
                <w:rFonts w:hint="default"/>
              </w:rPr>
              <w:t>一般防渗区</w:t>
            </w:r>
            <w:r>
              <w:rPr>
                <w:rFonts w:hint="eastAsia"/>
                <w:lang w:eastAsia="zh-CN"/>
              </w:rPr>
              <w:t>：</w:t>
            </w:r>
            <w:r>
              <w:rPr>
                <w:rFonts w:hint="eastAsia"/>
                <w:lang w:val="en-US" w:eastAsia="zh-CN"/>
              </w:rPr>
              <w:t>沉淀池、化粪池</w:t>
            </w:r>
          </w:p>
          <w:p w14:paraId="029C02A6">
            <w:pPr>
              <w:pStyle w:val="53"/>
              <w:bidi w:val="0"/>
              <w:jc w:val="both"/>
              <w:rPr>
                <w:rFonts w:hint="default"/>
              </w:rPr>
            </w:pPr>
            <w:r>
              <w:rPr>
                <w:rFonts w:hint="eastAsia"/>
              </w:rPr>
              <w:t>等效黏土防渗层Mb≥1.5m，K≤1.0×10</w:t>
            </w:r>
            <w:r>
              <w:rPr>
                <w:rFonts w:hint="eastAsia"/>
                <w:vertAlign w:val="superscript"/>
              </w:rPr>
              <w:t>-7</w:t>
            </w:r>
            <w:r>
              <w:rPr>
                <w:rFonts w:hint="eastAsia"/>
              </w:rPr>
              <w:t>cm/s；或参照GB16889执行</w:t>
            </w:r>
            <w:r>
              <w:rPr>
                <w:rFonts w:hint="eastAsia"/>
                <w:lang w:eastAsia="zh-CN"/>
              </w:rPr>
              <w:t>。</w:t>
            </w:r>
          </w:p>
          <w:p w14:paraId="16086B62">
            <w:pPr>
              <w:pStyle w:val="53"/>
              <w:bidi w:val="0"/>
              <w:jc w:val="both"/>
              <w:rPr>
                <w:rFonts w:hint="eastAsia"/>
                <w:lang w:eastAsia="zh-CN"/>
              </w:rPr>
            </w:pPr>
            <w:r>
              <w:rPr>
                <w:rFonts w:hint="default"/>
              </w:rPr>
              <w:t>简单防渗区</w:t>
            </w:r>
            <w:r>
              <w:rPr>
                <w:rFonts w:hint="eastAsia"/>
                <w:lang w:eastAsia="zh-CN"/>
              </w:rPr>
              <w:t>：</w:t>
            </w:r>
            <w:r>
              <w:rPr>
                <w:rFonts w:hint="default"/>
              </w:rPr>
              <w:t>厂区</w:t>
            </w:r>
          </w:p>
          <w:p w14:paraId="6B9BDC01">
            <w:pPr>
              <w:pStyle w:val="53"/>
              <w:bidi w:val="0"/>
              <w:jc w:val="both"/>
              <w:rPr>
                <w:rFonts w:hint="default" w:ascii="Times New Roman" w:hAnsi="Times New Roman" w:cs="Times New Roman"/>
                <w:szCs w:val="21"/>
                <w:lang w:val="en-US"/>
              </w:rPr>
            </w:pPr>
            <w:r>
              <w:rPr>
                <w:rFonts w:hint="eastAsia"/>
                <w:lang w:val="en-US" w:eastAsia="zh-CN"/>
              </w:rPr>
              <w:t>一般地面硬化</w:t>
            </w:r>
          </w:p>
        </w:tc>
      </w:tr>
      <w:tr w14:paraId="0BD979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noWrap w:val="0"/>
            <w:vAlign w:val="center"/>
          </w:tcPr>
          <w:p w14:paraId="5BFC551C">
            <w:pPr>
              <w:pStyle w:val="53"/>
              <w:bidi w:val="0"/>
              <w:rPr>
                <w:rFonts w:hint="default"/>
              </w:rPr>
            </w:pPr>
            <w:r>
              <w:rPr>
                <w:rFonts w:hint="default"/>
              </w:rPr>
              <w:t>生态保护措施</w:t>
            </w:r>
          </w:p>
        </w:tc>
        <w:tc>
          <w:tcPr>
            <w:tcW w:w="7341" w:type="dxa"/>
            <w:gridSpan w:val="4"/>
            <w:noWrap w:val="0"/>
            <w:vAlign w:val="center"/>
          </w:tcPr>
          <w:p w14:paraId="61EE961D">
            <w:pPr>
              <w:adjustRightInd w:val="0"/>
              <w:snapToGrid w:val="0"/>
              <w:jc w:val="center"/>
              <w:rPr>
                <w:rFonts w:hint="default" w:ascii="Times New Roman" w:hAnsi="Times New Roman" w:eastAsia="宋体" w:cs="Times New Roman"/>
                <w:szCs w:val="21"/>
                <w:vertAlign w:val="baseline"/>
                <w:lang w:val="en-US" w:eastAsia="zh-CN"/>
              </w:rPr>
            </w:pPr>
            <w:r>
              <w:rPr>
                <w:rFonts w:hint="eastAsia" w:cs="Times New Roman"/>
                <w:szCs w:val="21"/>
                <w:vertAlign w:val="baseline"/>
                <w:lang w:val="en-US" w:eastAsia="zh-CN"/>
              </w:rPr>
              <w:t>/</w:t>
            </w:r>
          </w:p>
        </w:tc>
      </w:tr>
      <w:tr w14:paraId="686817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noWrap w:val="0"/>
            <w:vAlign w:val="center"/>
          </w:tcPr>
          <w:p w14:paraId="3EDAA16C">
            <w:pPr>
              <w:pStyle w:val="53"/>
              <w:bidi w:val="0"/>
              <w:rPr>
                <w:rFonts w:hint="default"/>
              </w:rPr>
            </w:pPr>
            <w:r>
              <w:rPr>
                <w:rFonts w:hint="default"/>
              </w:rPr>
              <w:t>环境风险防范措施</w:t>
            </w:r>
          </w:p>
        </w:tc>
        <w:tc>
          <w:tcPr>
            <w:tcW w:w="7341" w:type="dxa"/>
            <w:gridSpan w:val="4"/>
            <w:noWrap w:val="0"/>
            <w:vAlign w:val="center"/>
          </w:tcPr>
          <w:p w14:paraId="13A11A01">
            <w:pPr>
              <w:pStyle w:val="53"/>
              <w:bidi w:val="0"/>
              <w:jc w:val="both"/>
              <w:rPr>
                <w:rFonts w:hint="eastAsia"/>
                <w:lang w:val="en-US" w:eastAsia="zh-CN"/>
              </w:rPr>
            </w:pPr>
            <w:r>
              <w:rPr>
                <w:rFonts w:hint="eastAsia"/>
                <w:lang w:val="en-US" w:eastAsia="zh-CN"/>
              </w:rPr>
              <w:fldChar w:fldCharType="begin"/>
            </w:r>
            <w:r>
              <w:rPr>
                <w:rFonts w:hint="eastAsia"/>
                <w:lang w:val="en-US" w:eastAsia="zh-CN"/>
              </w:rPr>
              <w:instrText xml:space="preserve"> = 1 \* GB3 \* MERGEFORMAT </w:instrText>
            </w:r>
            <w:r>
              <w:rPr>
                <w:rFonts w:hint="eastAsia"/>
                <w:lang w:val="en-US" w:eastAsia="zh-CN"/>
              </w:rPr>
              <w:fldChar w:fldCharType="separate"/>
            </w:r>
            <w:r>
              <w:t>①</w:t>
            </w:r>
            <w:r>
              <w:rPr>
                <w:rFonts w:hint="eastAsia"/>
                <w:lang w:val="en-US" w:eastAsia="zh-CN"/>
              </w:rPr>
              <w:fldChar w:fldCharType="end"/>
            </w:r>
            <w:r>
              <w:rPr>
                <w:rFonts w:hint="eastAsia"/>
                <w:lang w:val="en-US" w:eastAsia="zh-CN"/>
              </w:rPr>
              <w:t>沉淀池、化粪池必须做好防渗措施，防渗层的渗透系数不低于1.0×10</w:t>
            </w:r>
            <w:r>
              <w:rPr>
                <w:rFonts w:hint="eastAsia"/>
                <w:vertAlign w:val="superscript"/>
                <w:lang w:val="en-US" w:eastAsia="zh-CN"/>
              </w:rPr>
              <w:t>-7</w:t>
            </w:r>
            <w:r>
              <w:rPr>
                <w:rFonts w:hint="eastAsia"/>
                <w:lang w:val="en-US" w:eastAsia="zh-CN"/>
              </w:rPr>
              <w:t>cm/s，防止生产废水对土壤产生影响；</w:t>
            </w:r>
          </w:p>
          <w:p w14:paraId="619A8A94">
            <w:pPr>
              <w:pStyle w:val="53"/>
              <w:bidi w:val="0"/>
              <w:jc w:val="both"/>
              <w:rPr>
                <w:rFonts w:hint="eastAsia"/>
                <w:lang w:val="en-US" w:eastAsia="zh-CN"/>
              </w:rPr>
            </w:pPr>
            <w:r>
              <w:rPr>
                <w:rFonts w:hint="eastAsia"/>
                <w:lang w:val="en-US" w:eastAsia="zh-CN"/>
              </w:rPr>
              <w:fldChar w:fldCharType="begin"/>
            </w:r>
            <w:r>
              <w:rPr>
                <w:rFonts w:hint="eastAsia"/>
                <w:lang w:val="en-US" w:eastAsia="zh-CN"/>
              </w:rPr>
              <w:instrText xml:space="preserve"> = 2 \* GB3 \* MERGEFORMAT </w:instrText>
            </w:r>
            <w:r>
              <w:rPr>
                <w:rFonts w:hint="eastAsia"/>
                <w:lang w:val="en-US" w:eastAsia="zh-CN"/>
              </w:rPr>
              <w:fldChar w:fldCharType="separate"/>
            </w:r>
            <w:r>
              <w:t>②</w:t>
            </w:r>
            <w:r>
              <w:rPr>
                <w:rFonts w:hint="eastAsia"/>
                <w:lang w:val="en-US" w:eastAsia="zh-CN"/>
              </w:rPr>
              <w:fldChar w:fldCharType="end"/>
            </w:r>
            <w:r>
              <w:rPr>
                <w:rFonts w:hint="eastAsia"/>
                <w:lang w:val="en-US" w:eastAsia="zh-CN"/>
              </w:rPr>
              <w:t>定期对除尘器进行检修，确保除尘器正常工作；</w:t>
            </w:r>
          </w:p>
          <w:p w14:paraId="3B2B7AA2">
            <w:pPr>
              <w:pStyle w:val="53"/>
              <w:bidi w:val="0"/>
              <w:jc w:val="both"/>
              <w:rPr>
                <w:rFonts w:hint="eastAsia" w:eastAsia="宋体"/>
                <w:lang w:val="en-US" w:eastAsia="zh-CN"/>
              </w:rPr>
            </w:pPr>
            <w:r>
              <w:rPr>
                <w:rFonts w:hint="eastAsia"/>
                <w:lang w:val="en-US" w:eastAsia="zh-CN"/>
              </w:rPr>
              <w:fldChar w:fldCharType="begin"/>
            </w:r>
            <w:r>
              <w:rPr>
                <w:rFonts w:hint="eastAsia"/>
                <w:lang w:val="en-US" w:eastAsia="zh-CN"/>
              </w:rPr>
              <w:instrText xml:space="preserve"> = 3 \* GB3 \* MERGEFORMAT </w:instrText>
            </w:r>
            <w:r>
              <w:rPr>
                <w:rFonts w:hint="eastAsia"/>
                <w:lang w:val="en-US" w:eastAsia="zh-CN"/>
              </w:rPr>
              <w:fldChar w:fldCharType="separate"/>
            </w:r>
            <w:r>
              <w:t>③</w:t>
            </w:r>
            <w:r>
              <w:rPr>
                <w:rFonts w:hint="eastAsia"/>
                <w:lang w:val="en-US" w:eastAsia="zh-CN"/>
              </w:rPr>
              <w:fldChar w:fldCharType="end"/>
            </w:r>
            <w:r>
              <w:rPr>
                <w:rFonts w:hint="eastAsia"/>
                <w:lang w:val="en-US" w:eastAsia="zh-CN"/>
              </w:rPr>
              <w:t>加强日常巡视和检查工作。</w:t>
            </w:r>
          </w:p>
        </w:tc>
      </w:tr>
      <w:tr w14:paraId="6CA429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59" w:type="dxa"/>
            <w:noWrap w:val="0"/>
            <w:vAlign w:val="center"/>
          </w:tcPr>
          <w:p w14:paraId="029F40E2">
            <w:pPr>
              <w:adjustRightInd w:val="0"/>
              <w:snapToGrid w:val="0"/>
              <w:jc w:val="center"/>
              <w:rPr>
                <w:rFonts w:hint="default"/>
              </w:rPr>
            </w:pPr>
            <w:r>
              <w:rPr>
                <w:rFonts w:hint="default" w:ascii="Times New Roman" w:hAnsi="Times New Roman" w:cs="Times New Roman"/>
                <w:spacing w:val="-8"/>
                <w:szCs w:val="21"/>
              </w:rPr>
              <w:t>其他环境</w:t>
            </w:r>
            <w:r>
              <w:rPr>
                <w:rFonts w:hint="default"/>
              </w:rPr>
              <w:t>管理要求</w:t>
            </w:r>
          </w:p>
        </w:tc>
        <w:tc>
          <w:tcPr>
            <w:tcW w:w="7341" w:type="dxa"/>
            <w:gridSpan w:val="4"/>
            <w:noWrap w:val="0"/>
            <w:vAlign w:val="center"/>
          </w:tcPr>
          <w:p w14:paraId="3B756969">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bl>
    <w:p w14:paraId="13AFDB9B">
      <w:pPr>
        <w:pStyle w:val="13"/>
        <w:jc w:val="center"/>
        <w:outlineLvl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六、结论</w:t>
      </w:r>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5070C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610481B5">
            <w:pPr>
              <w:spacing w:line="360" w:lineRule="auto"/>
              <w:ind w:firstLine="480" w:firstLineChars="200"/>
              <w:rPr>
                <w:rFonts w:ascii="宋体" w:cs="宋体"/>
                <w:sz w:val="24"/>
              </w:rPr>
            </w:pPr>
            <w:r>
              <w:rPr>
                <w:rFonts w:hint="eastAsia" w:ascii="宋体" w:cs="宋体"/>
                <w:sz w:val="24"/>
              </w:rPr>
              <w:t>通过上述分析，本项目的建设符合三线一单、产业政策、选址合理，建设单位在充分采纳和落实本环评报告中所提出的有关环保措施，相关主管部门的环保要求，加强环境管理，可使项目在运营期对周围环境影响减少到可接受程度。从环保角度分析，本项目的建设可行。</w:t>
            </w:r>
          </w:p>
        </w:tc>
      </w:tr>
    </w:tbl>
    <w:p w14:paraId="2FC890CD">
      <w:pPr>
        <w:rPr>
          <w:rFonts w:ascii="宋体"/>
        </w:rPr>
        <w:sectPr>
          <w:pgSz w:w="11906" w:h="16838"/>
          <w:pgMar w:top="1701" w:right="1531" w:bottom="1701" w:left="1531" w:header="851" w:footer="1361" w:gutter="0"/>
          <w:pgBorders>
            <w:top w:val="none" w:sz="0" w:space="0"/>
            <w:left w:val="none" w:sz="0" w:space="0"/>
            <w:bottom w:val="none" w:sz="0" w:space="0"/>
            <w:right w:val="none" w:sz="0" w:space="0"/>
          </w:pgBorders>
          <w:pgNumType w:fmt="decimal"/>
          <w:cols w:space="720" w:num="1"/>
          <w:docGrid w:linePitch="312" w:charSpace="0"/>
        </w:sectPr>
      </w:pPr>
    </w:p>
    <w:p w14:paraId="2AE22088">
      <w:pPr>
        <w:pStyle w:val="54"/>
        <w:bidi w:val="0"/>
        <w:ind w:left="0" w:leftChars="0" w:firstLine="0" w:firstLineChars="0"/>
        <w:jc w:val="left"/>
        <w:rPr>
          <w:rFonts w:ascii="黑体" w:hAnsi="黑体" w:eastAsia="黑体"/>
          <w:snapToGrid w:val="0"/>
          <w:szCs w:val="32"/>
        </w:rPr>
      </w:pPr>
      <w:r>
        <w:rPr>
          <w:rFonts w:hint="eastAsia" w:ascii="黑体" w:hAnsi="黑体" w:eastAsia="黑体" w:cs="黑体"/>
          <w:b/>
          <w:bCs/>
          <w:sz w:val="32"/>
          <w:szCs w:val="32"/>
        </w:rPr>
        <w:t>附表</w:t>
      </w:r>
    </w:p>
    <w:p w14:paraId="654B6AD5">
      <w:pPr>
        <w:pStyle w:val="13"/>
        <w:adjustRightInd w:val="0"/>
        <w:snapToGrid w:val="0"/>
        <w:spacing w:before="0" w:beforeAutospacing="0" w:after="0" w:afterAutospacing="0" w:line="552" w:lineRule="auto"/>
        <w:jc w:val="center"/>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建设项目污染物排放量汇总表</w:t>
      </w:r>
    </w:p>
    <w:tbl>
      <w:tblPr>
        <w:tblStyle w:val="17"/>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7"/>
        <w:gridCol w:w="2136"/>
        <w:gridCol w:w="1423"/>
        <w:gridCol w:w="1276"/>
        <w:gridCol w:w="1701"/>
        <w:gridCol w:w="1559"/>
        <w:gridCol w:w="1281"/>
        <w:gridCol w:w="1569"/>
        <w:gridCol w:w="1696"/>
      </w:tblGrid>
      <w:tr w14:paraId="56A727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47" w:type="dxa"/>
            <w:tcBorders>
              <w:tl2br w:val="single" w:color="auto" w:sz="4" w:space="0"/>
            </w:tcBorders>
            <w:noWrap w:val="0"/>
            <w:tcMar>
              <w:left w:w="28" w:type="dxa"/>
              <w:right w:w="28" w:type="dxa"/>
            </w:tcMar>
            <w:vAlign w:val="center"/>
          </w:tcPr>
          <w:p w14:paraId="2577857C">
            <w:pPr>
              <w:pStyle w:val="38"/>
              <w:spacing w:beforeLines="0" w:afterLines="0" w:line="240" w:lineRule="auto"/>
              <w:jc w:val="right"/>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项目</w:t>
            </w:r>
          </w:p>
          <w:p w14:paraId="445729A5">
            <w:pPr>
              <w:pStyle w:val="38"/>
              <w:spacing w:beforeLines="0" w:afterLines="0" w:line="240" w:lineRule="auto"/>
              <w:jc w:val="left"/>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分类</w:t>
            </w:r>
          </w:p>
        </w:tc>
        <w:tc>
          <w:tcPr>
            <w:tcW w:w="2136" w:type="dxa"/>
            <w:noWrap w:val="0"/>
            <w:tcMar>
              <w:left w:w="28" w:type="dxa"/>
              <w:right w:w="28" w:type="dxa"/>
            </w:tcMar>
            <w:vAlign w:val="center"/>
          </w:tcPr>
          <w:p w14:paraId="5C41BA29">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污染物名称</w:t>
            </w:r>
          </w:p>
        </w:tc>
        <w:tc>
          <w:tcPr>
            <w:tcW w:w="1423" w:type="dxa"/>
            <w:noWrap w:val="0"/>
            <w:tcMar>
              <w:left w:w="28" w:type="dxa"/>
              <w:right w:w="28" w:type="dxa"/>
            </w:tcMar>
            <w:vAlign w:val="center"/>
          </w:tcPr>
          <w:p w14:paraId="1F58ED17">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现有工程</w:t>
            </w:r>
          </w:p>
          <w:p w14:paraId="521A5536">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排放量（固体废物产生量）</w:t>
            </w:r>
            <w:r>
              <w:rPr>
                <w:rFonts w:hint="default" w:ascii="Times New Roman" w:hAnsi="Times New Roman" w:eastAsia="黑体" w:cs="Times New Roman"/>
                <w:snapToGrid w:val="0"/>
                <w:color w:val="000000"/>
                <w:spacing w:val="-6"/>
                <w:kern w:val="21"/>
                <w:szCs w:val="21"/>
              </w:rPr>
              <w:fldChar w:fldCharType="begin"/>
            </w:r>
            <w:r>
              <w:rPr>
                <w:rFonts w:hint="default" w:ascii="Times New Roman" w:hAnsi="Times New Roman" w:eastAsia="黑体" w:cs="Times New Roman"/>
                <w:snapToGrid w:val="0"/>
                <w:color w:val="000000"/>
                <w:spacing w:val="-6"/>
                <w:kern w:val="21"/>
                <w:szCs w:val="21"/>
              </w:rPr>
              <w:instrText xml:space="preserve"> = 1 \* GB3 \* MERGEFORMAT </w:instrText>
            </w:r>
            <w:r>
              <w:rPr>
                <w:rFonts w:hint="default" w:ascii="Times New Roman" w:hAnsi="Times New Roman" w:eastAsia="黑体" w:cs="Times New Roman"/>
                <w:snapToGrid w:val="0"/>
                <w:color w:val="000000"/>
                <w:spacing w:val="-6"/>
                <w:kern w:val="21"/>
                <w:szCs w:val="21"/>
              </w:rPr>
              <w:fldChar w:fldCharType="separate"/>
            </w:r>
            <w:r>
              <w:rPr>
                <w:rFonts w:hint="default" w:ascii="Times New Roman" w:hAnsi="Times New Roman" w:eastAsia="黑体" w:cs="Times New Roman"/>
                <w:kern w:val="2"/>
                <w:szCs w:val="21"/>
              </w:rPr>
              <w:t>①</w:t>
            </w:r>
            <w:r>
              <w:rPr>
                <w:rFonts w:hint="default" w:ascii="Times New Roman" w:hAnsi="Times New Roman" w:eastAsia="黑体" w:cs="Times New Roman"/>
                <w:snapToGrid w:val="0"/>
                <w:color w:val="000000"/>
                <w:spacing w:val="-6"/>
                <w:kern w:val="21"/>
                <w:szCs w:val="21"/>
              </w:rPr>
              <w:fldChar w:fldCharType="end"/>
            </w:r>
          </w:p>
        </w:tc>
        <w:tc>
          <w:tcPr>
            <w:tcW w:w="1276" w:type="dxa"/>
            <w:noWrap w:val="0"/>
            <w:tcMar>
              <w:left w:w="28" w:type="dxa"/>
              <w:right w:w="28" w:type="dxa"/>
            </w:tcMar>
            <w:vAlign w:val="center"/>
          </w:tcPr>
          <w:p w14:paraId="374379E2">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现有工程</w:t>
            </w:r>
          </w:p>
          <w:p w14:paraId="4AB24965">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许可排放量</w:t>
            </w:r>
          </w:p>
          <w:p w14:paraId="1C77D978">
            <w:pPr>
              <w:pStyle w:val="38"/>
              <w:spacing w:beforeLines="0" w:afterLines="0"/>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fldChar w:fldCharType="begin"/>
            </w:r>
            <w:r>
              <w:rPr>
                <w:rFonts w:hint="default" w:ascii="Times New Roman" w:hAnsi="Times New Roman" w:eastAsia="黑体" w:cs="Times New Roman"/>
                <w:snapToGrid w:val="0"/>
                <w:color w:val="000000"/>
                <w:spacing w:val="-6"/>
                <w:kern w:val="21"/>
                <w:szCs w:val="21"/>
              </w:rPr>
              <w:instrText xml:space="preserve"> = 2 \* GB3 \* MERGEFORMAT </w:instrText>
            </w:r>
            <w:r>
              <w:rPr>
                <w:rFonts w:hint="default" w:ascii="Times New Roman" w:hAnsi="Times New Roman" w:eastAsia="黑体" w:cs="Times New Roman"/>
                <w:snapToGrid w:val="0"/>
                <w:color w:val="000000"/>
                <w:spacing w:val="-6"/>
                <w:kern w:val="21"/>
                <w:szCs w:val="21"/>
              </w:rPr>
              <w:fldChar w:fldCharType="separate"/>
            </w:r>
            <w:r>
              <w:rPr>
                <w:rFonts w:hint="default" w:ascii="Times New Roman" w:hAnsi="Times New Roman" w:eastAsia="黑体" w:cs="Times New Roman"/>
                <w:snapToGrid w:val="0"/>
                <w:color w:val="000000"/>
                <w:spacing w:val="-6"/>
                <w:kern w:val="21"/>
                <w:szCs w:val="21"/>
              </w:rPr>
              <w:t>②</w:t>
            </w:r>
            <w:r>
              <w:rPr>
                <w:rFonts w:hint="default" w:ascii="Times New Roman" w:hAnsi="Times New Roman" w:eastAsia="黑体" w:cs="Times New Roman"/>
                <w:snapToGrid w:val="0"/>
                <w:color w:val="000000"/>
                <w:spacing w:val="-6"/>
                <w:kern w:val="21"/>
                <w:szCs w:val="21"/>
              </w:rPr>
              <w:fldChar w:fldCharType="end"/>
            </w:r>
          </w:p>
        </w:tc>
        <w:tc>
          <w:tcPr>
            <w:tcW w:w="1701" w:type="dxa"/>
            <w:noWrap w:val="0"/>
            <w:tcMar>
              <w:left w:w="28" w:type="dxa"/>
              <w:right w:w="28" w:type="dxa"/>
            </w:tcMar>
            <w:vAlign w:val="center"/>
          </w:tcPr>
          <w:p w14:paraId="378051C9">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在建工程</w:t>
            </w:r>
          </w:p>
          <w:p w14:paraId="44A7C363">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排放量（固体废物产生量）</w:t>
            </w:r>
            <w:r>
              <w:rPr>
                <w:rFonts w:hint="default" w:ascii="Times New Roman" w:hAnsi="Times New Roman" w:eastAsia="黑体" w:cs="Times New Roman"/>
                <w:snapToGrid w:val="0"/>
                <w:color w:val="000000"/>
                <w:spacing w:val="-6"/>
                <w:kern w:val="21"/>
                <w:szCs w:val="21"/>
              </w:rPr>
              <w:fldChar w:fldCharType="begin"/>
            </w:r>
            <w:r>
              <w:rPr>
                <w:rFonts w:hint="default" w:ascii="Times New Roman" w:hAnsi="Times New Roman" w:eastAsia="黑体" w:cs="Times New Roman"/>
                <w:snapToGrid w:val="0"/>
                <w:color w:val="000000"/>
                <w:spacing w:val="-6"/>
                <w:kern w:val="21"/>
                <w:szCs w:val="21"/>
              </w:rPr>
              <w:instrText xml:space="preserve"> = 3 \* GB3 \* MERGEFORMAT </w:instrText>
            </w:r>
            <w:r>
              <w:rPr>
                <w:rFonts w:hint="default" w:ascii="Times New Roman" w:hAnsi="Times New Roman" w:eastAsia="黑体" w:cs="Times New Roman"/>
                <w:snapToGrid w:val="0"/>
                <w:color w:val="000000"/>
                <w:spacing w:val="-6"/>
                <w:kern w:val="21"/>
                <w:szCs w:val="21"/>
              </w:rPr>
              <w:fldChar w:fldCharType="separate"/>
            </w:r>
            <w:r>
              <w:rPr>
                <w:rFonts w:hint="default" w:ascii="Times New Roman" w:hAnsi="Times New Roman" w:eastAsia="黑体" w:cs="Times New Roman"/>
                <w:kern w:val="2"/>
                <w:szCs w:val="21"/>
              </w:rPr>
              <w:t>③</w:t>
            </w:r>
            <w:r>
              <w:rPr>
                <w:rFonts w:hint="default" w:ascii="Times New Roman" w:hAnsi="Times New Roman" w:eastAsia="黑体" w:cs="Times New Roman"/>
                <w:snapToGrid w:val="0"/>
                <w:color w:val="000000"/>
                <w:spacing w:val="-6"/>
                <w:kern w:val="21"/>
                <w:szCs w:val="21"/>
              </w:rPr>
              <w:fldChar w:fldCharType="end"/>
            </w:r>
          </w:p>
        </w:tc>
        <w:tc>
          <w:tcPr>
            <w:tcW w:w="1559" w:type="dxa"/>
            <w:noWrap w:val="0"/>
            <w:tcMar>
              <w:left w:w="28" w:type="dxa"/>
              <w:right w:w="28" w:type="dxa"/>
            </w:tcMar>
            <w:vAlign w:val="center"/>
          </w:tcPr>
          <w:p w14:paraId="24D1B649">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本项目</w:t>
            </w:r>
          </w:p>
          <w:p w14:paraId="17F3FEAF">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排放量（固体废物产生量）</w:t>
            </w:r>
            <w:r>
              <w:rPr>
                <w:rFonts w:hint="default" w:ascii="Times New Roman" w:hAnsi="Times New Roman" w:eastAsia="黑体" w:cs="Times New Roman"/>
                <w:snapToGrid w:val="0"/>
                <w:color w:val="000000"/>
                <w:spacing w:val="-6"/>
                <w:kern w:val="21"/>
                <w:szCs w:val="21"/>
              </w:rPr>
              <w:fldChar w:fldCharType="begin"/>
            </w:r>
            <w:r>
              <w:rPr>
                <w:rFonts w:hint="default" w:ascii="Times New Roman" w:hAnsi="Times New Roman" w:eastAsia="黑体" w:cs="Times New Roman"/>
                <w:snapToGrid w:val="0"/>
                <w:color w:val="000000"/>
                <w:spacing w:val="-6"/>
                <w:kern w:val="21"/>
                <w:szCs w:val="21"/>
              </w:rPr>
              <w:instrText xml:space="preserve"> = 4 \* GB3 \* MERGEFORMAT </w:instrText>
            </w:r>
            <w:r>
              <w:rPr>
                <w:rFonts w:hint="default" w:ascii="Times New Roman" w:hAnsi="Times New Roman" w:eastAsia="黑体" w:cs="Times New Roman"/>
                <w:snapToGrid w:val="0"/>
                <w:color w:val="000000"/>
                <w:spacing w:val="-6"/>
                <w:kern w:val="21"/>
                <w:szCs w:val="21"/>
              </w:rPr>
              <w:fldChar w:fldCharType="separate"/>
            </w:r>
            <w:r>
              <w:rPr>
                <w:rFonts w:hint="default" w:ascii="Times New Roman" w:hAnsi="Times New Roman" w:eastAsia="黑体" w:cs="Times New Roman"/>
                <w:kern w:val="2"/>
                <w:szCs w:val="21"/>
              </w:rPr>
              <w:t>④</w:t>
            </w:r>
            <w:r>
              <w:rPr>
                <w:rFonts w:hint="default" w:ascii="Times New Roman" w:hAnsi="Times New Roman" w:eastAsia="黑体" w:cs="Times New Roman"/>
                <w:snapToGrid w:val="0"/>
                <w:color w:val="000000"/>
                <w:spacing w:val="-6"/>
                <w:kern w:val="21"/>
                <w:szCs w:val="21"/>
              </w:rPr>
              <w:fldChar w:fldCharType="end"/>
            </w:r>
          </w:p>
        </w:tc>
        <w:tc>
          <w:tcPr>
            <w:tcW w:w="1281" w:type="dxa"/>
            <w:noWrap w:val="0"/>
            <w:tcMar>
              <w:left w:w="28" w:type="dxa"/>
              <w:right w:w="28" w:type="dxa"/>
            </w:tcMar>
            <w:vAlign w:val="center"/>
          </w:tcPr>
          <w:p w14:paraId="628A8F9F">
            <w:pPr>
              <w:pStyle w:val="38"/>
              <w:spacing w:beforeLines="0" w:afterLines="0" w:line="240" w:lineRule="auto"/>
              <w:rPr>
                <w:rFonts w:hint="default" w:ascii="Times New Roman" w:hAnsi="Times New Roman" w:eastAsia="黑体" w:cs="Times New Roman"/>
                <w:snapToGrid w:val="0"/>
                <w:color w:val="000000"/>
                <w:spacing w:val="-16"/>
                <w:kern w:val="21"/>
                <w:szCs w:val="21"/>
              </w:rPr>
            </w:pPr>
            <w:r>
              <w:rPr>
                <w:rFonts w:hint="default" w:ascii="Times New Roman" w:hAnsi="Times New Roman" w:eastAsia="黑体" w:cs="Times New Roman"/>
                <w:snapToGrid w:val="0"/>
                <w:color w:val="000000"/>
                <w:spacing w:val="-16"/>
                <w:kern w:val="21"/>
                <w:szCs w:val="21"/>
              </w:rPr>
              <w:t>以新带老削减量（新建项目不填）</w:t>
            </w:r>
            <w:r>
              <w:rPr>
                <w:rFonts w:hint="default" w:ascii="Times New Roman" w:hAnsi="Times New Roman" w:eastAsia="黑体" w:cs="Times New Roman"/>
                <w:snapToGrid w:val="0"/>
                <w:color w:val="000000"/>
                <w:spacing w:val="-16"/>
                <w:kern w:val="21"/>
                <w:szCs w:val="21"/>
              </w:rPr>
              <w:fldChar w:fldCharType="begin"/>
            </w:r>
            <w:r>
              <w:rPr>
                <w:rFonts w:hint="default" w:ascii="Times New Roman" w:hAnsi="Times New Roman" w:eastAsia="黑体" w:cs="Times New Roman"/>
                <w:snapToGrid w:val="0"/>
                <w:color w:val="000000"/>
                <w:spacing w:val="-16"/>
                <w:kern w:val="21"/>
                <w:szCs w:val="21"/>
              </w:rPr>
              <w:instrText xml:space="preserve"> = 5 \* GB3 \* MERGEFORMAT </w:instrText>
            </w:r>
            <w:r>
              <w:rPr>
                <w:rFonts w:hint="default" w:ascii="Times New Roman" w:hAnsi="Times New Roman" w:eastAsia="黑体" w:cs="Times New Roman"/>
                <w:snapToGrid w:val="0"/>
                <w:color w:val="000000"/>
                <w:spacing w:val="-16"/>
                <w:kern w:val="21"/>
                <w:szCs w:val="21"/>
              </w:rPr>
              <w:fldChar w:fldCharType="separate"/>
            </w:r>
            <w:r>
              <w:rPr>
                <w:rFonts w:hint="default" w:ascii="Times New Roman" w:hAnsi="Times New Roman" w:eastAsia="黑体" w:cs="Times New Roman"/>
                <w:kern w:val="2"/>
                <w:szCs w:val="21"/>
              </w:rPr>
              <w:t>⑤</w:t>
            </w:r>
            <w:r>
              <w:rPr>
                <w:rFonts w:hint="default" w:ascii="Times New Roman" w:hAnsi="Times New Roman" w:eastAsia="黑体" w:cs="Times New Roman"/>
                <w:snapToGrid w:val="0"/>
                <w:color w:val="000000"/>
                <w:spacing w:val="-16"/>
                <w:kern w:val="21"/>
                <w:szCs w:val="21"/>
              </w:rPr>
              <w:fldChar w:fldCharType="end"/>
            </w:r>
          </w:p>
        </w:tc>
        <w:tc>
          <w:tcPr>
            <w:tcW w:w="1569" w:type="dxa"/>
            <w:noWrap w:val="0"/>
            <w:tcMar>
              <w:left w:w="28" w:type="dxa"/>
              <w:right w:w="28" w:type="dxa"/>
            </w:tcMar>
            <w:vAlign w:val="center"/>
          </w:tcPr>
          <w:p w14:paraId="55C5902F">
            <w:pPr>
              <w:pStyle w:val="38"/>
              <w:spacing w:beforeLines="0" w:afterLines="0" w:line="240" w:lineRule="auto"/>
              <w:rPr>
                <w:rFonts w:hint="default" w:ascii="Times New Roman" w:hAnsi="Times New Roman" w:eastAsia="黑体" w:cs="Times New Roman"/>
                <w:snapToGrid w:val="0"/>
                <w:color w:val="000000"/>
                <w:spacing w:val="-16"/>
                <w:kern w:val="21"/>
                <w:szCs w:val="21"/>
              </w:rPr>
            </w:pPr>
            <w:r>
              <w:rPr>
                <w:rFonts w:hint="default" w:ascii="Times New Roman" w:hAnsi="Times New Roman" w:eastAsia="黑体" w:cs="Times New Roman"/>
                <w:snapToGrid w:val="0"/>
                <w:color w:val="000000"/>
                <w:spacing w:val="-16"/>
                <w:kern w:val="21"/>
                <w:szCs w:val="21"/>
              </w:rPr>
              <w:t>本项目建成后</w:t>
            </w:r>
          </w:p>
          <w:p w14:paraId="7C98A3C2">
            <w:pPr>
              <w:pStyle w:val="38"/>
              <w:spacing w:beforeLines="0" w:afterLines="0" w:line="240" w:lineRule="auto"/>
              <w:rPr>
                <w:rFonts w:hint="default" w:ascii="Times New Roman" w:hAnsi="Times New Roman" w:eastAsia="黑体" w:cs="Times New Roman"/>
                <w:snapToGrid w:val="0"/>
                <w:color w:val="000000"/>
                <w:spacing w:val="-16"/>
                <w:kern w:val="21"/>
                <w:szCs w:val="21"/>
              </w:rPr>
            </w:pPr>
            <w:r>
              <w:rPr>
                <w:rFonts w:hint="default" w:ascii="Times New Roman" w:hAnsi="Times New Roman" w:eastAsia="黑体" w:cs="Times New Roman"/>
                <w:snapToGrid w:val="0"/>
                <w:color w:val="000000"/>
                <w:spacing w:val="-16"/>
                <w:kern w:val="21"/>
                <w:szCs w:val="21"/>
              </w:rPr>
              <w:t>全厂排放量（固体废物产生量）</w:t>
            </w:r>
            <w:r>
              <w:rPr>
                <w:rFonts w:hint="default" w:ascii="Times New Roman" w:hAnsi="Times New Roman" w:eastAsia="黑体" w:cs="Times New Roman"/>
                <w:snapToGrid w:val="0"/>
                <w:color w:val="000000"/>
                <w:spacing w:val="-16"/>
                <w:kern w:val="21"/>
                <w:szCs w:val="21"/>
              </w:rPr>
              <w:fldChar w:fldCharType="begin"/>
            </w:r>
            <w:r>
              <w:rPr>
                <w:rFonts w:hint="default" w:ascii="Times New Roman" w:hAnsi="Times New Roman" w:eastAsia="黑体" w:cs="Times New Roman"/>
                <w:snapToGrid w:val="0"/>
                <w:color w:val="000000"/>
                <w:spacing w:val="-16"/>
                <w:kern w:val="21"/>
                <w:szCs w:val="21"/>
              </w:rPr>
              <w:instrText xml:space="preserve"> = 6 \* GB3 \* MERGEFORMAT </w:instrText>
            </w:r>
            <w:r>
              <w:rPr>
                <w:rFonts w:hint="default" w:ascii="Times New Roman" w:hAnsi="Times New Roman" w:eastAsia="黑体" w:cs="Times New Roman"/>
                <w:snapToGrid w:val="0"/>
                <w:color w:val="000000"/>
                <w:spacing w:val="-16"/>
                <w:kern w:val="21"/>
                <w:szCs w:val="21"/>
              </w:rPr>
              <w:fldChar w:fldCharType="separate"/>
            </w:r>
            <w:r>
              <w:rPr>
                <w:rFonts w:hint="default" w:ascii="Times New Roman" w:hAnsi="Times New Roman" w:eastAsia="黑体" w:cs="Times New Roman"/>
                <w:kern w:val="2"/>
                <w:szCs w:val="21"/>
              </w:rPr>
              <w:t>⑥</w:t>
            </w:r>
            <w:r>
              <w:rPr>
                <w:rFonts w:hint="default" w:ascii="Times New Roman" w:hAnsi="Times New Roman" w:eastAsia="黑体" w:cs="Times New Roman"/>
                <w:snapToGrid w:val="0"/>
                <w:color w:val="000000"/>
                <w:spacing w:val="-16"/>
                <w:kern w:val="21"/>
                <w:szCs w:val="21"/>
              </w:rPr>
              <w:fldChar w:fldCharType="end"/>
            </w:r>
          </w:p>
        </w:tc>
        <w:tc>
          <w:tcPr>
            <w:tcW w:w="1696" w:type="dxa"/>
            <w:noWrap w:val="0"/>
            <w:tcMar>
              <w:left w:w="28" w:type="dxa"/>
              <w:right w:w="28" w:type="dxa"/>
            </w:tcMar>
            <w:vAlign w:val="center"/>
          </w:tcPr>
          <w:p w14:paraId="63CF66CB">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t>变化量</w:t>
            </w:r>
          </w:p>
          <w:p w14:paraId="29E2D01F">
            <w:pPr>
              <w:pStyle w:val="38"/>
              <w:spacing w:beforeLines="0" w:afterLines="0" w:line="240" w:lineRule="auto"/>
              <w:rPr>
                <w:rFonts w:hint="default" w:ascii="Times New Roman" w:hAnsi="Times New Roman" w:eastAsia="黑体" w:cs="Times New Roman"/>
                <w:snapToGrid w:val="0"/>
                <w:color w:val="000000"/>
                <w:spacing w:val="-6"/>
                <w:kern w:val="21"/>
                <w:szCs w:val="21"/>
              </w:rPr>
            </w:pPr>
            <w:r>
              <w:rPr>
                <w:rFonts w:hint="default" w:ascii="Times New Roman" w:hAnsi="Times New Roman" w:eastAsia="黑体" w:cs="Times New Roman"/>
                <w:snapToGrid w:val="0"/>
                <w:color w:val="000000"/>
                <w:spacing w:val="-6"/>
                <w:kern w:val="21"/>
                <w:szCs w:val="21"/>
              </w:rPr>
              <w:fldChar w:fldCharType="begin"/>
            </w:r>
            <w:r>
              <w:rPr>
                <w:rFonts w:hint="default" w:ascii="Times New Roman" w:hAnsi="Times New Roman" w:eastAsia="黑体" w:cs="Times New Roman"/>
                <w:snapToGrid w:val="0"/>
                <w:color w:val="000000"/>
                <w:spacing w:val="-6"/>
                <w:kern w:val="21"/>
                <w:szCs w:val="21"/>
              </w:rPr>
              <w:instrText xml:space="preserve"> = 7 \* GB3 \* MERGEFORMAT </w:instrText>
            </w:r>
            <w:r>
              <w:rPr>
                <w:rFonts w:hint="default" w:ascii="Times New Roman" w:hAnsi="Times New Roman" w:eastAsia="黑体" w:cs="Times New Roman"/>
                <w:snapToGrid w:val="0"/>
                <w:color w:val="000000"/>
                <w:spacing w:val="-6"/>
                <w:kern w:val="21"/>
                <w:szCs w:val="21"/>
              </w:rPr>
              <w:fldChar w:fldCharType="separate"/>
            </w:r>
            <w:r>
              <w:rPr>
                <w:rFonts w:hint="default" w:ascii="Times New Roman" w:hAnsi="Times New Roman" w:eastAsia="黑体" w:cs="Times New Roman"/>
                <w:kern w:val="2"/>
                <w:szCs w:val="21"/>
              </w:rPr>
              <w:t>⑦</w:t>
            </w:r>
            <w:r>
              <w:rPr>
                <w:rFonts w:hint="default" w:ascii="Times New Roman" w:hAnsi="Times New Roman" w:eastAsia="黑体" w:cs="Times New Roman"/>
                <w:snapToGrid w:val="0"/>
                <w:color w:val="000000"/>
                <w:spacing w:val="-6"/>
                <w:kern w:val="21"/>
                <w:szCs w:val="21"/>
              </w:rPr>
              <w:fldChar w:fldCharType="end"/>
            </w:r>
          </w:p>
        </w:tc>
      </w:tr>
      <w:tr w14:paraId="5E04D6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47" w:type="dxa"/>
            <w:noWrap w:val="0"/>
            <w:vAlign w:val="center"/>
          </w:tcPr>
          <w:p w14:paraId="0B9C9D3A">
            <w:pPr>
              <w:pStyle w:val="38"/>
              <w:spacing w:beforeLines="0" w:afterLines="0" w:line="240" w:lineRule="auto"/>
              <w:rPr>
                <w:rFonts w:hint="default" w:ascii="Times New Roman" w:hAnsi="Times New Roman" w:cs="Times New Roman"/>
                <w:snapToGrid w:val="0"/>
                <w:color w:val="000000"/>
                <w:kern w:val="21"/>
                <w:szCs w:val="21"/>
              </w:rPr>
            </w:pPr>
            <w:r>
              <w:rPr>
                <w:rFonts w:hint="default" w:ascii="Times New Roman" w:hAnsi="Times New Roman" w:cs="Times New Roman"/>
                <w:snapToGrid w:val="0"/>
                <w:color w:val="000000"/>
                <w:kern w:val="21"/>
                <w:szCs w:val="21"/>
              </w:rPr>
              <w:t>废气</w:t>
            </w:r>
          </w:p>
        </w:tc>
        <w:tc>
          <w:tcPr>
            <w:tcW w:w="2136" w:type="dxa"/>
            <w:noWrap w:val="0"/>
            <w:vAlign w:val="center"/>
          </w:tcPr>
          <w:p w14:paraId="763C18CD">
            <w:pPr>
              <w:pStyle w:val="38"/>
              <w:spacing w:beforeLines="0" w:afterLines="0" w:line="240" w:lineRule="auto"/>
              <w:rPr>
                <w:rFonts w:hint="default" w:ascii="Times New Roman" w:hAnsi="Times New Roman" w:cs="Times New Roman"/>
                <w:snapToGrid w:val="0"/>
                <w:color w:val="000000"/>
                <w:kern w:val="21"/>
                <w:szCs w:val="21"/>
              </w:rPr>
            </w:pPr>
            <w:r>
              <w:rPr>
                <w:rFonts w:hint="default" w:ascii="Times New Roman" w:hAnsi="Times New Roman" w:cs="Times New Roman"/>
                <w:snapToGrid w:val="0"/>
                <w:color w:val="000000"/>
                <w:kern w:val="21"/>
                <w:szCs w:val="21"/>
              </w:rPr>
              <w:t>颗粒物</w:t>
            </w:r>
          </w:p>
        </w:tc>
        <w:tc>
          <w:tcPr>
            <w:tcW w:w="1423" w:type="dxa"/>
            <w:noWrap w:val="0"/>
            <w:vAlign w:val="center"/>
          </w:tcPr>
          <w:p w14:paraId="297A21D1">
            <w:pPr>
              <w:pStyle w:val="38"/>
              <w:spacing w:beforeLines="0" w:afterLines="0" w:line="240" w:lineRule="auto"/>
              <w:rPr>
                <w:rFonts w:hint="default" w:ascii="Times New Roman" w:hAnsi="Times New Roman" w:cs="Times New Roman"/>
                <w:snapToGrid w:val="0"/>
                <w:color w:val="000000"/>
                <w:kern w:val="21"/>
                <w:szCs w:val="21"/>
              </w:rPr>
            </w:pPr>
          </w:p>
        </w:tc>
        <w:tc>
          <w:tcPr>
            <w:tcW w:w="1276" w:type="dxa"/>
            <w:noWrap w:val="0"/>
            <w:vAlign w:val="center"/>
          </w:tcPr>
          <w:p w14:paraId="236CCCB5">
            <w:pPr>
              <w:pStyle w:val="38"/>
              <w:spacing w:beforeLines="0" w:afterLines="0" w:line="240" w:lineRule="auto"/>
              <w:rPr>
                <w:rFonts w:hint="default" w:ascii="Times New Roman" w:hAnsi="Times New Roman" w:cs="Times New Roman"/>
                <w:snapToGrid w:val="0"/>
                <w:color w:val="000000"/>
                <w:kern w:val="21"/>
                <w:szCs w:val="21"/>
              </w:rPr>
            </w:pPr>
          </w:p>
        </w:tc>
        <w:tc>
          <w:tcPr>
            <w:tcW w:w="1701" w:type="dxa"/>
            <w:noWrap w:val="0"/>
            <w:vAlign w:val="center"/>
          </w:tcPr>
          <w:p w14:paraId="0AD7F2CB">
            <w:pPr>
              <w:pStyle w:val="38"/>
              <w:spacing w:beforeLines="0" w:afterLines="0" w:line="240" w:lineRule="auto"/>
              <w:rPr>
                <w:rFonts w:hint="default" w:ascii="Times New Roman" w:hAnsi="Times New Roman" w:cs="Times New Roman"/>
                <w:snapToGrid w:val="0"/>
                <w:color w:val="000000"/>
                <w:kern w:val="21"/>
                <w:szCs w:val="21"/>
              </w:rPr>
            </w:pPr>
          </w:p>
        </w:tc>
        <w:tc>
          <w:tcPr>
            <w:tcW w:w="1559" w:type="dxa"/>
            <w:noWrap w:val="0"/>
            <w:vAlign w:val="center"/>
          </w:tcPr>
          <w:p w14:paraId="2B9637DA">
            <w:pPr>
              <w:pStyle w:val="38"/>
              <w:spacing w:beforeLines="0" w:afterLines="0" w:line="240" w:lineRule="auto"/>
              <w:rPr>
                <w:rFonts w:hint="default" w:ascii="Times New Roman" w:hAnsi="Times New Roman" w:eastAsia="宋体" w:cs="Times New Roman"/>
                <w:snapToGrid w:val="0"/>
                <w:color w:val="000000"/>
                <w:kern w:val="21"/>
                <w:szCs w:val="21"/>
                <w:lang w:val="en-US" w:eastAsia="zh-CN"/>
              </w:rPr>
            </w:pPr>
            <w:r>
              <w:rPr>
                <w:rFonts w:hint="eastAsia" w:ascii="Times New Roman" w:cs="Times New Roman"/>
                <w:snapToGrid w:val="0"/>
                <w:color w:val="000000"/>
                <w:kern w:val="21"/>
                <w:szCs w:val="21"/>
                <w:lang w:val="en-US" w:eastAsia="zh-CN"/>
              </w:rPr>
              <w:t>3.277</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c>
          <w:tcPr>
            <w:tcW w:w="1281" w:type="dxa"/>
            <w:noWrap w:val="0"/>
            <w:vAlign w:val="center"/>
          </w:tcPr>
          <w:p w14:paraId="2AE78C16">
            <w:pPr>
              <w:pStyle w:val="38"/>
              <w:spacing w:beforeLines="0" w:afterLines="0" w:line="240" w:lineRule="auto"/>
              <w:rPr>
                <w:rFonts w:hint="default" w:ascii="Times New Roman" w:hAnsi="Times New Roman" w:cs="Times New Roman"/>
                <w:snapToGrid w:val="0"/>
                <w:color w:val="000000"/>
                <w:kern w:val="21"/>
                <w:szCs w:val="21"/>
              </w:rPr>
            </w:pPr>
          </w:p>
        </w:tc>
        <w:tc>
          <w:tcPr>
            <w:tcW w:w="1569" w:type="dxa"/>
            <w:noWrap w:val="0"/>
            <w:vAlign w:val="center"/>
          </w:tcPr>
          <w:p w14:paraId="08ABEE8C">
            <w:pPr>
              <w:pStyle w:val="38"/>
              <w:spacing w:beforeLines="0" w:afterLines="0" w:line="240" w:lineRule="auto"/>
              <w:rPr>
                <w:rFonts w:hint="default" w:ascii="Times New Roman" w:hAnsi="Times New Roman" w:cs="Times New Roman"/>
                <w:snapToGrid w:val="0"/>
                <w:color w:val="000000"/>
                <w:kern w:val="21"/>
                <w:szCs w:val="21"/>
              </w:rPr>
            </w:pPr>
            <w:r>
              <w:rPr>
                <w:rFonts w:hint="eastAsia" w:ascii="Times New Roman" w:cs="Times New Roman"/>
                <w:snapToGrid w:val="0"/>
                <w:color w:val="000000"/>
                <w:kern w:val="21"/>
                <w:szCs w:val="21"/>
                <w:lang w:val="en-US" w:eastAsia="zh-CN"/>
              </w:rPr>
              <w:t>3.277</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c>
          <w:tcPr>
            <w:tcW w:w="1696" w:type="dxa"/>
            <w:noWrap w:val="0"/>
            <w:vAlign w:val="center"/>
          </w:tcPr>
          <w:p w14:paraId="043CAE0E">
            <w:pPr>
              <w:pStyle w:val="38"/>
              <w:spacing w:beforeLines="0" w:afterLines="0" w:line="240" w:lineRule="auto"/>
              <w:rPr>
                <w:rFonts w:hint="default" w:ascii="Times New Roman" w:hAnsi="Times New Roman" w:cs="Times New Roman"/>
                <w:snapToGrid w:val="0"/>
                <w:color w:val="000000"/>
                <w:kern w:val="21"/>
                <w:szCs w:val="21"/>
              </w:rPr>
            </w:pPr>
            <w:r>
              <w:rPr>
                <w:rFonts w:hint="eastAsia" w:ascii="Times New Roman" w:hAnsi="Times New Roman" w:cs="Times New Roman"/>
                <w:snapToGrid w:val="0"/>
                <w:color w:val="000000"/>
                <w:kern w:val="21"/>
                <w:szCs w:val="21"/>
                <w:lang w:val="en-US" w:eastAsia="zh-CN"/>
              </w:rPr>
              <w:t>+</w:t>
            </w:r>
            <w:r>
              <w:rPr>
                <w:rFonts w:hint="eastAsia" w:ascii="Times New Roman" w:cs="Times New Roman"/>
                <w:snapToGrid w:val="0"/>
                <w:color w:val="000000"/>
                <w:kern w:val="21"/>
                <w:szCs w:val="21"/>
                <w:lang w:val="en-US" w:eastAsia="zh-CN"/>
              </w:rPr>
              <w:t>3.277</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r>
      <w:tr w14:paraId="3A9704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47" w:type="dxa"/>
            <w:vMerge w:val="restart"/>
            <w:noWrap w:val="0"/>
            <w:vAlign w:val="center"/>
          </w:tcPr>
          <w:p w14:paraId="1DA76DAE">
            <w:pPr>
              <w:pStyle w:val="38"/>
              <w:spacing w:beforeLines="0" w:afterLines="0" w:line="240" w:lineRule="auto"/>
              <w:rPr>
                <w:rFonts w:hint="default" w:ascii="Times New Roman" w:hAnsi="Times New Roman" w:cs="Times New Roman"/>
                <w:snapToGrid w:val="0"/>
                <w:color w:val="000000"/>
                <w:kern w:val="21"/>
                <w:szCs w:val="21"/>
              </w:rPr>
            </w:pPr>
            <w:r>
              <w:rPr>
                <w:rFonts w:hint="default" w:ascii="Times New Roman" w:hAnsi="Times New Roman" w:cs="Times New Roman"/>
                <w:snapToGrid w:val="0"/>
                <w:color w:val="000000"/>
                <w:kern w:val="21"/>
                <w:szCs w:val="21"/>
              </w:rPr>
              <w:t>废水</w:t>
            </w:r>
          </w:p>
        </w:tc>
        <w:tc>
          <w:tcPr>
            <w:tcW w:w="2136" w:type="dxa"/>
            <w:noWrap w:val="0"/>
            <w:vAlign w:val="center"/>
          </w:tcPr>
          <w:p w14:paraId="417EB70E">
            <w:pPr>
              <w:pStyle w:val="38"/>
              <w:spacing w:beforeLines="0" w:afterLines="0" w:line="240" w:lineRule="auto"/>
              <w:rPr>
                <w:rFonts w:hint="default" w:ascii="Times New Roman" w:hAnsi="Times New Roman" w:eastAsia="宋体" w:cs="Times New Roman"/>
                <w:snapToGrid w:val="0"/>
                <w:color w:val="000000"/>
                <w:kern w:val="21"/>
                <w:szCs w:val="21"/>
                <w:lang w:val="en-US" w:eastAsia="zh-CN"/>
              </w:rPr>
            </w:pPr>
            <w:r>
              <w:rPr>
                <w:rFonts w:hint="eastAsia" w:ascii="Times New Roman" w:hAnsi="Times New Roman" w:cs="Times New Roman"/>
                <w:snapToGrid w:val="0"/>
                <w:color w:val="000000"/>
                <w:kern w:val="21"/>
                <w:szCs w:val="21"/>
                <w:lang w:val="en-US" w:eastAsia="zh-CN"/>
              </w:rPr>
              <w:t>COD</w:t>
            </w:r>
          </w:p>
        </w:tc>
        <w:tc>
          <w:tcPr>
            <w:tcW w:w="1423" w:type="dxa"/>
            <w:noWrap w:val="0"/>
            <w:vAlign w:val="center"/>
          </w:tcPr>
          <w:p w14:paraId="69BE73E6">
            <w:pPr>
              <w:pStyle w:val="38"/>
              <w:spacing w:beforeLines="0" w:afterLines="0" w:line="240" w:lineRule="auto"/>
              <w:rPr>
                <w:rFonts w:hint="default" w:ascii="Times New Roman" w:hAnsi="Times New Roman" w:cs="Times New Roman"/>
                <w:snapToGrid w:val="0"/>
                <w:color w:val="000000"/>
                <w:kern w:val="21"/>
                <w:szCs w:val="21"/>
              </w:rPr>
            </w:pPr>
          </w:p>
        </w:tc>
        <w:tc>
          <w:tcPr>
            <w:tcW w:w="1276" w:type="dxa"/>
            <w:noWrap w:val="0"/>
            <w:vAlign w:val="center"/>
          </w:tcPr>
          <w:p w14:paraId="5B915837">
            <w:pPr>
              <w:pStyle w:val="38"/>
              <w:spacing w:beforeLines="0" w:afterLines="0" w:line="240" w:lineRule="auto"/>
              <w:rPr>
                <w:rFonts w:hint="default" w:ascii="Times New Roman" w:hAnsi="Times New Roman" w:cs="Times New Roman"/>
                <w:snapToGrid w:val="0"/>
                <w:color w:val="000000"/>
                <w:kern w:val="21"/>
                <w:szCs w:val="21"/>
              </w:rPr>
            </w:pPr>
          </w:p>
        </w:tc>
        <w:tc>
          <w:tcPr>
            <w:tcW w:w="1701" w:type="dxa"/>
            <w:noWrap w:val="0"/>
            <w:vAlign w:val="center"/>
          </w:tcPr>
          <w:p w14:paraId="2CFB1D00">
            <w:pPr>
              <w:pStyle w:val="38"/>
              <w:spacing w:beforeLines="0" w:afterLines="0" w:line="240" w:lineRule="auto"/>
              <w:rPr>
                <w:rFonts w:hint="default" w:ascii="Times New Roman" w:hAnsi="Times New Roman" w:cs="Times New Roman"/>
                <w:snapToGrid w:val="0"/>
                <w:color w:val="000000"/>
                <w:kern w:val="21"/>
                <w:szCs w:val="21"/>
              </w:rPr>
            </w:pPr>
          </w:p>
        </w:tc>
        <w:tc>
          <w:tcPr>
            <w:tcW w:w="1559" w:type="dxa"/>
            <w:noWrap w:val="0"/>
            <w:vAlign w:val="center"/>
          </w:tcPr>
          <w:p w14:paraId="72E52A3F">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c>
          <w:tcPr>
            <w:tcW w:w="1281" w:type="dxa"/>
            <w:noWrap w:val="0"/>
            <w:vAlign w:val="center"/>
          </w:tcPr>
          <w:p w14:paraId="10151E19">
            <w:pPr>
              <w:pStyle w:val="38"/>
              <w:spacing w:beforeLines="0" w:afterLines="0" w:line="240" w:lineRule="auto"/>
              <w:rPr>
                <w:rFonts w:hint="default" w:ascii="Times New Roman" w:hAnsi="Times New Roman" w:cs="Times New Roman"/>
                <w:snapToGrid w:val="0"/>
                <w:color w:val="000000"/>
                <w:kern w:val="21"/>
                <w:szCs w:val="21"/>
              </w:rPr>
            </w:pPr>
          </w:p>
        </w:tc>
        <w:tc>
          <w:tcPr>
            <w:tcW w:w="1569" w:type="dxa"/>
            <w:noWrap w:val="0"/>
            <w:vAlign w:val="center"/>
          </w:tcPr>
          <w:p w14:paraId="10C42CE5">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c>
          <w:tcPr>
            <w:tcW w:w="1696" w:type="dxa"/>
            <w:noWrap w:val="0"/>
            <w:vAlign w:val="center"/>
          </w:tcPr>
          <w:p w14:paraId="071435B5">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r>
      <w:tr w14:paraId="6B6AE3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47" w:type="dxa"/>
            <w:vMerge w:val="continue"/>
            <w:noWrap w:val="0"/>
            <w:vAlign w:val="center"/>
          </w:tcPr>
          <w:p w14:paraId="0984C31F">
            <w:pPr>
              <w:pStyle w:val="38"/>
              <w:spacing w:beforeLines="0" w:afterLines="0" w:line="240" w:lineRule="auto"/>
              <w:rPr>
                <w:rFonts w:hint="default" w:ascii="Times New Roman" w:hAnsi="Times New Roman" w:cs="Times New Roman"/>
                <w:snapToGrid w:val="0"/>
                <w:color w:val="000000"/>
                <w:kern w:val="21"/>
                <w:szCs w:val="21"/>
              </w:rPr>
            </w:pPr>
          </w:p>
        </w:tc>
        <w:tc>
          <w:tcPr>
            <w:tcW w:w="2136" w:type="dxa"/>
            <w:noWrap w:val="0"/>
            <w:vAlign w:val="center"/>
          </w:tcPr>
          <w:p w14:paraId="480DBFD7">
            <w:pPr>
              <w:pStyle w:val="38"/>
              <w:spacing w:beforeLines="0" w:afterLines="0" w:line="240" w:lineRule="auto"/>
              <w:rPr>
                <w:rFonts w:hint="default" w:ascii="Times New Roman" w:hAnsi="Times New Roman" w:eastAsia="宋体" w:cs="Times New Roman"/>
                <w:snapToGrid w:val="0"/>
                <w:color w:val="000000"/>
                <w:kern w:val="21"/>
                <w:szCs w:val="21"/>
                <w:lang w:val="en-US" w:eastAsia="zh-CN"/>
              </w:rPr>
            </w:pPr>
            <w:r>
              <w:rPr>
                <w:rFonts w:hint="eastAsia" w:ascii="Times New Roman" w:hAnsi="Times New Roman" w:cs="Times New Roman"/>
                <w:snapToGrid w:val="0"/>
                <w:color w:val="000000"/>
                <w:kern w:val="21"/>
                <w:szCs w:val="21"/>
                <w:lang w:val="en-US" w:eastAsia="zh-CN"/>
              </w:rPr>
              <w:t>BOD</w:t>
            </w:r>
            <w:r>
              <w:rPr>
                <w:rFonts w:hint="eastAsia" w:ascii="Times New Roman" w:hAnsi="Times New Roman" w:cs="Times New Roman"/>
                <w:snapToGrid w:val="0"/>
                <w:color w:val="000000"/>
                <w:kern w:val="21"/>
                <w:szCs w:val="21"/>
                <w:vertAlign w:val="subscript"/>
                <w:lang w:val="en-US" w:eastAsia="zh-CN"/>
              </w:rPr>
              <w:t>5</w:t>
            </w:r>
          </w:p>
        </w:tc>
        <w:tc>
          <w:tcPr>
            <w:tcW w:w="1423" w:type="dxa"/>
            <w:noWrap w:val="0"/>
            <w:vAlign w:val="center"/>
          </w:tcPr>
          <w:p w14:paraId="3D62A801">
            <w:pPr>
              <w:pStyle w:val="38"/>
              <w:spacing w:beforeLines="0" w:afterLines="0" w:line="240" w:lineRule="auto"/>
              <w:rPr>
                <w:rFonts w:hint="default" w:ascii="Times New Roman" w:hAnsi="Times New Roman" w:cs="Times New Roman"/>
                <w:snapToGrid w:val="0"/>
                <w:color w:val="000000"/>
                <w:kern w:val="21"/>
                <w:szCs w:val="21"/>
              </w:rPr>
            </w:pPr>
          </w:p>
        </w:tc>
        <w:tc>
          <w:tcPr>
            <w:tcW w:w="1276" w:type="dxa"/>
            <w:noWrap w:val="0"/>
            <w:vAlign w:val="center"/>
          </w:tcPr>
          <w:p w14:paraId="0111A1FC">
            <w:pPr>
              <w:pStyle w:val="38"/>
              <w:spacing w:beforeLines="0" w:afterLines="0" w:line="240" w:lineRule="auto"/>
              <w:rPr>
                <w:rFonts w:hint="default" w:ascii="Times New Roman" w:hAnsi="Times New Roman" w:cs="Times New Roman"/>
                <w:snapToGrid w:val="0"/>
                <w:color w:val="000000"/>
                <w:kern w:val="21"/>
                <w:szCs w:val="21"/>
              </w:rPr>
            </w:pPr>
          </w:p>
        </w:tc>
        <w:tc>
          <w:tcPr>
            <w:tcW w:w="1701" w:type="dxa"/>
            <w:noWrap w:val="0"/>
            <w:vAlign w:val="center"/>
          </w:tcPr>
          <w:p w14:paraId="732A42C9">
            <w:pPr>
              <w:pStyle w:val="38"/>
              <w:spacing w:beforeLines="0" w:afterLines="0" w:line="240" w:lineRule="auto"/>
              <w:rPr>
                <w:rFonts w:hint="default" w:ascii="Times New Roman" w:hAnsi="Times New Roman" w:cs="Times New Roman"/>
                <w:snapToGrid w:val="0"/>
                <w:color w:val="000000"/>
                <w:kern w:val="21"/>
                <w:szCs w:val="21"/>
              </w:rPr>
            </w:pPr>
          </w:p>
        </w:tc>
        <w:tc>
          <w:tcPr>
            <w:tcW w:w="1559" w:type="dxa"/>
            <w:noWrap w:val="0"/>
            <w:vAlign w:val="center"/>
          </w:tcPr>
          <w:p w14:paraId="6A4C8482">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c>
          <w:tcPr>
            <w:tcW w:w="1281" w:type="dxa"/>
            <w:noWrap w:val="0"/>
            <w:vAlign w:val="center"/>
          </w:tcPr>
          <w:p w14:paraId="38B0DB93">
            <w:pPr>
              <w:pStyle w:val="38"/>
              <w:spacing w:beforeLines="0" w:afterLines="0" w:line="240" w:lineRule="auto"/>
              <w:rPr>
                <w:rFonts w:hint="default" w:ascii="Times New Roman" w:hAnsi="Times New Roman" w:cs="Times New Roman"/>
                <w:snapToGrid w:val="0"/>
                <w:color w:val="000000"/>
                <w:kern w:val="21"/>
                <w:szCs w:val="21"/>
              </w:rPr>
            </w:pPr>
          </w:p>
        </w:tc>
        <w:tc>
          <w:tcPr>
            <w:tcW w:w="1569" w:type="dxa"/>
            <w:noWrap w:val="0"/>
            <w:vAlign w:val="center"/>
          </w:tcPr>
          <w:p w14:paraId="37471545">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c>
          <w:tcPr>
            <w:tcW w:w="1696" w:type="dxa"/>
            <w:noWrap w:val="0"/>
            <w:vAlign w:val="center"/>
          </w:tcPr>
          <w:p w14:paraId="0E603E42">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r>
      <w:tr w14:paraId="38D87B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47" w:type="dxa"/>
            <w:vMerge w:val="continue"/>
            <w:noWrap w:val="0"/>
            <w:vAlign w:val="center"/>
          </w:tcPr>
          <w:p w14:paraId="6E4C22CE">
            <w:pPr>
              <w:pStyle w:val="38"/>
              <w:spacing w:beforeLines="0" w:afterLines="0" w:line="240" w:lineRule="auto"/>
              <w:rPr>
                <w:rFonts w:hint="default" w:ascii="Times New Roman" w:hAnsi="Times New Roman" w:cs="Times New Roman"/>
                <w:snapToGrid w:val="0"/>
                <w:color w:val="000000"/>
                <w:kern w:val="21"/>
                <w:szCs w:val="21"/>
              </w:rPr>
            </w:pPr>
          </w:p>
        </w:tc>
        <w:tc>
          <w:tcPr>
            <w:tcW w:w="2136" w:type="dxa"/>
            <w:noWrap w:val="0"/>
            <w:vAlign w:val="center"/>
          </w:tcPr>
          <w:p w14:paraId="2D843F6F">
            <w:pPr>
              <w:pStyle w:val="38"/>
              <w:spacing w:beforeLines="0" w:afterLines="0" w:line="240" w:lineRule="auto"/>
              <w:rPr>
                <w:rFonts w:hint="default" w:ascii="Times New Roman" w:hAnsi="Times New Roman" w:cs="Times New Roman"/>
                <w:snapToGrid w:val="0"/>
                <w:color w:val="000000"/>
                <w:kern w:val="21"/>
                <w:szCs w:val="21"/>
                <w:lang w:val="en-US" w:eastAsia="zh-CN"/>
              </w:rPr>
            </w:pPr>
            <w:r>
              <w:rPr>
                <w:rFonts w:hint="eastAsia" w:ascii="Times New Roman" w:hAnsi="Times New Roman" w:cs="Times New Roman"/>
                <w:snapToGrid w:val="0"/>
                <w:color w:val="000000"/>
                <w:kern w:val="21"/>
                <w:szCs w:val="21"/>
                <w:lang w:val="en-US" w:eastAsia="zh-CN"/>
              </w:rPr>
              <w:t>SS</w:t>
            </w:r>
          </w:p>
        </w:tc>
        <w:tc>
          <w:tcPr>
            <w:tcW w:w="1423" w:type="dxa"/>
            <w:noWrap w:val="0"/>
            <w:vAlign w:val="center"/>
          </w:tcPr>
          <w:p w14:paraId="131CDE7C">
            <w:pPr>
              <w:pStyle w:val="38"/>
              <w:spacing w:beforeLines="0" w:afterLines="0" w:line="240" w:lineRule="auto"/>
              <w:rPr>
                <w:rFonts w:hint="default" w:ascii="Times New Roman" w:hAnsi="Times New Roman" w:cs="Times New Roman"/>
                <w:snapToGrid w:val="0"/>
                <w:color w:val="000000"/>
                <w:kern w:val="21"/>
                <w:szCs w:val="21"/>
              </w:rPr>
            </w:pPr>
          </w:p>
        </w:tc>
        <w:tc>
          <w:tcPr>
            <w:tcW w:w="1276" w:type="dxa"/>
            <w:noWrap w:val="0"/>
            <w:vAlign w:val="center"/>
          </w:tcPr>
          <w:p w14:paraId="2EBBDC34">
            <w:pPr>
              <w:pStyle w:val="38"/>
              <w:spacing w:beforeLines="0" w:afterLines="0" w:line="240" w:lineRule="auto"/>
              <w:rPr>
                <w:rFonts w:hint="default" w:ascii="Times New Roman" w:hAnsi="Times New Roman" w:cs="Times New Roman"/>
                <w:snapToGrid w:val="0"/>
                <w:color w:val="000000"/>
                <w:kern w:val="21"/>
                <w:szCs w:val="21"/>
              </w:rPr>
            </w:pPr>
          </w:p>
        </w:tc>
        <w:tc>
          <w:tcPr>
            <w:tcW w:w="1701" w:type="dxa"/>
            <w:noWrap w:val="0"/>
            <w:vAlign w:val="center"/>
          </w:tcPr>
          <w:p w14:paraId="5FED298A">
            <w:pPr>
              <w:pStyle w:val="38"/>
              <w:spacing w:beforeLines="0" w:afterLines="0" w:line="240" w:lineRule="auto"/>
              <w:rPr>
                <w:rFonts w:hint="default" w:ascii="Times New Roman" w:hAnsi="Times New Roman" w:cs="Times New Roman"/>
                <w:snapToGrid w:val="0"/>
                <w:color w:val="000000"/>
                <w:kern w:val="21"/>
                <w:szCs w:val="21"/>
              </w:rPr>
            </w:pPr>
          </w:p>
        </w:tc>
        <w:tc>
          <w:tcPr>
            <w:tcW w:w="1559" w:type="dxa"/>
            <w:noWrap w:val="0"/>
            <w:vAlign w:val="center"/>
          </w:tcPr>
          <w:p w14:paraId="5D026792">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c>
          <w:tcPr>
            <w:tcW w:w="1281" w:type="dxa"/>
            <w:noWrap w:val="0"/>
            <w:vAlign w:val="center"/>
          </w:tcPr>
          <w:p w14:paraId="4F6165C0">
            <w:pPr>
              <w:pStyle w:val="38"/>
              <w:spacing w:beforeLines="0" w:afterLines="0" w:line="240" w:lineRule="auto"/>
              <w:rPr>
                <w:rFonts w:hint="default" w:ascii="Times New Roman" w:hAnsi="Times New Roman" w:cs="Times New Roman"/>
                <w:snapToGrid w:val="0"/>
                <w:color w:val="000000"/>
                <w:kern w:val="21"/>
                <w:szCs w:val="21"/>
              </w:rPr>
            </w:pPr>
          </w:p>
        </w:tc>
        <w:tc>
          <w:tcPr>
            <w:tcW w:w="1569" w:type="dxa"/>
            <w:noWrap w:val="0"/>
            <w:vAlign w:val="center"/>
          </w:tcPr>
          <w:p w14:paraId="2D000ABE">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c>
          <w:tcPr>
            <w:tcW w:w="1696" w:type="dxa"/>
            <w:noWrap w:val="0"/>
            <w:vAlign w:val="center"/>
          </w:tcPr>
          <w:p w14:paraId="4255F1EB">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r>
      <w:tr w14:paraId="5E7DA0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47" w:type="dxa"/>
            <w:vMerge w:val="continue"/>
            <w:noWrap w:val="0"/>
            <w:vAlign w:val="center"/>
          </w:tcPr>
          <w:p w14:paraId="2562CECE">
            <w:pPr>
              <w:pStyle w:val="38"/>
              <w:spacing w:beforeLines="0" w:afterLines="0" w:line="240" w:lineRule="auto"/>
              <w:rPr>
                <w:rFonts w:hint="default" w:ascii="Times New Roman" w:hAnsi="Times New Roman" w:cs="Times New Roman"/>
                <w:snapToGrid w:val="0"/>
                <w:color w:val="000000"/>
                <w:kern w:val="21"/>
                <w:szCs w:val="21"/>
              </w:rPr>
            </w:pPr>
          </w:p>
        </w:tc>
        <w:tc>
          <w:tcPr>
            <w:tcW w:w="2136" w:type="dxa"/>
            <w:noWrap w:val="0"/>
            <w:vAlign w:val="center"/>
          </w:tcPr>
          <w:p w14:paraId="156F8798">
            <w:pPr>
              <w:pStyle w:val="38"/>
              <w:spacing w:beforeLines="0" w:afterLines="0" w:line="240" w:lineRule="auto"/>
              <w:rPr>
                <w:rFonts w:hint="default" w:ascii="Times New Roman" w:hAnsi="Times New Roman" w:cs="Times New Roman"/>
                <w:snapToGrid w:val="0"/>
                <w:color w:val="000000"/>
                <w:kern w:val="21"/>
                <w:szCs w:val="21"/>
                <w:lang w:val="en-US" w:eastAsia="zh-CN"/>
              </w:rPr>
            </w:pPr>
            <w:r>
              <w:rPr>
                <w:rFonts w:hint="eastAsia" w:ascii="Times New Roman" w:hAnsi="Times New Roman" w:cs="Times New Roman"/>
                <w:snapToGrid w:val="0"/>
                <w:color w:val="000000"/>
                <w:kern w:val="21"/>
                <w:szCs w:val="21"/>
                <w:lang w:val="en-US" w:eastAsia="zh-CN"/>
              </w:rPr>
              <w:t>NH</w:t>
            </w:r>
            <w:r>
              <w:rPr>
                <w:rFonts w:hint="eastAsia" w:ascii="Times New Roman" w:hAnsi="Times New Roman" w:cs="Times New Roman"/>
                <w:snapToGrid w:val="0"/>
                <w:color w:val="000000"/>
                <w:kern w:val="21"/>
                <w:szCs w:val="21"/>
                <w:vertAlign w:val="subscript"/>
                <w:lang w:val="en-US" w:eastAsia="zh-CN"/>
              </w:rPr>
              <w:t>3</w:t>
            </w:r>
            <w:r>
              <w:rPr>
                <w:rFonts w:hint="eastAsia" w:ascii="Times New Roman" w:hAnsi="Times New Roman" w:cs="Times New Roman"/>
                <w:snapToGrid w:val="0"/>
                <w:color w:val="000000"/>
                <w:kern w:val="21"/>
                <w:szCs w:val="21"/>
                <w:lang w:val="en-US" w:eastAsia="zh-CN"/>
              </w:rPr>
              <w:t>-N</w:t>
            </w:r>
          </w:p>
        </w:tc>
        <w:tc>
          <w:tcPr>
            <w:tcW w:w="1423" w:type="dxa"/>
            <w:noWrap w:val="0"/>
            <w:vAlign w:val="center"/>
          </w:tcPr>
          <w:p w14:paraId="0B56933B">
            <w:pPr>
              <w:pStyle w:val="38"/>
              <w:spacing w:beforeLines="0" w:afterLines="0" w:line="240" w:lineRule="auto"/>
              <w:rPr>
                <w:rFonts w:hint="default" w:ascii="Times New Roman" w:hAnsi="Times New Roman" w:cs="Times New Roman"/>
                <w:snapToGrid w:val="0"/>
                <w:color w:val="000000"/>
                <w:kern w:val="21"/>
                <w:szCs w:val="21"/>
              </w:rPr>
            </w:pPr>
          </w:p>
        </w:tc>
        <w:tc>
          <w:tcPr>
            <w:tcW w:w="1276" w:type="dxa"/>
            <w:noWrap w:val="0"/>
            <w:vAlign w:val="center"/>
          </w:tcPr>
          <w:p w14:paraId="66FC5A04">
            <w:pPr>
              <w:pStyle w:val="38"/>
              <w:spacing w:beforeLines="0" w:afterLines="0" w:line="240" w:lineRule="auto"/>
              <w:rPr>
                <w:rFonts w:hint="default" w:ascii="Times New Roman" w:hAnsi="Times New Roman" w:cs="Times New Roman"/>
                <w:snapToGrid w:val="0"/>
                <w:color w:val="000000"/>
                <w:kern w:val="21"/>
                <w:szCs w:val="21"/>
              </w:rPr>
            </w:pPr>
          </w:p>
        </w:tc>
        <w:tc>
          <w:tcPr>
            <w:tcW w:w="1701" w:type="dxa"/>
            <w:noWrap w:val="0"/>
            <w:vAlign w:val="center"/>
          </w:tcPr>
          <w:p w14:paraId="4EFB070F">
            <w:pPr>
              <w:pStyle w:val="38"/>
              <w:spacing w:beforeLines="0" w:afterLines="0" w:line="240" w:lineRule="auto"/>
              <w:rPr>
                <w:rFonts w:hint="default" w:ascii="Times New Roman" w:hAnsi="Times New Roman" w:cs="Times New Roman"/>
                <w:snapToGrid w:val="0"/>
                <w:color w:val="000000"/>
                <w:kern w:val="21"/>
                <w:szCs w:val="21"/>
              </w:rPr>
            </w:pPr>
          </w:p>
        </w:tc>
        <w:tc>
          <w:tcPr>
            <w:tcW w:w="1559" w:type="dxa"/>
            <w:noWrap w:val="0"/>
            <w:vAlign w:val="center"/>
          </w:tcPr>
          <w:p w14:paraId="291059BA">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c>
          <w:tcPr>
            <w:tcW w:w="1281" w:type="dxa"/>
            <w:noWrap w:val="0"/>
            <w:vAlign w:val="center"/>
          </w:tcPr>
          <w:p w14:paraId="28730A20">
            <w:pPr>
              <w:pStyle w:val="38"/>
              <w:spacing w:beforeLines="0" w:afterLines="0" w:line="240" w:lineRule="auto"/>
              <w:rPr>
                <w:rFonts w:hint="default" w:ascii="Times New Roman" w:hAnsi="Times New Roman" w:cs="Times New Roman"/>
                <w:snapToGrid w:val="0"/>
                <w:color w:val="000000"/>
                <w:kern w:val="21"/>
                <w:szCs w:val="21"/>
              </w:rPr>
            </w:pPr>
          </w:p>
        </w:tc>
        <w:tc>
          <w:tcPr>
            <w:tcW w:w="1569" w:type="dxa"/>
            <w:noWrap w:val="0"/>
            <w:vAlign w:val="center"/>
          </w:tcPr>
          <w:p w14:paraId="40A0FFFC">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c>
          <w:tcPr>
            <w:tcW w:w="1696" w:type="dxa"/>
            <w:noWrap w:val="0"/>
            <w:vAlign w:val="center"/>
          </w:tcPr>
          <w:p w14:paraId="458AF532">
            <w:pPr>
              <w:spacing w:beforeLines="0" w:afterLines="0" w:line="240" w:lineRule="auto"/>
              <w:jc w:val="center"/>
              <w:rPr>
                <w:rFonts w:hint="eastAsia" w:ascii="Times New Roman" w:hAnsi="Times New Roman" w:eastAsia="宋体" w:cs="Times New Roman"/>
                <w:snapToGrid w:val="0"/>
                <w:color w:val="000000"/>
                <w:kern w:val="21"/>
                <w:szCs w:val="21"/>
                <w:lang w:val="en-US" w:eastAsia="zh-CN"/>
              </w:rPr>
            </w:pPr>
            <w:r>
              <w:rPr>
                <w:rFonts w:hint="eastAsia" w:cs="Times New Roman"/>
                <w:snapToGrid w:val="0"/>
                <w:color w:val="000000"/>
                <w:kern w:val="21"/>
                <w:szCs w:val="21"/>
                <w:lang w:val="en-US" w:eastAsia="zh-CN"/>
              </w:rPr>
              <w:t>/</w:t>
            </w:r>
          </w:p>
        </w:tc>
      </w:tr>
      <w:tr w14:paraId="3BE4F4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47" w:type="dxa"/>
            <w:vMerge w:val="restart"/>
            <w:noWrap w:val="0"/>
            <w:vAlign w:val="center"/>
          </w:tcPr>
          <w:p w14:paraId="46B666AD">
            <w:pPr>
              <w:pStyle w:val="38"/>
              <w:spacing w:beforeLines="0" w:afterLines="0" w:line="240" w:lineRule="auto"/>
              <w:rPr>
                <w:rFonts w:hint="default" w:ascii="Times New Roman" w:hAnsi="Times New Roman" w:cs="Times New Roman"/>
                <w:snapToGrid w:val="0"/>
                <w:color w:val="000000"/>
                <w:kern w:val="21"/>
                <w:szCs w:val="21"/>
              </w:rPr>
            </w:pPr>
            <w:r>
              <w:rPr>
                <w:rFonts w:hint="default" w:ascii="Times New Roman" w:hAnsi="Times New Roman" w:cs="Times New Roman"/>
                <w:snapToGrid w:val="0"/>
                <w:color w:val="000000"/>
                <w:kern w:val="21"/>
                <w:szCs w:val="21"/>
              </w:rPr>
              <w:t>一般工业</w:t>
            </w:r>
          </w:p>
          <w:p w14:paraId="21996D35">
            <w:pPr>
              <w:pStyle w:val="38"/>
              <w:spacing w:beforeLines="0" w:afterLines="0" w:line="240" w:lineRule="auto"/>
              <w:rPr>
                <w:rFonts w:hint="default" w:ascii="Times New Roman" w:hAnsi="Times New Roman" w:cs="Times New Roman"/>
                <w:snapToGrid w:val="0"/>
                <w:color w:val="000000"/>
                <w:kern w:val="21"/>
                <w:szCs w:val="21"/>
              </w:rPr>
            </w:pPr>
            <w:r>
              <w:rPr>
                <w:rFonts w:hint="default" w:ascii="Times New Roman" w:hAnsi="Times New Roman" w:cs="Times New Roman"/>
                <w:snapToGrid w:val="0"/>
                <w:color w:val="000000"/>
                <w:kern w:val="21"/>
                <w:szCs w:val="21"/>
              </w:rPr>
              <w:t>固体废物</w:t>
            </w:r>
          </w:p>
        </w:tc>
        <w:tc>
          <w:tcPr>
            <w:tcW w:w="2136" w:type="dxa"/>
            <w:noWrap w:val="0"/>
            <w:vAlign w:val="center"/>
          </w:tcPr>
          <w:p w14:paraId="776473EF">
            <w:pPr>
              <w:pStyle w:val="38"/>
              <w:spacing w:beforeLines="0" w:afterLines="0" w:line="240" w:lineRule="auto"/>
              <w:rPr>
                <w:rFonts w:hint="default" w:ascii="Times New Roman" w:hAnsi="Times New Roman" w:eastAsia="宋体" w:cs="Times New Roman"/>
                <w:snapToGrid w:val="0"/>
                <w:color w:val="000000"/>
                <w:kern w:val="21"/>
                <w:szCs w:val="21"/>
                <w:lang w:val="en-US" w:eastAsia="zh-CN"/>
              </w:rPr>
            </w:pPr>
            <w:r>
              <w:rPr>
                <w:rFonts w:hint="eastAsia" w:ascii="Times New Roman" w:hAnsi="Times New Roman" w:cs="Times New Roman"/>
                <w:snapToGrid w:val="0"/>
                <w:color w:val="000000"/>
                <w:kern w:val="21"/>
                <w:szCs w:val="21"/>
                <w:lang w:val="en-US" w:eastAsia="zh-CN"/>
              </w:rPr>
              <w:t>沉淀池泥砂</w:t>
            </w:r>
          </w:p>
        </w:tc>
        <w:tc>
          <w:tcPr>
            <w:tcW w:w="1423" w:type="dxa"/>
            <w:noWrap w:val="0"/>
            <w:vAlign w:val="center"/>
          </w:tcPr>
          <w:p w14:paraId="05163173">
            <w:pPr>
              <w:pStyle w:val="38"/>
              <w:spacing w:beforeLines="0" w:afterLines="0" w:line="240" w:lineRule="auto"/>
              <w:rPr>
                <w:rFonts w:hint="default" w:ascii="Times New Roman" w:hAnsi="Times New Roman" w:cs="Times New Roman"/>
                <w:snapToGrid w:val="0"/>
                <w:color w:val="000000"/>
                <w:kern w:val="21"/>
                <w:szCs w:val="21"/>
              </w:rPr>
            </w:pPr>
          </w:p>
        </w:tc>
        <w:tc>
          <w:tcPr>
            <w:tcW w:w="1276" w:type="dxa"/>
            <w:noWrap w:val="0"/>
            <w:vAlign w:val="center"/>
          </w:tcPr>
          <w:p w14:paraId="7FF9549D">
            <w:pPr>
              <w:pStyle w:val="38"/>
              <w:spacing w:beforeLines="0" w:afterLines="0" w:line="240" w:lineRule="auto"/>
              <w:rPr>
                <w:rFonts w:hint="default" w:ascii="Times New Roman" w:hAnsi="Times New Roman" w:cs="Times New Roman"/>
                <w:snapToGrid w:val="0"/>
                <w:color w:val="000000"/>
                <w:kern w:val="21"/>
                <w:szCs w:val="21"/>
              </w:rPr>
            </w:pPr>
          </w:p>
        </w:tc>
        <w:tc>
          <w:tcPr>
            <w:tcW w:w="1701" w:type="dxa"/>
            <w:noWrap w:val="0"/>
            <w:vAlign w:val="center"/>
          </w:tcPr>
          <w:p w14:paraId="3AD1C592">
            <w:pPr>
              <w:pStyle w:val="38"/>
              <w:spacing w:beforeLines="0" w:afterLines="0" w:line="240" w:lineRule="auto"/>
              <w:rPr>
                <w:rFonts w:hint="default" w:ascii="Times New Roman" w:hAnsi="Times New Roman" w:cs="Times New Roman"/>
                <w:snapToGrid w:val="0"/>
                <w:color w:val="000000"/>
                <w:kern w:val="21"/>
                <w:szCs w:val="21"/>
              </w:rPr>
            </w:pPr>
          </w:p>
        </w:tc>
        <w:tc>
          <w:tcPr>
            <w:tcW w:w="1559" w:type="dxa"/>
            <w:noWrap w:val="0"/>
            <w:vAlign w:val="center"/>
          </w:tcPr>
          <w:p w14:paraId="3747631D">
            <w:pPr>
              <w:spacing w:beforeLines="0" w:afterLines="0" w:line="240" w:lineRule="auto"/>
              <w:jc w:val="center"/>
              <w:rPr>
                <w:rFonts w:hint="default" w:ascii="Times New Roman" w:hAnsi="Times New Roman" w:cs="Times New Roman"/>
                <w:snapToGrid w:val="0"/>
                <w:color w:val="000000"/>
                <w:kern w:val="21"/>
                <w:szCs w:val="21"/>
                <w:lang w:val="en-US"/>
              </w:rPr>
            </w:pPr>
            <w:r>
              <w:rPr>
                <w:rFonts w:hint="eastAsia"/>
                <w:lang w:val="en-US" w:eastAsia="zh-CN"/>
              </w:rPr>
              <w:t>58.5</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c>
          <w:tcPr>
            <w:tcW w:w="1281" w:type="dxa"/>
            <w:noWrap w:val="0"/>
            <w:vAlign w:val="center"/>
          </w:tcPr>
          <w:p w14:paraId="730A0401">
            <w:pPr>
              <w:pStyle w:val="38"/>
              <w:spacing w:beforeLines="0" w:afterLines="0" w:line="240" w:lineRule="auto"/>
              <w:rPr>
                <w:rFonts w:hint="default" w:ascii="Times New Roman" w:hAnsi="Times New Roman" w:cs="Times New Roman"/>
                <w:snapToGrid w:val="0"/>
                <w:color w:val="000000"/>
                <w:kern w:val="21"/>
                <w:szCs w:val="21"/>
              </w:rPr>
            </w:pPr>
          </w:p>
        </w:tc>
        <w:tc>
          <w:tcPr>
            <w:tcW w:w="1569" w:type="dxa"/>
            <w:noWrap w:val="0"/>
            <w:vAlign w:val="center"/>
          </w:tcPr>
          <w:p w14:paraId="2D7DB69B">
            <w:pPr>
              <w:spacing w:beforeLines="0" w:afterLines="0" w:line="240" w:lineRule="auto"/>
              <w:jc w:val="center"/>
              <w:rPr>
                <w:rFonts w:hint="default" w:ascii="Times New Roman" w:hAnsi="Times New Roman" w:cs="Times New Roman"/>
                <w:snapToGrid w:val="0"/>
                <w:color w:val="000000"/>
                <w:kern w:val="21"/>
                <w:szCs w:val="21"/>
              </w:rPr>
            </w:pPr>
            <w:r>
              <w:rPr>
                <w:rFonts w:hint="eastAsia"/>
                <w:lang w:val="en-US" w:eastAsia="zh-CN"/>
              </w:rPr>
              <w:t>58.5</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c>
          <w:tcPr>
            <w:tcW w:w="1696" w:type="dxa"/>
            <w:noWrap w:val="0"/>
            <w:vAlign w:val="center"/>
          </w:tcPr>
          <w:p w14:paraId="7478E4CD">
            <w:pPr>
              <w:spacing w:beforeLines="0" w:afterLines="0" w:line="240" w:lineRule="auto"/>
              <w:jc w:val="center"/>
              <w:rPr>
                <w:rFonts w:hint="default" w:ascii="Times New Roman" w:hAnsi="Times New Roman" w:cs="Times New Roman"/>
                <w:snapToGrid w:val="0"/>
                <w:color w:val="000000"/>
                <w:kern w:val="21"/>
                <w:szCs w:val="21"/>
              </w:rPr>
            </w:pPr>
            <w:r>
              <w:rPr>
                <w:rFonts w:hint="eastAsia" w:ascii="Times New Roman" w:hAnsi="Times New Roman" w:cs="Times New Roman"/>
                <w:snapToGrid w:val="0"/>
                <w:color w:val="000000"/>
                <w:kern w:val="21"/>
                <w:szCs w:val="21"/>
                <w:lang w:val="en-US" w:eastAsia="zh-CN"/>
              </w:rPr>
              <w:t>+</w:t>
            </w:r>
            <w:r>
              <w:rPr>
                <w:rFonts w:hint="eastAsia"/>
                <w:lang w:val="en-US" w:eastAsia="zh-CN"/>
              </w:rPr>
              <w:t>58.5</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r>
      <w:tr w14:paraId="2F88CF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47" w:type="dxa"/>
            <w:vMerge w:val="continue"/>
            <w:noWrap w:val="0"/>
            <w:vAlign w:val="center"/>
          </w:tcPr>
          <w:p w14:paraId="4D089FF8">
            <w:pPr>
              <w:pStyle w:val="38"/>
              <w:spacing w:beforeLines="0" w:afterLines="0" w:line="240" w:lineRule="auto"/>
              <w:rPr>
                <w:rFonts w:hint="default" w:ascii="Times New Roman" w:hAnsi="Times New Roman" w:cs="Times New Roman"/>
                <w:snapToGrid w:val="0"/>
                <w:color w:val="000000"/>
                <w:kern w:val="21"/>
                <w:szCs w:val="21"/>
              </w:rPr>
            </w:pPr>
          </w:p>
        </w:tc>
        <w:tc>
          <w:tcPr>
            <w:tcW w:w="2136" w:type="dxa"/>
            <w:noWrap w:val="0"/>
            <w:vAlign w:val="center"/>
          </w:tcPr>
          <w:p w14:paraId="1AB17401">
            <w:pPr>
              <w:pStyle w:val="38"/>
              <w:spacing w:beforeLines="0" w:afterLines="0" w:line="240" w:lineRule="auto"/>
              <w:rPr>
                <w:rFonts w:hint="default" w:ascii="Times New Roman" w:hAnsi="Times New Roman" w:eastAsia="宋体" w:cs="Times New Roman"/>
                <w:snapToGrid w:val="0"/>
                <w:color w:val="000000"/>
                <w:kern w:val="21"/>
                <w:szCs w:val="21"/>
                <w:lang w:val="en-US" w:eastAsia="zh-CN"/>
              </w:rPr>
            </w:pPr>
            <w:r>
              <w:rPr>
                <w:rFonts w:hint="eastAsia" w:ascii="Times New Roman" w:hAnsi="Times New Roman" w:cs="Times New Roman"/>
                <w:snapToGrid w:val="0"/>
                <w:color w:val="000000"/>
                <w:kern w:val="21"/>
                <w:szCs w:val="21"/>
                <w:lang w:val="en-US" w:eastAsia="zh-CN"/>
              </w:rPr>
              <w:t>除尘灰</w:t>
            </w:r>
          </w:p>
        </w:tc>
        <w:tc>
          <w:tcPr>
            <w:tcW w:w="1423" w:type="dxa"/>
            <w:noWrap w:val="0"/>
            <w:vAlign w:val="center"/>
          </w:tcPr>
          <w:p w14:paraId="008AC7A5">
            <w:pPr>
              <w:pStyle w:val="38"/>
              <w:spacing w:beforeLines="0" w:afterLines="0" w:line="240" w:lineRule="auto"/>
              <w:rPr>
                <w:rFonts w:hint="default" w:ascii="Times New Roman" w:hAnsi="Times New Roman" w:cs="Times New Roman"/>
                <w:snapToGrid w:val="0"/>
                <w:color w:val="000000"/>
                <w:kern w:val="21"/>
                <w:szCs w:val="21"/>
              </w:rPr>
            </w:pPr>
          </w:p>
        </w:tc>
        <w:tc>
          <w:tcPr>
            <w:tcW w:w="1276" w:type="dxa"/>
            <w:noWrap w:val="0"/>
            <w:vAlign w:val="center"/>
          </w:tcPr>
          <w:p w14:paraId="4A5A03CA">
            <w:pPr>
              <w:pStyle w:val="38"/>
              <w:spacing w:beforeLines="0" w:afterLines="0" w:line="240" w:lineRule="auto"/>
              <w:rPr>
                <w:rFonts w:hint="default" w:ascii="Times New Roman" w:hAnsi="Times New Roman" w:cs="Times New Roman"/>
                <w:snapToGrid w:val="0"/>
                <w:color w:val="000000"/>
                <w:kern w:val="21"/>
                <w:szCs w:val="21"/>
              </w:rPr>
            </w:pPr>
          </w:p>
        </w:tc>
        <w:tc>
          <w:tcPr>
            <w:tcW w:w="1701" w:type="dxa"/>
            <w:noWrap w:val="0"/>
            <w:vAlign w:val="center"/>
          </w:tcPr>
          <w:p w14:paraId="4A950F1B">
            <w:pPr>
              <w:pStyle w:val="38"/>
              <w:spacing w:beforeLines="0" w:afterLines="0" w:line="240" w:lineRule="auto"/>
              <w:rPr>
                <w:rFonts w:hint="default" w:ascii="Times New Roman" w:hAnsi="Times New Roman" w:cs="Times New Roman"/>
                <w:snapToGrid w:val="0"/>
                <w:color w:val="000000"/>
                <w:kern w:val="21"/>
                <w:szCs w:val="21"/>
              </w:rPr>
            </w:pPr>
          </w:p>
        </w:tc>
        <w:tc>
          <w:tcPr>
            <w:tcW w:w="1559" w:type="dxa"/>
            <w:noWrap w:val="0"/>
            <w:vAlign w:val="center"/>
          </w:tcPr>
          <w:p w14:paraId="4AE361C9">
            <w:pPr>
              <w:spacing w:beforeLines="0" w:afterLines="0" w:line="240" w:lineRule="auto"/>
              <w:jc w:val="center"/>
              <w:rPr>
                <w:rFonts w:hint="default" w:ascii="Times New Roman" w:hAnsi="Times New Roman" w:cs="Times New Roman"/>
                <w:snapToGrid w:val="0"/>
                <w:color w:val="000000"/>
                <w:kern w:val="21"/>
                <w:szCs w:val="21"/>
              </w:rPr>
            </w:pPr>
            <w:r>
              <w:rPr>
                <w:rFonts w:hint="eastAsia"/>
                <w:color w:val="auto"/>
                <w:lang w:val="en-US" w:eastAsia="zh-CN"/>
              </w:rPr>
              <w:t>2.213</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c>
          <w:tcPr>
            <w:tcW w:w="1281" w:type="dxa"/>
            <w:noWrap w:val="0"/>
            <w:vAlign w:val="center"/>
          </w:tcPr>
          <w:p w14:paraId="55AC4986">
            <w:pPr>
              <w:pStyle w:val="38"/>
              <w:spacing w:beforeLines="0" w:afterLines="0" w:line="240" w:lineRule="auto"/>
              <w:rPr>
                <w:rFonts w:hint="default" w:ascii="Times New Roman" w:hAnsi="Times New Roman" w:cs="Times New Roman"/>
                <w:snapToGrid w:val="0"/>
                <w:color w:val="000000"/>
                <w:kern w:val="21"/>
                <w:szCs w:val="21"/>
              </w:rPr>
            </w:pPr>
          </w:p>
        </w:tc>
        <w:tc>
          <w:tcPr>
            <w:tcW w:w="1569" w:type="dxa"/>
            <w:noWrap w:val="0"/>
            <w:vAlign w:val="center"/>
          </w:tcPr>
          <w:p w14:paraId="39FAC63C">
            <w:pPr>
              <w:spacing w:beforeLines="0" w:afterLines="0" w:line="240" w:lineRule="auto"/>
              <w:jc w:val="center"/>
              <w:rPr>
                <w:rFonts w:hint="default" w:ascii="Times New Roman" w:hAnsi="Times New Roman" w:cs="Times New Roman"/>
                <w:snapToGrid w:val="0"/>
                <w:color w:val="000000"/>
                <w:kern w:val="21"/>
                <w:szCs w:val="21"/>
              </w:rPr>
            </w:pPr>
            <w:r>
              <w:rPr>
                <w:rFonts w:hint="eastAsia"/>
                <w:color w:val="auto"/>
                <w:lang w:val="en-US" w:eastAsia="zh-CN"/>
              </w:rPr>
              <w:t>2.213</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c>
          <w:tcPr>
            <w:tcW w:w="1696" w:type="dxa"/>
            <w:noWrap w:val="0"/>
            <w:vAlign w:val="center"/>
          </w:tcPr>
          <w:p w14:paraId="6F96B753">
            <w:pPr>
              <w:spacing w:beforeLines="0" w:afterLines="0" w:line="240" w:lineRule="auto"/>
              <w:jc w:val="center"/>
              <w:rPr>
                <w:rFonts w:hint="default" w:ascii="Times New Roman" w:hAnsi="Times New Roman" w:cs="Times New Roman"/>
                <w:snapToGrid w:val="0"/>
                <w:color w:val="000000"/>
                <w:kern w:val="21"/>
                <w:szCs w:val="21"/>
              </w:rPr>
            </w:pPr>
            <w:r>
              <w:rPr>
                <w:rFonts w:hint="eastAsia" w:ascii="Times New Roman" w:hAnsi="Times New Roman" w:cs="Times New Roman"/>
                <w:snapToGrid w:val="0"/>
                <w:color w:val="000000"/>
                <w:kern w:val="21"/>
                <w:szCs w:val="21"/>
                <w:lang w:val="en-US" w:eastAsia="zh-CN"/>
              </w:rPr>
              <w:t>+</w:t>
            </w:r>
            <w:r>
              <w:rPr>
                <w:rFonts w:hint="eastAsia"/>
                <w:color w:val="auto"/>
                <w:lang w:val="en-US" w:eastAsia="zh-CN"/>
              </w:rPr>
              <w:t>2.213</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r>
      <w:tr w14:paraId="1E3628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47" w:type="dxa"/>
            <w:vMerge w:val="continue"/>
            <w:noWrap w:val="0"/>
            <w:vAlign w:val="center"/>
          </w:tcPr>
          <w:p w14:paraId="1BE5B68F">
            <w:pPr>
              <w:pStyle w:val="38"/>
              <w:spacing w:beforeLines="0" w:afterLines="0" w:line="240" w:lineRule="auto"/>
              <w:rPr>
                <w:rFonts w:hint="default" w:ascii="Times New Roman" w:hAnsi="Times New Roman" w:cs="Times New Roman"/>
                <w:snapToGrid w:val="0"/>
                <w:color w:val="000000"/>
                <w:kern w:val="21"/>
                <w:szCs w:val="21"/>
              </w:rPr>
            </w:pPr>
          </w:p>
        </w:tc>
        <w:tc>
          <w:tcPr>
            <w:tcW w:w="2136" w:type="dxa"/>
            <w:noWrap w:val="0"/>
            <w:vAlign w:val="center"/>
          </w:tcPr>
          <w:p w14:paraId="17DB35AC">
            <w:pPr>
              <w:pStyle w:val="38"/>
              <w:spacing w:beforeLines="0" w:afterLines="0" w:line="240" w:lineRule="auto"/>
              <w:rPr>
                <w:rFonts w:hint="eastAsia" w:ascii="Times New Roman" w:hAnsi="Times New Roman" w:cs="Times New Roman"/>
                <w:snapToGrid w:val="0"/>
                <w:color w:val="000000"/>
                <w:kern w:val="21"/>
                <w:szCs w:val="21"/>
                <w:lang w:val="en-US" w:eastAsia="zh-CN"/>
              </w:rPr>
            </w:pPr>
            <w:r>
              <w:rPr>
                <w:rFonts w:hint="eastAsia" w:ascii="Times New Roman" w:hAnsi="Times New Roman" w:cs="Times New Roman"/>
                <w:snapToGrid w:val="0"/>
                <w:color w:val="000000"/>
                <w:kern w:val="21"/>
                <w:szCs w:val="21"/>
                <w:lang w:val="en-US" w:eastAsia="zh-CN"/>
              </w:rPr>
              <w:t>生活垃圾</w:t>
            </w:r>
          </w:p>
        </w:tc>
        <w:tc>
          <w:tcPr>
            <w:tcW w:w="1423" w:type="dxa"/>
            <w:noWrap w:val="0"/>
            <w:vAlign w:val="center"/>
          </w:tcPr>
          <w:p w14:paraId="18DC0426">
            <w:pPr>
              <w:pStyle w:val="38"/>
              <w:spacing w:beforeLines="0" w:afterLines="0" w:line="240" w:lineRule="auto"/>
              <w:rPr>
                <w:rFonts w:hint="default" w:ascii="Times New Roman" w:hAnsi="Times New Roman" w:cs="Times New Roman"/>
                <w:snapToGrid w:val="0"/>
                <w:color w:val="000000"/>
                <w:kern w:val="21"/>
                <w:szCs w:val="21"/>
              </w:rPr>
            </w:pPr>
          </w:p>
        </w:tc>
        <w:tc>
          <w:tcPr>
            <w:tcW w:w="1276" w:type="dxa"/>
            <w:noWrap w:val="0"/>
            <w:vAlign w:val="center"/>
          </w:tcPr>
          <w:p w14:paraId="159B9439">
            <w:pPr>
              <w:pStyle w:val="38"/>
              <w:spacing w:beforeLines="0" w:afterLines="0" w:line="240" w:lineRule="auto"/>
              <w:rPr>
                <w:rFonts w:hint="default" w:ascii="Times New Roman" w:hAnsi="Times New Roman" w:cs="Times New Roman"/>
                <w:snapToGrid w:val="0"/>
                <w:color w:val="000000"/>
                <w:kern w:val="21"/>
                <w:szCs w:val="21"/>
              </w:rPr>
            </w:pPr>
          </w:p>
        </w:tc>
        <w:tc>
          <w:tcPr>
            <w:tcW w:w="1701" w:type="dxa"/>
            <w:noWrap w:val="0"/>
            <w:vAlign w:val="center"/>
          </w:tcPr>
          <w:p w14:paraId="524E9538">
            <w:pPr>
              <w:pStyle w:val="38"/>
              <w:spacing w:beforeLines="0" w:afterLines="0" w:line="240" w:lineRule="auto"/>
              <w:rPr>
                <w:rFonts w:hint="default" w:ascii="Times New Roman" w:hAnsi="Times New Roman" w:cs="Times New Roman"/>
                <w:snapToGrid w:val="0"/>
                <w:color w:val="000000"/>
                <w:kern w:val="21"/>
                <w:szCs w:val="21"/>
              </w:rPr>
            </w:pPr>
          </w:p>
        </w:tc>
        <w:tc>
          <w:tcPr>
            <w:tcW w:w="1559" w:type="dxa"/>
            <w:noWrap w:val="0"/>
            <w:vAlign w:val="center"/>
          </w:tcPr>
          <w:p w14:paraId="259E54A9">
            <w:pPr>
              <w:spacing w:beforeLines="0" w:afterLines="0" w:line="240" w:lineRule="auto"/>
              <w:jc w:val="center"/>
              <w:rPr>
                <w:rFonts w:hint="default" w:ascii="Times New Roman" w:hAnsi="Times New Roman" w:cs="Times New Roman"/>
                <w:snapToGrid w:val="0"/>
                <w:color w:val="000000"/>
                <w:kern w:val="21"/>
                <w:szCs w:val="21"/>
              </w:rPr>
            </w:pPr>
            <w:r>
              <w:rPr>
                <w:rFonts w:hint="eastAsia"/>
                <w:lang w:val="en-US" w:eastAsia="zh-CN"/>
              </w:rPr>
              <w:t>0.84</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c>
          <w:tcPr>
            <w:tcW w:w="1281" w:type="dxa"/>
            <w:noWrap w:val="0"/>
            <w:vAlign w:val="center"/>
          </w:tcPr>
          <w:p w14:paraId="0B741D66">
            <w:pPr>
              <w:pStyle w:val="38"/>
              <w:spacing w:beforeLines="0" w:afterLines="0" w:line="240" w:lineRule="auto"/>
              <w:rPr>
                <w:rFonts w:hint="default" w:ascii="Times New Roman" w:hAnsi="Times New Roman" w:cs="Times New Roman"/>
                <w:snapToGrid w:val="0"/>
                <w:color w:val="000000"/>
                <w:kern w:val="21"/>
                <w:szCs w:val="21"/>
              </w:rPr>
            </w:pPr>
          </w:p>
        </w:tc>
        <w:tc>
          <w:tcPr>
            <w:tcW w:w="1569" w:type="dxa"/>
            <w:noWrap w:val="0"/>
            <w:vAlign w:val="center"/>
          </w:tcPr>
          <w:p w14:paraId="5E1EA549">
            <w:pPr>
              <w:spacing w:beforeLines="0" w:afterLines="0" w:line="240" w:lineRule="auto"/>
              <w:jc w:val="center"/>
              <w:rPr>
                <w:rFonts w:hint="default" w:ascii="Times New Roman" w:hAnsi="Times New Roman" w:cs="Times New Roman"/>
                <w:snapToGrid w:val="0"/>
                <w:color w:val="000000"/>
                <w:kern w:val="21"/>
                <w:szCs w:val="21"/>
                <w:lang w:val="en-US"/>
              </w:rPr>
            </w:pPr>
            <w:r>
              <w:rPr>
                <w:rFonts w:hint="eastAsia"/>
                <w:lang w:val="en-US" w:eastAsia="zh-CN"/>
              </w:rPr>
              <w:t>0.84</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c>
          <w:tcPr>
            <w:tcW w:w="1696" w:type="dxa"/>
            <w:noWrap w:val="0"/>
            <w:vAlign w:val="center"/>
          </w:tcPr>
          <w:p w14:paraId="124C2F3F">
            <w:pPr>
              <w:spacing w:beforeLines="0" w:afterLines="0" w:line="240" w:lineRule="auto"/>
              <w:jc w:val="center"/>
              <w:rPr>
                <w:rFonts w:hint="default" w:ascii="Times New Roman" w:hAnsi="Times New Roman" w:cs="Times New Roman"/>
                <w:snapToGrid w:val="0"/>
                <w:color w:val="000000"/>
                <w:kern w:val="21"/>
                <w:szCs w:val="21"/>
              </w:rPr>
            </w:pPr>
            <w:r>
              <w:rPr>
                <w:rFonts w:hint="eastAsia" w:ascii="Times New Roman" w:hAnsi="Times New Roman" w:cs="Times New Roman"/>
                <w:snapToGrid w:val="0"/>
                <w:color w:val="000000"/>
                <w:kern w:val="21"/>
                <w:szCs w:val="21"/>
                <w:lang w:val="en-US" w:eastAsia="zh-CN"/>
              </w:rPr>
              <w:t>+</w:t>
            </w:r>
            <w:r>
              <w:rPr>
                <w:rFonts w:hint="eastAsia"/>
                <w:lang w:val="en-US" w:eastAsia="zh-CN"/>
              </w:rPr>
              <w:t>0.84</w:t>
            </w:r>
            <w:r>
              <w:rPr>
                <w:rFonts w:hint="eastAsia" w:ascii="Times New Roman" w:hAnsi="Times New Roman" w:cs="Times New Roman"/>
                <w:snapToGrid w:val="0"/>
                <w:color w:val="000000"/>
                <w:kern w:val="21"/>
                <w:szCs w:val="21"/>
                <w:lang w:val="en-US" w:eastAsia="zh-CN"/>
              </w:rPr>
              <w:t>t/</w:t>
            </w:r>
            <w:r>
              <w:rPr>
                <w:rFonts w:hint="eastAsia" w:ascii="Times New Roman" w:cs="Times New Roman"/>
                <w:snapToGrid w:val="0"/>
                <w:color w:val="000000"/>
                <w:kern w:val="21"/>
                <w:szCs w:val="21"/>
                <w:lang w:val="en-US" w:eastAsia="zh-CN"/>
              </w:rPr>
              <w:t>a</w:t>
            </w:r>
          </w:p>
        </w:tc>
      </w:tr>
    </w:tbl>
    <w:p w14:paraId="1E5FDBA4">
      <w:pPr>
        <w:pStyle w:val="38"/>
        <w:spacing w:before="192" w:beforeLines="80" w:after="24"/>
        <w:jc w:val="left"/>
        <w:rPr>
          <w:rFonts w:hint="eastAsia"/>
        </w:rPr>
        <w:sectPr>
          <w:footerReference r:id="rId8" w:type="default"/>
          <w:pgSz w:w="16838" w:h="11906" w:orient="landscape"/>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14:paraId="53C606FC">
      <w:pPr>
        <w:pStyle w:val="54"/>
        <w:bidi w:val="0"/>
        <w:ind w:left="0" w:leftChars="0" w:firstLine="0" w:firstLineChars="0"/>
        <w:rPr>
          <w:rFonts w:hint="default"/>
          <w:b/>
          <w:bCs/>
          <w:lang w:val="en-US" w:eastAsia="zh-CN"/>
        </w:rPr>
      </w:pPr>
      <w:r>
        <w:rPr>
          <w:rFonts w:hint="default"/>
          <w:b/>
          <w:bCs/>
          <w:lang w:val="en-US" w:eastAsia="zh-CN"/>
        </w:rPr>
        <w:t>附图1</w:t>
      </w:r>
      <w:r>
        <w:rPr>
          <w:rFonts w:hint="eastAsia"/>
          <w:b/>
          <w:bCs/>
          <w:lang w:val="en-US" w:eastAsia="zh-CN"/>
        </w:rPr>
        <w:t xml:space="preserve">    项目地理位置图</w:t>
      </w:r>
    </w:p>
    <w:p w14:paraId="2001DC2C">
      <w:pPr>
        <w:jc w:val="center"/>
        <w:rPr>
          <w:rFonts w:hint="eastAsia" w:eastAsia="宋体"/>
          <w:lang w:eastAsia="zh-CN"/>
        </w:rPr>
        <w:sectPr>
          <w:pgSz w:w="16838" w:h="11906" w:orient="landscape"/>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cs="Times New Roman"/>
        </w:rPr>
        <mc:AlternateContent>
          <mc:Choice Requires="wps">
            <w:drawing>
              <wp:anchor distT="0" distB="0" distL="114300" distR="114300" simplePos="0" relativeHeight="251659264" behindDoc="0" locked="0" layoutInCell="1" allowOverlap="1">
                <wp:simplePos x="0" y="0"/>
                <wp:positionH relativeFrom="column">
                  <wp:posOffset>3785870</wp:posOffset>
                </wp:positionH>
                <wp:positionV relativeFrom="paragraph">
                  <wp:posOffset>3108325</wp:posOffset>
                </wp:positionV>
                <wp:extent cx="687705" cy="243205"/>
                <wp:effectExtent l="4445" t="4445" r="12700" b="419100"/>
                <wp:wrapNone/>
                <wp:docPr id="15" name="矩形标注 15"/>
                <wp:cNvGraphicFramePr/>
                <a:graphic xmlns:a="http://schemas.openxmlformats.org/drawingml/2006/main">
                  <a:graphicData uri="http://schemas.microsoft.com/office/word/2010/wordprocessingShape">
                    <wps:wsp>
                      <wps:cNvSpPr/>
                      <wps:spPr>
                        <a:xfrm>
                          <a:off x="0" y="0"/>
                          <a:ext cx="687705" cy="243205"/>
                        </a:xfrm>
                        <a:prstGeom prst="wedgeRectCallout">
                          <a:avLst>
                            <a:gd name="adj1" fmla="val -43167"/>
                            <a:gd name="adj2" fmla="val 209773"/>
                          </a:avLst>
                        </a:prstGeom>
                        <a:solidFill>
                          <a:srgbClr val="FFFFFF"/>
                        </a:solidFill>
                        <a:ln w="9525" cap="flat" cmpd="sng">
                          <a:solidFill>
                            <a:srgbClr val="000000"/>
                          </a:solidFill>
                          <a:prstDash val="solid"/>
                          <a:miter/>
                          <a:headEnd type="none" w="med" len="med"/>
                          <a:tailEnd type="none" w="med" len="med"/>
                        </a:ln>
                        <a:effectLst/>
                      </wps:spPr>
                      <wps:txbx>
                        <w:txbxContent>
                          <w:p w14:paraId="268D77F8">
                            <w:pPr>
                              <w:jc w:val="center"/>
                              <w:rPr>
                                <w:sz w:val="18"/>
                                <w:szCs w:val="18"/>
                              </w:rPr>
                            </w:pPr>
                            <w:r>
                              <w:rPr>
                                <w:rFonts w:hint="eastAsia"/>
                                <w:sz w:val="18"/>
                                <w:szCs w:val="18"/>
                              </w:rPr>
                              <w:t>项目位置</w:t>
                            </w:r>
                          </w:p>
                        </w:txbxContent>
                      </wps:txbx>
                      <wps:bodyPr wrap="square" upright="1"/>
                    </wps:wsp>
                  </a:graphicData>
                </a:graphic>
              </wp:anchor>
            </w:drawing>
          </mc:Choice>
          <mc:Fallback>
            <w:pict>
              <v:shape id="_x0000_s1026" o:spid="_x0000_s1026" o:spt="61" type="#_x0000_t61" style="position:absolute;left:0pt;margin-left:298.1pt;margin-top:244.75pt;height:19.15pt;width:54.15pt;z-index:251659264;mso-width-relative:page;mso-height-relative:page;" fillcolor="#FFFFFF" filled="t" stroked="t" coordsize="21600,21600" o:gfxdata="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pFnYa2QAAAAsBAAAPAAAAAAAA&#10;AAEAIAAAACIAAABkcnMvZG93bnJldi54bWxQSwECFAAUAAAACACHTuJAb686FUoCAACrBAAADgAA&#10;AAAAAAABACAAAAAoAQAAZHJzL2Uyb0RvYy54bWxQSwUGAAAAAAYABgBZAQAA5AUAAAAA&#10;" adj="1476,56111">
                <v:fill on="t" focussize="0,0"/>
                <v:stroke color="#000000" joinstyle="miter"/>
                <v:imagedata o:title=""/>
                <o:lock v:ext="edit" aspectratio="f"/>
                <v:textbox>
                  <w:txbxContent>
                    <w:p w14:paraId="268D77F8">
                      <w:pPr>
                        <w:jc w:val="center"/>
                        <w:rPr>
                          <w:sz w:val="18"/>
                          <w:szCs w:val="18"/>
                        </w:rPr>
                      </w:pPr>
                      <w:r>
                        <w:rPr>
                          <w:rFonts w:hint="eastAsia"/>
                          <w:sz w:val="18"/>
                          <w:szCs w:val="18"/>
                        </w:rPr>
                        <w:t>项目位置</w:t>
                      </w:r>
                    </w:p>
                  </w:txbxContent>
                </v:textbox>
              </v:shape>
            </w:pict>
          </mc:Fallback>
        </mc:AlternateContent>
      </w:r>
      <w:r>
        <w:rPr>
          <w:rFonts w:hint="eastAsia" w:eastAsia="宋体"/>
          <w:lang w:eastAsia="zh-CN"/>
        </w:rPr>
        <w:drawing>
          <wp:inline distT="0" distB="0" distL="114300" distR="114300">
            <wp:extent cx="6775450" cy="4791075"/>
            <wp:effectExtent l="0" t="0" r="6350" b="9525"/>
            <wp:docPr id="5" name="图片 5" descr="302-303乌拉特中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302-303乌拉特中旗"/>
                    <pic:cNvPicPr>
                      <a:picLocks noChangeAspect="1"/>
                    </pic:cNvPicPr>
                  </pic:nvPicPr>
                  <pic:blipFill>
                    <a:blip r:embed="rId29"/>
                    <a:stretch>
                      <a:fillRect/>
                    </a:stretch>
                  </pic:blipFill>
                  <pic:spPr>
                    <a:xfrm>
                      <a:off x="0" y="0"/>
                      <a:ext cx="6775450" cy="4791075"/>
                    </a:xfrm>
                    <a:prstGeom prst="rect">
                      <a:avLst/>
                    </a:prstGeom>
                  </pic:spPr>
                </pic:pic>
              </a:graphicData>
            </a:graphic>
          </wp:inline>
        </w:drawing>
      </w:r>
    </w:p>
    <w:p w14:paraId="0D46AE7E">
      <w:pPr>
        <w:pStyle w:val="54"/>
        <w:bidi w:val="0"/>
        <w:ind w:left="0" w:leftChars="0" w:firstLine="0" w:firstLineChars="0"/>
        <w:rPr>
          <w:rFonts w:hint="eastAsia"/>
          <w:b/>
          <w:bCs/>
          <w:lang w:val="en-US" w:eastAsia="zh-CN"/>
        </w:rPr>
      </w:pPr>
      <w:r>
        <w:rPr>
          <w:rFonts w:hint="default"/>
          <w:b/>
          <w:bCs/>
          <w:lang w:val="en-US" w:eastAsia="zh-CN"/>
        </w:rPr>
        <w:t>附图</w:t>
      </w:r>
      <w:r>
        <w:rPr>
          <w:rFonts w:hint="eastAsia"/>
          <w:b/>
          <w:bCs/>
          <w:lang w:val="en-US" w:eastAsia="zh-CN"/>
        </w:rPr>
        <w:t>2    平面布置图</w:t>
      </w:r>
    </w:p>
    <w:p w14:paraId="522AA2C6">
      <w:pPr>
        <w:jc w:val="center"/>
        <w:rPr>
          <w:rFonts w:hint="eastAsia"/>
          <w:sz w:val="24"/>
          <w:szCs w:val="24"/>
          <w:lang w:val="en-US" w:eastAsia="zh-CN"/>
        </w:rPr>
      </w:pPr>
      <w:r>
        <w:drawing>
          <wp:inline distT="0" distB="0" distL="114300" distR="114300">
            <wp:extent cx="8305800" cy="4903470"/>
            <wp:effectExtent l="0" t="0" r="0" b="11430"/>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30"/>
                    <a:stretch>
                      <a:fillRect/>
                    </a:stretch>
                  </pic:blipFill>
                  <pic:spPr>
                    <a:xfrm>
                      <a:off x="0" y="0"/>
                      <a:ext cx="8305800" cy="4903470"/>
                    </a:xfrm>
                    <a:prstGeom prst="rect">
                      <a:avLst/>
                    </a:prstGeom>
                    <a:noFill/>
                    <a:ln>
                      <a:noFill/>
                    </a:ln>
                  </pic:spPr>
                </pic:pic>
              </a:graphicData>
            </a:graphic>
          </wp:inline>
        </w:drawing>
      </w:r>
    </w:p>
    <w:p w14:paraId="2A251FF9">
      <w:pPr>
        <w:pStyle w:val="4"/>
        <w:bidi w:val="0"/>
      </w:pPr>
      <w:r>
        <w:rPr>
          <w:rFonts w:hint="eastAsia"/>
          <w:sz w:val="24"/>
          <w:szCs w:val="24"/>
          <w:lang w:val="en-US" w:eastAsia="zh-CN"/>
        </w:rPr>
        <w:t xml:space="preserve">附图3    </w:t>
      </w:r>
      <w:r>
        <w:rPr>
          <w:rFonts w:hint="eastAsia"/>
          <w:sz w:val="24"/>
          <w:szCs w:val="24"/>
        </w:rPr>
        <w:t>环境保护目标图</w:t>
      </w:r>
    </w:p>
    <w:p w14:paraId="6CD0CFCB">
      <w:pPr>
        <w:pStyle w:val="32"/>
        <w:jc w:val="center"/>
        <w:rPr>
          <w:rFonts w:hint="default"/>
          <w:lang w:val="en-US" w:eastAsia="zh-CN"/>
        </w:rPr>
      </w:pPr>
      <w:r>
        <w:drawing>
          <wp:inline distT="0" distB="0" distL="114300" distR="114300">
            <wp:extent cx="7609205" cy="4893310"/>
            <wp:effectExtent l="0" t="0" r="10795" b="254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31"/>
                    <a:stretch>
                      <a:fillRect/>
                    </a:stretch>
                  </pic:blipFill>
                  <pic:spPr>
                    <a:xfrm>
                      <a:off x="0" y="0"/>
                      <a:ext cx="7609205" cy="4893310"/>
                    </a:xfrm>
                    <a:prstGeom prst="rect">
                      <a:avLst/>
                    </a:prstGeom>
                    <a:noFill/>
                    <a:ln>
                      <a:noFill/>
                    </a:ln>
                  </pic:spPr>
                </pic:pic>
              </a:graphicData>
            </a:graphic>
          </wp:inline>
        </w:drawing>
      </w:r>
    </w:p>
    <w:p w14:paraId="71CF4A49">
      <w:pPr>
        <w:pStyle w:val="32"/>
        <w:jc w:val="center"/>
        <w:rPr>
          <w:rFonts w:hint="default"/>
          <w:lang w:val="en-US" w:eastAsia="zh-CN"/>
        </w:rPr>
        <w:sectPr>
          <w:pgSz w:w="16838" w:h="11906" w:orient="landscape"/>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p>
    <w:p w14:paraId="2D57D40C">
      <w:pPr>
        <w:pStyle w:val="4"/>
        <w:bidi w:val="0"/>
        <w:rPr>
          <w:rFonts w:hint="eastAsia"/>
          <w:sz w:val="24"/>
          <w:szCs w:val="24"/>
          <w:lang w:val="en-US" w:eastAsia="zh-CN"/>
        </w:rPr>
      </w:pPr>
      <w:r>
        <w:rPr>
          <w:rFonts w:hint="eastAsia"/>
          <w:sz w:val="24"/>
          <w:szCs w:val="24"/>
          <w:lang w:val="en-US" w:eastAsia="zh-CN"/>
        </w:rPr>
        <w:t>附图4    四邻关系图</w:t>
      </w:r>
    </w:p>
    <w:p w14:paraId="1E13CDC4">
      <w:pPr>
        <w:jc w:val="center"/>
        <w:rPr>
          <w:rFonts w:hint="default"/>
          <w:lang w:val="en-US" w:eastAsia="zh-CN"/>
        </w:rPr>
      </w:pPr>
      <w:r>
        <w:drawing>
          <wp:inline distT="0" distB="0" distL="114300" distR="114300">
            <wp:extent cx="8739505" cy="4762500"/>
            <wp:effectExtent l="0" t="0" r="4445" b="0"/>
            <wp:docPr id="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32"/>
                    <a:stretch>
                      <a:fillRect/>
                    </a:stretch>
                  </pic:blipFill>
                  <pic:spPr>
                    <a:xfrm>
                      <a:off x="0" y="0"/>
                      <a:ext cx="8739505" cy="4762500"/>
                    </a:xfrm>
                    <a:prstGeom prst="rect">
                      <a:avLst/>
                    </a:prstGeom>
                    <a:noFill/>
                    <a:ln>
                      <a:noFill/>
                    </a:ln>
                  </pic:spPr>
                </pic:pic>
              </a:graphicData>
            </a:graphic>
          </wp:inline>
        </w:drawing>
      </w:r>
    </w:p>
    <w:p w14:paraId="79C52A2A">
      <w:pPr>
        <w:pStyle w:val="32"/>
        <w:jc w:val="center"/>
        <w:sectPr>
          <w:pgSz w:w="16838" w:h="11906" w:orient="landscape"/>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p>
    <w:p w14:paraId="5248AA50">
      <w:pPr>
        <w:pStyle w:val="54"/>
        <w:bidi w:val="0"/>
        <w:ind w:left="0" w:leftChars="0" w:firstLine="0" w:firstLineChars="0"/>
        <w:rPr>
          <w:rFonts w:hint="default"/>
          <w:b/>
          <w:bCs/>
          <w:lang w:val="en-US" w:eastAsia="zh-CN"/>
        </w:rPr>
      </w:pPr>
      <w:r>
        <w:rPr>
          <w:rFonts w:hint="eastAsia"/>
          <w:b/>
          <w:bCs/>
          <w:lang w:val="en-US" w:eastAsia="zh-CN"/>
        </w:rPr>
        <w:t>图5    引用监测点位图</w:t>
      </w:r>
    </w:p>
    <w:p w14:paraId="626E5538">
      <w:pPr>
        <w:pStyle w:val="32"/>
        <w:jc w:val="center"/>
      </w:pPr>
    </w:p>
    <w:p w14:paraId="1AA6D7F6">
      <w:pPr>
        <w:pStyle w:val="32"/>
        <w:jc w:val="center"/>
        <w:rPr>
          <w:rFonts w:hint="default" w:eastAsia="微软雅黑"/>
          <w:lang w:val="en-US" w:eastAsia="zh-CN"/>
        </w:rPr>
        <w:sectPr>
          <w:pgSz w:w="16838" w:h="11906" w:orient="landscape"/>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r>
        <w:drawing>
          <wp:inline distT="0" distB="0" distL="114300" distR="114300">
            <wp:extent cx="8631555" cy="4470400"/>
            <wp:effectExtent l="0" t="0" r="17145" b="635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33"/>
                    <a:stretch>
                      <a:fillRect/>
                    </a:stretch>
                  </pic:blipFill>
                  <pic:spPr>
                    <a:xfrm>
                      <a:off x="0" y="0"/>
                      <a:ext cx="8631555" cy="4470400"/>
                    </a:xfrm>
                    <a:prstGeom prst="rect">
                      <a:avLst/>
                    </a:prstGeom>
                    <a:noFill/>
                    <a:ln>
                      <a:noFill/>
                    </a:ln>
                  </pic:spPr>
                </pic:pic>
              </a:graphicData>
            </a:graphic>
          </wp:inline>
        </w:drawing>
      </w:r>
    </w:p>
    <w:p w14:paraId="7FE24CB0">
      <w:pPr>
        <w:pStyle w:val="4"/>
        <w:bidi w:val="0"/>
        <w:rPr>
          <w:rFonts w:hint="default"/>
          <w:b/>
          <w:bCs/>
          <w:lang w:val="en-US" w:eastAsia="zh-CN"/>
        </w:rPr>
      </w:pPr>
      <w:r>
        <w:rPr>
          <w:rFonts w:hint="eastAsia"/>
          <w:sz w:val="24"/>
          <w:szCs w:val="24"/>
          <w:lang w:val="en-US" w:eastAsia="zh-CN"/>
        </w:rPr>
        <w:t>附件1  委托书</w:t>
      </w:r>
    </w:p>
    <w:p w14:paraId="1824A6B9">
      <w:pPr>
        <w:pStyle w:val="54"/>
        <w:bidi w:val="0"/>
        <w:ind w:left="0" w:leftChars="0" w:firstLine="0" w:firstLineChars="0"/>
        <w:jc w:val="center"/>
        <w:rPr>
          <w:rFonts w:hint="default"/>
          <w:b/>
          <w:bCs/>
          <w:lang w:val="en-US" w:eastAsia="zh-CN"/>
        </w:rPr>
      </w:pPr>
      <w:r>
        <w:rPr>
          <w:rFonts w:hint="default"/>
          <w:b/>
          <w:bCs/>
          <w:lang w:val="en-US" w:eastAsia="zh-CN"/>
        </w:rPr>
        <w:drawing>
          <wp:inline distT="0" distB="0" distL="114300" distR="114300">
            <wp:extent cx="5207635" cy="7864475"/>
            <wp:effectExtent l="0" t="0" r="12065" b="3175"/>
            <wp:docPr id="14" name="图片 14" descr="委托书_2025112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委托书_20251128_01"/>
                    <pic:cNvPicPr>
                      <a:picLocks noChangeAspect="1"/>
                    </pic:cNvPicPr>
                  </pic:nvPicPr>
                  <pic:blipFill>
                    <a:blip r:embed="rId34"/>
                    <a:stretch>
                      <a:fillRect/>
                    </a:stretch>
                  </pic:blipFill>
                  <pic:spPr>
                    <a:xfrm>
                      <a:off x="0" y="0"/>
                      <a:ext cx="5207635" cy="7864475"/>
                    </a:xfrm>
                    <a:prstGeom prst="rect">
                      <a:avLst/>
                    </a:prstGeom>
                  </pic:spPr>
                </pic:pic>
              </a:graphicData>
            </a:graphic>
          </wp:inline>
        </w:drawing>
      </w:r>
    </w:p>
    <w:p w14:paraId="4897AC50">
      <w:pPr>
        <w:pStyle w:val="54"/>
        <w:bidi w:val="0"/>
        <w:ind w:left="0" w:leftChars="0" w:firstLine="0" w:firstLineChars="0"/>
        <w:rPr>
          <w:rFonts w:hint="default"/>
          <w:b/>
          <w:bCs/>
          <w:lang w:val="en-US" w:eastAsia="zh-CN"/>
        </w:rPr>
        <w:sectPr>
          <w:footerReference r:id="rId9" w:type="default"/>
          <w:pgSz w:w="11906" w:h="16838"/>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p>
    <w:p w14:paraId="233C1F4D">
      <w:pPr>
        <w:pStyle w:val="54"/>
        <w:bidi w:val="0"/>
        <w:ind w:left="0" w:leftChars="0" w:firstLine="0" w:firstLineChars="0"/>
        <w:rPr>
          <w:rFonts w:hint="eastAsia"/>
          <w:b/>
          <w:bCs/>
          <w:lang w:val="en-US" w:eastAsia="zh-CN"/>
        </w:rPr>
      </w:pPr>
      <w:r>
        <w:rPr>
          <w:rFonts w:hint="eastAsia"/>
          <w:b/>
          <w:bCs/>
          <w:lang w:val="en-US" w:eastAsia="zh-CN"/>
        </w:rPr>
        <w:t>附件2  备案告知书</w:t>
      </w:r>
    </w:p>
    <w:p w14:paraId="51DB5AEA">
      <w:pPr>
        <w:pStyle w:val="54"/>
        <w:bidi w:val="0"/>
        <w:ind w:left="0" w:leftChars="0" w:firstLine="0" w:firstLineChars="0"/>
        <w:jc w:val="center"/>
        <w:rPr>
          <w:rFonts w:hint="eastAsia"/>
          <w:b/>
          <w:bCs/>
          <w:lang w:val="en-US" w:eastAsia="zh-CN"/>
        </w:rPr>
      </w:pPr>
      <w:r>
        <w:rPr>
          <w:rFonts w:hint="eastAsia"/>
          <w:b/>
          <w:bCs/>
          <w:lang w:val="en-US" w:eastAsia="zh-CN"/>
        </w:rPr>
        <w:drawing>
          <wp:inline distT="0" distB="0" distL="114300" distR="114300">
            <wp:extent cx="5612130" cy="7940675"/>
            <wp:effectExtent l="0" t="0" r="7620" b="3175"/>
            <wp:docPr id="29" name="图片 29" descr="20250617103734221N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0250617103734221N (1)_01"/>
                    <pic:cNvPicPr>
                      <a:picLocks noChangeAspect="1"/>
                    </pic:cNvPicPr>
                  </pic:nvPicPr>
                  <pic:blipFill>
                    <a:blip r:embed="rId35"/>
                    <a:stretch>
                      <a:fillRect/>
                    </a:stretch>
                  </pic:blipFill>
                  <pic:spPr>
                    <a:xfrm>
                      <a:off x="0" y="0"/>
                      <a:ext cx="5612130" cy="7940675"/>
                    </a:xfrm>
                    <a:prstGeom prst="rect">
                      <a:avLst/>
                    </a:prstGeom>
                  </pic:spPr>
                </pic:pic>
              </a:graphicData>
            </a:graphic>
          </wp:inline>
        </w:drawing>
      </w:r>
    </w:p>
    <w:p w14:paraId="2CC2275B">
      <w:pPr>
        <w:pStyle w:val="54"/>
        <w:bidi w:val="0"/>
        <w:ind w:left="0" w:leftChars="0" w:firstLine="0" w:firstLineChars="0"/>
        <w:rPr>
          <w:rFonts w:hint="default"/>
          <w:b/>
          <w:bCs/>
          <w:lang w:val="en-US" w:eastAsia="zh-CN"/>
        </w:rPr>
        <w:sectPr>
          <w:pgSz w:w="11906" w:h="16838"/>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p>
    <w:p w14:paraId="090164D4">
      <w:pPr>
        <w:pStyle w:val="4"/>
        <w:bidi w:val="0"/>
        <w:rPr>
          <w:rFonts w:hint="eastAsia"/>
          <w:sz w:val="24"/>
          <w:szCs w:val="24"/>
          <w:lang w:val="en-US" w:eastAsia="zh-CN"/>
        </w:rPr>
      </w:pPr>
      <w:r>
        <w:rPr>
          <w:rFonts w:hint="eastAsia"/>
          <w:sz w:val="24"/>
          <w:szCs w:val="24"/>
          <w:lang w:val="en-US" w:eastAsia="zh-CN"/>
        </w:rPr>
        <w:t>附件3  营业执照</w:t>
      </w:r>
    </w:p>
    <w:p w14:paraId="5E8988B7">
      <w:pPr>
        <w:jc w:val="center"/>
        <w:rPr>
          <w:rFonts w:hint="eastAsia"/>
          <w:lang w:val="en-US" w:eastAsia="zh-CN"/>
        </w:rPr>
      </w:pPr>
      <w:r>
        <w:rPr>
          <w:rFonts w:hint="eastAsia"/>
          <w:lang w:val="en-US" w:eastAsia="zh-CN"/>
        </w:rPr>
        <w:drawing>
          <wp:inline distT="0" distB="0" distL="114300" distR="114300">
            <wp:extent cx="7076440" cy="4963160"/>
            <wp:effectExtent l="0" t="0" r="10160" b="8890"/>
            <wp:docPr id="11" name="图片 11" descr="炜景营业执照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炜景营业执照_01"/>
                    <pic:cNvPicPr>
                      <a:picLocks noChangeAspect="1"/>
                    </pic:cNvPicPr>
                  </pic:nvPicPr>
                  <pic:blipFill>
                    <a:blip r:embed="rId36"/>
                    <a:stretch>
                      <a:fillRect/>
                    </a:stretch>
                  </pic:blipFill>
                  <pic:spPr>
                    <a:xfrm>
                      <a:off x="0" y="0"/>
                      <a:ext cx="7076440" cy="4963160"/>
                    </a:xfrm>
                    <a:prstGeom prst="rect">
                      <a:avLst/>
                    </a:prstGeom>
                  </pic:spPr>
                </pic:pic>
              </a:graphicData>
            </a:graphic>
          </wp:inline>
        </w:drawing>
      </w:r>
    </w:p>
    <w:p w14:paraId="20B5EC41">
      <w:pPr>
        <w:pStyle w:val="54"/>
        <w:bidi w:val="0"/>
        <w:ind w:left="0" w:leftChars="0" w:firstLine="0" w:firstLineChars="0"/>
        <w:jc w:val="center"/>
        <w:rPr>
          <w:rFonts w:hint="eastAsia"/>
          <w:b/>
          <w:bCs/>
          <w:lang w:val="en-US" w:eastAsia="zh-CN"/>
        </w:rPr>
        <w:sectPr>
          <w:pgSz w:w="16838" w:h="11906" w:orient="landscape"/>
          <w:pgMar w:top="1531" w:right="1701" w:bottom="1531" w:left="1701" w:header="851" w:footer="1134" w:gutter="0"/>
          <w:pgBorders>
            <w:top w:val="none" w:sz="0" w:space="0"/>
            <w:left w:val="none" w:sz="0" w:space="0"/>
            <w:bottom w:val="none" w:sz="0" w:space="0"/>
            <w:right w:val="none" w:sz="0" w:space="0"/>
          </w:pgBorders>
          <w:pgNumType w:fmt="decimal"/>
          <w:cols w:space="720" w:num="1"/>
          <w:docGrid w:linePitch="312" w:charSpace="0"/>
        </w:sectPr>
      </w:pPr>
    </w:p>
    <w:p w14:paraId="0CA9B263">
      <w:pPr>
        <w:pStyle w:val="54"/>
        <w:bidi w:val="0"/>
        <w:ind w:left="0" w:leftChars="0" w:firstLine="0" w:firstLineChars="0"/>
        <w:jc w:val="both"/>
        <w:rPr>
          <w:rFonts w:hint="default"/>
          <w:b/>
          <w:bCs/>
          <w:sz w:val="24"/>
          <w:szCs w:val="24"/>
          <w:lang w:val="en-US" w:eastAsia="zh-CN"/>
        </w:rPr>
      </w:pPr>
      <w:r>
        <w:rPr>
          <w:rFonts w:hint="eastAsia"/>
          <w:b/>
          <w:bCs/>
          <w:sz w:val="24"/>
          <w:szCs w:val="24"/>
          <w:lang w:val="en-US" w:eastAsia="zh-CN"/>
        </w:rPr>
        <w:t>附件4  土地租赁合同</w:t>
      </w:r>
    </w:p>
    <w:p w14:paraId="64ECCF99">
      <w:pPr>
        <w:pStyle w:val="54"/>
        <w:bidi w:val="0"/>
        <w:ind w:left="0" w:leftChars="0" w:firstLine="0" w:firstLineChars="0"/>
        <w:jc w:val="center"/>
        <w:rPr>
          <w:rFonts w:hint="eastAsia"/>
          <w:b/>
          <w:bCs/>
          <w:sz w:val="24"/>
          <w:szCs w:val="24"/>
          <w:lang w:val="en-US" w:eastAsia="zh-CN"/>
        </w:rPr>
      </w:pPr>
    </w:p>
    <w:p w14:paraId="393CB0D1">
      <w:pPr>
        <w:pStyle w:val="54"/>
        <w:bidi w:val="0"/>
        <w:ind w:left="0" w:leftChars="0" w:firstLine="0" w:firstLineChars="0"/>
        <w:jc w:val="center"/>
        <w:rPr>
          <w:rFonts w:hint="eastAsia"/>
          <w:b/>
          <w:bCs/>
          <w:sz w:val="24"/>
          <w:szCs w:val="24"/>
          <w:lang w:val="en-US" w:eastAsia="zh-CN"/>
        </w:rPr>
      </w:pPr>
      <w:r>
        <w:rPr>
          <w:rFonts w:hint="eastAsia"/>
          <w:b/>
          <w:bCs/>
          <w:sz w:val="24"/>
          <w:szCs w:val="24"/>
          <w:lang w:val="en-US" w:eastAsia="zh-CN"/>
        </w:rPr>
        <w:drawing>
          <wp:inline distT="0" distB="0" distL="114300" distR="114300">
            <wp:extent cx="5346065" cy="7555865"/>
            <wp:effectExtent l="0" t="0" r="6985" b="6985"/>
            <wp:docPr id="18" name="图片 18" descr="委托书_2025112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委托书_20251128_02"/>
                    <pic:cNvPicPr>
                      <a:picLocks noChangeAspect="1"/>
                    </pic:cNvPicPr>
                  </pic:nvPicPr>
                  <pic:blipFill>
                    <a:blip r:embed="rId37"/>
                    <a:stretch>
                      <a:fillRect/>
                    </a:stretch>
                  </pic:blipFill>
                  <pic:spPr>
                    <a:xfrm>
                      <a:off x="0" y="0"/>
                      <a:ext cx="5346065" cy="7555865"/>
                    </a:xfrm>
                    <a:prstGeom prst="rect">
                      <a:avLst/>
                    </a:prstGeom>
                  </pic:spPr>
                </pic:pic>
              </a:graphicData>
            </a:graphic>
          </wp:inline>
        </w:drawing>
      </w:r>
    </w:p>
    <w:p w14:paraId="69B6172F">
      <w:pPr>
        <w:pStyle w:val="54"/>
        <w:bidi w:val="0"/>
        <w:ind w:left="0" w:leftChars="0" w:firstLine="0" w:firstLineChars="0"/>
        <w:jc w:val="center"/>
        <w:rPr>
          <w:rFonts w:hint="eastAsia"/>
          <w:b/>
          <w:bCs/>
          <w:sz w:val="24"/>
          <w:szCs w:val="24"/>
          <w:lang w:val="en-US" w:eastAsia="zh-CN"/>
        </w:rPr>
      </w:pPr>
    </w:p>
    <w:p w14:paraId="422F9430">
      <w:pPr>
        <w:pStyle w:val="54"/>
        <w:bidi w:val="0"/>
        <w:ind w:left="0" w:leftChars="0" w:firstLine="0" w:firstLineChars="0"/>
        <w:jc w:val="center"/>
        <w:rPr>
          <w:rFonts w:hint="eastAsia"/>
          <w:b/>
          <w:bCs/>
          <w:sz w:val="24"/>
          <w:szCs w:val="24"/>
          <w:lang w:val="en-US" w:eastAsia="zh-CN"/>
        </w:rPr>
      </w:pPr>
    </w:p>
    <w:p w14:paraId="14F12736">
      <w:pPr>
        <w:pStyle w:val="54"/>
        <w:bidi w:val="0"/>
        <w:ind w:left="0" w:leftChars="0" w:firstLine="0" w:firstLineChars="0"/>
        <w:jc w:val="center"/>
        <w:rPr>
          <w:rFonts w:hint="eastAsia"/>
          <w:b/>
          <w:bCs/>
          <w:sz w:val="24"/>
          <w:szCs w:val="24"/>
          <w:lang w:val="en-US" w:eastAsia="zh-CN"/>
        </w:rPr>
      </w:pPr>
      <w:r>
        <w:rPr>
          <w:rFonts w:hint="eastAsia"/>
          <w:b/>
          <w:bCs/>
          <w:sz w:val="24"/>
          <w:szCs w:val="24"/>
          <w:lang w:val="en-US" w:eastAsia="zh-CN"/>
        </w:rPr>
        <w:drawing>
          <wp:inline distT="0" distB="0" distL="114300" distR="114300">
            <wp:extent cx="5431155" cy="8160385"/>
            <wp:effectExtent l="0" t="0" r="17145" b="12065"/>
            <wp:docPr id="17" name="图片 17" descr="委托书_20251128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委托书_20251128_03"/>
                    <pic:cNvPicPr>
                      <a:picLocks noChangeAspect="1"/>
                    </pic:cNvPicPr>
                  </pic:nvPicPr>
                  <pic:blipFill>
                    <a:blip r:embed="rId38"/>
                    <a:stretch>
                      <a:fillRect/>
                    </a:stretch>
                  </pic:blipFill>
                  <pic:spPr>
                    <a:xfrm>
                      <a:off x="0" y="0"/>
                      <a:ext cx="5431155" cy="8160385"/>
                    </a:xfrm>
                    <a:prstGeom prst="rect">
                      <a:avLst/>
                    </a:prstGeom>
                  </pic:spPr>
                </pic:pic>
              </a:graphicData>
            </a:graphic>
          </wp:inline>
        </w:drawing>
      </w:r>
    </w:p>
    <w:p w14:paraId="65CE3448">
      <w:pPr>
        <w:pStyle w:val="54"/>
        <w:bidi w:val="0"/>
        <w:ind w:left="0" w:leftChars="0" w:firstLine="0" w:firstLineChars="0"/>
        <w:jc w:val="center"/>
        <w:rPr>
          <w:rFonts w:hint="eastAsia"/>
          <w:b/>
          <w:bCs/>
          <w:sz w:val="24"/>
          <w:szCs w:val="24"/>
          <w:lang w:val="en-US" w:eastAsia="zh-CN"/>
        </w:rPr>
      </w:pPr>
    </w:p>
    <w:p w14:paraId="4550C493">
      <w:pPr>
        <w:pStyle w:val="54"/>
        <w:bidi w:val="0"/>
        <w:ind w:left="0" w:leftChars="0" w:firstLine="0" w:firstLineChars="0"/>
        <w:jc w:val="center"/>
        <w:rPr>
          <w:rFonts w:hint="eastAsia"/>
          <w:b/>
          <w:bCs/>
          <w:sz w:val="24"/>
          <w:szCs w:val="24"/>
          <w:lang w:val="en-US" w:eastAsia="zh-CN"/>
        </w:rPr>
      </w:pPr>
      <w:r>
        <w:rPr>
          <w:rFonts w:hint="eastAsia"/>
          <w:b/>
          <w:bCs/>
          <w:sz w:val="24"/>
          <w:szCs w:val="24"/>
          <w:lang w:val="en-US" w:eastAsia="zh-CN"/>
        </w:rPr>
        <w:drawing>
          <wp:inline distT="0" distB="0" distL="114300" distR="114300">
            <wp:extent cx="5487035" cy="8121015"/>
            <wp:effectExtent l="0" t="0" r="18415" b="13335"/>
            <wp:docPr id="16" name="图片 16" descr="委托书_20251128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委托书_20251128_04"/>
                    <pic:cNvPicPr>
                      <a:picLocks noChangeAspect="1"/>
                    </pic:cNvPicPr>
                  </pic:nvPicPr>
                  <pic:blipFill>
                    <a:blip r:embed="rId39"/>
                    <a:stretch>
                      <a:fillRect/>
                    </a:stretch>
                  </pic:blipFill>
                  <pic:spPr>
                    <a:xfrm>
                      <a:off x="0" y="0"/>
                      <a:ext cx="5487035" cy="8121015"/>
                    </a:xfrm>
                    <a:prstGeom prst="rect">
                      <a:avLst/>
                    </a:prstGeom>
                  </pic:spPr>
                </pic:pic>
              </a:graphicData>
            </a:graphic>
          </wp:inline>
        </w:drawing>
      </w:r>
    </w:p>
    <w:p w14:paraId="73E8C6A7">
      <w:pPr>
        <w:pStyle w:val="54"/>
        <w:bidi w:val="0"/>
        <w:ind w:left="0" w:leftChars="0" w:firstLine="0" w:firstLineChars="0"/>
        <w:jc w:val="both"/>
        <w:rPr>
          <w:rFonts w:hint="eastAsia"/>
          <w:b/>
          <w:bCs/>
          <w:sz w:val="24"/>
          <w:szCs w:val="24"/>
          <w:lang w:val="en-US" w:eastAsia="zh-CN"/>
        </w:rPr>
        <w:sectPr>
          <w:pgSz w:w="11906" w:h="16838"/>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p>
    <w:p w14:paraId="10B58027">
      <w:pPr>
        <w:pStyle w:val="54"/>
        <w:bidi w:val="0"/>
        <w:ind w:left="0" w:leftChars="0" w:firstLine="0" w:firstLineChars="0"/>
        <w:jc w:val="both"/>
        <w:rPr>
          <w:rFonts w:hint="eastAsia"/>
          <w:b/>
          <w:bCs/>
          <w:sz w:val="24"/>
          <w:szCs w:val="24"/>
          <w:lang w:val="en-US" w:eastAsia="zh-CN"/>
        </w:rPr>
      </w:pPr>
      <w:r>
        <w:rPr>
          <w:rFonts w:hint="eastAsia"/>
          <w:b/>
          <w:bCs/>
          <w:sz w:val="24"/>
          <w:szCs w:val="24"/>
          <w:lang w:val="en-US" w:eastAsia="zh-CN"/>
        </w:rPr>
        <w:t>附件5  《关于核查乌拉特中旗人民政府实施村镇规划2023年第一批次建设用地（3号地）不涉及占用各级自然保护区和林地占用其他草地的复函》</w:t>
      </w:r>
    </w:p>
    <w:p w14:paraId="41075AA3">
      <w:pPr>
        <w:pStyle w:val="54"/>
        <w:bidi w:val="0"/>
        <w:ind w:left="0" w:leftChars="0" w:firstLine="0" w:firstLineChars="0"/>
        <w:jc w:val="center"/>
        <w:rPr>
          <w:rFonts w:hint="eastAsia"/>
          <w:b/>
          <w:bCs/>
          <w:sz w:val="24"/>
          <w:szCs w:val="24"/>
          <w:lang w:val="en-US" w:eastAsia="zh-CN"/>
        </w:rPr>
      </w:pPr>
    </w:p>
    <w:p w14:paraId="3F8FA3CE">
      <w:pPr>
        <w:pStyle w:val="54"/>
        <w:bidi w:val="0"/>
        <w:ind w:left="0" w:leftChars="0" w:firstLine="0" w:firstLineChars="0"/>
        <w:jc w:val="center"/>
        <w:rPr>
          <w:rFonts w:hint="eastAsia"/>
          <w:b/>
          <w:bCs/>
          <w:sz w:val="24"/>
          <w:szCs w:val="24"/>
          <w:lang w:val="en-US" w:eastAsia="zh-CN"/>
        </w:rPr>
      </w:pPr>
      <w:r>
        <w:rPr>
          <w:rFonts w:hint="eastAsia"/>
          <w:b/>
          <w:bCs/>
          <w:sz w:val="24"/>
          <w:szCs w:val="24"/>
          <w:lang w:val="en-US" w:eastAsia="zh-CN"/>
        </w:rPr>
        <w:drawing>
          <wp:inline distT="0" distB="0" distL="114300" distR="114300">
            <wp:extent cx="5611495" cy="7261860"/>
            <wp:effectExtent l="0" t="0" r="8255" b="15240"/>
            <wp:docPr id="7" name="图片 7" descr="综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综合_06"/>
                    <pic:cNvPicPr>
                      <a:picLocks noChangeAspect="1"/>
                    </pic:cNvPicPr>
                  </pic:nvPicPr>
                  <pic:blipFill>
                    <a:blip r:embed="rId40"/>
                    <a:stretch>
                      <a:fillRect/>
                    </a:stretch>
                  </pic:blipFill>
                  <pic:spPr>
                    <a:xfrm>
                      <a:off x="0" y="0"/>
                      <a:ext cx="5611495" cy="7261860"/>
                    </a:xfrm>
                    <a:prstGeom prst="rect">
                      <a:avLst/>
                    </a:prstGeom>
                  </pic:spPr>
                </pic:pic>
              </a:graphicData>
            </a:graphic>
          </wp:inline>
        </w:drawing>
      </w:r>
    </w:p>
    <w:p w14:paraId="3BB4FEEF">
      <w:pPr>
        <w:pStyle w:val="54"/>
        <w:bidi w:val="0"/>
        <w:ind w:left="0" w:leftChars="0" w:firstLine="0" w:firstLineChars="0"/>
        <w:jc w:val="center"/>
        <w:rPr>
          <w:rFonts w:hint="eastAsia"/>
          <w:b/>
          <w:bCs/>
          <w:sz w:val="24"/>
          <w:szCs w:val="24"/>
          <w:lang w:val="en-US" w:eastAsia="zh-CN"/>
        </w:rPr>
      </w:pPr>
    </w:p>
    <w:p w14:paraId="26F1B9E8">
      <w:pPr>
        <w:pStyle w:val="54"/>
        <w:bidi w:val="0"/>
        <w:ind w:left="0" w:leftChars="0" w:firstLine="0" w:firstLineChars="0"/>
        <w:jc w:val="center"/>
        <w:rPr>
          <w:rFonts w:hint="eastAsia"/>
          <w:b/>
          <w:bCs/>
          <w:sz w:val="24"/>
          <w:szCs w:val="24"/>
          <w:lang w:val="en-US" w:eastAsia="zh-CN"/>
        </w:rPr>
      </w:pPr>
    </w:p>
    <w:p w14:paraId="7FE30442">
      <w:pPr>
        <w:pStyle w:val="54"/>
        <w:bidi w:val="0"/>
        <w:ind w:left="0" w:leftChars="0" w:firstLine="0" w:firstLineChars="0"/>
        <w:jc w:val="center"/>
        <w:rPr>
          <w:rFonts w:hint="eastAsia"/>
          <w:b/>
          <w:bCs/>
          <w:sz w:val="24"/>
          <w:szCs w:val="24"/>
          <w:lang w:val="en-US" w:eastAsia="zh-CN"/>
        </w:rPr>
      </w:pPr>
    </w:p>
    <w:p w14:paraId="5A58C8F1">
      <w:pPr>
        <w:pStyle w:val="54"/>
        <w:bidi w:val="0"/>
        <w:ind w:left="0" w:leftChars="0" w:firstLine="0" w:firstLineChars="0"/>
        <w:jc w:val="center"/>
        <w:rPr>
          <w:rFonts w:hint="eastAsia"/>
          <w:b/>
          <w:bCs/>
          <w:sz w:val="24"/>
          <w:szCs w:val="24"/>
          <w:lang w:val="en-US" w:eastAsia="zh-CN"/>
        </w:rPr>
      </w:pPr>
      <w:r>
        <w:rPr>
          <w:rFonts w:hint="eastAsia"/>
          <w:b/>
          <w:bCs/>
          <w:sz w:val="24"/>
          <w:szCs w:val="24"/>
          <w:lang w:val="en-US" w:eastAsia="zh-CN"/>
        </w:rPr>
        <w:drawing>
          <wp:inline distT="0" distB="0" distL="114300" distR="114300">
            <wp:extent cx="5611495" cy="7261860"/>
            <wp:effectExtent l="0" t="0" r="8255" b="15240"/>
            <wp:docPr id="6" name="图片 6" descr="综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综合_07"/>
                    <pic:cNvPicPr>
                      <a:picLocks noChangeAspect="1"/>
                    </pic:cNvPicPr>
                  </pic:nvPicPr>
                  <pic:blipFill>
                    <a:blip r:embed="rId41"/>
                    <a:stretch>
                      <a:fillRect/>
                    </a:stretch>
                  </pic:blipFill>
                  <pic:spPr>
                    <a:xfrm>
                      <a:off x="0" y="0"/>
                      <a:ext cx="5611495" cy="7261860"/>
                    </a:xfrm>
                    <a:prstGeom prst="rect">
                      <a:avLst/>
                    </a:prstGeom>
                  </pic:spPr>
                </pic:pic>
              </a:graphicData>
            </a:graphic>
          </wp:inline>
        </w:drawing>
      </w:r>
    </w:p>
    <w:p w14:paraId="75E40016">
      <w:pPr>
        <w:pStyle w:val="54"/>
        <w:bidi w:val="0"/>
        <w:ind w:left="0" w:leftChars="0" w:firstLine="0" w:firstLineChars="0"/>
        <w:jc w:val="both"/>
        <w:rPr>
          <w:rFonts w:hint="eastAsia"/>
          <w:b/>
          <w:bCs/>
          <w:sz w:val="24"/>
          <w:szCs w:val="24"/>
          <w:lang w:val="en-US" w:eastAsia="zh-CN"/>
        </w:rPr>
        <w:sectPr>
          <w:pgSz w:w="11906" w:h="16838"/>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p>
    <w:p w14:paraId="6C2B4FAD">
      <w:pPr>
        <w:pStyle w:val="54"/>
        <w:bidi w:val="0"/>
        <w:ind w:left="0" w:leftChars="0" w:firstLine="0" w:firstLineChars="0"/>
        <w:jc w:val="both"/>
        <w:rPr>
          <w:rFonts w:hint="eastAsia"/>
          <w:b/>
          <w:bCs/>
          <w:sz w:val="24"/>
          <w:szCs w:val="24"/>
          <w:lang w:val="en-US" w:eastAsia="zh-CN"/>
        </w:rPr>
      </w:pPr>
      <w:r>
        <w:rPr>
          <w:rFonts w:hint="eastAsia"/>
          <w:b/>
          <w:bCs/>
          <w:sz w:val="24"/>
          <w:szCs w:val="24"/>
          <w:lang w:val="en-US" w:eastAsia="zh-CN"/>
        </w:rPr>
        <w:t>附件6  《&lt;关于申请核查乌拉特中旗实施村镇规划2023年第一批次（3号地）建设用地项目是否占用水源地保护区的函&gt;的复函》</w:t>
      </w:r>
    </w:p>
    <w:p w14:paraId="2D3C02BC">
      <w:pPr>
        <w:pStyle w:val="54"/>
        <w:bidi w:val="0"/>
        <w:ind w:left="0" w:leftChars="0" w:firstLine="0" w:firstLineChars="0"/>
        <w:jc w:val="center"/>
        <w:rPr>
          <w:rFonts w:hint="default"/>
          <w:b/>
          <w:bCs/>
          <w:sz w:val="24"/>
          <w:szCs w:val="24"/>
          <w:lang w:val="en-US" w:eastAsia="zh-CN"/>
        </w:rPr>
      </w:pPr>
    </w:p>
    <w:p w14:paraId="76CD2ED2">
      <w:pPr>
        <w:pStyle w:val="54"/>
        <w:bidi w:val="0"/>
        <w:ind w:left="0" w:leftChars="0" w:firstLine="0" w:firstLineChars="0"/>
        <w:jc w:val="center"/>
        <w:rPr>
          <w:rFonts w:hint="default"/>
          <w:b/>
          <w:bCs/>
          <w:sz w:val="24"/>
          <w:szCs w:val="24"/>
          <w:lang w:val="en-US" w:eastAsia="zh-CN"/>
        </w:rPr>
      </w:pPr>
      <w:r>
        <w:rPr>
          <w:rFonts w:hint="default"/>
          <w:b/>
          <w:bCs/>
          <w:sz w:val="24"/>
          <w:szCs w:val="24"/>
          <w:lang w:val="en-US" w:eastAsia="zh-CN"/>
        </w:rPr>
        <w:drawing>
          <wp:inline distT="0" distB="0" distL="114300" distR="114300">
            <wp:extent cx="5611495" cy="7261860"/>
            <wp:effectExtent l="0" t="0" r="8255" b="15240"/>
            <wp:docPr id="10" name="图片 10" descr="综合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综合_15"/>
                    <pic:cNvPicPr>
                      <a:picLocks noChangeAspect="1"/>
                    </pic:cNvPicPr>
                  </pic:nvPicPr>
                  <pic:blipFill>
                    <a:blip r:embed="rId42"/>
                    <a:stretch>
                      <a:fillRect/>
                    </a:stretch>
                  </pic:blipFill>
                  <pic:spPr>
                    <a:xfrm>
                      <a:off x="0" y="0"/>
                      <a:ext cx="5611495" cy="7261860"/>
                    </a:xfrm>
                    <a:prstGeom prst="rect">
                      <a:avLst/>
                    </a:prstGeom>
                  </pic:spPr>
                </pic:pic>
              </a:graphicData>
            </a:graphic>
          </wp:inline>
        </w:drawing>
      </w:r>
    </w:p>
    <w:p w14:paraId="3D1CE26D">
      <w:pPr>
        <w:pStyle w:val="54"/>
        <w:bidi w:val="0"/>
        <w:ind w:left="0" w:leftChars="0" w:firstLine="0" w:firstLineChars="0"/>
        <w:jc w:val="center"/>
        <w:rPr>
          <w:rFonts w:hint="default"/>
          <w:b/>
          <w:bCs/>
          <w:sz w:val="24"/>
          <w:szCs w:val="24"/>
          <w:lang w:val="en-US" w:eastAsia="zh-CN"/>
        </w:rPr>
      </w:pPr>
    </w:p>
    <w:p w14:paraId="59320D75">
      <w:pPr>
        <w:pStyle w:val="54"/>
        <w:bidi w:val="0"/>
        <w:ind w:left="0" w:leftChars="0" w:firstLine="0" w:firstLineChars="0"/>
        <w:jc w:val="left"/>
        <w:rPr>
          <w:rFonts w:hint="default"/>
          <w:b/>
          <w:bCs/>
          <w:sz w:val="24"/>
          <w:szCs w:val="24"/>
          <w:lang w:val="en-US" w:eastAsia="zh-CN"/>
        </w:rPr>
      </w:pPr>
      <w:r>
        <w:rPr>
          <w:rFonts w:hint="eastAsia"/>
          <w:b/>
          <w:bCs/>
          <w:sz w:val="24"/>
          <w:szCs w:val="24"/>
          <w:lang w:val="en-US" w:eastAsia="zh-CN"/>
        </w:rPr>
        <w:t>附件7  《关于乌拉特中旗实施村镇规划2023年第一批次（3号地）建设用地项目内文物情况的复函》</w:t>
      </w:r>
    </w:p>
    <w:p w14:paraId="7F24631F">
      <w:pPr>
        <w:pStyle w:val="54"/>
        <w:bidi w:val="0"/>
        <w:ind w:left="0" w:leftChars="0" w:firstLine="0" w:firstLineChars="0"/>
        <w:jc w:val="center"/>
        <w:rPr>
          <w:rFonts w:hint="default"/>
          <w:b/>
          <w:bCs/>
          <w:sz w:val="24"/>
          <w:szCs w:val="24"/>
          <w:lang w:val="en-US" w:eastAsia="zh-CN"/>
        </w:rPr>
        <w:sectPr>
          <w:pgSz w:w="11906" w:h="16838"/>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r>
        <w:rPr>
          <w:rFonts w:hint="default"/>
          <w:b/>
          <w:bCs/>
          <w:sz w:val="24"/>
          <w:szCs w:val="24"/>
          <w:lang w:val="en-US" w:eastAsia="zh-CN"/>
        </w:rPr>
        <w:drawing>
          <wp:inline distT="0" distB="0" distL="114300" distR="114300">
            <wp:extent cx="5611495" cy="7261860"/>
            <wp:effectExtent l="0" t="0" r="8255" b="15240"/>
            <wp:docPr id="9" name="图片 9" descr="综合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综合_29"/>
                    <pic:cNvPicPr>
                      <a:picLocks noChangeAspect="1"/>
                    </pic:cNvPicPr>
                  </pic:nvPicPr>
                  <pic:blipFill>
                    <a:blip r:embed="rId43"/>
                    <a:stretch>
                      <a:fillRect/>
                    </a:stretch>
                  </pic:blipFill>
                  <pic:spPr>
                    <a:xfrm>
                      <a:off x="0" y="0"/>
                      <a:ext cx="5611495" cy="7261860"/>
                    </a:xfrm>
                    <a:prstGeom prst="rect">
                      <a:avLst/>
                    </a:prstGeom>
                  </pic:spPr>
                </pic:pic>
              </a:graphicData>
            </a:graphic>
          </wp:inline>
        </w:drawing>
      </w:r>
    </w:p>
    <w:p w14:paraId="2E2D4ED8">
      <w:pPr>
        <w:pStyle w:val="54"/>
        <w:bidi w:val="0"/>
        <w:ind w:left="0" w:leftChars="0" w:firstLine="0" w:firstLineChars="0"/>
        <w:jc w:val="both"/>
        <w:rPr>
          <w:rFonts w:hint="eastAsia"/>
          <w:b/>
          <w:bCs/>
          <w:sz w:val="24"/>
          <w:szCs w:val="24"/>
          <w:lang w:val="en-US" w:eastAsia="zh-CN"/>
        </w:rPr>
      </w:pPr>
      <w:r>
        <w:rPr>
          <w:rFonts w:hint="eastAsia"/>
          <w:b/>
          <w:bCs/>
          <w:sz w:val="24"/>
          <w:szCs w:val="24"/>
          <w:lang w:val="en-US" w:eastAsia="zh-CN"/>
        </w:rPr>
        <w:t>附件8  《关于乌拉特中旗炜景环保材料有限公司预制场建设项目生态保护红线的核查说明》</w:t>
      </w:r>
    </w:p>
    <w:p w14:paraId="241D88EC">
      <w:pPr>
        <w:pStyle w:val="54"/>
        <w:bidi w:val="0"/>
        <w:ind w:left="0" w:leftChars="0" w:firstLine="0" w:firstLineChars="0"/>
        <w:jc w:val="center"/>
        <w:rPr>
          <w:rFonts w:hint="default"/>
          <w:b/>
          <w:bCs/>
          <w:sz w:val="24"/>
          <w:szCs w:val="24"/>
          <w:lang w:val="en-US" w:eastAsia="zh-CN"/>
        </w:rPr>
        <w:sectPr>
          <w:pgSz w:w="11906" w:h="16838"/>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r>
        <w:rPr>
          <w:rFonts w:hint="default"/>
          <w:b/>
          <w:bCs/>
          <w:sz w:val="24"/>
          <w:szCs w:val="24"/>
          <w:lang w:val="en-US" w:eastAsia="zh-CN"/>
        </w:rPr>
        <w:drawing>
          <wp:inline distT="0" distB="0" distL="114300" distR="114300">
            <wp:extent cx="5514975" cy="7863840"/>
            <wp:effectExtent l="0" t="0" r="9525" b="3810"/>
            <wp:docPr id="2" name="图片 2" descr="Scan2025-12-03_09512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Scan2025-12-03_095125_01"/>
                    <pic:cNvPicPr>
                      <a:picLocks noChangeAspect="1"/>
                    </pic:cNvPicPr>
                  </pic:nvPicPr>
                  <pic:blipFill>
                    <a:blip r:embed="rId44"/>
                    <a:stretch>
                      <a:fillRect/>
                    </a:stretch>
                  </pic:blipFill>
                  <pic:spPr>
                    <a:xfrm>
                      <a:off x="0" y="0"/>
                      <a:ext cx="5514975" cy="7863840"/>
                    </a:xfrm>
                    <a:prstGeom prst="rect">
                      <a:avLst/>
                    </a:prstGeom>
                  </pic:spPr>
                </pic:pic>
              </a:graphicData>
            </a:graphic>
          </wp:inline>
        </w:drawing>
      </w:r>
    </w:p>
    <w:p w14:paraId="5235AD21">
      <w:pPr>
        <w:pStyle w:val="54"/>
        <w:bidi w:val="0"/>
        <w:ind w:left="0" w:leftChars="0" w:firstLine="0" w:firstLineChars="0"/>
        <w:jc w:val="both"/>
        <w:rPr>
          <w:rFonts w:hint="eastAsia"/>
          <w:b/>
          <w:bCs/>
          <w:sz w:val="24"/>
          <w:szCs w:val="24"/>
          <w:lang w:val="en-US" w:eastAsia="zh-CN"/>
        </w:rPr>
      </w:pPr>
      <w:r>
        <w:rPr>
          <w:rFonts w:hint="eastAsia"/>
          <w:b/>
          <w:bCs/>
          <w:sz w:val="24"/>
          <w:szCs w:val="24"/>
          <w:lang w:val="en-US" w:eastAsia="zh-CN"/>
        </w:rPr>
        <w:t>附件9  《巴彦淖尔市生态环境局行政处罚事先告知书》</w:t>
      </w:r>
    </w:p>
    <w:p w14:paraId="202F6F2D">
      <w:pPr>
        <w:pStyle w:val="54"/>
        <w:bidi w:val="0"/>
        <w:ind w:left="0" w:leftChars="0" w:firstLine="0" w:firstLineChars="0"/>
        <w:jc w:val="center"/>
        <w:rPr>
          <w:rFonts w:hint="default"/>
          <w:b/>
          <w:bCs/>
          <w:sz w:val="24"/>
          <w:szCs w:val="24"/>
          <w:lang w:val="en-US" w:eastAsia="zh-CN"/>
        </w:rPr>
      </w:pPr>
      <w:r>
        <w:rPr>
          <w:rFonts w:hint="default"/>
          <w:b/>
          <w:bCs/>
          <w:sz w:val="24"/>
          <w:szCs w:val="24"/>
          <w:lang w:val="en-US" w:eastAsia="zh-CN"/>
        </w:rPr>
        <w:drawing>
          <wp:inline distT="0" distB="0" distL="114300" distR="114300">
            <wp:extent cx="5615305" cy="8006715"/>
            <wp:effectExtent l="0" t="0" r="8890" b="3175"/>
            <wp:docPr id="33" name="图片 33" descr="Scan2025-05-23_08580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Scan2025-05-23_085802_01"/>
                    <pic:cNvPicPr>
                      <a:picLocks noChangeAspect="1"/>
                    </pic:cNvPicPr>
                  </pic:nvPicPr>
                  <pic:blipFill>
                    <a:blip r:embed="rId45"/>
                    <a:stretch>
                      <a:fillRect/>
                    </a:stretch>
                  </pic:blipFill>
                  <pic:spPr>
                    <a:xfrm>
                      <a:off x="0" y="0"/>
                      <a:ext cx="5615305" cy="8006715"/>
                    </a:xfrm>
                    <a:prstGeom prst="rect">
                      <a:avLst/>
                    </a:prstGeom>
                  </pic:spPr>
                </pic:pic>
              </a:graphicData>
            </a:graphic>
          </wp:inline>
        </w:drawing>
      </w:r>
    </w:p>
    <w:p w14:paraId="7CE30FE0">
      <w:pPr>
        <w:pStyle w:val="54"/>
        <w:bidi w:val="0"/>
        <w:ind w:left="0" w:leftChars="0" w:firstLine="0" w:firstLineChars="0"/>
        <w:jc w:val="center"/>
        <w:rPr>
          <w:rFonts w:hint="default"/>
          <w:b/>
          <w:bCs/>
          <w:sz w:val="24"/>
          <w:szCs w:val="24"/>
          <w:lang w:val="en-US" w:eastAsia="zh-CN"/>
        </w:rPr>
      </w:pPr>
    </w:p>
    <w:p w14:paraId="130DE88D">
      <w:pPr>
        <w:pStyle w:val="54"/>
        <w:bidi w:val="0"/>
        <w:ind w:left="0" w:leftChars="0" w:firstLine="0" w:firstLineChars="0"/>
        <w:jc w:val="center"/>
        <w:rPr>
          <w:rFonts w:hint="default"/>
          <w:b/>
          <w:bCs/>
          <w:sz w:val="24"/>
          <w:szCs w:val="24"/>
          <w:lang w:val="en-US" w:eastAsia="zh-CN"/>
        </w:rPr>
      </w:pPr>
      <w:r>
        <w:rPr>
          <w:rFonts w:hint="default"/>
          <w:b/>
          <w:bCs/>
          <w:sz w:val="24"/>
          <w:szCs w:val="24"/>
          <w:lang w:val="en-US" w:eastAsia="zh-CN"/>
        </w:rPr>
        <w:drawing>
          <wp:inline distT="0" distB="0" distL="114300" distR="114300">
            <wp:extent cx="5615305" cy="8006715"/>
            <wp:effectExtent l="0" t="0" r="8890" b="3175"/>
            <wp:docPr id="32" name="图片 32" descr="Scan2025-05-23_08580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Scan2025-05-23_085802_02"/>
                    <pic:cNvPicPr>
                      <a:picLocks noChangeAspect="1"/>
                    </pic:cNvPicPr>
                  </pic:nvPicPr>
                  <pic:blipFill>
                    <a:blip r:embed="rId46"/>
                    <a:stretch>
                      <a:fillRect/>
                    </a:stretch>
                  </pic:blipFill>
                  <pic:spPr>
                    <a:xfrm>
                      <a:off x="0" y="0"/>
                      <a:ext cx="5615305" cy="8006715"/>
                    </a:xfrm>
                    <a:prstGeom prst="rect">
                      <a:avLst/>
                    </a:prstGeom>
                  </pic:spPr>
                </pic:pic>
              </a:graphicData>
            </a:graphic>
          </wp:inline>
        </w:drawing>
      </w:r>
    </w:p>
    <w:p w14:paraId="4A0F07DE">
      <w:pPr>
        <w:pStyle w:val="54"/>
        <w:bidi w:val="0"/>
        <w:ind w:left="0" w:leftChars="0" w:firstLine="0" w:firstLineChars="0"/>
        <w:jc w:val="center"/>
        <w:rPr>
          <w:rFonts w:hint="default"/>
          <w:b/>
          <w:bCs/>
          <w:sz w:val="24"/>
          <w:szCs w:val="24"/>
          <w:lang w:val="en-US" w:eastAsia="zh-CN"/>
        </w:rPr>
      </w:pPr>
    </w:p>
    <w:p w14:paraId="08C7F792">
      <w:pPr>
        <w:pStyle w:val="54"/>
        <w:bidi w:val="0"/>
        <w:ind w:left="0" w:leftChars="0" w:firstLine="0" w:firstLineChars="0"/>
        <w:jc w:val="center"/>
        <w:rPr>
          <w:rFonts w:hint="default"/>
          <w:b/>
          <w:bCs/>
          <w:sz w:val="24"/>
          <w:szCs w:val="24"/>
          <w:lang w:val="en-US" w:eastAsia="zh-CN"/>
        </w:rPr>
        <w:sectPr>
          <w:pgSz w:w="11906" w:h="16838"/>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pPr>
      <w:r>
        <w:rPr>
          <w:rFonts w:hint="default"/>
          <w:b/>
          <w:bCs/>
          <w:sz w:val="24"/>
          <w:szCs w:val="24"/>
          <w:lang w:val="en-US" w:eastAsia="zh-CN"/>
        </w:rPr>
        <w:drawing>
          <wp:inline distT="0" distB="0" distL="114300" distR="114300">
            <wp:extent cx="5615305" cy="8006715"/>
            <wp:effectExtent l="0" t="0" r="8890" b="3175"/>
            <wp:docPr id="31" name="图片 31" descr="Scan2025-05-23_08580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Scan2025-05-23_085802_03"/>
                    <pic:cNvPicPr>
                      <a:picLocks noChangeAspect="1"/>
                    </pic:cNvPicPr>
                  </pic:nvPicPr>
                  <pic:blipFill>
                    <a:blip r:embed="rId47"/>
                    <a:stretch>
                      <a:fillRect/>
                    </a:stretch>
                  </pic:blipFill>
                  <pic:spPr>
                    <a:xfrm>
                      <a:off x="0" y="0"/>
                      <a:ext cx="5615305" cy="8006715"/>
                    </a:xfrm>
                    <a:prstGeom prst="rect">
                      <a:avLst/>
                    </a:prstGeom>
                  </pic:spPr>
                </pic:pic>
              </a:graphicData>
            </a:graphic>
          </wp:inline>
        </w:drawing>
      </w:r>
    </w:p>
    <w:p w14:paraId="53D41967">
      <w:pPr>
        <w:pStyle w:val="54"/>
        <w:bidi w:val="0"/>
        <w:ind w:left="0" w:leftChars="0" w:firstLine="0" w:firstLineChars="0"/>
        <w:jc w:val="both"/>
        <w:rPr>
          <w:rFonts w:hint="default"/>
          <w:b/>
          <w:bCs/>
          <w:sz w:val="24"/>
          <w:szCs w:val="24"/>
          <w:lang w:val="en-US" w:eastAsia="zh-CN"/>
        </w:rPr>
      </w:pPr>
      <w:r>
        <w:rPr>
          <w:rFonts w:hint="eastAsia"/>
          <w:b/>
          <w:bCs/>
          <w:sz w:val="24"/>
          <w:szCs w:val="24"/>
          <w:lang w:val="en-US" w:eastAsia="zh-CN"/>
        </w:rPr>
        <w:t>附件10  缴纳罚款证明</w:t>
      </w:r>
    </w:p>
    <w:p w14:paraId="49A55469">
      <w:pPr>
        <w:pStyle w:val="54"/>
        <w:bidi w:val="0"/>
        <w:ind w:left="0" w:leftChars="0" w:firstLine="0" w:firstLineChars="0"/>
        <w:jc w:val="center"/>
        <w:rPr>
          <w:rFonts w:hint="default"/>
          <w:b/>
          <w:bCs/>
          <w:sz w:val="24"/>
          <w:szCs w:val="24"/>
          <w:lang w:val="en-US" w:eastAsia="zh-CN"/>
        </w:rPr>
        <w:sectPr>
          <w:pgSz w:w="16838" w:h="11906" w:orient="landscape"/>
          <w:pgMar w:top="1531" w:right="1701" w:bottom="1531" w:left="1701" w:header="851" w:footer="1304" w:gutter="0"/>
          <w:pgBorders>
            <w:top w:val="none" w:sz="0" w:space="0"/>
            <w:left w:val="none" w:sz="0" w:space="0"/>
            <w:bottom w:val="none" w:sz="0" w:space="0"/>
            <w:right w:val="none" w:sz="0" w:space="0"/>
          </w:pgBorders>
          <w:pgNumType w:fmt="decimal"/>
          <w:cols w:space="720" w:num="1"/>
          <w:docGrid w:linePitch="312" w:charSpace="0"/>
        </w:sectPr>
      </w:pPr>
      <w:r>
        <w:rPr>
          <w:rFonts w:hint="default"/>
          <w:b/>
          <w:bCs/>
          <w:sz w:val="24"/>
          <w:szCs w:val="24"/>
          <w:lang w:val="en-US" w:eastAsia="zh-CN"/>
        </w:rPr>
        <w:drawing>
          <wp:inline distT="0" distB="0" distL="114300" distR="114300">
            <wp:extent cx="7699375" cy="5230495"/>
            <wp:effectExtent l="0" t="0" r="8255" b="5080"/>
            <wp:docPr id="3" name="图片 3" descr="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efault"/>
                    <pic:cNvPicPr>
                      <a:picLocks noChangeAspect="1"/>
                    </pic:cNvPicPr>
                  </pic:nvPicPr>
                  <pic:blipFill>
                    <a:blip r:embed="rId48"/>
                    <a:stretch>
                      <a:fillRect/>
                    </a:stretch>
                  </pic:blipFill>
                  <pic:spPr>
                    <a:xfrm>
                      <a:off x="0" y="0"/>
                      <a:ext cx="7699375" cy="5230495"/>
                    </a:xfrm>
                    <a:prstGeom prst="rect">
                      <a:avLst/>
                    </a:prstGeom>
                  </pic:spPr>
                </pic:pic>
              </a:graphicData>
            </a:graphic>
          </wp:inline>
        </w:drawing>
      </w:r>
    </w:p>
    <w:p w14:paraId="7F73B210">
      <w:pPr>
        <w:pStyle w:val="54"/>
        <w:bidi w:val="0"/>
        <w:ind w:left="0" w:leftChars="0" w:firstLine="0" w:firstLineChars="0"/>
        <w:jc w:val="both"/>
        <w:rPr>
          <w:rFonts w:hint="eastAsia"/>
          <w:b/>
          <w:bCs/>
          <w:sz w:val="24"/>
          <w:szCs w:val="24"/>
          <w:lang w:val="en-US" w:eastAsia="zh-CN"/>
        </w:rPr>
      </w:pPr>
      <w:r>
        <w:rPr>
          <w:rFonts w:hint="eastAsia"/>
          <w:b/>
          <w:bCs/>
          <w:sz w:val="24"/>
          <w:szCs w:val="24"/>
          <w:lang w:val="en-US" w:eastAsia="zh-CN"/>
        </w:rPr>
        <w:t>附件11  关于乌拉特中旗人民政府实施村镇规划2023年度第一批次建设用地的批复</w:t>
      </w:r>
    </w:p>
    <w:p w14:paraId="6D8717BF">
      <w:pPr>
        <w:pStyle w:val="54"/>
        <w:bidi w:val="0"/>
        <w:ind w:left="0" w:leftChars="0" w:firstLine="0" w:firstLineChars="0"/>
        <w:jc w:val="center"/>
        <w:rPr>
          <w:rFonts w:hint="default"/>
          <w:b/>
          <w:bCs/>
          <w:sz w:val="24"/>
          <w:szCs w:val="24"/>
          <w:lang w:val="en-US" w:eastAsia="zh-CN"/>
        </w:rPr>
      </w:pPr>
      <w:r>
        <w:rPr>
          <w:rFonts w:hint="default"/>
          <w:b/>
          <w:bCs/>
          <w:sz w:val="24"/>
          <w:szCs w:val="24"/>
          <w:lang w:val="en-US" w:eastAsia="zh-CN"/>
        </w:rPr>
        <w:drawing>
          <wp:inline distT="0" distB="0" distL="114300" distR="114300">
            <wp:extent cx="5615940" cy="7944485"/>
            <wp:effectExtent l="0" t="0" r="3810" b="18415"/>
            <wp:docPr id="42" name="图片 42" descr="一批次厅批复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一批次厅批复 (1)_01"/>
                    <pic:cNvPicPr>
                      <a:picLocks noChangeAspect="1"/>
                    </pic:cNvPicPr>
                  </pic:nvPicPr>
                  <pic:blipFill>
                    <a:blip r:embed="rId49"/>
                    <a:stretch>
                      <a:fillRect/>
                    </a:stretch>
                  </pic:blipFill>
                  <pic:spPr>
                    <a:xfrm>
                      <a:off x="0" y="0"/>
                      <a:ext cx="5615940" cy="7944485"/>
                    </a:xfrm>
                    <a:prstGeom prst="rect">
                      <a:avLst/>
                    </a:prstGeom>
                  </pic:spPr>
                </pic:pic>
              </a:graphicData>
            </a:graphic>
          </wp:inline>
        </w:drawing>
      </w:r>
    </w:p>
    <w:p w14:paraId="4AD1EF41">
      <w:pPr>
        <w:pStyle w:val="54"/>
        <w:bidi w:val="0"/>
        <w:ind w:left="0" w:leftChars="0" w:firstLine="0" w:firstLineChars="0"/>
        <w:jc w:val="center"/>
        <w:rPr>
          <w:rFonts w:hint="default"/>
          <w:b/>
          <w:bCs/>
          <w:sz w:val="24"/>
          <w:szCs w:val="24"/>
          <w:lang w:val="en-US" w:eastAsia="zh-CN"/>
        </w:rPr>
      </w:pPr>
    </w:p>
    <w:p w14:paraId="75282485">
      <w:pPr>
        <w:pStyle w:val="54"/>
        <w:bidi w:val="0"/>
        <w:ind w:left="0" w:leftChars="0" w:firstLine="0" w:firstLineChars="0"/>
        <w:jc w:val="center"/>
        <w:rPr>
          <w:rFonts w:hint="default"/>
          <w:b/>
          <w:bCs/>
          <w:sz w:val="24"/>
          <w:szCs w:val="24"/>
          <w:lang w:val="en-US" w:eastAsia="zh-CN"/>
        </w:rPr>
      </w:pPr>
    </w:p>
    <w:p w14:paraId="4A3F559E">
      <w:pPr>
        <w:pStyle w:val="54"/>
        <w:bidi w:val="0"/>
        <w:ind w:left="0" w:leftChars="0" w:firstLine="0" w:firstLineChars="0"/>
        <w:jc w:val="center"/>
        <w:rPr>
          <w:rFonts w:hint="default"/>
          <w:b/>
          <w:bCs/>
          <w:sz w:val="24"/>
          <w:szCs w:val="24"/>
          <w:lang w:val="en-US" w:eastAsia="zh-CN"/>
        </w:rPr>
      </w:pPr>
      <w:r>
        <w:rPr>
          <w:rFonts w:hint="default"/>
          <w:b/>
          <w:bCs/>
          <w:sz w:val="24"/>
          <w:szCs w:val="24"/>
          <w:lang w:val="en-US" w:eastAsia="zh-CN"/>
        </w:rPr>
        <w:drawing>
          <wp:inline distT="0" distB="0" distL="114300" distR="114300">
            <wp:extent cx="5615940" cy="7944485"/>
            <wp:effectExtent l="0" t="0" r="3810" b="18415"/>
            <wp:docPr id="40" name="图片 40" descr="一批次厅批复 (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一批次厅批复 (1)_02"/>
                    <pic:cNvPicPr>
                      <a:picLocks noChangeAspect="1"/>
                    </pic:cNvPicPr>
                  </pic:nvPicPr>
                  <pic:blipFill>
                    <a:blip r:embed="rId50"/>
                    <a:stretch>
                      <a:fillRect/>
                    </a:stretch>
                  </pic:blipFill>
                  <pic:spPr>
                    <a:xfrm>
                      <a:off x="0" y="0"/>
                      <a:ext cx="5615940" cy="7944485"/>
                    </a:xfrm>
                    <a:prstGeom prst="rect">
                      <a:avLst/>
                    </a:prstGeom>
                  </pic:spPr>
                </pic:pic>
              </a:graphicData>
            </a:graphic>
          </wp:inline>
        </w:drawing>
      </w:r>
    </w:p>
    <w:p w14:paraId="05C892A4">
      <w:pPr>
        <w:pStyle w:val="54"/>
        <w:bidi w:val="0"/>
        <w:ind w:left="0" w:leftChars="0" w:firstLine="0" w:firstLineChars="0"/>
        <w:jc w:val="center"/>
        <w:rPr>
          <w:rFonts w:hint="default"/>
          <w:b/>
          <w:bCs/>
          <w:sz w:val="24"/>
          <w:szCs w:val="24"/>
          <w:lang w:val="en-US" w:eastAsia="zh-CN"/>
        </w:rPr>
      </w:pPr>
    </w:p>
    <w:p w14:paraId="222D1658">
      <w:pPr>
        <w:pStyle w:val="54"/>
        <w:bidi w:val="0"/>
        <w:ind w:left="0" w:leftChars="0" w:firstLine="0" w:firstLineChars="0"/>
        <w:jc w:val="both"/>
        <w:rPr>
          <w:rFonts w:hint="default"/>
          <w:b/>
          <w:bCs/>
          <w:sz w:val="24"/>
          <w:szCs w:val="24"/>
          <w:lang w:val="en-US" w:eastAsia="zh-CN"/>
        </w:rPr>
      </w:pPr>
      <w:r>
        <w:rPr>
          <w:rFonts w:hint="eastAsia"/>
          <w:b/>
          <w:bCs/>
          <w:sz w:val="24"/>
          <w:szCs w:val="24"/>
          <w:lang w:val="en-US" w:eastAsia="zh-CN"/>
        </w:rPr>
        <w:t>附件12  乌拉特中旗德岭山镇四义堂村村民委员会会议同意占用文件</w:t>
      </w:r>
    </w:p>
    <w:p w14:paraId="6AFD9682">
      <w:pPr>
        <w:pStyle w:val="54"/>
        <w:bidi w:val="0"/>
        <w:ind w:left="0" w:leftChars="0" w:firstLine="0" w:firstLineChars="0"/>
        <w:jc w:val="center"/>
        <w:rPr>
          <w:rFonts w:hint="default"/>
          <w:b/>
          <w:bCs/>
          <w:sz w:val="24"/>
          <w:szCs w:val="24"/>
          <w:lang w:val="en-US" w:eastAsia="zh-CN"/>
        </w:rPr>
      </w:pPr>
    </w:p>
    <w:p w14:paraId="0D8E89E7">
      <w:pPr>
        <w:pStyle w:val="54"/>
        <w:bidi w:val="0"/>
        <w:ind w:left="0" w:leftChars="0" w:firstLine="0" w:firstLineChars="0"/>
        <w:jc w:val="center"/>
        <w:rPr>
          <w:rFonts w:hint="default"/>
          <w:b/>
          <w:bCs/>
          <w:sz w:val="24"/>
          <w:szCs w:val="24"/>
          <w:lang w:val="en-US" w:eastAsia="zh-CN"/>
        </w:rPr>
      </w:pPr>
      <w:r>
        <w:rPr>
          <w:rFonts w:hint="default"/>
          <w:b/>
          <w:bCs/>
          <w:sz w:val="24"/>
          <w:szCs w:val="24"/>
          <w:lang w:val="en-US" w:eastAsia="zh-CN"/>
        </w:rPr>
        <w:drawing>
          <wp:inline distT="0" distB="0" distL="114300" distR="114300">
            <wp:extent cx="5608320" cy="7474585"/>
            <wp:effectExtent l="0" t="0" r="11430" b="12065"/>
            <wp:docPr id="43" name="图片 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
                    <pic:cNvPicPr>
                      <a:picLocks noChangeAspect="1"/>
                    </pic:cNvPicPr>
                  </pic:nvPicPr>
                  <pic:blipFill>
                    <a:blip r:embed="rId51"/>
                    <a:stretch>
                      <a:fillRect/>
                    </a:stretch>
                  </pic:blipFill>
                  <pic:spPr>
                    <a:xfrm>
                      <a:off x="0" y="0"/>
                      <a:ext cx="5608320" cy="7474585"/>
                    </a:xfrm>
                    <a:prstGeom prst="rect">
                      <a:avLst/>
                    </a:prstGeom>
                  </pic:spPr>
                </pic:pic>
              </a:graphicData>
            </a:graphic>
          </wp:inline>
        </w:drawing>
      </w:r>
    </w:p>
    <w:p w14:paraId="62E602CC">
      <w:pPr>
        <w:pStyle w:val="54"/>
        <w:bidi w:val="0"/>
        <w:ind w:left="0" w:leftChars="0" w:firstLine="0" w:firstLineChars="0"/>
        <w:jc w:val="center"/>
        <w:rPr>
          <w:rFonts w:hint="default"/>
          <w:b/>
          <w:bCs/>
          <w:sz w:val="24"/>
          <w:szCs w:val="24"/>
          <w:lang w:val="en-US" w:eastAsia="zh-CN"/>
        </w:rPr>
      </w:pPr>
    </w:p>
    <w:p w14:paraId="5AC0DEA8">
      <w:pPr>
        <w:pStyle w:val="54"/>
        <w:bidi w:val="0"/>
        <w:ind w:left="0" w:leftChars="0" w:firstLine="0" w:firstLineChars="0"/>
        <w:jc w:val="center"/>
        <w:rPr>
          <w:rFonts w:hint="default"/>
          <w:b/>
          <w:bCs/>
          <w:sz w:val="24"/>
          <w:szCs w:val="24"/>
          <w:lang w:val="en-US" w:eastAsia="zh-CN"/>
        </w:rPr>
      </w:pPr>
    </w:p>
    <w:p w14:paraId="55E64212">
      <w:pPr>
        <w:pStyle w:val="54"/>
        <w:bidi w:val="0"/>
        <w:ind w:left="0" w:leftChars="0" w:firstLine="0" w:firstLineChars="0"/>
        <w:jc w:val="center"/>
        <w:rPr>
          <w:rFonts w:hint="default"/>
          <w:b/>
          <w:bCs/>
          <w:sz w:val="24"/>
          <w:szCs w:val="24"/>
          <w:lang w:val="en-US" w:eastAsia="zh-CN"/>
        </w:rPr>
      </w:pPr>
      <w:r>
        <w:rPr>
          <w:rFonts w:hint="default"/>
          <w:b/>
          <w:bCs/>
          <w:sz w:val="24"/>
          <w:szCs w:val="24"/>
          <w:lang w:val="en-US" w:eastAsia="zh-CN"/>
        </w:rPr>
        <w:drawing>
          <wp:inline distT="0" distB="0" distL="114300" distR="114300">
            <wp:extent cx="5608320" cy="7474585"/>
            <wp:effectExtent l="0" t="0" r="11430" b="12065"/>
            <wp:docPr id="44" name="图片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
                    <pic:cNvPicPr>
                      <a:picLocks noChangeAspect="1"/>
                    </pic:cNvPicPr>
                  </pic:nvPicPr>
                  <pic:blipFill>
                    <a:blip r:embed="rId52"/>
                    <a:stretch>
                      <a:fillRect/>
                    </a:stretch>
                  </pic:blipFill>
                  <pic:spPr>
                    <a:xfrm>
                      <a:off x="0" y="0"/>
                      <a:ext cx="5608320" cy="7474585"/>
                    </a:xfrm>
                    <a:prstGeom prst="rect">
                      <a:avLst/>
                    </a:prstGeom>
                  </pic:spPr>
                </pic:pic>
              </a:graphicData>
            </a:graphic>
          </wp:inline>
        </w:drawing>
      </w:r>
    </w:p>
    <w:p w14:paraId="3AAA7626">
      <w:pPr>
        <w:pStyle w:val="54"/>
        <w:bidi w:val="0"/>
        <w:ind w:left="0" w:leftChars="0" w:firstLine="0" w:firstLineChars="0"/>
        <w:jc w:val="center"/>
        <w:rPr>
          <w:rFonts w:hint="default"/>
          <w:b/>
          <w:bCs/>
          <w:sz w:val="24"/>
          <w:szCs w:val="24"/>
          <w:lang w:val="en-US" w:eastAsia="zh-CN"/>
        </w:rPr>
      </w:pPr>
    </w:p>
    <w:p w14:paraId="05284C7B">
      <w:pPr>
        <w:pStyle w:val="54"/>
        <w:bidi w:val="0"/>
        <w:ind w:left="0" w:leftChars="0" w:firstLine="0" w:firstLineChars="0"/>
        <w:jc w:val="center"/>
        <w:rPr>
          <w:rFonts w:hint="default"/>
          <w:b/>
          <w:bCs/>
          <w:sz w:val="24"/>
          <w:szCs w:val="24"/>
          <w:lang w:val="en-US" w:eastAsia="zh-CN"/>
        </w:rPr>
      </w:pPr>
    </w:p>
    <w:p w14:paraId="2CB9230B">
      <w:pPr>
        <w:pStyle w:val="54"/>
        <w:bidi w:val="0"/>
        <w:ind w:left="0" w:leftChars="0" w:firstLine="0" w:firstLineChars="0"/>
        <w:jc w:val="center"/>
        <w:rPr>
          <w:rFonts w:hint="default"/>
          <w:b/>
          <w:bCs/>
          <w:sz w:val="24"/>
          <w:szCs w:val="24"/>
          <w:lang w:val="en-US" w:eastAsia="zh-CN"/>
        </w:rPr>
      </w:pPr>
    </w:p>
    <w:p w14:paraId="1F6D68B9">
      <w:pPr>
        <w:pStyle w:val="54"/>
        <w:bidi w:val="0"/>
        <w:ind w:left="0" w:leftChars="0" w:firstLine="0" w:firstLineChars="0"/>
        <w:jc w:val="center"/>
        <w:rPr>
          <w:rFonts w:hint="default"/>
          <w:b/>
          <w:bCs/>
          <w:sz w:val="24"/>
          <w:szCs w:val="24"/>
          <w:lang w:val="en-US" w:eastAsia="zh-CN"/>
        </w:rPr>
      </w:pPr>
    </w:p>
    <w:p w14:paraId="1993BA79">
      <w:pPr>
        <w:pStyle w:val="54"/>
        <w:bidi w:val="0"/>
        <w:ind w:left="0" w:leftChars="0" w:firstLine="0" w:firstLineChars="0"/>
        <w:jc w:val="center"/>
        <w:rPr>
          <w:rFonts w:hint="default"/>
          <w:b/>
          <w:bCs/>
          <w:sz w:val="24"/>
          <w:szCs w:val="24"/>
          <w:lang w:val="en-US" w:eastAsia="zh-CN"/>
        </w:rPr>
      </w:pPr>
      <w:r>
        <w:rPr>
          <w:rFonts w:hint="default"/>
          <w:b/>
          <w:bCs/>
          <w:sz w:val="24"/>
          <w:szCs w:val="24"/>
          <w:lang w:val="en-US" w:eastAsia="zh-CN"/>
        </w:rPr>
        <w:drawing>
          <wp:inline distT="0" distB="0" distL="114300" distR="114300">
            <wp:extent cx="5608320" cy="7474585"/>
            <wp:effectExtent l="0" t="0" r="11430" b="12065"/>
            <wp:docPr id="45" name="图片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
                    <pic:cNvPicPr>
                      <a:picLocks noChangeAspect="1"/>
                    </pic:cNvPicPr>
                  </pic:nvPicPr>
                  <pic:blipFill>
                    <a:blip r:embed="rId53"/>
                    <a:stretch>
                      <a:fillRect/>
                    </a:stretch>
                  </pic:blipFill>
                  <pic:spPr>
                    <a:xfrm>
                      <a:off x="0" y="0"/>
                      <a:ext cx="5608320" cy="7474585"/>
                    </a:xfrm>
                    <a:prstGeom prst="rect">
                      <a:avLst/>
                    </a:prstGeom>
                  </pic:spPr>
                </pic:pic>
              </a:graphicData>
            </a:graphic>
          </wp:inline>
        </w:drawing>
      </w:r>
    </w:p>
    <w:sectPr>
      <w:pgSz w:w="11906" w:h="16838"/>
      <w:pgMar w:top="1701" w:right="1531" w:bottom="1701" w:left="1531" w:header="851" w:footer="1304"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618CC7F4-868F-4289-85B7-77005EC27D36}"/>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embedRegular r:id="rId2" w:fontKey="{E9A85499-09DB-417C-B927-5FDBFD4A3905}"/>
  </w:font>
  <w:font w:name="仿宋_GB2312">
    <w:panose1 w:val="02010609030101010101"/>
    <w:charset w:val="86"/>
    <w:family w:val="modern"/>
    <w:pitch w:val="default"/>
    <w:sig w:usb0="00000001" w:usb1="080E0000" w:usb2="00000000" w:usb3="00000000" w:csb0="00040000" w:csb1="00000000"/>
    <w:embedRegular r:id="rId3" w:fontKey="{00C577B1-A45B-43A8-8420-7EB4096F7333}"/>
  </w:font>
  <w:font w:name="方正小标宋_GBK">
    <w:panose1 w:val="02000000000000000000"/>
    <w:charset w:val="86"/>
    <w:family w:val="script"/>
    <w:pitch w:val="default"/>
    <w:sig w:usb0="A00002BF" w:usb1="38CF7CFA" w:usb2="00082016" w:usb3="00000000" w:csb0="00040001" w:csb1="00000000"/>
    <w:embedRegular r:id="rId4" w:fontKey="{AC64E419-8CAE-4460-B230-87D78AF2C4C3}"/>
  </w:font>
  <w:font w:name="楷体_GB2312">
    <w:altName w:val="楷体"/>
    <w:panose1 w:val="02010609030101010101"/>
    <w:charset w:val="86"/>
    <w:family w:val="modern"/>
    <w:pitch w:val="default"/>
    <w:sig w:usb0="00000000" w:usb1="00000000" w:usb2="00000010" w:usb3="00000000" w:csb0="00040000" w:csb1="00000000"/>
    <w:embedRegular r:id="rId5" w:fontKey="{794ED314-45AD-41AA-A298-3B91C68A4E4F}"/>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embedRegular r:id="rId6" w:fontKey="{A84C3F5D-3C56-41C4-B0B8-04CCE8179117}"/>
  </w:font>
  <w:font w:name="Wingdings 2">
    <w:panose1 w:val="05020102010507070707"/>
    <w:charset w:val="02"/>
    <w:family w:val="auto"/>
    <w:pitch w:val="default"/>
    <w:sig w:usb0="00000000" w:usb1="00000000" w:usb2="00000000" w:usb3="00000000" w:csb0="80000000" w:csb1="00000000"/>
    <w:embedRegular r:id="rId7" w:fontKey="{6743FCC7-F15A-4623-9207-B37B59091C81}"/>
  </w:font>
  <w:font w:name="Cambria Math">
    <w:panose1 w:val="02040503050406030204"/>
    <w:charset w:val="00"/>
    <w:family w:val="auto"/>
    <w:pitch w:val="default"/>
    <w:sig w:usb0="E00006FF" w:usb1="420024FF" w:usb2="02000000" w:usb3="00000000" w:csb0="2000019F" w:csb1="00000000"/>
    <w:embedRegular r:id="rId8" w:fontKey="{7DC30EFC-8BF5-4246-9EC5-3B7951CB8B3C}"/>
  </w:font>
  <w:font w:name="WPSEMBED1">
    <w:panose1 w:val="02000000000000000000"/>
    <w:charset w:val="86"/>
    <w:family w:val="auto"/>
    <w:pitch w:val="default"/>
    <w:sig w:usb0="A00002BF" w:usb1="38CF7CFA" w:usb2="00082016" w:usb3="00000000" w:csb0="00040001" w:csb1="00000000"/>
  </w:font>
  <w:font w:name="WPSEMBED2">
    <w:panose1 w:val="05020102010507070707"/>
    <w:charset w:val="00"/>
    <w:family w:val="auto"/>
    <w:pitch w:val="default"/>
    <w:sig w:usb0="00000000" w:usb1="00000000" w:usb2="00000000" w:usb3="00000000" w:csb0="80000000"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B8BB6F">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6F8665">
    <w:pPr>
      <w:pStyle w:val="11"/>
      <w:framePr w:wrap="around" w:vAnchor="text" w:hAnchor="margin" w:xAlign="center" w:y="1"/>
      <w:rPr>
        <w:rStyle w:val="20"/>
      </w:rPr>
    </w:pPr>
    <w:r>
      <w:fldChar w:fldCharType="begin"/>
    </w:r>
    <w:r>
      <w:rPr>
        <w:rStyle w:val="20"/>
      </w:rPr>
      <w:instrText xml:space="preserve">PAGE  </w:instrText>
    </w:r>
    <w:r>
      <w:fldChar w:fldCharType="end"/>
    </w:r>
  </w:p>
  <w:p w14:paraId="4616F6F9">
    <w:pPr>
      <w:pStyle w:val="1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CB8899">
    <w:pPr>
      <w:pStyle w:val="11"/>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10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BB8B8C">
                          <w:pPr>
                            <w:pStyle w:val="11"/>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wrap="none" lIns="0" tIns="0" rIns="0" bIns="0" upright="0">
                      <a:spAutoFit/>
                    </wps:bodyPr>
                  </wps:wsp>
                </a:graphicData>
              </a:graphic>
            </wp:anchor>
          </w:drawing>
        </mc:Choice>
        <mc:Fallback>
          <w:pict>
            <v:shape id="文本框 1040"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CK0Gg7LAQAAnQMAAA4AAAAAAAAAAQAgAAAAHgEAAGRycy9lMm9E&#10;b2MueG1sUEsFBgAAAAAGAAYAWQEAAFsFAAAAAA==&#10;">
              <v:fill on="f" focussize="0,0"/>
              <v:stroke on="f"/>
              <v:imagedata o:title=""/>
              <o:lock v:ext="edit" aspectratio="f"/>
              <v:textbox inset="0mm,0mm,0mm,0mm" style="mso-fit-shape-to-text:t;">
                <w:txbxContent>
                  <w:p w14:paraId="3BBB8B8C">
                    <w:pPr>
                      <w:pStyle w:val="11"/>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ECFCEB">
    <w:pPr>
      <w:pStyle w:val="11"/>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10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C4216F9">
                          <w:pPr>
                            <w:pStyle w:val="11"/>
                          </w:pPr>
                          <w:r>
                            <w:fldChar w:fldCharType="begin"/>
                          </w:r>
                          <w:r>
                            <w:instrText xml:space="preserve"> PAGE  \* MERGEFORMAT </w:instrText>
                          </w:r>
                          <w:r>
                            <w:fldChar w:fldCharType="separate"/>
                          </w:r>
                          <w:r>
                            <w:t>13</w:t>
                          </w:r>
                          <w:r>
                            <w:fldChar w:fldCharType="end"/>
                          </w:r>
                        </w:p>
                      </w:txbxContent>
                    </wps:txbx>
                    <wps:bodyPr vert="horz" wrap="none" lIns="0" tIns="0" rIns="0" bIns="0" anchor="t" anchorCtr="0" upright="0">
                      <a:spAutoFit/>
                    </wps:bodyPr>
                  </wps:wsp>
                </a:graphicData>
              </a:graphic>
            </wp:anchor>
          </w:drawing>
        </mc:Choice>
        <mc:Fallback>
          <w:pict>
            <v:shape id="文本框 1037"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DlJdnV4QEAAMIDAAAOAAAA&#10;AAAAAAEAIAAAAB4BAABkcnMvZTJvRG9jLnhtbFBLBQYAAAAABgAGAFkBAABxBQAAAAA=&#10;">
              <v:fill on="f" focussize="0,0"/>
              <v:stroke on="f"/>
              <v:imagedata o:title=""/>
              <o:lock v:ext="edit" aspectratio="f"/>
              <v:textbox inset="0mm,0mm,0mm,0mm" style="mso-fit-shape-to-text:t;">
                <w:txbxContent>
                  <w:p w14:paraId="3C4216F9">
                    <w:pPr>
                      <w:pStyle w:val="11"/>
                    </w:pPr>
                    <w:r>
                      <w:fldChar w:fldCharType="begin"/>
                    </w:r>
                    <w:r>
                      <w:instrText xml:space="preserve"> PAGE  \* MERGEFORMAT </w:instrText>
                    </w:r>
                    <w:r>
                      <w:fldChar w:fldCharType="separate"/>
                    </w:r>
                    <w:r>
                      <w:t>13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63D114">
    <w:pPr>
      <w:pStyle w:val="11"/>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10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6BD824B">
                          <w:pPr>
                            <w:pStyle w:val="11"/>
                          </w:pPr>
                          <w:r>
                            <w:fldChar w:fldCharType="begin"/>
                          </w:r>
                          <w:r>
                            <w:instrText xml:space="preserve"> PAGE  \* MERGEFORMAT </w:instrText>
                          </w:r>
                          <w:r>
                            <w:fldChar w:fldCharType="separate"/>
                          </w:r>
                          <w:r>
                            <w:t>76</w:t>
                          </w:r>
                          <w:r>
                            <w:fldChar w:fldCharType="end"/>
                          </w:r>
                        </w:p>
                      </w:txbxContent>
                    </wps:txbx>
                    <wps:bodyPr vert="horz" wrap="none" lIns="0" tIns="0" rIns="0" bIns="0" anchor="t" anchorCtr="0" upright="0">
                      <a:spAutoFit/>
                    </wps:bodyPr>
                  </wps:wsp>
                </a:graphicData>
              </a:graphic>
            </wp:anchor>
          </w:drawing>
        </mc:Choice>
        <mc:Fallback>
          <w:pict>
            <v:shape id="文本框 1038"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BSRCmjgAQAAwgMAAA4AAAAA&#10;AAAAAQAgAAAAHgEAAGRycy9lMm9Eb2MueG1sUEsFBgAAAAAGAAYAWQEAAHAFAAAAAA==&#10;">
              <v:fill on="f" focussize="0,0"/>
              <v:stroke on="f"/>
              <v:imagedata o:title=""/>
              <o:lock v:ext="edit" aspectratio="f"/>
              <v:textbox inset="0mm,0mm,0mm,0mm" style="mso-fit-shape-to-text:t;">
                <w:txbxContent>
                  <w:p w14:paraId="56BD824B">
                    <w:pPr>
                      <w:pStyle w:val="11"/>
                    </w:pPr>
                    <w:r>
                      <w:fldChar w:fldCharType="begin"/>
                    </w:r>
                    <w:r>
                      <w:instrText xml:space="preserve"> PAGE  \* MERGEFORMAT </w:instrText>
                    </w:r>
                    <w:r>
                      <w:fldChar w:fldCharType="separate"/>
                    </w:r>
                    <w:r>
                      <w:t>76</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31795C">
    <w:pPr>
      <w:pStyle w:val="11"/>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10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A45C35E">
                          <w:pPr>
                            <w:pStyle w:val="11"/>
                          </w:pPr>
                          <w:r>
                            <w:fldChar w:fldCharType="begin"/>
                          </w:r>
                          <w:r>
                            <w:instrText xml:space="preserve"> PAGE  \* MERGEFORMAT </w:instrText>
                          </w:r>
                          <w:r>
                            <w:fldChar w:fldCharType="separate"/>
                          </w:r>
                          <w:r>
                            <w:t>80</w:t>
                          </w:r>
                          <w:r>
                            <w:fldChar w:fldCharType="end"/>
                          </w:r>
                        </w:p>
                      </w:txbxContent>
                    </wps:txbx>
                    <wps:bodyPr vert="horz" wrap="none" lIns="0" tIns="0" rIns="0" bIns="0" anchor="t" anchorCtr="0" upright="0">
                      <a:spAutoFit/>
                    </wps:bodyPr>
                  </wps:wsp>
                </a:graphicData>
              </a:graphic>
            </wp:anchor>
          </w:drawing>
        </mc:Choice>
        <mc:Fallback>
          <w:pict>
            <v:shape id="文本框 1039"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iQAYY4QEAAMIDAAAOAAAA&#10;AAAAAAEAIAAAAB4BAABkcnMvZTJvRG9jLnhtbFBLBQYAAAAABgAGAFkBAABxBQAAAAA=&#10;">
              <v:fill on="f" focussize="0,0"/>
              <v:stroke on="f"/>
              <v:imagedata o:title=""/>
              <o:lock v:ext="edit" aspectratio="f"/>
              <v:textbox inset="0mm,0mm,0mm,0mm" style="mso-fit-shape-to-text:t;">
                <w:txbxContent>
                  <w:p w14:paraId="0A45C35E">
                    <w:pPr>
                      <w:pStyle w:val="11"/>
                    </w:pPr>
                    <w:r>
                      <w:fldChar w:fldCharType="begin"/>
                    </w:r>
                    <w:r>
                      <w:instrText xml:space="preserve"> PAGE  \* MERGEFORMAT </w:instrText>
                    </w:r>
                    <w:r>
                      <w:fldChar w:fldCharType="separate"/>
                    </w:r>
                    <w:r>
                      <w:t>80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13D8B8">
    <w:pPr>
      <w:pStyle w:val="12"/>
      <w:pBdr>
        <w:bottom w:val="none" w:color="auto" w:sz="0" w:space="1"/>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E3MmQyYjdhOWYyZjc2NjkyZmZhYTMwZjEzMzBmYmMifQ=="/>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2F8D"/>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15EA"/>
    <w:rsid w:val="00FB503A"/>
    <w:rsid w:val="00FB516C"/>
    <w:rsid w:val="00FD0236"/>
    <w:rsid w:val="00FD18F4"/>
    <w:rsid w:val="00FD54DB"/>
    <w:rsid w:val="00FD619F"/>
    <w:rsid w:val="011D5A44"/>
    <w:rsid w:val="01290F7E"/>
    <w:rsid w:val="01583748"/>
    <w:rsid w:val="015D1E09"/>
    <w:rsid w:val="01BC362A"/>
    <w:rsid w:val="01BD22C8"/>
    <w:rsid w:val="02072A78"/>
    <w:rsid w:val="020858C7"/>
    <w:rsid w:val="020B590A"/>
    <w:rsid w:val="0227311A"/>
    <w:rsid w:val="022E0D6C"/>
    <w:rsid w:val="023D52A8"/>
    <w:rsid w:val="024A1ADD"/>
    <w:rsid w:val="02663D8A"/>
    <w:rsid w:val="02697903"/>
    <w:rsid w:val="029A3C5D"/>
    <w:rsid w:val="02BF51B6"/>
    <w:rsid w:val="02C32E43"/>
    <w:rsid w:val="02F96569"/>
    <w:rsid w:val="02FE20CD"/>
    <w:rsid w:val="032657F1"/>
    <w:rsid w:val="03730D98"/>
    <w:rsid w:val="037424EA"/>
    <w:rsid w:val="03800D34"/>
    <w:rsid w:val="03823679"/>
    <w:rsid w:val="03855367"/>
    <w:rsid w:val="03A10CAA"/>
    <w:rsid w:val="03BC49D5"/>
    <w:rsid w:val="03D21A63"/>
    <w:rsid w:val="03D251BA"/>
    <w:rsid w:val="03D270B5"/>
    <w:rsid w:val="03EA5E52"/>
    <w:rsid w:val="03EA7B21"/>
    <w:rsid w:val="03FA5641"/>
    <w:rsid w:val="04782C83"/>
    <w:rsid w:val="049C51F0"/>
    <w:rsid w:val="04BC25A5"/>
    <w:rsid w:val="04CA646A"/>
    <w:rsid w:val="04DD1267"/>
    <w:rsid w:val="04E03F3C"/>
    <w:rsid w:val="04ED09A8"/>
    <w:rsid w:val="05146BBF"/>
    <w:rsid w:val="05232604"/>
    <w:rsid w:val="05332BB8"/>
    <w:rsid w:val="057D3161"/>
    <w:rsid w:val="05983B33"/>
    <w:rsid w:val="05AA653C"/>
    <w:rsid w:val="05AE7D87"/>
    <w:rsid w:val="05B63617"/>
    <w:rsid w:val="05CE44B9"/>
    <w:rsid w:val="05ED696A"/>
    <w:rsid w:val="05F21DD4"/>
    <w:rsid w:val="05F83EAE"/>
    <w:rsid w:val="060D4C71"/>
    <w:rsid w:val="063B6D33"/>
    <w:rsid w:val="063E7D85"/>
    <w:rsid w:val="064702AA"/>
    <w:rsid w:val="067D06F7"/>
    <w:rsid w:val="068D7DDD"/>
    <w:rsid w:val="071471E5"/>
    <w:rsid w:val="07293586"/>
    <w:rsid w:val="07295285"/>
    <w:rsid w:val="07363E3F"/>
    <w:rsid w:val="07522B2F"/>
    <w:rsid w:val="07636392"/>
    <w:rsid w:val="076E3F95"/>
    <w:rsid w:val="07770C56"/>
    <w:rsid w:val="0788465B"/>
    <w:rsid w:val="07CC25A1"/>
    <w:rsid w:val="07D93108"/>
    <w:rsid w:val="08271D9A"/>
    <w:rsid w:val="084A7B62"/>
    <w:rsid w:val="08C4784C"/>
    <w:rsid w:val="08C918EB"/>
    <w:rsid w:val="08EF7199"/>
    <w:rsid w:val="092217DD"/>
    <w:rsid w:val="093A7294"/>
    <w:rsid w:val="093F51ED"/>
    <w:rsid w:val="094268DC"/>
    <w:rsid w:val="095567BF"/>
    <w:rsid w:val="096E19B9"/>
    <w:rsid w:val="097A0AC3"/>
    <w:rsid w:val="09B20E41"/>
    <w:rsid w:val="09C817E2"/>
    <w:rsid w:val="0A051A16"/>
    <w:rsid w:val="0A263993"/>
    <w:rsid w:val="0A2D3AC2"/>
    <w:rsid w:val="0A482B0E"/>
    <w:rsid w:val="0A5922DF"/>
    <w:rsid w:val="0A6A4D81"/>
    <w:rsid w:val="0A6E0EA2"/>
    <w:rsid w:val="0A7333A0"/>
    <w:rsid w:val="0A7B59C0"/>
    <w:rsid w:val="0A7F785B"/>
    <w:rsid w:val="0A9E56D4"/>
    <w:rsid w:val="0AA755DF"/>
    <w:rsid w:val="0AB53B39"/>
    <w:rsid w:val="0AE049CB"/>
    <w:rsid w:val="0AF71DB6"/>
    <w:rsid w:val="0B00639E"/>
    <w:rsid w:val="0B0B21D2"/>
    <w:rsid w:val="0B120D44"/>
    <w:rsid w:val="0B36617C"/>
    <w:rsid w:val="0B3A7C30"/>
    <w:rsid w:val="0B3D676C"/>
    <w:rsid w:val="0B521530"/>
    <w:rsid w:val="0BD27BF6"/>
    <w:rsid w:val="0BEB4D5B"/>
    <w:rsid w:val="0BF1626A"/>
    <w:rsid w:val="0C075A73"/>
    <w:rsid w:val="0C3B3C7D"/>
    <w:rsid w:val="0C455357"/>
    <w:rsid w:val="0C6A2A94"/>
    <w:rsid w:val="0C6D4C98"/>
    <w:rsid w:val="0C8A2C23"/>
    <w:rsid w:val="0C8D28DB"/>
    <w:rsid w:val="0C9A16BC"/>
    <w:rsid w:val="0CAB2EAE"/>
    <w:rsid w:val="0CAC586C"/>
    <w:rsid w:val="0D0455C1"/>
    <w:rsid w:val="0D18690A"/>
    <w:rsid w:val="0D1C0BF7"/>
    <w:rsid w:val="0D2A1309"/>
    <w:rsid w:val="0D3F26CC"/>
    <w:rsid w:val="0D621C7D"/>
    <w:rsid w:val="0D6B4803"/>
    <w:rsid w:val="0DCA776E"/>
    <w:rsid w:val="0DE83658"/>
    <w:rsid w:val="0DEE4B1B"/>
    <w:rsid w:val="0DFC0EB3"/>
    <w:rsid w:val="0E2F439F"/>
    <w:rsid w:val="0E54798B"/>
    <w:rsid w:val="0E5F1423"/>
    <w:rsid w:val="0E5F4B91"/>
    <w:rsid w:val="0E6C7B93"/>
    <w:rsid w:val="0E715C16"/>
    <w:rsid w:val="0E72723E"/>
    <w:rsid w:val="0E73034D"/>
    <w:rsid w:val="0E7D49FA"/>
    <w:rsid w:val="0E8C7613"/>
    <w:rsid w:val="0E9513D5"/>
    <w:rsid w:val="0EAF1EB5"/>
    <w:rsid w:val="0EF17DD6"/>
    <w:rsid w:val="0F0F5662"/>
    <w:rsid w:val="0F103599"/>
    <w:rsid w:val="0F13775A"/>
    <w:rsid w:val="0F386586"/>
    <w:rsid w:val="0F3D76B5"/>
    <w:rsid w:val="0F4519E4"/>
    <w:rsid w:val="0F5F45FE"/>
    <w:rsid w:val="0F9A112B"/>
    <w:rsid w:val="0FA358B5"/>
    <w:rsid w:val="0FBB6A61"/>
    <w:rsid w:val="10067E70"/>
    <w:rsid w:val="10192D37"/>
    <w:rsid w:val="10334930"/>
    <w:rsid w:val="1069354C"/>
    <w:rsid w:val="106B29BE"/>
    <w:rsid w:val="106D2F64"/>
    <w:rsid w:val="10B63710"/>
    <w:rsid w:val="10CC4B6B"/>
    <w:rsid w:val="10D10749"/>
    <w:rsid w:val="10D601E5"/>
    <w:rsid w:val="10EC306F"/>
    <w:rsid w:val="10F10820"/>
    <w:rsid w:val="111C2F7A"/>
    <w:rsid w:val="11665CA1"/>
    <w:rsid w:val="11720152"/>
    <w:rsid w:val="1196396A"/>
    <w:rsid w:val="11A803AF"/>
    <w:rsid w:val="11AC3958"/>
    <w:rsid w:val="11AF35A5"/>
    <w:rsid w:val="11B147A7"/>
    <w:rsid w:val="11B5216A"/>
    <w:rsid w:val="122E4051"/>
    <w:rsid w:val="12343CC8"/>
    <w:rsid w:val="125910CE"/>
    <w:rsid w:val="12730920"/>
    <w:rsid w:val="12E423D8"/>
    <w:rsid w:val="13023C7A"/>
    <w:rsid w:val="137B6F89"/>
    <w:rsid w:val="13951726"/>
    <w:rsid w:val="13C460C9"/>
    <w:rsid w:val="13C978FC"/>
    <w:rsid w:val="13CA3A1F"/>
    <w:rsid w:val="13F35552"/>
    <w:rsid w:val="14396509"/>
    <w:rsid w:val="145A160C"/>
    <w:rsid w:val="14997BA1"/>
    <w:rsid w:val="14A96492"/>
    <w:rsid w:val="14D330D6"/>
    <w:rsid w:val="14D3313A"/>
    <w:rsid w:val="14DD2C3C"/>
    <w:rsid w:val="14FE41AE"/>
    <w:rsid w:val="150F40C9"/>
    <w:rsid w:val="15125CFB"/>
    <w:rsid w:val="152C43F7"/>
    <w:rsid w:val="1556727D"/>
    <w:rsid w:val="1559244C"/>
    <w:rsid w:val="158C422E"/>
    <w:rsid w:val="158D4B7D"/>
    <w:rsid w:val="15A44D56"/>
    <w:rsid w:val="15A509E8"/>
    <w:rsid w:val="15A75F51"/>
    <w:rsid w:val="15F66C34"/>
    <w:rsid w:val="16087E1D"/>
    <w:rsid w:val="16353E7A"/>
    <w:rsid w:val="163D0D06"/>
    <w:rsid w:val="164601E9"/>
    <w:rsid w:val="16774EF8"/>
    <w:rsid w:val="16807457"/>
    <w:rsid w:val="169E2250"/>
    <w:rsid w:val="16C85527"/>
    <w:rsid w:val="16D74CD6"/>
    <w:rsid w:val="170F1E5F"/>
    <w:rsid w:val="17257CD4"/>
    <w:rsid w:val="172C118C"/>
    <w:rsid w:val="17435EA8"/>
    <w:rsid w:val="1753253D"/>
    <w:rsid w:val="175B077F"/>
    <w:rsid w:val="17701D14"/>
    <w:rsid w:val="17735226"/>
    <w:rsid w:val="178D1BD4"/>
    <w:rsid w:val="17D763AE"/>
    <w:rsid w:val="17EE6876"/>
    <w:rsid w:val="17F454D4"/>
    <w:rsid w:val="1818352B"/>
    <w:rsid w:val="18305B19"/>
    <w:rsid w:val="18434EEB"/>
    <w:rsid w:val="18445A32"/>
    <w:rsid w:val="18551734"/>
    <w:rsid w:val="188440B5"/>
    <w:rsid w:val="1896418D"/>
    <w:rsid w:val="189F624C"/>
    <w:rsid w:val="18A57694"/>
    <w:rsid w:val="191A50C3"/>
    <w:rsid w:val="1949579D"/>
    <w:rsid w:val="195272B5"/>
    <w:rsid w:val="196D4C13"/>
    <w:rsid w:val="196E1D06"/>
    <w:rsid w:val="19A72574"/>
    <w:rsid w:val="19DF187E"/>
    <w:rsid w:val="19E7651C"/>
    <w:rsid w:val="1A096BE1"/>
    <w:rsid w:val="1A1C66C0"/>
    <w:rsid w:val="1A42393B"/>
    <w:rsid w:val="1A4E3EC3"/>
    <w:rsid w:val="1AAD45DE"/>
    <w:rsid w:val="1ADF413A"/>
    <w:rsid w:val="1AFC302B"/>
    <w:rsid w:val="1B046F80"/>
    <w:rsid w:val="1B193047"/>
    <w:rsid w:val="1B3267B5"/>
    <w:rsid w:val="1B40161D"/>
    <w:rsid w:val="1B441859"/>
    <w:rsid w:val="1B466E90"/>
    <w:rsid w:val="1B567A02"/>
    <w:rsid w:val="1B6606B1"/>
    <w:rsid w:val="1B6D3662"/>
    <w:rsid w:val="1B862808"/>
    <w:rsid w:val="1B8B1ED5"/>
    <w:rsid w:val="1BD21EF1"/>
    <w:rsid w:val="1BD2332E"/>
    <w:rsid w:val="1BD545A1"/>
    <w:rsid w:val="1BD9522D"/>
    <w:rsid w:val="1C037628"/>
    <w:rsid w:val="1C0946F5"/>
    <w:rsid w:val="1C0A3E95"/>
    <w:rsid w:val="1C0B7651"/>
    <w:rsid w:val="1C2A2E95"/>
    <w:rsid w:val="1C2B476C"/>
    <w:rsid w:val="1C2D611D"/>
    <w:rsid w:val="1C33249C"/>
    <w:rsid w:val="1C365FDC"/>
    <w:rsid w:val="1C3B6617"/>
    <w:rsid w:val="1C5E7925"/>
    <w:rsid w:val="1C8B0628"/>
    <w:rsid w:val="1CA1001F"/>
    <w:rsid w:val="1CB57848"/>
    <w:rsid w:val="1CB739D9"/>
    <w:rsid w:val="1CBD10D5"/>
    <w:rsid w:val="1CF57C45"/>
    <w:rsid w:val="1CFD070F"/>
    <w:rsid w:val="1D1A76CF"/>
    <w:rsid w:val="1D2F15EA"/>
    <w:rsid w:val="1D461856"/>
    <w:rsid w:val="1D5F6196"/>
    <w:rsid w:val="1D6132A5"/>
    <w:rsid w:val="1D6B7F07"/>
    <w:rsid w:val="1D8E56D5"/>
    <w:rsid w:val="1DA05F5A"/>
    <w:rsid w:val="1DF648C1"/>
    <w:rsid w:val="1E5C6223"/>
    <w:rsid w:val="1E6B1448"/>
    <w:rsid w:val="1E7A43DA"/>
    <w:rsid w:val="1E943A7D"/>
    <w:rsid w:val="1E9D3BAA"/>
    <w:rsid w:val="1EC73FCC"/>
    <w:rsid w:val="1ECA797A"/>
    <w:rsid w:val="1EF32680"/>
    <w:rsid w:val="1F29044B"/>
    <w:rsid w:val="1F395C41"/>
    <w:rsid w:val="1F6B68E4"/>
    <w:rsid w:val="1FAD639E"/>
    <w:rsid w:val="1FE516B8"/>
    <w:rsid w:val="1FE7539E"/>
    <w:rsid w:val="1FEA5A5B"/>
    <w:rsid w:val="20290BA7"/>
    <w:rsid w:val="203A2D2E"/>
    <w:rsid w:val="203D600F"/>
    <w:rsid w:val="20492FFE"/>
    <w:rsid w:val="2050230C"/>
    <w:rsid w:val="20671BE0"/>
    <w:rsid w:val="20703231"/>
    <w:rsid w:val="208E239C"/>
    <w:rsid w:val="20963CB8"/>
    <w:rsid w:val="209F181A"/>
    <w:rsid w:val="20A2038F"/>
    <w:rsid w:val="20A81A1B"/>
    <w:rsid w:val="20A944E7"/>
    <w:rsid w:val="20B07FB6"/>
    <w:rsid w:val="20B646FB"/>
    <w:rsid w:val="213B74B1"/>
    <w:rsid w:val="214B42D7"/>
    <w:rsid w:val="214F7EDA"/>
    <w:rsid w:val="215A2310"/>
    <w:rsid w:val="2170724A"/>
    <w:rsid w:val="21800F93"/>
    <w:rsid w:val="218E0D79"/>
    <w:rsid w:val="21BD142C"/>
    <w:rsid w:val="21D564D2"/>
    <w:rsid w:val="21DE318A"/>
    <w:rsid w:val="21EF5B80"/>
    <w:rsid w:val="2222254D"/>
    <w:rsid w:val="22576990"/>
    <w:rsid w:val="22604E0D"/>
    <w:rsid w:val="226B66AD"/>
    <w:rsid w:val="227143FB"/>
    <w:rsid w:val="22875B75"/>
    <w:rsid w:val="229111DC"/>
    <w:rsid w:val="229E0A15"/>
    <w:rsid w:val="22A60C7B"/>
    <w:rsid w:val="22B12067"/>
    <w:rsid w:val="22B22E0E"/>
    <w:rsid w:val="22C0302B"/>
    <w:rsid w:val="22F14A77"/>
    <w:rsid w:val="22F47480"/>
    <w:rsid w:val="22F96E5E"/>
    <w:rsid w:val="231E77CA"/>
    <w:rsid w:val="233D0F09"/>
    <w:rsid w:val="23683F69"/>
    <w:rsid w:val="236C4DC1"/>
    <w:rsid w:val="23745EEE"/>
    <w:rsid w:val="23A5323C"/>
    <w:rsid w:val="23DE1C48"/>
    <w:rsid w:val="23EE106E"/>
    <w:rsid w:val="23FC313C"/>
    <w:rsid w:val="240210CD"/>
    <w:rsid w:val="241F37F9"/>
    <w:rsid w:val="242B0FAD"/>
    <w:rsid w:val="243C4AE0"/>
    <w:rsid w:val="24637277"/>
    <w:rsid w:val="249247CC"/>
    <w:rsid w:val="24B23D1F"/>
    <w:rsid w:val="24BF09F7"/>
    <w:rsid w:val="24C45F3B"/>
    <w:rsid w:val="24E53B23"/>
    <w:rsid w:val="250C0995"/>
    <w:rsid w:val="252D53FE"/>
    <w:rsid w:val="25726B5A"/>
    <w:rsid w:val="25836DEC"/>
    <w:rsid w:val="259335E5"/>
    <w:rsid w:val="25C86066"/>
    <w:rsid w:val="25D21A45"/>
    <w:rsid w:val="25EC2D81"/>
    <w:rsid w:val="261F09F9"/>
    <w:rsid w:val="2637307C"/>
    <w:rsid w:val="264B4D7A"/>
    <w:rsid w:val="2656106B"/>
    <w:rsid w:val="265C2A37"/>
    <w:rsid w:val="2671712D"/>
    <w:rsid w:val="26744FA7"/>
    <w:rsid w:val="26775510"/>
    <w:rsid w:val="26805873"/>
    <w:rsid w:val="26870408"/>
    <w:rsid w:val="268E266A"/>
    <w:rsid w:val="26A10E3D"/>
    <w:rsid w:val="26B77A91"/>
    <w:rsid w:val="26BA1853"/>
    <w:rsid w:val="26BC7269"/>
    <w:rsid w:val="26C6799D"/>
    <w:rsid w:val="26E36D60"/>
    <w:rsid w:val="26F54019"/>
    <w:rsid w:val="27032EE7"/>
    <w:rsid w:val="270F3107"/>
    <w:rsid w:val="27290738"/>
    <w:rsid w:val="276A1928"/>
    <w:rsid w:val="277057A2"/>
    <w:rsid w:val="2771055C"/>
    <w:rsid w:val="278D1351"/>
    <w:rsid w:val="27C22E19"/>
    <w:rsid w:val="28366771"/>
    <w:rsid w:val="28371D58"/>
    <w:rsid w:val="28893937"/>
    <w:rsid w:val="2894559A"/>
    <w:rsid w:val="28E026ED"/>
    <w:rsid w:val="290F6532"/>
    <w:rsid w:val="291601D6"/>
    <w:rsid w:val="29206EB8"/>
    <w:rsid w:val="293B6651"/>
    <w:rsid w:val="294916C9"/>
    <w:rsid w:val="29522056"/>
    <w:rsid w:val="29595666"/>
    <w:rsid w:val="29874881"/>
    <w:rsid w:val="29A0718A"/>
    <w:rsid w:val="29BB33B3"/>
    <w:rsid w:val="29E325E0"/>
    <w:rsid w:val="29E379DC"/>
    <w:rsid w:val="29FA7267"/>
    <w:rsid w:val="2A452503"/>
    <w:rsid w:val="2A9A4392"/>
    <w:rsid w:val="2A9B04AE"/>
    <w:rsid w:val="2AB3088F"/>
    <w:rsid w:val="2AD73D9F"/>
    <w:rsid w:val="2B0F0BAB"/>
    <w:rsid w:val="2B730D67"/>
    <w:rsid w:val="2B8E42BA"/>
    <w:rsid w:val="2B9540AE"/>
    <w:rsid w:val="2BA936A8"/>
    <w:rsid w:val="2BA947D8"/>
    <w:rsid w:val="2BBA04FD"/>
    <w:rsid w:val="2BEA06BD"/>
    <w:rsid w:val="2C196CCE"/>
    <w:rsid w:val="2C315A5A"/>
    <w:rsid w:val="2C4B1C25"/>
    <w:rsid w:val="2C4B5AD3"/>
    <w:rsid w:val="2C544276"/>
    <w:rsid w:val="2C8510C7"/>
    <w:rsid w:val="2D3A07B8"/>
    <w:rsid w:val="2D4D13D7"/>
    <w:rsid w:val="2D9A1813"/>
    <w:rsid w:val="2D9E56F5"/>
    <w:rsid w:val="2DD815E9"/>
    <w:rsid w:val="2DE14B3F"/>
    <w:rsid w:val="2E0E089C"/>
    <w:rsid w:val="2E615A98"/>
    <w:rsid w:val="2E667F96"/>
    <w:rsid w:val="2E734E6D"/>
    <w:rsid w:val="2E8226AB"/>
    <w:rsid w:val="2E9264D7"/>
    <w:rsid w:val="2E935510"/>
    <w:rsid w:val="2ECE02F6"/>
    <w:rsid w:val="2F4C0CE7"/>
    <w:rsid w:val="2F7A5B35"/>
    <w:rsid w:val="2F862D70"/>
    <w:rsid w:val="2FD065E6"/>
    <w:rsid w:val="2FD96870"/>
    <w:rsid w:val="2FF526C3"/>
    <w:rsid w:val="304B44D1"/>
    <w:rsid w:val="30580BC9"/>
    <w:rsid w:val="307F6D1F"/>
    <w:rsid w:val="3097219C"/>
    <w:rsid w:val="30A5745A"/>
    <w:rsid w:val="30BD6769"/>
    <w:rsid w:val="310B36F9"/>
    <w:rsid w:val="311E2ED7"/>
    <w:rsid w:val="312D1C4B"/>
    <w:rsid w:val="313C3312"/>
    <w:rsid w:val="315619EE"/>
    <w:rsid w:val="315C449C"/>
    <w:rsid w:val="31740D0A"/>
    <w:rsid w:val="31817793"/>
    <w:rsid w:val="318B3E90"/>
    <w:rsid w:val="318B6972"/>
    <w:rsid w:val="31927D46"/>
    <w:rsid w:val="319D671E"/>
    <w:rsid w:val="31B82709"/>
    <w:rsid w:val="31D05482"/>
    <w:rsid w:val="31E47911"/>
    <w:rsid w:val="31E95DE1"/>
    <w:rsid w:val="32261773"/>
    <w:rsid w:val="32400B34"/>
    <w:rsid w:val="325823B4"/>
    <w:rsid w:val="325E7BE3"/>
    <w:rsid w:val="32671504"/>
    <w:rsid w:val="326F0CEE"/>
    <w:rsid w:val="32965AF4"/>
    <w:rsid w:val="329E6876"/>
    <w:rsid w:val="32BF4F68"/>
    <w:rsid w:val="32FA03CD"/>
    <w:rsid w:val="330E6F43"/>
    <w:rsid w:val="332A225F"/>
    <w:rsid w:val="332A7544"/>
    <w:rsid w:val="333015F2"/>
    <w:rsid w:val="334B6320"/>
    <w:rsid w:val="336F02F9"/>
    <w:rsid w:val="33AC5484"/>
    <w:rsid w:val="33D11655"/>
    <w:rsid w:val="33D934D4"/>
    <w:rsid w:val="33FE2F6A"/>
    <w:rsid w:val="340E07E5"/>
    <w:rsid w:val="34235BF7"/>
    <w:rsid w:val="344E64FD"/>
    <w:rsid w:val="34656183"/>
    <w:rsid w:val="346906AC"/>
    <w:rsid w:val="34FE616F"/>
    <w:rsid w:val="3577361D"/>
    <w:rsid w:val="357D4B7F"/>
    <w:rsid w:val="358C5FA8"/>
    <w:rsid w:val="35A10512"/>
    <w:rsid w:val="35C15DF1"/>
    <w:rsid w:val="35C278E8"/>
    <w:rsid w:val="35D3733D"/>
    <w:rsid w:val="35FD6070"/>
    <w:rsid w:val="36037A1D"/>
    <w:rsid w:val="36074A7F"/>
    <w:rsid w:val="361F7202"/>
    <w:rsid w:val="368A620A"/>
    <w:rsid w:val="369167D9"/>
    <w:rsid w:val="36923549"/>
    <w:rsid w:val="36B141A5"/>
    <w:rsid w:val="36B75FBF"/>
    <w:rsid w:val="36BA2642"/>
    <w:rsid w:val="36BD0C45"/>
    <w:rsid w:val="36DA4801"/>
    <w:rsid w:val="36EB18C2"/>
    <w:rsid w:val="36EF6EE9"/>
    <w:rsid w:val="37180CA8"/>
    <w:rsid w:val="374B4BD9"/>
    <w:rsid w:val="3755313F"/>
    <w:rsid w:val="37652D2E"/>
    <w:rsid w:val="376A26F7"/>
    <w:rsid w:val="379472A0"/>
    <w:rsid w:val="37AA20E5"/>
    <w:rsid w:val="37C66D33"/>
    <w:rsid w:val="37E00298"/>
    <w:rsid w:val="380D0152"/>
    <w:rsid w:val="380F5C07"/>
    <w:rsid w:val="386E4E5E"/>
    <w:rsid w:val="387E4591"/>
    <w:rsid w:val="388B0E69"/>
    <w:rsid w:val="389234B4"/>
    <w:rsid w:val="38A30ACD"/>
    <w:rsid w:val="38AD3AE8"/>
    <w:rsid w:val="38B302F9"/>
    <w:rsid w:val="38F12CD3"/>
    <w:rsid w:val="38F94775"/>
    <w:rsid w:val="392971ED"/>
    <w:rsid w:val="392A57BD"/>
    <w:rsid w:val="39325651"/>
    <w:rsid w:val="3986340C"/>
    <w:rsid w:val="399915C1"/>
    <w:rsid w:val="39D54C2E"/>
    <w:rsid w:val="39E07108"/>
    <w:rsid w:val="39E871D0"/>
    <w:rsid w:val="39F44085"/>
    <w:rsid w:val="3A013C75"/>
    <w:rsid w:val="3A125E82"/>
    <w:rsid w:val="3A35391F"/>
    <w:rsid w:val="3A872856"/>
    <w:rsid w:val="3A960F1D"/>
    <w:rsid w:val="3A9B19D4"/>
    <w:rsid w:val="3ADD2134"/>
    <w:rsid w:val="3AE87799"/>
    <w:rsid w:val="3AEB5AF0"/>
    <w:rsid w:val="3B221DDE"/>
    <w:rsid w:val="3B3763D1"/>
    <w:rsid w:val="3B5E56AF"/>
    <w:rsid w:val="3B602C1D"/>
    <w:rsid w:val="3B902C44"/>
    <w:rsid w:val="3BB05953"/>
    <w:rsid w:val="3BED5E35"/>
    <w:rsid w:val="3C2B322B"/>
    <w:rsid w:val="3C2F6E1E"/>
    <w:rsid w:val="3C3417FB"/>
    <w:rsid w:val="3C4741A0"/>
    <w:rsid w:val="3C4E63CC"/>
    <w:rsid w:val="3C4F64BA"/>
    <w:rsid w:val="3C5065B2"/>
    <w:rsid w:val="3C672E6C"/>
    <w:rsid w:val="3C8E5B9D"/>
    <w:rsid w:val="3C94696B"/>
    <w:rsid w:val="3CB72B2D"/>
    <w:rsid w:val="3CDA245A"/>
    <w:rsid w:val="3CDE204C"/>
    <w:rsid w:val="3D1E06B7"/>
    <w:rsid w:val="3D446773"/>
    <w:rsid w:val="3D544B17"/>
    <w:rsid w:val="3D632551"/>
    <w:rsid w:val="3D6668ED"/>
    <w:rsid w:val="3D7B2666"/>
    <w:rsid w:val="3D8C5F4C"/>
    <w:rsid w:val="3DA64B41"/>
    <w:rsid w:val="3DE713D4"/>
    <w:rsid w:val="3DEC2546"/>
    <w:rsid w:val="3E1614C6"/>
    <w:rsid w:val="3E3208A1"/>
    <w:rsid w:val="3E8310FD"/>
    <w:rsid w:val="3E8409D1"/>
    <w:rsid w:val="3E931DCF"/>
    <w:rsid w:val="3EC66625"/>
    <w:rsid w:val="3ECE0AF7"/>
    <w:rsid w:val="3EDA0523"/>
    <w:rsid w:val="3EEC1F3C"/>
    <w:rsid w:val="3EF25FA6"/>
    <w:rsid w:val="3EF26361"/>
    <w:rsid w:val="3F021A8C"/>
    <w:rsid w:val="3F3332ED"/>
    <w:rsid w:val="3F8B7275"/>
    <w:rsid w:val="3F9B5A43"/>
    <w:rsid w:val="3FD221B6"/>
    <w:rsid w:val="400E4466"/>
    <w:rsid w:val="40345D11"/>
    <w:rsid w:val="40366479"/>
    <w:rsid w:val="403F042B"/>
    <w:rsid w:val="404A478F"/>
    <w:rsid w:val="406946FE"/>
    <w:rsid w:val="407A6407"/>
    <w:rsid w:val="407C22A8"/>
    <w:rsid w:val="408B3162"/>
    <w:rsid w:val="40C1308E"/>
    <w:rsid w:val="41351C10"/>
    <w:rsid w:val="416909DF"/>
    <w:rsid w:val="417411D1"/>
    <w:rsid w:val="41D03ED9"/>
    <w:rsid w:val="41D852BC"/>
    <w:rsid w:val="41E20E4D"/>
    <w:rsid w:val="4200449D"/>
    <w:rsid w:val="4202286C"/>
    <w:rsid w:val="42161910"/>
    <w:rsid w:val="422E7DCE"/>
    <w:rsid w:val="423A3BCC"/>
    <w:rsid w:val="424E57D2"/>
    <w:rsid w:val="427D5E63"/>
    <w:rsid w:val="42B26C49"/>
    <w:rsid w:val="42B707FA"/>
    <w:rsid w:val="42F30853"/>
    <w:rsid w:val="43020F43"/>
    <w:rsid w:val="43106CD7"/>
    <w:rsid w:val="43330486"/>
    <w:rsid w:val="43362BE2"/>
    <w:rsid w:val="433A6FE6"/>
    <w:rsid w:val="43480868"/>
    <w:rsid w:val="4350713C"/>
    <w:rsid w:val="436653E0"/>
    <w:rsid w:val="439B1499"/>
    <w:rsid w:val="43AC67FA"/>
    <w:rsid w:val="43BB3A7D"/>
    <w:rsid w:val="43C4431A"/>
    <w:rsid w:val="44532289"/>
    <w:rsid w:val="44A124AD"/>
    <w:rsid w:val="44A17697"/>
    <w:rsid w:val="44B951CC"/>
    <w:rsid w:val="44CD14E0"/>
    <w:rsid w:val="44E973F8"/>
    <w:rsid w:val="44F20B0B"/>
    <w:rsid w:val="452E5F4C"/>
    <w:rsid w:val="45612018"/>
    <w:rsid w:val="458946E9"/>
    <w:rsid w:val="45A47C0E"/>
    <w:rsid w:val="45E70404"/>
    <w:rsid w:val="46084EFB"/>
    <w:rsid w:val="464D763F"/>
    <w:rsid w:val="46577FD6"/>
    <w:rsid w:val="4685178A"/>
    <w:rsid w:val="46872E38"/>
    <w:rsid w:val="46877428"/>
    <w:rsid w:val="46995027"/>
    <w:rsid w:val="469C0FB4"/>
    <w:rsid w:val="46CF5843"/>
    <w:rsid w:val="46D955A7"/>
    <w:rsid w:val="46E03B0C"/>
    <w:rsid w:val="470555BC"/>
    <w:rsid w:val="470C2B94"/>
    <w:rsid w:val="47133957"/>
    <w:rsid w:val="473A07C7"/>
    <w:rsid w:val="473C62ED"/>
    <w:rsid w:val="475705C6"/>
    <w:rsid w:val="475D2C94"/>
    <w:rsid w:val="478C2785"/>
    <w:rsid w:val="478C5E16"/>
    <w:rsid w:val="47A07E0C"/>
    <w:rsid w:val="47AC213C"/>
    <w:rsid w:val="47B36A13"/>
    <w:rsid w:val="47C31886"/>
    <w:rsid w:val="47F75CAA"/>
    <w:rsid w:val="47F77E68"/>
    <w:rsid w:val="47FC3379"/>
    <w:rsid w:val="480A1F47"/>
    <w:rsid w:val="481F4682"/>
    <w:rsid w:val="48484D61"/>
    <w:rsid w:val="4858252B"/>
    <w:rsid w:val="4870272E"/>
    <w:rsid w:val="4876582E"/>
    <w:rsid w:val="49044BE8"/>
    <w:rsid w:val="49064F7E"/>
    <w:rsid w:val="4956154B"/>
    <w:rsid w:val="49564D47"/>
    <w:rsid w:val="49673882"/>
    <w:rsid w:val="49896F2A"/>
    <w:rsid w:val="49897620"/>
    <w:rsid w:val="499B02CA"/>
    <w:rsid w:val="49B82884"/>
    <w:rsid w:val="49D46CB0"/>
    <w:rsid w:val="49DC7715"/>
    <w:rsid w:val="49E32572"/>
    <w:rsid w:val="49EE4998"/>
    <w:rsid w:val="4A023139"/>
    <w:rsid w:val="4A2F023C"/>
    <w:rsid w:val="4A3D2AA8"/>
    <w:rsid w:val="4A592696"/>
    <w:rsid w:val="4A7B576F"/>
    <w:rsid w:val="4A7D10F6"/>
    <w:rsid w:val="4A7D16D7"/>
    <w:rsid w:val="4A8F1AE7"/>
    <w:rsid w:val="4AD74816"/>
    <w:rsid w:val="4AF561A9"/>
    <w:rsid w:val="4B2B3322"/>
    <w:rsid w:val="4B48240C"/>
    <w:rsid w:val="4B736055"/>
    <w:rsid w:val="4B813FF1"/>
    <w:rsid w:val="4B985074"/>
    <w:rsid w:val="4BA56C4D"/>
    <w:rsid w:val="4BD65DD9"/>
    <w:rsid w:val="4BDB3E4B"/>
    <w:rsid w:val="4BDF193C"/>
    <w:rsid w:val="4C0B44E0"/>
    <w:rsid w:val="4C123AC0"/>
    <w:rsid w:val="4C49178B"/>
    <w:rsid w:val="4C4A0649"/>
    <w:rsid w:val="4C5E4AB8"/>
    <w:rsid w:val="4C660CD0"/>
    <w:rsid w:val="4C7E5ECA"/>
    <w:rsid w:val="4C80133E"/>
    <w:rsid w:val="4C866811"/>
    <w:rsid w:val="4C876AA5"/>
    <w:rsid w:val="4C9A32E4"/>
    <w:rsid w:val="4CA926B3"/>
    <w:rsid w:val="4CFB257A"/>
    <w:rsid w:val="4D034AFF"/>
    <w:rsid w:val="4D043409"/>
    <w:rsid w:val="4D0D6D33"/>
    <w:rsid w:val="4D0E00FB"/>
    <w:rsid w:val="4D176606"/>
    <w:rsid w:val="4D8A472A"/>
    <w:rsid w:val="4DA23DB2"/>
    <w:rsid w:val="4DA4585D"/>
    <w:rsid w:val="4DB56DF9"/>
    <w:rsid w:val="4DBA61BD"/>
    <w:rsid w:val="4DD77961"/>
    <w:rsid w:val="4DDE4FD1"/>
    <w:rsid w:val="4DEC4FB0"/>
    <w:rsid w:val="4DF80A94"/>
    <w:rsid w:val="4DFE1BA3"/>
    <w:rsid w:val="4E031879"/>
    <w:rsid w:val="4E075D8A"/>
    <w:rsid w:val="4E2807AC"/>
    <w:rsid w:val="4E312B57"/>
    <w:rsid w:val="4E361CE8"/>
    <w:rsid w:val="4E7A0F88"/>
    <w:rsid w:val="4EA4466E"/>
    <w:rsid w:val="4EA55AD7"/>
    <w:rsid w:val="4EC00FAD"/>
    <w:rsid w:val="4EC9205C"/>
    <w:rsid w:val="4F1A33B7"/>
    <w:rsid w:val="4F4C2BD5"/>
    <w:rsid w:val="4F9843DC"/>
    <w:rsid w:val="4FC62A8C"/>
    <w:rsid w:val="4FCE7CFE"/>
    <w:rsid w:val="4FE20F0D"/>
    <w:rsid w:val="4FE51552"/>
    <w:rsid w:val="502F4C40"/>
    <w:rsid w:val="50340A87"/>
    <w:rsid w:val="50437227"/>
    <w:rsid w:val="50504C4B"/>
    <w:rsid w:val="505958AE"/>
    <w:rsid w:val="509C6E7C"/>
    <w:rsid w:val="50AC64D2"/>
    <w:rsid w:val="50B12EF2"/>
    <w:rsid w:val="50C8631B"/>
    <w:rsid w:val="50C97A31"/>
    <w:rsid w:val="50EB131B"/>
    <w:rsid w:val="510843F7"/>
    <w:rsid w:val="513477AD"/>
    <w:rsid w:val="513D7416"/>
    <w:rsid w:val="5162104E"/>
    <w:rsid w:val="51697489"/>
    <w:rsid w:val="51906A2C"/>
    <w:rsid w:val="51934A1B"/>
    <w:rsid w:val="519531C9"/>
    <w:rsid w:val="51981AD3"/>
    <w:rsid w:val="51BF6D7C"/>
    <w:rsid w:val="51DC0DF8"/>
    <w:rsid w:val="51E33B57"/>
    <w:rsid w:val="51E73564"/>
    <w:rsid w:val="51F86C14"/>
    <w:rsid w:val="520003B7"/>
    <w:rsid w:val="522675AD"/>
    <w:rsid w:val="522725CD"/>
    <w:rsid w:val="529560A5"/>
    <w:rsid w:val="529E42FF"/>
    <w:rsid w:val="529F6240"/>
    <w:rsid w:val="52A37AE3"/>
    <w:rsid w:val="52A84895"/>
    <w:rsid w:val="52AB4326"/>
    <w:rsid w:val="52DB2E5E"/>
    <w:rsid w:val="52DE19F1"/>
    <w:rsid w:val="52F00999"/>
    <w:rsid w:val="52F22D15"/>
    <w:rsid w:val="530F1A2B"/>
    <w:rsid w:val="5310259B"/>
    <w:rsid w:val="534D3FC9"/>
    <w:rsid w:val="535259D1"/>
    <w:rsid w:val="535B3F9E"/>
    <w:rsid w:val="5382049C"/>
    <w:rsid w:val="539F06DD"/>
    <w:rsid w:val="53A039CC"/>
    <w:rsid w:val="53A1505A"/>
    <w:rsid w:val="53CE259B"/>
    <w:rsid w:val="53F65D8F"/>
    <w:rsid w:val="53FD1CB9"/>
    <w:rsid w:val="54063E08"/>
    <w:rsid w:val="543437E8"/>
    <w:rsid w:val="5454463D"/>
    <w:rsid w:val="54681B9B"/>
    <w:rsid w:val="548C7821"/>
    <w:rsid w:val="54BD4391"/>
    <w:rsid w:val="54C61C77"/>
    <w:rsid w:val="54C81BA1"/>
    <w:rsid w:val="54DA7145"/>
    <w:rsid w:val="54DE1DBE"/>
    <w:rsid w:val="54F73313"/>
    <w:rsid w:val="54F75F49"/>
    <w:rsid w:val="54F80955"/>
    <w:rsid w:val="5511754C"/>
    <w:rsid w:val="55372261"/>
    <w:rsid w:val="555170A7"/>
    <w:rsid w:val="556F5ADF"/>
    <w:rsid w:val="557B664C"/>
    <w:rsid w:val="558362AD"/>
    <w:rsid w:val="5585699E"/>
    <w:rsid w:val="5587536D"/>
    <w:rsid w:val="559B174B"/>
    <w:rsid w:val="55A13269"/>
    <w:rsid w:val="55CE0CF4"/>
    <w:rsid w:val="561007A3"/>
    <w:rsid w:val="56184015"/>
    <w:rsid w:val="561B7A15"/>
    <w:rsid w:val="566D2D0F"/>
    <w:rsid w:val="567F1D52"/>
    <w:rsid w:val="56B22A9C"/>
    <w:rsid w:val="56D62C0B"/>
    <w:rsid w:val="56E43766"/>
    <w:rsid w:val="56F75D8C"/>
    <w:rsid w:val="57340028"/>
    <w:rsid w:val="575042AB"/>
    <w:rsid w:val="575A005E"/>
    <w:rsid w:val="5772654C"/>
    <w:rsid w:val="5778511F"/>
    <w:rsid w:val="57982D43"/>
    <w:rsid w:val="57B72A76"/>
    <w:rsid w:val="57C3426C"/>
    <w:rsid w:val="57CE1F93"/>
    <w:rsid w:val="583946A2"/>
    <w:rsid w:val="58626734"/>
    <w:rsid w:val="586B18AB"/>
    <w:rsid w:val="587269B8"/>
    <w:rsid w:val="5880033D"/>
    <w:rsid w:val="588743D1"/>
    <w:rsid w:val="5887701A"/>
    <w:rsid w:val="58A10CF4"/>
    <w:rsid w:val="58C96367"/>
    <w:rsid w:val="58D1771E"/>
    <w:rsid w:val="58D5560E"/>
    <w:rsid w:val="58EA59DD"/>
    <w:rsid w:val="58F5279F"/>
    <w:rsid w:val="591770DD"/>
    <w:rsid w:val="59260BAB"/>
    <w:rsid w:val="594124F2"/>
    <w:rsid w:val="594B22F7"/>
    <w:rsid w:val="5954711E"/>
    <w:rsid w:val="59A62872"/>
    <w:rsid w:val="59C0439F"/>
    <w:rsid w:val="5A15543D"/>
    <w:rsid w:val="5A311041"/>
    <w:rsid w:val="5A58622F"/>
    <w:rsid w:val="5A740E70"/>
    <w:rsid w:val="5A7A3942"/>
    <w:rsid w:val="5ABE2233"/>
    <w:rsid w:val="5AC4452C"/>
    <w:rsid w:val="5AE03DE2"/>
    <w:rsid w:val="5B175459"/>
    <w:rsid w:val="5B416E01"/>
    <w:rsid w:val="5B442ECC"/>
    <w:rsid w:val="5B543648"/>
    <w:rsid w:val="5B84111B"/>
    <w:rsid w:val="5B841BB9"/>
    <w:rsid w:val="5B9A056E"/>
    <w:rsid w:val="5BCD63FA"/>
    <w:rsid w:val="5BDF472E"/>
    <w:rsid w:val="5BDF5D95"/>
    <w:rsid w:val="5BFE7528"/>
    <w:rsid w:val="5C0056E3"/>
    <w:rsid w:val="5C1C709E"/>
    <w:rsid w:val="5C291CF2"/>
    <w:rsid w:val="5C4062FE"/>
    <w:rsid w:val="5C415A2F"/>
    <w:rsid w:val="5C454916"/>
    <w:rsid w:val="5C5F4CC0"/>
    <w:rsid w:val="5C8E4600"/>
    <w:rsid w:val="5CB520E2"/>
    <w:rsid w:val="5CCE2146"/>
    <w:rsid w:val="5D1A213D"/>
    <w:rsid w:val="5D207DB2"/>
    <w:rsid w:val="5D2F3431"/>
    <w:rsid w:val="5D312C13"/>
    <w:rsid w:val="5D3A61FC"/>
    <w:rsid w:val="5D3F048D"/>
    <w:rsid w:val="5D55249D"/>
    <w:rsid w:val="5D665894"/>
    <w:rsid w:val="5D8B1C82"/>
    <w:rsid w:val="5DA054D4"/>
    <w:rsid w:val="5DE05B43"/>
    <w:rsid w:val="5DE72762"/>
    <w:rsid w:val="5DF44984"/>
    <w:rsid w:val="5E08346B"/>
    <w:rsid w:val="5E2467F1"/>
    <w:rsid w:val="5E355B65"/>
    <w:rsid w:val="5E4775F9"/>
    <w:rsid w:val="5E641B27"/>
    <w:rsid w:val="5EC1523E"/>
    <w:rsid w:val="5ED05841"/>
    <w:rsid w:val="5EEE1C32"/>
    <w:rsid w:val="5EF0333D"/>
    <w:rsid w:val="5F1A2B43"/>
    <w:rsid w:val="5F291388"/>
    <w:rsid w:val="5F5C5FB8"/>
    <w:rsid w:val="5F73286E"/>
    <w:rsid w:val="5F77036A"/>
    <w:rsid w:val="5F906296"/>
    <w:rsid w:val="5FB837BB"/>
    <w:rsid w:val="5FD62FB0"/>
    <w:rsid w:val="5FE84E0C"/>
    <w:rsid w:val="600A593F"/>
    <w:rsid w:val="602A542F"/>
    <w:rsid w:val="604E1113"/>
    <w:rsid w:val="60A05AA7"/>
    <w:rsid w:val="60A93CA2"/>
    <w:rsid w:val="60CA4511"/>
    <w:rsid w:val="60CC405A"/>
    <w:rsid w:val="612147E3"/>
    <w:rsid w:val="612B5B56"/>
    <w:rsid w:val="61722BDF"/>
    <w:rsid w:val="618E2CA7"/>
    <w:rsid w:val="61912EB7"/>
    <w:rsid w:val="61A23363"/>
    <w:rsid w:val="61C45941"/>
    <w:rsid w:val="61E215D8"/>
    <w:rsid w:val="62007B70"/>
    <w:rsid w:val="621B3775"/>
    <w:rsid w:val="62364782"/>
    <w:rsid w:val="62775FD3"/>
    <w:rsid w:val="62ED4E82"/>
    <w:rsid w:val="63186DD7"/>
    <w:rsid w:val="63266ADD"/>
    <w:rsid w:val="63512AAE"/>
    <w:rsid w:val="63753FEA"/>
    <w:rsid w:val="637F3DB5"/>
    <w:rsid w:val="63863C72"/>
    <w:rsid w:val="6394356A"/>
    <w:rsid w:val="63C61B2C"/>
    <w:rsid w:val="63C97DEF"/>
    <w:rsid w:val="63D40BE9"/>
    <w:rsid w:val="64102431"/>
    <w:rsid w:val="641B1AB6"/>
    <w:rsid w:val="64460353"/>
    <w:rsid w:val="64562060"/>
    <w:rsid w:val="648077E9"/>
    <w:rsid w:val="64A5243A"/>
    <w:rsid w:val="64B704C7"/>
    <w:rsid w:val="64C4082C"/>
    <w:rsid w:val="64F15164"/>
    <w:rsid w:val="64F531DE"/>
    <w:rsid w:val="651E4E2C"/>
    <w:rsid w:val="65202952"/>
    <w:rsid w:val="65373578"/>
    <w:rsid w:val="655979B3"/>
    <w:rsid w:val="65B72748"/>
    <w:rsid w:val="65EB0A71"/>
    <w:rsid w:val="6631106F"/>
    <w:rsid w:val="663E5786"/>
    <w:rsid w:val="664D7777"/>
    <w:rsid w:val="666230FE"/>
    <w:rsid w:val="669F1DBD"/>
    <w:rsid w:val="66C739CD"/>
    <w:rsid w:val="66E1315A"/>
    <w:rsid w:val="67057ED3"/>
    <w:rsid w:val="671F124A"/>
    <w:rsid w:val="675114D5"/>
    <w:rsid w:val="675E02F4"/>
    <w:rsid w:val="677A33C6"/>
    <w:rsid w:val="677F0E4B"/>
    <w:rsid w:val="67AF1731"/>
    <w:rsid w:val="67D26C1E"/>
    <w:rsid w:val="67DB7ECC"/>
    <w:rsid w:val="67E45EB9"/>
    <w:rsid w:val="681F6961"/>
    <w:rsid w:val="68576098"/>
    <w:rsid w:val="68610A2F"/>
    <w:rsid w:val="687311F7"/>
    <w:rsid w:val="687F3E33"/>
    <w:rsid w:val="68805514"/>
    <w:rsid w:val="68CD7005"/>
    <w:rsid w:val="68DB3760"/>
    <w:rsid w:val="68F17409"/>
    <w:rsid w:val="68FC2E16"/>
    <w:rsid w:val="69016322"/>
    <w:rsid w:val="69160588"/>
    <w:rsid w:val="692F3AEF"/>
    <w:rsid w:val="69316E2F"/>
    <w:rsid w:val="694E2071"/>
    <w:rsid w:val="69766163"/>
    <w:rsid w:val="697A3B33"/>
    <w:rsid w:val="69A4135A"/>
    <w:rsid w:val="69B40FA7"/>
    <w:rsid w:val="69BB4A31"/>
    <w:rsid w:val="69D44760"/>
    <w:rsid w:val="69DD72B8"/>
    <w:rsid w:val="69FA19C4"/>
    <w:rsid w:val="6A062A5C"/>
    <w:rsid w:val="6A0E7459"/>
    <w:rsid w:val="6A2D3924"/>
    <w:rsid w:val="6A520EC7"/>
    <w:rsid w:val="6A8F6FA8"/>
    <w:rsid w:val="6A916769"/>
    <w:rsid w:val="6AAF2E61"/>
    <w:rsid w:val="6AB029CA"/>
    <w:rsid w:val="6ACE4BFE"/>
    <w:rsid w:val="6AF87E20"/>
    <w:rsid w:val="6B1228CA"/>
    <w:rsid w:val="6B2E6A29"/>
    <w:rsid w:val="6B322639"/>
    <w:rsid w:val="6B324D28"/>
    <w:rsid w:val="6B852203"/>
    <w:rsid w:val="6BBA6001"/>
    <w:rsid w:val="6BBB5183"/>
    <w:rsid w:val="6BE12CE0"/>
    <w:rsid w:val="6BEF7027"/>
    <w:rsid w:val="6C032026"/>
    <w:rsid w:val="6C636C38"/>
    <w:rsid w:val="6C745D41"/>
    <w:rsid w:val="6CA976D1"/>
    <w:rsid w:val="6CE626D3"/>
    <w:rsid w:val="6CFE17CB"/>
    <w:rsid w:val="6D0E1C0B"/>
    <w:rsid w:val="6D2A5BD4"/>
    <w:rsid w:val="6D3E42BD"/>
    <w:rsid w:val="6DB17E22"/>
    <w:rsid w:val="6DB34098"/>
    <w:rsid w:val="6DB545B6"/>
    <w:rsid w:val="6DB55B14"/>
    <w:rsid w:val="6DB5650A"/>
    <w:rsid w:val="6DDF3EE6"/>
    <w:rsid w:val="6DE02FB4"/>
    <w:rsid w:val="6E0077C5"/>
    <w:rsid w:val="6E09443E"/>
    <w:rsid w:val="6E514CED"/>
    <w:rsid w:val="6EAF3150"/>
    <w:rsid w:val="6EB02F99"/>
    <w:rsid w:val="6EB563D5"/>
    <w:rsid w:val="6EC425A0"/>
    <w:rsid w:val="6ED92677"/>
    <w:rsid w:val="6EDE4ED4"/>
    <w:rsid w:val="6EF32F0B"/>
    <w:rsid w:val="6F0128CB"/>
    <w:rsid w:val="6F225983"/>
    <w:rsid w:val="6F2C667A"/>
    <w:rsid w:val="6F3540DE"/>
    <w:rsid w:val="6F4C5258"/>
    <w:rsid w:val="6F8C57B4"/>
    <w:rsid w:val="6FFC5590"/>
    <w:rsid w:val="70020B3E"/>
    <w:rsid w:val="70031191"/>
    <w:rsid w:val="70087D92"/>
    <w:rsid w:val="700C58DB"/>
    <w:rsid w:val="702F3C2A"/>
    <w:rsid w:val="70552EB3"/>
    <w:rsid w:val="705919D8"/>
    <w:rsid w:val="706D1DD0"/>
    <w:rsid w:val="70856B87"/>
    <w:rsid w:val="708B1709"/>
    <w:rsid w:val="70A33376"/>
    <w:rsid w:val="70D37F7A"/>
    <w:rsid w:val="70D527EE"/>
    <w:rsid w:val="70D6234D"/>
    <w:rsid w:val="711B1EDA"/>
    <w:rsid w:val="715B5300"/>
    <w:rsid w:val="716702DC"/>
    <w:rsid w:val="716F7F4F"/>
    <w:rsid w:val="717447CC"/>
    <w:rsid w:val="71916933"/>
    <w:rsid w:val="71D27F8A"/>
    <w:rsid w:val="71F32804"/>
    <w:rsid w:val="720451A0"/>
    <w:rsid w:val="722008EA"/>
    <w:rsid w:val="72251DA9"/>
    <w:rsid w:val="723E5C7D"/>
    <w:rsid w:val="72414103"/>
    <w:rsid w:val="72451C4A"/>
    <w:rsid w:val="72553024"/>
    <w:rsid w:val="72700DA9"/>
    <w:rsid w:val="728146F9"/>
    <w:rsid w:val="728E5932"/>
    <w:rsid w:val="72930C07"/>
    <w:rsid w:val="72AE4E74"/>
    <w:rsid w:val="72CD6B9D"/>
    <w:rsid w:val="72D520DF"/>
    <w:rsid w:val="72F9620D"/>
    <w:rsid w:val="73122968"/>
    <w:rsid w:val="731F5D5E"/>
    <w:rsid w:val="73373C88"/>
    <w:rsid w:val="73393772"/>
    <w:rsid w:val="734133CD"/>
    <w:rsid w:val="734E66AD"/>
    <w:rsid w:val="735D15AC"/>
    <w:rsid w:val="737C3D0C"/>
    <w:rsid w:val="73B23BDF"/>
    <w:rsid w:val="73C51AD5"/>
    <w:rsid w:val="73EF5247"/>
    <w:rsid w:val="741E5936"/>
    <w:rsid w:val="741E793C"/>
    <w:rsid w:val="74202FAF"/>
    <w:rsid w:val="744715E0"/>
    <w:rsid w:val="745E3944"/>
    <w:rsid w:val="745F06B4"/>
    <w:rsid w:val="747F7763"/>
    <w:rsid w:val="74831295"/>
    <w:rsid w:val="74A20598"/>
    <w:rsid w:val="74BB72CE"/>
    <w:rsid w:val="74DE2EA8"/>
    <w:rsid w:val="750607B3"/>
    <w:rsid w:val="75313317"/>
    <w:rsid w:val="757E0598"/>
    <w:rsid w:val="757F5942"/>
    <w:rsid w:val="75912795"/>
    <w:rsid w:val="75F11A55"/>
    <w:rsid w:val="760616F0"/>
    <w:rsid w:val="7635099D"/>
    <w:rsid w:val="76731E81"/>
    <w:rsid w:val="76734D57"/>
    <w:rsid w:val="767A56F3"/>
    <w:rsid w:val="76BA3D05"/>
    <w:rsid w:val="76C770D1"/>
    <w:rsid w:val="76D17D11"/>
    <w:rsid w:val="76E175D9"/>
    <w:rsid w:val="76F81981"/>
    <w:rsid w:val="7706354C"/>
    <w:rsid w:val="77512E3F"/>
    <w:rsid w:val="775346CC"/>
    <w:rsid w:val="77762421"/>
    <w:rsid w:val="778A0953"/>
    <w:rsid w:val="779B471B"/>
    <w:rsid w:val="77A8625B"/>
    <w:rsid w:val="77B56B1F"/>
    <w:rsid w:val="77BD2AA6"/>
    <w:rsid w:val="77BE6726"/>
    <w:rsid w:val="77C32020"/>
    <w:rsid w:val="77EE1675"/>
    <w:rsid w:val="780D0A7D"/>
    <w:rsid w:val="780F09F4"/>
    <w:rsid w:val="781A5362"/>
    <w:rsid w:val="783B1B25"/>
    <w:rsid w:val="785250C1"/>
    <w:rsid w:val="78544759"/>
    <w:rsid w:val="78562AE5"/>
    <w:rsid w:val="78A90480"/>
    <w:rsid w:val="78AA68AE"/>
    <w:rsid w:val="78E50A38"/>
    <w:rsid w:val="790E46D6"/>
    <w:rsid w:val="792C3B64"/>
    <w:rsid w:val="793B0B1F"/>
    <w:rsid w:val="796930E2"/>
    <w:rsid w:val="798B393A"/>
    <w:rsid w:val="79EA4244"/>
    <w:rsid w:val="79FA6828"/>
    <w:rsid w:val="79FF23A7"/>
    <w:rsid w:val="7A15284A"/>
    <w:rsid w:val="7A24483B"/>
    <w:rsid w:val="7A364017"/>
    <w:rsid w:val="7A67448F"/>
    <w:rsid w:val="7A707A80"/>
    <w:rsid w:val="7A8265E1"/>
    <w:rsid w:val="7A8D5034"/>
    <w:rsid w:val="7A97500D"/>
    <w:rsid w:val="7A9A70B7"/>
    <w:rsid w:val="7AB11C08"/>
    <w:rsid w:val="7AB472F9"/>
    <w:rsid w:val="7AF51140"/>
    <w:rsid w:val="7AF72E69"/>
    <w:rsid w:val="7B686D42"/>
    <w:rsid w:val="7B7E241A"/>
    <w:rsid w:val="7B841746"/>
    <w:rsid w:val="7B9E7DE5"/>
    <w:rsid w:val="7BB81AB6"/>
    <w:rsid w:val="7BC23BCC"/>
    <w:rsid w:val="7BD71EF6"/>
    <w:rsid w:val="7BD84C48"/>
    <w:rsid w:val="7C1363A1"/>
    <w:rsid w:val="7C170F86"/>
    <w:rsid w:val="7C1B096B"/>
    <w:rsid w:val="7C3E04B9"/>
    <w:rsid w:val="7C5378DF"/>
    <w:rsid w:val="7C6C5AC7"/>
    <w:rsid w:val="7CC6544B"/>
    <w:rsid w:val="7D0239FF"/>
    <w:rsid w:val="7D070A35"/>
    <w:rsid w:val="7D120A2E"/>
    <w:rsid w:val="7D1F7C67"/>
    <w:rsid w:val="7D347E75"/>
    <w:rsid w:val="7D3659E0"/>
    <w:rsid w:val="7D5E40CD"/>
    <w:rsid w:val="7DC341E2"/>
    <w:rsid w:val="7DCD56F2"/>
    <w:rsid w:val="7E5013F8"/>
    <w:rsid w:val="7E6B5FE5"/>
    <w:rsid w:val="7E82573D"/>
    <w:rsid w:val="7E9A53E2"/>
    <w:rsid w:val="7EB70717"/>
    <w:rsid w:val="7EE03F12"/>
    <w:rsid w:val="7EE63C37"/>
    <w:rsid w:val="7EF20409"/>
    <w:rsid w:val="7F001CE7"/>
    <w:rsid w:val="7F214B1B"/>
    <w:rsid w:val="7F231565"/>
    <w:rsid w:val="7F943BFD"/>
    <w:rsid w:val="7FB27E34"/>
    <w:rsid w:val="7FBD4D35"/>
    <w:rsid w:val="7FE47E50"/>
    <w:rsid w:val="7FE64A6C"/>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22"/>
    <w:qFormat/>
    <w:locked/>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paragraph" w:styleId="5">
    <w:name w:val="heading 3"/>
    <w:basedOn w:val="1"/>
    <w:next w:val="1"/>
    <w:qFormat/>
    <w:locked/>
    <w:uiPriority w:val="0"/>
    <w:pPr>
      <w:keepNext/>
      <w:keepLines/>
      <w:spacing w:before="260" w:after="260" w:line="416" w:lineRule="auto"/>
      <w:outlineLvl w:val="2"/>
    </w:pPr>
    <w:rPr>
      <w:rFonts w:ascii="Times New Roman"/>
      <w:b/>
      <w:bCs/>
      <w:sz w:val="32"/>
      <w:szCs w:val="32"/>
    </w:rPr>
  </w:style>
  <w:style w:type="paragraph" w:styleId="6">
    <w:name w:val="heading 4"/>
    <w:basedOn w:val="1"/>
    <w:next w:val="1"/>
    <w:unhideWhenUsed/>
    <w:qFormat/>
    <w:locked/>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2">
    <w:name w:val="Body Text Indent"/>
    <w:basedOn w:val="1"/>
    <w:next w:val="1"/>
    <w:link w:val="25"/>
    <w:qFormat/>
    <w:uiPriority w:val="0"/>
    <w:pPr>
      <w:spacing w:after="120"/>
      <w:ind w:left="420" w:leftChars="200"/>
    </w:pPr>
    <w:rPr>
      <w:kern w:val="0"/>
      <w:sz w:val="24"/>
      <w:szCs w:val="20"/>
    </w:rPr>
  </w:style>
  <w:style w:type="paragraph" w:styleId="7">
    <w:name w:val="annotation text"/>
    <w:basedOn w:val="1"/>
    <w:link w:val="23"/>
    <w:semiHidden/>
    <w:qFormat/>
    <w:uiPriority w:val="0"/>
    <w:pPr>
      <w:jc w:val="left"/>
    </w:pPr>
    <w:rPr>
      <w:kern w:val="0"/>
      <w:sz w:val="24"/>
      <w:szCs w:val="20"/>
    </w:rPr>
  </w:style>
  <w:style w:type="paragraph" w:styleId="8">
    <w:name w:val="Body Text"/>
    <w:basedOn w:val="1"/>
    <w:link w:val="24"/>
    <w:qFormat/>
    <w:uiPriority w:val="0"/>
    <w:pPr>
      <w:widowControl/>
      <w:snapToGrid w:val="0"/>
      <w:spacing w:before="60" w:after="160" w:line="259" w:lineRule="auto"/>
      <w:ind w:right="113"/>
    </w:pPr>
    <w:rPr>
      <w:kern w:val="0"/>
      <w:sz w:val="18"/>
      <w:szCs w:val="20"/>
    </w:rPr>
  </w:style>
  <w:style w:type="paragraph" w:styleId="9">
    <w:name w:val="Date"/>
    <w:basedOn w:val="1"/>
    <w:next w:val="1"/>
    <w:link w:val="26"/>
    <w:qFormat/>
    <w:uiPriority w:val="0"/>
    <w:pPr>
      <w:ind w:left="100" w:leftChars="2500"/>
    </w:pPr>
    <w:rPr>
      <w:kern w:val="0"/>
      <w:sz w:val="24"/>
      <w:szCs w:val="20"/>
    </w:rPr>
  </w:style>
  <w:style w:type="paragraph" w:styleId="10">
    <w:name w:val="Balloon Text"/>
    <w:basedOn w:val="1"/>
    <w:link w:val="27"/>
    <w:semiHidden/>
    <w:qFormat/>
    <w:uiPriority w:val="0"/>
    <w:rPr>
      <w:kern w:val="0"/>
      <w:sz w:val="18"/>
      <w:szCs w:val="20"/>
    </w:rPr>
  </w:style>
  <w:style w:type="paragraph" w:styleId="11">
    <w:name w:val="footer"/>
    <w:basedOn w:val="1"/>
    <w:link w:val="28"/>
    <w:qFormat/>
    <w:uiPriority w:val="99"/>
    <w:pPr>
      <w:tabs>
        <w:tab w:val="center" w:pos="4153"/>
        <w:tab w:val="right" w:pos="8306"/>
      </w:tabs>
      <w:snapToGrid w:val="0"/>
      <w:jc w:val="left"/>
    </w:pPr>
    <w:rPr>
      <w:kern w:val="0"/>
      <w:sz w:val="18"/>
      <w:szCs w:val="20"/>
    </w:rPr>
  </w:style>
  <w:style w:type="paragraph" w:styleId="12">
    <w:name w:val="header"/>
    <w:basedOn w:val="1"/>
    <w:link w:val="29"/>
    <w:qFormat/>
    <w:uiPriority w:val="0"/>
    <w:pPr>
      <w:pBdr>
        <w:bottom w:val="single" w:color="auto" w:sz="6" w:space="1"/>
      </w:pBdr>
      <w:tabs>
        <w:tab w:val="center" w:pos="4153"/>
        <w:tab w:val="right" w:pos="8306"/>
      </w:tabs>
      <w:snapToGrid w:val="0"/>
      <w:jc w:val="center"/>
    </w:pPr>
    <w:rPr>
      <w:kern w:val="0"/>
      <w:sz w:val="18"/>
      <w:szCs w:val="20"/>
    </w:rPr>
  </w:style>
  <w:style w:type="paragraph" w:styleId="13">
    <w:name w:val="Normal (Web)"/>
    <w:basedOn w:val="1"/>
    <w:link w:val="30"/>
    <w:qFormat/>
    <w:uiPriority w:val="0"/>
    <w:pPr>
      <w:widowControl/>
      <w:spacing w:before="100" w:beforeAutospacing="1" w:after="100" w:afterAutospacing="1"/>
      <w:jc w:val="left"/>
    </w:pPr>
    <w:rPr>
      <w:rFonts w:ascii="宋体" w:hAnsi="宋体"/>
      <w:kern w:val="0"/>
      <w:sz w:val="24"/>
      <w:szCs w:val="20"/>
    </w:rPr>
  </w:style>
  <w:style w:type="paragraph" w:styleId="14">
    <w:name w:val="annotation subject"/>
    <w:basedOn w:val="7"/>
    <w:next w:val="7"/>
    <w:link w:val="31"/>
    <w:semiHidden/>
    <w:qFormat/>
    <w:uiPriority w:val="0"/>
    <w:rPr>
      <w:b/>
      <w:sz w:val="24"/>
      <w:szCs w:val="20"/>
    </w:rPr>
  </w:style>
  <w:style w:type="paragraph" w:styleId="15">
    <w:name w:val="Body Text First Indent"/>
    <w:basedOn w:val="8"/>
    <w:next w:val="1"/>
    <w:qFormat/>
    <w:locked/>
    <w:uiPriority w:val="0"/>
    <w:pPr>
      <w:spacing w:line="240" w:lineRule="auto"/>
      <w:ind w:firstLine="420" w:firstLineChars="100"/>
    </w:pPr>
    <w:rPr>
      <w:sz w:val="21"/>
    </w:rPr>
  </w:style>
  <w:style w:type="paragraph" w:styleId="16">
    <w:name w:val="Body Text First Indent 2"/>
    <w:basedOn w:val="2"/>
    <w:next w:val="1"/>
    <w:qFormat/>
    <w:locked/>
    <w:uiPriority w:val="0"/>
    <w:pPr>
      <w:ind w:firstLine="420"/>
    </w:pPr>
  </w:style>
  <w:style w:type="table" w:styleId="18">
    <w:name w:val="Table Grid"/>
    <w:basedOn w:val="17"/>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page number"/>
    <w:basedOn w:val="19"/>
    <w:qFormat/>
    <w:locked/>
    <w:uiPriority w:val="0"/>
  </w:style>
  <w:style w:type="character" w:styleId="21">
    <w:name w:val="annotation reference"/>
    <w:semiHidden/>
    <w:qFormat/>
    <w:uiPriority w:val="0"/>
    <w:rPr>
      <w:sz w:val="21"/>
    </w:rPr>
  </w:style>
  <w:style w:type="character" w:customStyle="1" w:styleId="22">
    <w:name w:val="标题 2 Char"/>
    <w:link w:val="4"/>
    <w:qFormat/>
    <w:uiPriority w:val="0"/>
    <w:rPr>
      <w:rFonts w:hint="eastAsia" w:ascii="宋体" w:hAnsi="宋体" w:eastAsia="宋体" w:cs="宋体"/>
      <w:b/>
      <w:bCs/>
      <w:kern w:val="0"/>
      <w:sz w:val="36"/>
      <w:szCs w:val="36"/>
      <w:lang w:val="en-US" w:eastAsia="zh-CN" w:bidi="ar"/>
    </w:rPr>
  </w:style>
  <w:style w:type="character" w:customStyle="1" w:styleId="23">
    <w:name w:val="批注文字 Char"/>
    <w:link w:val="7"/>
    <w:qFormat/>
    <w:locked/>
    <w:uiPriority w:val="0"/>
    <w:rPr>
      <w:rFonts w:ascii="Times New Roman" w:hAnsi="Times New Roman" w:eastAsia="宋体"/>
      <w:sz w:val="24"/>
    </w:rPr>
  </w:style>
  <w:style w:type="character" w:customStyle="1" w:styleId="24">
    <w:name w:val="正文文本 Char"/>
    <w:link w:val="8"/>
    <w:qFormat/>
    <w:locked/>
    <w:uiPriority w:val="0"/>
    <w:rPr>
      <w:sz w:val="18"/>
    </w:rPr>
  </w:style>
  <w:style w:type="character" w:customStyle="1" w:styleId="25">
    <w:name w:val="正文文本缩进 Char"/>
    <w:link w:val="2"/>
    <w:semiHidden/>
    <w:qFormat/>
    <w:locked/>
    <w:uiPriority w:val="0"/>
    <w:rPr>
      <w:rFonts w:ascii="Times New Roman" w:hAnsi="Times New Roman" w:eastAsia="宋体"/>
      <w:sz w:val="24"/>
    </w:rPr>
  </w:style>
  <w:style w:type="character" w:customStyle="1" w:styleId="26">
    <w:name w:val="日期 Char"/>
    <w:link w:val="9"/>
    <w:qFormat/>
    <w:locked/>
    <w:uiPriority w:val="0"/>
    <w:rPr>
      <w:rFonts w:ascii="Times New Roman" w:hAnsi="Times New Roman" w:eastAsia="宋体"/>
      <w:sz w:val="24"/>
    </w:rPr>
  </w:style>
  <w:style w:type="character" w:customStyle="1" w:styleId="27">
    <w:name w:val="批注框文本 Char"/>
    <w:link w:val="10"/>
    <w:semiHidden/>
    <w:qFormat/>
    <w:locked/>
    <w:uiPriority w:val="0"/>
    <w:rPr>
      <w:rFonts w:ascii="Times New Roman" w:hAnsi="Times New Roman" w:eastAsia="宋体"/>
      <w:sz w:val="18"/>
    </w:rPr>
  </w:style>
  <w:style w:type="character" w:customStyle="1" w:styleId="28">
    <w:name w:val="页脚 Char"/>
    <w:link w:val="11"/>
    <w:qFormat/>
    <w:locked/>
    <w:uiPriority w:val="99"/>
    <w:rPr>
      <w:sz w:val="18"/>
    </w:rPr>
  </w:style>
  <w:style w:type="character" w:customStyle="1" w:styleId="29">
    <w:name w:val="页眉 Char"/>
    <w:link w:val="12"/>
    <w:qFormat/>
    <w:locked/>
    <w:uiPriority w:val="0"/>
    <w:rPr>
      <w:sz w:val="18"/>
    </w:rPr>
  </w:style>
  <w:style w:type="character" w:customStyle="1" w:styleId="30">
    <w:name w:val="普通(网站) Char"/>
    <w:link w:val="13"/>
    <w:qFormat/>
    <w:locked/>
    <w:uiPriority w:val="0"/>
    <w:rPr>
      <w:rFonts w:ascii="宋体" w:hAnsi="宋体" w:eastAsia="宋体"/>
      <w:sz w:val="24"/>
    </w:rPr>
  </w:style>
  <w:style w:type="character" w:customStyle="1" w:styleId="31">
    <w:name w:val="批注主题 Char"/>
    <w:link w:val="14"/>
    <w:semiHidden/>
    <w:qFormat/>
    <w:locked/>
    <w:uiPriority w:val="0"/>
    <w:rPr>
      <w:rFonts w:ascii="Times New Roman" w:hAnsi="Times New Roman" w:eastAsia="宋体"/>
      <w:b/>
      <w:kern w:val="2"/>
      <w:sz w:val="24"/>
    </w:rPr>
  </w:style>
  <w:style w:type="paragraph" w:customStyle="1" w:styleId="32">
    <w:name w:val="Default1"/>
    <w:qFormat/>
    <w:uiPriority w:val="99"/>
    <w:pPr>
      <w:widowControl w:val="0"/>
      <w:autoSpaceDE w:val="0"/>
      <w:autoSpaceDN w:val="0"/>
      <w:adjustRightInd w:val="0"/>
    </w:pPr>
    <w:rPr>
      <w:rFonts w:ascii="宋体" w:hAnsi="Times New Roman" w:eastAsia="微软雅黑" w:cs="宋体"/>
      <w:color w:val="000000"/>
      <w:sz w:val="24"/>
      <w:szCs w:val="24"/>
      <w:lang w:val="en-US" w:eastAsia="zh-CN" w:bidi="ar-SA"/>
    </w:rPr>
  </w:style>
  <w:style w:type="paragraph" w:customStyle="1" w:styleId="33">
    <w:name w:val="表头—高"/>
    <w:basedOn w:val="1"/>
    <w:link w:val="34"/>
    <w:qFormat/>
    <w:uiPriority w:val="0"/>
    <w:pPr>
      <w:adjustRightInd w:val="0"/>
      <w:snapToGrid w:val="0"/>
      <w:spacing w:before="10" w:beforeLines="10" w:after="10" w:afterLines="10" w:line="360" w:lineRule="auto"/>
      <w:ind w:firstLine="0" w:firstLineChars="0"/>
      <w:jc w:val="center"/>
    </w:pPr>
    <w:rPr>
      <w:rFonts w:ascii="Times New Roman" w:hAnsi="Times New Roman" w:eastAsia="宋体"/>
      <w:b/>
    </w:rPr>
  </w:style>
  <w:style w:type="character" w:customStyle="1" w:styleId="34">
    <w:name w:val="表头—高 Char"/>
    <w:link w:val="33"/>
    <w:qFormat/>
    <w:uiPriority w:val="0"/>
    <w:rPr>
      <w:rFonts w:ascii="Times New Roman" w:hAnsi="Times New Roman" w:eastAsia="宋体"/>
      <w:b/>
    </w:rPr>
  </w:style>
  <w:style w:type="character" w:customStyle="1" w:styleId="35">
    <w:name w:val="页脚 字符"/>
    <w:basedOn w:val="19"/>
    <w:qFormat/>
    <w:uiPriority w:val="99"/>
  </w:style>
  <w:style w:type="character" w:customStyle="1" w:styleId="36">
    <w:name w:val="正文文本 字符1"/>
    <w:semiHidden/>
    <w:qFormat/>
    <w:uiPriority w:val="0"/>
    <w:rPr>
      <w:rFonts w:ascii="Times New Roman" w:hAnsi="Times New Roman" w:eastAsia="宋体"/>
      <w:sz w:val="24"/>
    </w:rPr>
  </w:style>
  <w:style w:type="character" w:customStyle="1" w:styleId="37">
    <w:name w:val="表格 Char"/>
    <w:link w:val="38"/>
    <w:qFormat/>
    <w:locked/>
    <w:uiPriority w:val="0"/>
    <w:rPr>
      <w:rFonts w:ascii="宋体"/>
      <w:sz w:val="21"/>
    </w:rPr>
  </w:style>
  <w:style w:type="paragraph" w:customStyle="1" w:styleId="38">
    <w:name w:val="表格"/>
    <w:basedOn w:val="1"/>
    <w:next w:val="1"/>
    <w:link w:val="37"/>
    <w:qFormat/>
    <w:uiPriority w:val="0"/>
    <w:pPr>
      <w:adjustRightInd w:val="0"/>
      <w:snapToGrid w:val="0"/>
      <w:spacing w:beforeLines="10" w:afterLines="10" w:line="259" w:lineRule="auto"/>
      <w:jc w:val="center"/>
    </w:pPr>
    <w:rPr>
      <w:rFonts w:ascii="宋体"/>
      <w:kern w:val="0"/>
      <w:szCs w:val="20"/>
    </w:rPr>
  </w:style>
  <w:style w:type="character" w:customStyle="1" w:styleId="39">
    <w:name w:val="日期 字符"/>
    <w:semiHidden/>
    <w:qFormat/>
    <w:uiPriority w:val="0"/>
    <w:rPr>
      <w:rFonts w:ascii="Times New Roman" w:hAnsi="Times New Roman" w:eastAsia="宋体"/>
      <w:sz w:val="24"/>
    </w:rPr>
  </w:style>
  <w:style w:type="character" w:customStyle="1" w:styleId="40">
    <w:name w:val="批注文字 字符1"/>
    <w:semiHidden/>
    <w:qFormat/>
    <w:uiPriority w:val="0"/>
    <w:rPr>
      <w:rFonts w:ascii="Times New Roman" w:hAnsi="Times New Roman" w:eastAsia="宋体"/>
      <w:sz w:val="24"/>
    </w:rPr>
  </w:style>
  <w:style w:type="paragraph" w:customStyle="1" w:styleId="4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2">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43">
    <w:name w:val="Table Text"/>
    <w:basedOn w:val="1"/>
    <w:semiHidden/>
    <w:qFormat/>
    <w:uiPriority w:val="0"/>
    <w:rPr>
      <w:rFonts w:ascii="宋体" w:hAnsi="宋体" w:eastAsia="宋体" w:cs="宋体"/>
      <w:sz w:val="24"/>
      <w:szCs w:val="24"/>
      <w:lang w:val="en-US" w:eastAsia="en-US" w:bidi="ar-SA"/>
    </w:rPr>
  </w:style>
  <w:style w:type="table" w:customStyle="1" w:styleId="44">
    <w:name w:val="Table Normal"/>
    <w:unhideWhenUsed/>
    <w:qFormat/>
    <w:uiPriority w:val="0"/>
    <w:tblPr>
      <w:tblCellMar>
        <w:top w:w="0" w:type="dxa"/>
        <w:left w:w="0" w:type="dxa"/>
        <w:bottom w:w="0" w:type="dxa"/>
        <w:right w:w="0" w:type="dxa"/>
      </w:tblCellMar>
    </w:tblPr>
  </w:style>
  <w:style w:type="paragraph" w:customStyle="1" w:styleId="45">
    <w:name w:val="Table Paragraph"/>
    <w:basedOn w:val="1"/>
    <w:unhideWhenUsed/>
    <w:qFormat/>
    <w:uiPriority w:val="0"/>
    <w:pPr>
      <w:widowControl w:val="0"/>
      <w:autoSpaceDE w:val="0"/>
      <w:autoSpaceDN w:val="0"/>
      <w:adjustRightInd w:val="0"/>
      <w:jc w:val="left"/>
    </w:pPr>
    <w:rPr>
      <w:rFonts w:ascii="宋体" w:hAnsi="宋体"/>
      <w:kern w:val="0"/>
      <w:sz w:val="24"/>
      <w:szCs w:val="24"/>
    </w:rPr>
  </w:style>
  <w:style w:type="paragraph" w:customStyle="1" w:styleId="46">
    <w:name w:val="表格内容--高"/>
    <w:basedOn w:val="1"/>
    <w:qFormat/>
    <w:uiPriority w:val="0"/>
    <w:pPr>
      <w:spacing w:line="240" w:lineRule="auto"/>
      <w:jc w:val="center"/>
    </w:pPr>
    <w:rPr>
      <w:rFonts w:ascii="Times New Roman" w:hAnsi="Times New Roman" w:cs="宋体"/>
      <w:szCs w:val="21"/>
    </w:rPr>
  </w:style>
  <w:style w:type="paragraph" w:customStyle="1" w:styleId="47">
    <w:name w:val="1正文"/>
    <w:basedOn w:val="1"/>
    <w:qFormat/>
    <w:uiPriority w:val="0"/>
    <w:pPr>
      <w:spacing w:line="360" w:lineRule="auto"/>
      <w:ind w:firstLine="200" w:firstLineChars="200"/>
      <w:jc w:val="left"/>
    </w:pPr>
    <w:rPr>
      <w:kern w:val="0"/>
      <w:sz w:val="20"/>
      <w:szCs w:val="20"/>
    </w:rPr>
  </w:style>
  <w:style w:type="paragraph" w:customStyle="1" w:styleId="48">
    <w:name w:val="表头"/>
    <w:basedOn w:val="49"/>
    <w:link w:val="59"/>
    <w:qFormat/>
    <w:uiPriority w:val="0"/>
    <w:pPr>
      <w:spacing w:line="240" w:lineRule="auto"/>
    </w:pPr>
    <w:rPr>
      <w:b/>
    </w:rPr>
  </w:style>
  <w:style w:type="paragraph" w:customStyle="1" w:styleId="49">
    <w:name w:val="表格内容"/>
    <w:basedOn w:val="1"/>
    <w:qFormat/>
    <w:uiPriority w:val="0"/>
    <w:pPr>
      <w:adjustRightInd w:val="0"/>
      <w:snapToGrid w:val="0"/>
      <w:jc w:val="center"/>
    </w:pPr>
    <w:rPr>
      <w:sz w:val="21"/>
    </w:rPr>
  </w:style>
  <w:style w:type="paragraph" w:customStyle="1" w:styleId="50">
    <w:name w:val="表格 内容"/>
    <w:basedOn w:val="1"/>
    <w:qFormat/>
    <w:uiPriority w:val="0"/>
    <w:pPr>
      <w:autoSpaceDE w:val="0"/>
      <w:autoSpaceDN w:val="0"/>
      <w:adjustRightInd w:val="0"/>
      <w:spacing w:line="240" w:lineRule="auto"/>
      <w:ind w:firstLine="0" w:firstLineChars="0"/>
      <w:jc w:val="center"/>
    </w:pPr>
    <w:rPr>
      <w:kern w:val="0"/>
      <w:sz w:val="21"/>
      <w:szCs w:val="44"/>
    </w:rPr>
  </w:style>
  <w:style w:type="paragraph" w:customStyle="1" w:styleId="51">
    <w:name w:val="3博创正文"/>
    <w:basedOn w:val="1"/>
    <w:unhideWhenUsed/>
    <w:qFormat/>
    <w:uiPriority w:val="0"/>
  </w:style>
  <w:style w:type="table" w:customStyle="1" w:styleId="52">
    <w:name w:val="三线表"/>
    <w:basedOn w:val="17"/>
    <w:qFormat/>
    <w:uiPriority w:val="99"/>
    <w:pPr>
      <w:jc w:val="center"/>
    </w:pPr>
    <w:tblPr>
      <w:tblBorders>
        <w:top w:val="single" w:color="auto" w:sz="12" w:space="0"/>
        <w:bottom w:val="single" w:color="auto" w:sz="12" w:space="0"/>
        <w:insideH w:val="single" w:color="auto" w:sz="4" w:space="0"/>
        <w:insideV w:val="single" w:color="auto" w:sz="4" w:space="0"/>
      </w:tblBorders>
      <w:tblCellMar>
        <w:top w:w="28" w:type="dxa"/>
        <w:left w:w="57" w:type="dxa"/>
        <w:bottom w:w="28" w:type="dxa"/>
        <w:right w:w="57" w:type="dxa"/>
      </w:tblCellMar>
    </w:tblPr>
    <w:tcPr>
      <w:vAlign w:val="center"/>
    </w:tcPr>
  </w:style>
  <w:style w:type="paragraph" w:customStyle="1" w:styleId="53">
    <w:name w:val="表格—高"/>
    <w:basedOn w:val="1"/>
    <w:qFormat/>
    <w:uiPriority w:val="0"/>
    <w:pPr>
      <w:adjustRightInd w:val="0"/>
      <w:snapToGrid w:val="0"/>
      <w:spacing w:line="340" w:lineRule="exact"/>
      <w:ind w:firstLine="0" w:firstLineChars="0"/>
      <w:jc w:val="center"/>
    </w:pPr>
    <w:rPr>
      <w:sz w:val="21"/>
    </w:rPr>
  </w:style>
  <w:style w:type="paragraph" w:customStyle="1" w:styleId="54">
    <w:name w:val="黄-正文"/>
    <w:basedOn w:val="1"/>
    <w:qFormat/>
    <w:uiPriority w:val="0"/>
    <w:pPr>
      <w:topLinePunct/>
      <w:spacing w:line="360" w:lineRule="auto"/>
      <w:ind w:firstLine="480" w:firstLineChars="200"/>
    </w:pPr>
    <w:rPr>
      <w:rFonts w:cs="Times New Roman"/>
      <w:sz w:val="24"/>
    </w:rPr>
  </w:style>
  <w:style w:type="paragraph" w:customStyle="1" w:styleId="55">
    <w:name w:val="高-表格"/>
    <w:basedOn w:val="1"/>
    <w:qFormat/>
    <w:uiPriority w:val="0"/>
    <w:pPr>
      <w:spacing w:line="360" w:lineRule="exact"/>
      <w:ind w:firstLine="0" w:firstLineChars="0"/>
      <w:jc w:val="center"/>
    </w:pPr>
    <w:rPr>
      <w:sz w:val="21"/>
    </w:rPr>
  </w:style>
  <w:style w:type="paragraph" w:customStyle="1" w:styleId="56">
    <w:name w:val="HP表格内容"/>
    <w:qFormat/>
    <w:uiPriority w:val="0"/>
    <w:pPr>
      <w:jc w:val="center"/>
    </w:pPr>
    <w:rPr>
      <w:rFonts w:ascii="Times New Roman" w:hAnsi="Times New Roman" w:eastAsia="宋体" w:cs="Times New Roman"/>
      <w:sz w:val="24"/>
      <w:szCs w:val="24"/>
      <w:lang w:val="en-US" w:eastAsia="zh-CN" w:bidi="ar-SA"/>
    </w:rPr>
  </w:style>
  <w:style w:type="paragraph" w:customStyle="1" w:styleId="57">
    <w:name w:val="样式 正文11 + 首行缩进:  2 字符"/>
    <w:basedOn w:val="1"/>
    <w:qFormat/>
    <w:uiPriority w:val="0"/>
    <w:pPr>
      <w:spacing w:line="500" w:lineRule="exact"/>
      <w:ind w:firstLine="560"/>
    </w:pPr>
    <w:rPr>
      <w:color w:val="FF0000"/>
      <w:sz w:val="24"/>
    </w:rPr>
  </w:style>
  <w:style w:type="paragraph" w:customStyle="1" w:styleId="58">
    <w:name w:val="正文_4"/>
    <w:qFormat/>
    <w:uiPriority w:val="0"/>
    <w:pPr>
      <w:widowControl w:val="0"/>
      <w:jc w:val="both"/>
    </w:pPr>
    <w:rPr>
      <w:rFonts w:ascii="Calibri" w:hAnsi="Calibri" w:eastAsia="宋体" w:cs="Times New Roman"/>
      <w:kern w:val="2"/>
      <w:sz w:val="21"/>
      <w:lang w:val="en-US" w:eastAsia="zh-CN" w:bidi="ar-SA"/>
    </w:rPr>
  </w:style>
  <w:style w:type="character" w:customStyle="1" w:styleId="59">
    <w:name w:val="表头 Char"/>
    <w:link w:val="48"/>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5" Type="http://schemas.openxmlformats.org/officeDocument/2006/relationships/fontTable" Target="fontTable.xml"/><Relationship Id="rId54" Type="http://schemas.openxmlformats.org/officeDocument/2006/relationships/customXml" Target="../customXml/item1.xml"/><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png"/><Relationship Id="rId50" Type="http://schemas.openxmlformats.org/officeDocument/2006/relationships/image" Target="media/image37.jpeg"/><Relationship Id="rId5" Type="http://schemas.openxmlformats.org/officeDocument/2006/relationships/footer" Target="footer2.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footer" Target="footer1.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jpe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emf"/><Relationship Id="rId24" Type="http://schemas.openxmlformats.org/officeDocument/2006/relationships/oleObject" Target="embeddings/oleObject3.bin"/><Relationship Id="rId23" Type="http://schemas.openxmlformats.org/officeDocument/2006/relationships/image" Target="media/image11.emf"/><Relationship Id="rId22" Type="http://schemas.openxmlformats.org/officeDocument/2006/relationships/oleObject" Target="embeddings/oleObject2.bin"/><Relationship Id="rId21" Type="http://schemas.openxmlformats.org/officeDocument/2006/relationships/image" Target="media/image10.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78</Pages>
  <Words>150</Words>
  <Characters>176</Characters>
  <Lines>13</Lines>
  <Paragraphs>3</Paragraphs>
  <TotalTime>49</TotalTime>
  <ScaleCrop>false</ScaleCrop>
  <LinksUpToDate>false</LinksUpToDate>
  <CharactersWithSpaces>203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微信用户</cp:lastModifiedBy>
  <cp:lastPrinted>2020-12-29T02:43:00Z</cp:lastPrinted>
  <dcterms:modified xsi:type="dcterms:W3CDTF">2026-01-27T03:01:03Z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59DE5B317C904CC0AA74B05EAACB4AC8_13</vt:lpwstr>
  </property>
  <property fmtid="{D5CDD505-2E9C-101B-9397-08002B2CF9AE}" pid="4" name="KSOTemplateDocerSaveRecord">
    <vt:lpwstr>eyJoZGlkIjoiM2IxMjJkMTFlZTMxY2NmZGNkNWJkMjViNDFmYjBjY2EiLCJ1c2VySWQiOiIxMzExMjkxMTUzIn0=</vt:lpwstr>
  </property>
</Properties>
</file>