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9"/>
        <w:rPr>
          <w:rFonts w:ascii="Times New Roman" w:hAnsi="Times New Roman" w:eastAsia="黑体" w:cs="Times New Roman"/>
          <w:spacing w:val="2"/>
          <w:sz w:val="32"/>
          <w:szCs w:val="32"/>
        </w:rPr>
      </w:pPr>
    </w:p>
    <w:p>
      <w:pPr>
        <w:spacing w:line="600" w:lineRule="exact"/>
        <w:ind w:left="1211"/>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自治区生态环境保护督察群众信访举报边督边改公开情况一览表</w:t>
      </w:r>
    </w:p>
    <w:p>
      <w:pPr>
        <w:spacing w:line="600" w:lineRule="exact"/>
        <w:rPr>
          <w:rFonts w:ascii="Times New Roman" w:hAnsi="Times New Roman" w:cs="Times New Roman"/>
        </w:rPr>
      </w:pPr>
    </w:p>
    <w:tbl>
      <w:tblPr>
        <w:tblStyle w:val="10"/>
        <w:tblW w:w="154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689"/>
        <w:gridCol w:w="1588"/>
        <w:gridCol w:w="675"/>
        <w:gridCol w:w="685"/>
        <w:gridCol w:w="6599"/>
        <w:gridCol w:w="675"/>
        <w:gridCol w:w="2295"/>
        <w:gridCol w:w="690"/>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jc w:val="center"/>
        </w:trPr>
        <w:tc>
          <w:tcPr>
            <w:tcW w:w="455" w:type="dxa"/>
            <w:textDirection w:val="tbRlV"/>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rPr>
            </w:pPr>
            <w:r>
              <w:rPr>
                <w:rFonts w:hint="eastAsia" w:ascii="宋体" w:hAnsi="宋体" w:eastAsia="宋体" w:cs="宋体"/>
                <w:b/>
                <w:bCs/>
                <w:i w:val="0"/>
                <w:iCs w:val="0"/>
                <w:caps w:val="0"/>
                <w:color w:val="2F2F2F"/>
                <w:spacing w:val="0"/>
                <w:sz w:val="21"/>
                <w:szCs w:val="21"/>
                <w:shd w:val="clear" w:fill="FFFFFF"/>
              </w:rPr>
              <w:t>序  号</w:t>
            </w:r>
          </w:p>
        </w:tc>
        <w:tc>
          <w:tcPr>
            <w:tcW w:w="689" w:type="dxa"/>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rPr>
            </w:pPr>
            <w:r>
              <w:rPr>
                <w:rFonts w:hint="eastAsia" w:ascii="宋体" w:hAnsi="宋体" w:eastAsia="宋体" w:cs="宋体"/>
                <w:b/>
                <w:bCs/>
                <w:i w:val="0"/>
                <w:iCs w:val="0"/>
                <w:caps w:val="0"/>
                <w:color w:val="2F2F2F"/>
                <w:spacing w:val="0"/>
                <w:sz w:val="21"/>
                <w:szCs w:val="21"/>
                <w:shd w:val="clear" w:fill="FFFFFF"/>
              </w:rPr>
              <w:t>受 理 编 号</w:t>
            </w:r>
          </w:p>
        </w:tc>
        <w:tc>
          <w:tcPr>
            <w:tcW w:w="1588" w:type="dxa"/>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rPr>
            </w:pPr>
            <w:r>
              <w:rPr>
                <w:rFonts w:hint="eastAsia" w:ascii="宋体" w:hAnsi="宋体" w:eastAsia="宋体" w:cs="宋体"/>
                <w:b/>
                <w:bCs/>
                <w:i w:val="0"/>
                <w:iCs w:val="0"/>
                <w:caps w:val="0"/>
                <w:color w:val="2F2F2F"/>
                <w:spacing w:val="0"/>
                <w:sz w:val="21"/>
                <w:szCs w:val="21"/>
                <w:shd w:val="clear" w:fill="FFFFFF"/>
              </w:rPr>
              <w:t>交办问题</w:t>
            </w:r>
          </w:p>
          <w:p>
            <w:pPr>
              <w:spacing w:line="400" w:lineRule="exact"/>
              <w:ind w:left="40"/>
              <w:jc w:val="center"/>
              <w:rPr>
                <w:rFonts w:hint="eastAsia" w:ascii="宋体" w:hAnsi="宋体" w:eastAsia="宋体" w:cs="宋体"/>
                <w:b/>
                <w:bCs/>
                <w:i w:val="0"/>
                <w:iCs w:val="0"/>
                <w:caps w:val="0"/>
                <w:color w:val="2F2F2F"/>
                <w:spacing w:val="0"/>
                <w:sz w:val="21"/>
                <w:szCs w:val="21"/>
                <w:shd w:val="clear" w:fill="FFFFFF"/>
              </w:rPr>
            </w:pPr>
            <w:r>
              <w:rPr>
                <w:rFonts w:hint="eastAsia" w:ascii="宋体" w:hAnsi="宋体" w:eastAsia="宋体" w:cs="宋体"/>
                <w:b/>
                <w:bCs/>
                <w:i w:val="0"/>
                <w:iCs w:val="0"/>
                <w:caps w:val="0"/>
                <w:color w:val="2F2F2F"/>
                <w:spacing w:val="0"/>
                <w:sz w:val="21"/>
                <w:szCs w:val="21"/>
                <w:shd w:val="clear" w:fill="FFFFFF"/>
              </w:rPr>
              <w:t>基本情况</w:t>
            </w:r>
          </w:p>
        </w:tc>
        <w:tc>
          <w:tcPr>
            <w:tcW w:w="675" w:type="dxa"/>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lang w:val="en-US" w:eastAsia="zh-CN"/>
              </w:rPr>
            </w:pPr>
            <w:r>
              <w:rPr>
                <w:rFonts w:hint="eastAsia" w:ascii="宋体" w:hAnsi="宋体" w:eastAsia="宋体" w:cs="宋体"/>
                <w:b/>
                <w:bCs/>
                <w:i w:val="0"/>
                <w:iCs w:val="0"/>
                <w:caps w:val="0"/>
                <w:color w:val="2F2F2F"/>
                <w:spacing w:val="0"/>
                <w:sz w:val="21"/>
                <w:szCs w:val="21"/>
                <w:shd w:val="clear" w:fill="FFFFFF"/>
                <w:lang w:val="en-US" w:eastAsia="zh-CN"/>
              </w:rPr>
              <w:t>行政</w:t>
            </w:r>
          </w:p>
          <w:p>
            <w:pPr>
              <w:spacing w:line="400" w:lineRule="exact"/>
              <w:ind w:left="40"/>
              <w:jc w:val="center"/>
              <w:rPr>
                <w:rFonts w:hint="default" w:ascii="宋体" w:hAnsi="宋体" w:eastAsia="宋体" w:cs="宋体"/>
                <w:b/>
                <w:bCs/>
                <w:i w:val="0"/>
                <w:iCs w:val="0"/>
                <w:caps w:val="0"/>
                <w:color w:val="2F2F2F"/>
                <w:spacing w:val="0"/>
                <w:sz w:val="21"/>
                <w:szCs w:val="21"/>
                <w:shd w:val="clear" w:fill="FFFFFF"/>
                <w:lang w:val="en-US" w:eastAsia="zh-CN"/>
              </w:rPr>
            </w:pPr>
            <w:r>
              <w:rPr>
                <w:rFonts w:hint="eastAsia" w:ascii="宋体" w:hAnsi="宋体" w:eastAsia="宋体" w:cs="宋体"/>
                <w:b/>
                <w:bCs/>
                <w:i w:val="0"/>
                <w:iCs w:val="0"/>
                <w:caps w:val="0"/>
                <w:color w:val="2F2F2F"/>
                <w:spacing w:val="0"/>
                <w:sz w:val="21"/>
                <w:szCs w:val="21"/>
                <w:shd w:val="clear" w:fill="FFFFFF"/>
                <w:lang w:val="en-US" w:eastAsia="zh-CN"/>
              </w:rPr>
              <w:t>区域</w:t>
            </w:r>
          </w:p>
        </w:tc>
        <w:tc>
          <w:tcPr>
            <w:tcW w:w="685" w:type="dxa"/>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rPr>
            </w:pPr>
            <w:r>
              <w:rPr>
                <w:rFonts w:hint="eastAsia" w:ascii="宋体" w:hAnsi="宋体" w:eastAsia="宋体" w:cs="宋体"/>
                <w:b/>
                <w:bCs/>
                <w:i w:val="0"/>
                <w:iCs w:val="0"/>
                <w:caps w:val="0"/>
                <w:color w:val="2F2F2F"/>
                <w:spacing w:val="0"/>
                <w:sz w:val="21"/>
                <w:szCs w:val="21"/>
                <w:shd w:val="clear" w:fill="FFFFFF"/>
              </w:rPr>
              <w:t>污染</w:t>
            </w:r>
          </w:p>
          <w:p>
            <w:pPr>
              <w:spacing w:line="400" w:lineRule="exact"/>
              <w:ind w:left="40"/>
              <w:jc w:val="center"/>
              <w:rPr>
                <w:rFonts w:hint="eastAsia" w:ascii="宋体" w:hAnsi="宋体" w:eastAsia="宋体" w:cs="宋体"/>
                <w:b/>
                <w:bCs/>
                <w:i w:val="0"/>
                <w:iCs w:val="0"/>
                <w:caps w:val="0"/>
                <w:color w:val="2F2F2F"/>
                <w:spacing w:val="0"/>
                <w:sz w:val="21"/>
                <w:szCs w:val="21"/>
                <w:shd w:val="clear" w:fill="FFFFFF"/>
              </w:rPr>
            </w:pPr>
            <w:r>
              <w:rPr>
                <w:rFonts w:hint="eastAsia" w:ascii="宋体" w:hAnsi="宋体" w:eastAsia="宋体" w:cs="宋体"/>
                <w:b/>
                <w:bCs/>
                <w:i w:val="0"/>
                <w:iCs w:val="0"/>
                <w:caps w:val="0"/>
                <w:color w:val="2F2F2F"/>
                <w:spacing w:val="0"/>
                <w:sz w:val="21"/>
                <w:szCs w:val="21"/>
                <w:shd w:val="clear" w:fill="FFFFFF"/>
              </w:rPr>
              <w:t>类型</w:t>
            </w:r>
          </w:p>
        </w:tc>
        <w:tc>
          <w:tcPr>
            <w:tcW w:w="6599" w:type="dxa"/>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rPr>
            </w:pPr>
            <w:r>
              <w:rPr>
                <w:rFonts w:hint="eastAsia" w:ascii="宋体" w:hAnsi="宋体" w:eastAsia="宋体" w:cs="宋体"/>
                <w:b/>
                <w:bCs/>
                <w:i w:val="0"/>
                <w:iCs w:val="0"/>
                <w:caps w:val="0"/>
                <w:color w:val="2F2F2F"/>
                <w:spacing w:val="0"/>
                <w:sz w:val="21"/>
                <w:szCs w:val="21"/>
                <w:shd w:val="clear" w:fill="FFFFFF"/>
              </w:rPr>
              <w:t>调 查 核 实 情 况</w:t>
            </w:r>
          </w:p>
        </w:tc>
        <w:tc>
          <w:tcPr>
            <w:tcW w:w="675" w:type="dxa"/>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lang w:val="en-US" w:eastAsia="zh-CN"/>
              </w:rPr>
            </w:pPr>
            <w:r>
              <w:rPr>
                <w:rFonts w:hint="eastAsia" w:ascii="宋体" w:hAnsi="宋体" w:eastAsia="宋体" w:cs="宋体"/>
                <w:b/>
                <w:bCs/>
                <w:i w:val="0"/>
                <w:iCs w:val="0"/>
                <w:caps w:val="0"/>
                <w:color w:val="2F2F2F"/>
                <w:spacing w:val="0"/>
                <w:sz w:val="21"/>
                <w:szCs w:val="21"/>
                <w:shd w:val="clear" w:fill="FFFFFF"/>
                <w:lang w:val="en-US" w:eastAsia="zh-CN"/>
              </w:rPr>
              <w:t>是否</w:t>
            </w:r>
          </w:p>
          <w:p>
            <w:pPr>
              <w:spacing w:line="400" w:lineRule="exact"/>
              <w:ind w:left="40"/>
              <w:jc w:val="center"/>
              <w:rPr>
                <w:rFonts w:hint="default" w:ascii="宋体" w:hAnsi="宋体" w:eastAsia="宋体" w:cs="宋体"/>
                <w:b/>
                <w:bCs/>
                <w:i w:val="0"/>
                <w:iCs w:val="0"/>
                <w:caps w:val="0"/>
                <w:color w:val="2F2F2F"/>
                <w:spacing w:val="0"/>
                <w:sz w:val="21"/>
                <w:szCs w:val="21"/>
                <w:shd w:val="clear" w:fill="FFFFFF"/>
                <w:lang w:val="en-US" w:eastAsia="zh-CN"/>
              </w:rPr>
            </w:pPr>
            <w:r>
              <w:rPr>
                <w:rFonts w:hint="eastAsia" w:ascii="宋体" w:hAnsi="宋体" w:eastAsia="宋体" w:cs="宋体"/>
                <w:b/>
                <w:bCs/>
                <w:i w:val="0"/>
                <w:iCs w:val="0"/>
                <w:caps w:val="0"/>
                <w:color w:val="2F2F2F"/>
                <w:spacing w:val="0"/>
                <w:sz w:val="21"/>
                <w:szCs w:val="21"/>
                <w:shd w:val="clear" w:fill="FFFFFF"/>
                <w:lang w:val="en-US" w:eastAsia="zh-CN"/>
              </w:rPr>
              <w:t>属实</w:t>
            </w:r>
          </w:p>
        </w:tc>
        <w:tc>
          <w:tcPr>
            <w:tcW w:w="2295" w:type="dxa"/>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rPr>
            </w:pPr>
            <w:r>
              <w:rPr>
                <w:rFonts w:hint="eastAsia" w:ascii="宋体" w:hAnsi="宋体" w:eastAsia="宋体" w:cs="宋体"/>
                <w:b/>
                <w:bCs/>
                <w:i w:val="0"/>
                <w:iCs w:val="0"/>
                <w:caps w:val="0"/>
                <w:color w:val="2F2F2F"/>
                <w:spacing w:val="0"/>
                <w:sz w:val="21"/>
                <w:szCs w:val="21"/>
                <w:shd w:val="clear" w:fill="FFFFFF"/>
              </w:rPr>
              <w:t>处 理 和 整 改 情 况</w:t>
            </w:r>
          </w:p>
        </w:tc>
        <w:tc>
          <w:tcPr>
            <w:tcW w:w="690" w:type="dxa"/>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rPr>
            </w:pPr>
          </w:p>
          <w:p>
            <w:pPr>
              <w:spacing w:line="400" w:lineRule="exact"/>
              <w:ind w:left="40"/>
              <w:jc w:val="center"/>
              <w:rPr>
                <w:rFonts w:hint="eastAsia" w:ascii="宋体" w:hAnsi="宋体" w:eastAsia="宋体" w:cs="宋体"/>
                <w:b/>
                <w:bCs/>
                <w:i w:val="0"/>
                <w:iCs w:val="0"/>
                <w:caps w:val="0"/>
                <w:color w:val="2F2F2F"/>
                <w:spacing w:val="0"/>
                <w:sz w:val="21"/>
                <w:szCs w:val="21"/>
                <w:shd w:val="clear" w:fill="FFFFFF"/>
                <w:lang w:val="en-US" w:eastAsia="zh-CN"/>
              </w:rPr>
            </w:pPr>
            <w:r>
              <w:rPr>
                <w:rFonts w:hint="eastAsia" w:ascii="宋体" w:hAnsi="宋体" w:eastAsia="宋体" w:cs="宋体"/>
                <w:b/>
                <w:bCs/>
                <w:i w:val="0"/>
                <w:iCs w:val="0"/>
                <w:caps w:val="0"/>
                <w:color w:val="2F2F2F"/>
                <w:spacing w:val="0"/>
                <w:sz w:val="21"/>
                <w:szCs w:val="21"/>
                <w:shd w:val="clear" w:fill="FFFFFF"/>
                <w:lang w:val="en-US" w:eastAsia="zh-CN"/>
              </w:rPr>
              <w:t>是否</w:t>
            </w:r>
          </w:p>
          <w:p>
            <w:pPr>
              <w:spacing w:line="400" w:lineRule="exact"/>
              <w:ind w:left="40"/>
              <w:jc w:val="center"/>
              <w:rPr>
                <w:rFonts w:hint="default" w:ascii="宋体" w:hAnsi="宋体" w:eastAsia="宋体" w:cs="宋体"/>
                <w:b/>
                <w:bCs/>
                <w:i w:val="0"/>
                <w:iCs w:val="0"/>
                <w:caps w:val="0"/>
                <w:color w:val="2F2F2F"/>
                <w:spacing w:val="0"/>
                <w:sz w:val="21"/>
                <w:szCs w:val="21"/>
                <w:shd w:val="clear" w:fill="FFFFFF"/>
                <w:lang w:val="en-US" w:eastAsia="zh-CN"/>
              </w:rPr>
            </w:pPr>
            <w:r>
              <w:rPr>
                <w:rFonts w:hint="eastAsia" w:ascii="宋体" w:hAnsi="宋体" w:eastAsia="宋体" w:cs="宋体"/>
                <w:b/>
                <w:bCs/>
                <w:i w:val="0"/>
                <w:iCs w:val="0"/>
                <w:caps w:val="0"/>
                <w:color w:val="2F2F2F"/>
                <w:spacing w:val="0"/>
                <w:sz w:val="21"/>
                <w:szCs w:val="21"/>
                <w:shd w:val="clear" w:fill="FFFFFF"/>
                <w:lang w:val="en-US" w:eastAsia="zh-CN"/>
              </w:rPr>
              <w:t>办结</w:t>
            </w:r>
          </w:p>
        </w:tc>
        <w:tc>
          <w:tcPr>
            <w:tcW w:w="1054" w:type="dxa"/>
            <w:vAlign w:val="center"/>
          </w:tcPr>
          <w:p>
            <w:pPr>
              <w:spacing w:line="400" w:lineRule="exact"/>
              <w:ind w:left="40"/>
              <w:jc w:val="center"/>
              <w:rPr>
                <w:rFonts w:hint="eastAsia" w:ascii="宋体" w:hAnsi="宋体" w:eastAsia="宋体" w:cs="宋体"/>
                <w:b/>
                <w:bCs/>
                <w:i w:val="0"/>
                <w:iCs w:val="0"/>
                <w:caps w:val="0"/>
                <w:color w:val="2F2F2F"/>
                <w:spacing w:val="0"/>
                <w:sz w:val="21"/>
                <w:szCs w:val="21"/>
                <w:shd w:val="clear" w:fill="FFFFFF"/>
                <w:lang w:val="en-US" w:eastAsia="zh-CN"/>
              </w:rPr>
            </w:pPr>
            <w:r>
              <w:rPr>
                <w:rFonts w:hint="eastAsia" w:ascii="宋体" w:hAnsi="宋体" w:eastAsia="宋体" w:cs="宋体"/>
                <w:b/>
                <w:bCs/>
                <w:i w:val="0"/>
                <w:iCs w:val="0"/>
                <w:caps w:val="0"/>
                <w:color w:val="2F2F2F"/>
                <w:spacing w:val="0"/>
                <w:sz w:val="21"/>
                <w:szCs w:val="21"/>
                <w:shd w:val="clear" w:fill="FFFFFF"/>
                <w:lang w:val="en-US" w:eastAsia="zh-CN"/>
              </w:rPr>
              <w:t>责任人被</w:t>
            </w:r>
          </w:p>
          <w:p>
            <w:pPr>
              <w:spacing w:line="400" w:lineRule="exact"/>
              <w:ind w:left="40"/>
              <w:jc w:val="center"/>
              <w:rPr>
                <w:rFonts w:hint="default" w:ascii="宋体" w:hAnsi="宋体" w:eastAsia="宋体" w:cs="宋体"/>
                <w:b/>
                <w:bCs/>
                <w:i w:val="0"/>
                <w:iCs w:val="0"/>
                <w:caps w:val="0"/>
                <w:color w:val="2F2F2F"/>
                <w:spacing w:val="0"/>
                <w:sz w:val="21"/>
                <w:szCs w:val="21"/>
                <w:shd w:val="clear" w:fill="FFFFFF"/>
                <w:lang w:val="en-US" w:eastAsia="zh-CN"/>
              </w:rPr>
            </w:pPr>
            <w:r>
              <w:rPr>
                <w:rFonts w:hint="eastAsia" w:ascii="宋体" w:hAnsi="宋体" w:eastAsia="宋体" w:cs="宋体"/>
                <w:b/>
                <w:bCs/>
                <w:i w:val="0"/>
                <w:iCs w:val="0"/>
                <w:caps w:val="0"/>
                <w:color w:val="2F2F2F"/>
                <w:spacing w:val="0"/>
                <w:sz w:val="21"/>
                <w:szCs w:val="21"/>
                <w:shd w:val="clear" w:fill="FFFFFF"/>
                <w:lang w:val="en-US" w:eastAsia="zh-CN"/>
              </w:rPr>
              <w:t>处理情况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455" w:type="dxa"/>
            <w:vAlign w:val="center"/>
          </w:tcPr>
          <w:p>
            <w:pPr>
              <w:spacing w:line="300" w:lineRule="exact"/>
              <w:ind w:left="175"/>
              <w:rPr>
                <w:rFonts w:ascii="Times New Roman" w:hAnsi="Times New Roman" w:eastAsia="宋体" w:cs="Times New Roman"/>
                <w:szCs w:val="21"/>
              </w:rPr>
            </w:pPr>
            <w:r>
              <w:rPr>
                <w:rFonts w:ascii="Times New Roman" w:hAnsi="Times New Roman" w:eastAsia="宋体" w:cs="Times New Roman"/>
                <w:szCs w:val="21"/>
              </w:rPr>
              <w:t>1</w:t>
            </w:r>
          </w:p>
        </w:tc>
        <w:tc>
          <w:tcPr>
            <w:tcW w:w="689" w:type="dxa"/>
            <w:vAlign w:val="center"/>
          </w:tcPr>
          <w:p>
            <w:pPr>
              <w:spacing w:line="300" w:lineRule="exact"/>
              <w:jc w:val="center"/>
              <w:rPr>
                <w:rFonts w:ascii="Times New Roman" w:hAnsi="Times New Roman" w:eastAsia="宋体" w:cs="Times New Roman"/>
                <w:szCs w:val="21"/>
              </w:rPr>
            </w:pPr>
            <w:r>
              <w:rPr>
                <w:rFonts w:ascii="Times New Roman" w:hAnsi="Times New Roman" w:cs="Times New Roman"/>
                <w:szCs w:val="21"/>
              </w:rPr>
              <w:t>D2BY20231110001</w:t>
            </w:r>
          </w:p>
        </w:tc>
        <w:tc>
          <w:tcPr>
            <w:tcW w:w="1588" w:type="dxa"/>
            <w:vAlign w:val="center"/>
          </w:tcPr>
          <w:p>
            <w:pPr>
              <w:spacing w:line="3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2011年至今</w:t>
            </w:r>
            <w:r>
              <w:rPr>
                <w:rFonts w:hint="eastAsia" w:ascii="Times New Roman" w:hAnsi="Times New Roman" w:eastAsia="宋体" w:cs="Times New Roman"/>
                <w:szCs w:val="21"/>
                <w:lang w:eastAsia="zh-CN"/>
              </w:rPr>
              <w:t>，</w:t>
            </w:r>
            <w:r>
              <w:rPr>
                <w:rFonts w:ascii="Times New Roman" w:hAnsi="Times New Roman" w:eastAsia="宋体" w:cs="Times New Roman"/>
                <w:szCs w:val="21"/>
              </w:rPr>
              <w:t>有关部门不给乌拉特中旗牧羊海牧场的牧羊海湿地供水、补水，湿地严重缺水、干旱；全市各湖、海子水位逐年下降。</w:t>
            </w:r>
          </w:p>
        </w:tc>
        <w:tc>
          <w:tcPr>
            <w:tcW w:w="675" w:type="dxa"/>
            <w:vAlign w:val="center"/>
          </w:tcPr>
          <w:p>
            <w:pPr>
              <w:spacing w:line="30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乌拉特中旗</w:t>
            </w:r>
          </w:p>
        </w:tc>
        <w:tc>
          <w:tcPr>
            <w:tcW w:w="685" w:type="dxa"/>
            <w:vAlign w:val="center"/>
          </w:tcPr>
          <w:p>
            <w:pPr>
              <w:spacing w:line="300" w:lineRule="exact"/>
              <w:ind w:right="74"/>
              <w:jc w:val="center"/>
              <w:rPr>
                <w:rFonts w:hint="eastAsia" w:ascii="Times New Roman" w:hAnsi="Times New Roman" w:eastAsia="宋体" w:cs="Times New Roman"/>
                <w:szCs w:val="21"/>
              </w:rPr>
            </w:pPr>
            <w:r>
              <w:rPr>
                <w:rFonts w:hint="eastAsia" w:ascii="Times New Roman" w:hAnsi="Times New Roman" w:eastAsia="宋体" w:cs="Times New Roman"/>
                <w:szCs w:val="21"/>
              </w:rPr>
              <w:t>生态—保护区，</w:t>
            </w:r>
          </w:p>
          <w:p>
            <w:pPr>
              <w:spacing w:line="300" w:lineRule="exact"/>
              <w:ind w:right="74"/>
              <w:jc w:val="center"/>
              <w:rPr>
                <w:rFonts w:ascii="Times New Roman" w:hAnsi="Times New Roman" w:eastAsia="宋体" w:cs="Times New Roman"/>
                <w:szCs w:val="21"/>
              </w:rPr>
            </w:pPr>
            <w:r>
              <w:rPr>
                <w:rFonts w:hint="eastAsia" w:ascii="Times New Roman" w:hAnsi="Times New Roman" w:eastAsia="宋体" w:cs="Times New Roman"/>
                <w:szCs w:val="21"/>
              </w:rPr>
              <w:t>水—其他</w:t>
            </w:r>
          </w:p>
        </w:tc>
        <w:tc>
          <w:tcPr>
            <w:tcW w:w="6599" w:type="dxa"/>
            <w:vAlign w:val="center"/>
          </w:tcPr>
          <w:p>
            <w:pPr>
              <w:spacing w:line="300" w:lineRule="exact"/>
              <w:ind w:right="74"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接到自治区生态环境保护督察组交办群众环境信访案件后，市水利局及乌拉特中旗旗委、政府高度重视，主要领导现场安排部署工作，经实地核查、分析研判，现将有关情况报告如下：</w:t>
            </w:r>
          </w:p>
          <w:p>
            <w:pPr>
              <w:spacing w:line="300" w:lineRule="exact"/>
              <w:ind w:right="74"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（一）经查，群众投诉反映问题部分属实。</w:t>
            </w:r>
          </w:p>
          <w:p>
            <w:pPr>
              <w:spacing w:line="300" w:lineRule="exact"/>
              <w:ind w:right="74"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信访人反映“乌拉特中旗牧羊海牧场的牧羊海湿地”位于乌拉特中旗南部，现有水域面积约4000亩。</w:t>
            </w:r>
          </w:p>
          <w:p>
            <w:pPr>
              <w:spacing w:line="300" w:lineRule="exact"/>
              <w:ind w:right="74"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1.关于“2011年至今，有关部门不给乌拉特中旗牧羊海牧场的牧羊海湿地供水、补水，湿地严重缺水、干旱”的问题。经查，信访人所反映的情况部分属实。</w:t>
            </w:r>
          </w:p>
          <w:p>
            <w:pPr>
              <w:spacing w:line="300" w:lineRule="exact"/>
              <w:ind w:right="74"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（1）“2011年至今，有关部门不给乌拉特中旗牧羊海牧场的牧羊海湿地供水、补水”的问题</w:t>
            </w:r>
            <w:r>
              <w:rPr>
                <w:rFonts w:hint="eastAsia" w:ascii="Times New Roman" w:hAnsi="Times New Roman" w:eastAsia="宋体" w:cs="Times New Roman"/>
                <w:szCs w:val="21"/>
                <w:lang w:val="en-US" w:eastAsia="zh-CN"/>
              </w:rPr>
              <w:t>部分</w:t>
            </w:r>
            <w:r>
              <w:rPr>
                <w:rFonts w:hint="eastAsia" w:ascii="Times New Roman" w:hAnsi="Times New Roman" w:eastAsia="宋体" w:cs="Times New Roman"/>
                <w:szCs w:val="21"/>
              </w:rPr>
              <w:t>属实。全市生态补水原则是利用黄河凌汛期、灌溉间隙期和秋浇后期对乌梁素海等湖泊进行生态补水。2018年至2021年，国家黄委加大了对乌梁素海水生态环境治理的支持力度，充分利用黄河来水丰沛的有利时机，在分配可供水量的基础上，额外分配下达河道外生态补水指标</w:t>
            </w:r>
            <w:bookmarkStart w:id="0" w:name="_GoBack"/>
            <w:bookmarkEnd w:id="0"/>
            <w:r>
              <w:rPr>
                <w:rFonts w:hint="eastAsia" w:ascii="Times New Roman" w:hAnsi="Times New Roman" w:eastAsia="宋体" w:cs="Times New Roman"/>
                <w:szCs w:val="21"/>
              </w:rPr>
              <w:t>。根据巴彦淖尔市义长灌域分中心提供数据显示，2018年至2021年向牧羊海湿地累计实施生态补水3220万立方米。</w:t>
            </w:r>
          </w:p>
          <w:p>
            <w:pPr>
              <w:spacing w:line="300" w:lineRule="exact"/>
              <w:ind w:right="74"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（2）“湿地严重缺水、干旱”的问题属实。2022年以来，黄河流域进入枯水期，国家黄委再未下达生态补水指标。加之牧羊海地区连年气候干旱，降雨量少，</w:t>
            </w:r>
            <w:r>
              <w:rPr>
                <w:rFonts w:hint="eastAsia" w:ascii="Times New Roman" w:hAnsi="Times New Roman" w:eastAsia="宋体" w:cs="Times New Roman"/>
                <w:szCs w:val="21"/>
                <w:lang w:val="en-US" w:eastAsia="zh-CN"/>
              </w:rPr>
              <w:t>蒸发量大</w:t>
            </w:r>
            <w:r>
              <w:rPr>
                <w:rFonts w:hint="eastAsia" w:ascii="Times New Roman" w:hAnsi="Times New Roman" w:eastAsia="宋体" w:cs="Times New Roman"/>
                <w:szCs w:val="21"/>
              </w:rPr>
              <w:t>，导致牧羊海湿地缺水、干旱。</w:t>
            </w:r>
          </w:p>
          <w:p>
            <w:pPr>
              <w:spacing w:line="300" w:lineRule="exact"/>
              <w:ind w:right="74"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2.关于“全市各湖、海子水位逐年下降”的问题，经查，该问题部分属实。</w:t>
            </w:r>
          </w:p>
          <w:p>
            <w:pPr>
              <w:spacing w:line="300" w:lineRule="exact"/>
              <w:ind w:right="74" w:firstLine="420" w:firstLineChars="200"/>
              <w:rPr>
                <w:rFonts w:ascii="Times New Roman" w:hAnsi="Times New Roman" w:eastAsia="宋体" w:cs="Times New Roman"/>
                <w:sz w:val="18"/>
                <w:szCs w:val="18"/>
              </w:rPr>
            </w:pPr>
            <w:r>
              <w:rPr>
                <w:rFonts w:hint="eastAsia" w:ascii="Times New Roman" w:hAnsi="Times New Roman" w:eastAsia="宋体" w:cs="Times New Roman"/>
                <w:szCs w:val="21"/>
              </w:rPr>
              <w:t>经对全市范围内的湖泊海子水位情况进行调研，湖泊海子水位与生态补水情况动态相关。2018年至2021年，因黄河上游来水偏丰，国家黄委、自治区下达额外河道外生态补水指标，全市湖泊海子水位维持基本水位。自2022年以后，黄河上游来水持续偏枯，国家黄委、自治区再未下达额外的河道外生态补水指标，巴彦淖尔市的大部分湖泊海子生态补水量明显减少，加之巴彦淖尔市一直降水量偏少、蒸发量大，致使部分湖泊海子水位下降。</w:t>
            </w:r>
          </w:p>
        </w:tc>
        <w:tc>
          <w:tcPr>
            <w:tcW w:w="675" w:type="dxa"/>
            <w:vAlign w:val="center"/>
          </w:tcPr>
          <w:p>
            <w:pPr>
              <w:spacing w:line="300" w:lineRule="exact"/>
              <w:ind w:right="74"/>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部分</w:t>
            </w:r>
          </w:p>
          <w:p>
            <w:pPr>
              <w:spacing w:line="300" w:lineRule="exact"/>
              <w:ind w:right="74"/>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属实</w:t>
            </w:r>
          </w:p>
        </w:tc>
        <w:tc>
          <w:tcPr>
            <w:tcW w:w="2295" w:type="dxa"/>
            <w:vAlign w:val="center"/>
          </w:tcPr>
          <w:p>
            <w:pPr>
              <w:spacing w:line="300" w:lineRule="exact"/>
              <w:ind w:right="74"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一是市政府、市水利局加大向水利部黄委、自治区水利厅争取生态补水指标的力度，解决全市湖泊湿地生态补水问题。</w:t>
            </w:r>
          </w:p>
          <w:p>
            <w:pPr>
              <w:spacing w:line="300" w:lineRule="exact"/>
              <w:ind w:right="74"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二是充分利用每年黄河分凌补水的有利时机，早安排、早动手，按照优先保证重点湖泊湿地生态补水的原则，能补尽补。</w:t>
            </w:r>
          </w:p>
          <w:p>
            <w:pPr>
              <w:spacing w:line="300" w:lineRule="exact"/>
              <w:ind w:right="74" w:firstLine="420" w:firstLineChars="200"/>
              <w:rPr>
                <w:rFonts w:ascii="Times New Roman" w:hAnsi="Times New Roman" w:eastAsia="宋体" w:cs="Times New Roman"/>
                <w:sz w:val="18"/>
                <w:szCs w:val="18"/>
              </w:rPr>
            </w:pPr>
            <w:r>
              <w:rPr>
                <w:rFonts w:hint="eastAsia" w:ascii="Times New Roman" w:hAnsi="Times New Roman" w:eastAsia="宋体" w:cs="Times New Roman"/>
                <w:szCs w:val="21"/>
              </w:rPr>
              <w:t>三是市水利局、林草局牵头，在优先保障乌梁素海生态补水的基础上，制定全市重点湖泊湿地生态补水计划，每年根据自治区水利厅用水指标分配情况，合理进行生态补水。</w:t>
            </w:r>
          </w:p>
        </w:tc>
        <w:tc>
          <w:tcPr>
            <w:tcW w:w="690" w:type="dxa"/>
            <w:vAlign w:val="center"/>
          </w:tcPr>
          <w:p>
            <w:pPr>
              <w:spacing w:line="300" w:lineRule="exact"/>
              <w:ind w:left="126" w:right="118" w:hanging="1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21"/>
                <w:szCs w:val="21"/>
                <w:lang w:val="en-US" w:eastAsia="zh-CN"/>
              </w:rPr>
              <w:t>阶段性办结</w:t>
            </w:r>
          </w:p>
        </w:tc>
        <w:tc>
          <w:tcPr>
            <w:tcW w:w="1054" w:type="dxa"/>
            <w:vAlign w:val="center"/>
          </w:tcPr>
          <w:p>
            <w:pPr>
              <w:pStyle w:val="11"/>
              <w:spacing w:line="300" w:lineRule="exact"/>
              <w:rPr>
                <w:rFonts w:ascii="Times New Roman" w:hAnsi="Times New Roman" w:cs="Times New Roman"/>
              </w:rPr>
            </w:pPr>
          </w:p>
          <w:p>
            <w:pPr>
              <w:spacing w:line="300" w:lineRule="exact"/>
              <w:ind w:left="108" w:right="2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455" w:type="dxa"/>
            <w:vAlign w:val="center"/>
          </w:tcPr>
          <w:p>
            <w:pPr>
              <w:spacing w:before="58" w:line="184"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w:t>
            </w:r>
          </w:p>
        </w:tc>
        <w:tc>
          <w:tcPr>
            <w:tcW w:w="689" w:type="dxa"/>
            <w:vAlign w:val="center"/>
          </w:tcPr>
          <w:p>
            <w:pPr>
              <w:spacing w:line="183"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D2BY20231130007</w:t>
            </w:r>
          </w:p>
        </w:tc>
        <w:tc>
          <w:tcPr>
            <w:tcW w:w="1588" w:type="dxa"/>
            <w:vAlign w:val="center"/>
          </w:tcPr>
          <w:p>
            <w:pPr>
              <w:spacing w:before="105" w:line="201" w:lineRule="auto"/>
              <w:ind w:firstLine="420" w:firstLineChars="20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21"/>
                <w:szCs w:val="21"/>
                <w:lang w:val="en-US" w:eastAsia="zh-CN"/>
              </w:rPr>
              <w:t>位于乌拉特中旗石哈河镇二连沟村的铸合矿业年产量为12万吨银矿石，该企业从2022年至今，开采了约1000万吨矿石，超负荷生产，超采地下水，导致附近地下水位下降，影响厂区北1公里处耕地用水；举报人听矿场工人说，位于厂区内北侧的氢（氰）化堆有渗漏。</w:t>
            </w:r>
          </w:p>
        </w:tc>
        <w:tc>
          <w:tcPr>
            <w:tcW w:w="675" w:type="dxa"/>
            <w:vAlign w:val="center"/>
          </w:tcPr>
          <w:p>
            <w:pPr>
              <w:spacing w:before="59" w:line="220" w:lineRule="auto"/>
              <w:ind w:left="192" w:leftChars="0"/>
              <w:rPr>
                <w:rFonts w:hint="default" w:ascii="Times New Roman" w:hAnsi="Times New Roman" w:eastAsia="宋体" w:cs="Times New Roman"/>
                <w:sz w:val="18"/>
                <w:szCs w:val="18"/>
                <w:lang w:eastAsia="zh-CN"/>
              </w:rPr>
            </w:pPr>
          </w:p>
        </w:tc>
        <w:tc>
          <w:tcPr>
            <w:tcW w:w="685" w:type="dxa"/>
            <w:vAlign w:val="center"/>
          </w:tcPr>
          <w:p>
            <w:pPr>
              <w:pStyle w:val="11"/>
              <w:spacing w:line="309" w:lineRule="auto"/>
              <w:rPr>
                <w:rFonts w:hint="default" w:ascii="Times New Roman" w:hAnsi="Times New Roman" w:cs="Times New Roman"/>
              </w:rPr>
            </w:pPr>
          </w:p>
          <w:p>
            <w:pPr>
              <w:pStyle w:val="11"/>
              <w:spacing w:line="309" w:lineRule="auto"/>
              <w:rPr>
                <w:rFonts w:hint="default" w:ascii="Times New Roman" w:hAnsi="Times New Roman" w:cs="Times New Roman"/>
              </w:rPr>
            </w:pPr>
          </w:p>
          <w:p>
            <w:pPr>
              <w:spacing w:line="30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auto"/>
                <w:sz w:val="21"/>
                <w:szCs w:val="21"/>
                <w:lang w:val="en-US" w:eastAsia="zh-CN"/>
              </w:rPr>
              <w:t>水—地下水 土壤—危险废物 生态—矿山开发</w:t>
            </w:r>
          </w:p>
        </w:tc>
        <w:tc>
          <w:tcPr>
            <w:tcW w:w="6599" w:type="dxa"/>
            <w:vAlign w:val="center"/>
          </w:tcPr>
          <w:p>
            <w:pPr>
              <w:spacing w:line="300" w:lineRule="exact"/>
              <w:ind w:right="74" w:firstLine="420" w:firstLineChars="200"/>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接到自治区生态环境保护督察组交办群众环境信访案件后，乌拉特中旗旗委、政府高度重视，主要领导亲自安排部署，相关包联和分管领导具体办理，立即组织生态环境分局、水利局、自然资源局、石哈河镇到实地核查，并多次召开研判会对核查办理情况进行研判，保证案件高质高效办理。现将有关情况报告如下：</w:t>
            </w:r>
          </w:p>
          <w:p>
            <w:pPr>
              <w:spacing w:line="300" w:lineRule="exact"/>
              <w:ind w:right="74"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（一）经查，群众投诉反映问题部分属实。</w:t>
            </w:r>
          </w:p>
          <w:p>
            <w:pPr>
              <w:spacing w:line="300" w:lineRule="exact"/>
              <w:ind w:right="74"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1.关于“位于乌拉特中旗石哈河镇二连沟村的铸合矿业年产量为12万吨银矿石，该企业从2022年至今，开采了约1000万吨矿石，超负荷生产”的问题，经查，群众投诉反映的情况不属实。</w:t>
            </w:r>
          </w:p>
          <w:p>
            <w:pPr>
              <w:spacing w:line="300" w:lineRule="exact"/>
              <w:ind w:right="74"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经核查，内蒙古铸合矿业有限公司乌拉特中旗石哈河矿区银金铅锌矿位于乌拉特中旗石哈河镇柏木井村，于2021年1月27日取得采矿许可证，采矿许可证号：C1508002021014210151364，矿山服务年限18年，其中一期服务年限11年。开采方式为露天开采，生产规模为12万吨/年，矿区面积1.7507平方公里，有效期限为2021年1月27日至2032年1月27日。内蒙古铸合矿业有限公司取得采矿许可证后，陆续办理生产前相关手续，于2022年12月8日取得安全生产许可证（许可证编号为〔2022〕00668）。依据《内蒙古铸合矿业有限公司矿岩量统计表》，并经旗自然资源部门核查认定，内蒙古铸合矿业有限公司乌拉特中旗石哈河矿区银金铅锌矿从2022年12月至今生产矿石量为5.37万吨，小于证载生产规模12万吨/年，不属于超规模开采，不存在超负荷生产情况。</w:t>
            </w:r>
          </w:p>
          <w:p>
            <w:pPr>
              <w:spacing w:line="300" w:lineRule="exact"/>
              <w:ind w:right="74"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2.关于“超采地下水，导致附近地下水位下降，影响厂区北1公里处耕地用水”的问题，经查，群众投诉反映的情况部分属实。</w:t>
            </w:r>
          </w:p>
          <w:p>
            <w:pPr>
              <w:spacing w:line="300" w:lineRule="exact"/>
              <w:ind w:right="74"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超采地下水”情况不属实。经核查，内蒙古铸合矿业有限公司2021年7月28日办理取水许可证（许可证编号为D150824G2021-0006），许可年取水量64.32万立方米，其中生活用水7.3万立方米、生产用水57.02万立方米，有效期为2021年7月28日至2026年7月27日。根据用水量水表数据，内蒙古铸合矿业有限公司从2021年7月至今总取水量为20.56万立方米，其中生活用水0.56万立方米、生产用水20万立方米，不存在超采地下水情况。</w:t>
            </w:r>
          </w:p>
          <w:p>
            <w:pPr>
              <w:spacing w:line="300" w:lineRule="exact"/>
              <w:ind w:right="74"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“附近地下水位下降，影响厂区北1公里处耕地用水”情况部分属实。</w:t>
            </w:r>
          </w:p>
          <w:p>
            <w:pPr>
              <w:spacing w:line="300" w:lineRule="exact"/>
              <w:ind w:right="74"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该地区地下水为浅层裂隙水，主要补给来源为降雨入渗。旗气象局数据显示，石哈河地区2022年降水量为214.5mm，2023年降水量为144.5mm，年均蒸发量达800.3mm；距离该地区最近的地下水水位监测井（L49）数据显示，2022年9月地下水位为1.54米，2023年9月为1.65米，同期下降0.11米。干旱少雨，入渗补给不足导致该地区地下水水位较上一年度下降。</w:t>
            </w:r>
          </w:p>
          <w:p>
            <w:pPr>
              <w:spacing w:line="300" w:lineRule="exact"/>
              <w:ind w:right="74"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经实地调查，厂区北1公里处耕地水源井位于该公司上游，根据相对位置和水文地质条件分析，内蒙古铸合矿业有限公司取水不在该耕地水源井水量影响范围内，该耕地水源井水量不足主要原因为干旱少雨，入渗补给不足。</w:t>
            </w:r>
          </w:p>
          <w:p>
            <w:pPr>
              <w:spacing w:line="300" w:lineRule="exact"/>
              <w:ind w:right="74" w:firstLine="420" w:firstLineChars="200"/>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3.关于“举报人听矿场工人说，位于厂区内北侧的氢（氰）化堆有渗漏”的问题，经查，群众投诉反映的情况不属实。</w:t>
            </w:r>
          </w:p>
          <w:p>
            <w:pPr>
              <w:spacing w:line="300" w:lineRule="exact"/>
              <w:ind w:right="74"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信访人所指“</w:t>
            </w:r>
            <w:r>
              <w:rPr>
                <w:rFonts w:hint="default" w:ascii="Times New Roman" w:hAnsi="Times New Roman" w:eastAsia="宋体" w:cs="Times New Roman"/>
                <w:szCs w:val="21"/>
                <w:lang w:eastAsia="zh-CN"/>
              </w:rPr>
              <w:t>厂区内北侧的氢（</w:t>
            </w:r>
            <w:r>
              <w:rPr>
                <w:rFonts w:hint="default" w:ascii="Times New Roman" w:hAnsi="Times New Roman" w:eastAsia="宋体" w:cs="Times New Roman"/>
                <w:szCs w:val="21"/>
                <w:lang w:val="en-US" w:eastAsia="zh-CN"/>
              </w:rPr>
              <w:t>氰</w:t>
            </w:r>
            <w:r>
              <w:rPr>
                <w:rFonts w:hint="default" w:ascii="Times New Roman" w:hAnsi="Times New Roman" w:eastAsia="宋体" w:cs="Times New Roman"/>
                <w:szCs w:val="21"/>
                <w:lang w:eastAsia="zh-CN"/>
              </w:rPr>
              <w:t>）化堆”，</w:t>
            </w:r>
            <w:r>
              <w:rPr>
                <w:rFonts w:hint="default" w:ascii="Times New Roman" w:hAnsi="Times New Roman" w:eastAsia="宋体" w:cs="Times New Roman"/>
                <w:szCs w:val="21"/>
                <w:lang w:val="en-US" w:eastAsia="zh-CN"/>
              </w:rPr>
              <w:t>即</w:t>
            </w:r>
            <w:r>
              <w:rPr>
                <w:rFonts w:hint="default" w:ascii="Times New Roman" w:hAnsi="Times New Roman" w:eastAsia="宋体" w:cs="Times New Roman"/>
                <w:szCs w:val="21"/>
              </w:rPr>
              <w:t>内蒙古铸合矿业有限公司日处理低品味银矿石500吨堆浸选矿项目</w:t>
            </w:r>
            <w:r>
              <w:rPr>
                <w:rFonts w:hint="default" w:ascii="Times New Roman" w:hAnsi="Times New Roman" w:eastAsia="宋体" w:cs="Times New Roman"/>
                <w:szCs w:val="21"/>
                <w:lang w:val="en-US" w:eastAsia="zh-CN"/>
              </w:rPr>
              <w:t>堆浸场</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该项目</w:t>
            </w:r>
            <w:r>
              <w:rPr>
                <w:rFonts w:hint="default" w:ascii="Times New Roman" w:hAnsi="Times New Roman" w:eastAsia="宋体" w:cs="Times New Roman"/>
                <w:szCs w:val="21"/>
              </w:rPr>
              <w:t>环境影响报告书</w:t>
            </w:r>
            <w:r>
              <w:rPr>
                <w:rFonts w:hint="default" w:ascii="Times New Roman" w:hAnsi="Times New Roman" w:eastAsia="宋体" w:cs="Times New Roman"/>
                <w:szCs w:val="21"/>
                <w:lang w:val="en-US" w:eastAsia="zh-CN"/>
              </w:rPr>
              <w:t>于</w:t>
            </w:r>
            <w:r>
              <w:rPr>
                <w:rFonts w:hint="default" w:ascii="Times New Roman" w:hAnsi="Times New Roman" w:eastAsia="宋体" w:cs="Times New Roman"/>
                <w:szCs w:val="21"/>
              </w:rPr>
              <w:t>2020年4月16日取得了巴彦淖尔市生态环境局的批复（巴环审</w:t>
            </w:r>
            <w:r>
              <w:rPr>
                <w:rFonts w:hint="default" w:ascii="Times New Roman" w:hAnsi="Times New Roman" w:eastAsia="宋体" w:cs="Times New Roman"/>
                <w:szCs w:val="21"/>
                <w:lang w:val="en-US" w:eastAsia="zh-CN"/>
              </w:rPr>
              <w:t>〔</w:t>
            </w:r>
            <w:r>
              <w:rPr>
                <w:rFonts w:hint="default" w:ascii="Times New Roman" w:hAnsi="Times New Roman" w:eastAsia="宋体" w:cs="Times New Roman"/>
                <w:szCs w:val="21"/>
              </w:rPr>
              <w:t>2020</w:t>
            </w:r>
            <w:r>
              <w:rPr>
                <w:rFonts w:hint="default" w:ascii="Times New Roman" w:hAnsi="Times New Roman" w:eastAsia="宋体" w:cs="Times New Roman"/>
                <w:szCs w:val="21"/>
                <w:lang w:val="en-US" w:eastAsia="zh-CN"/>
              </w:rPr>
              <w:t>〕</w:t>
            </w:r>
            <w:r>
              <w:rPr>
                <w:rFonts w:hint="default" w:ascii="Times New Roman" w:hAnsi="Times New Roman" w:eastAsia="宋体" w:cs="Times New Roman"/>
                <w:szCs w:val="21"/>
              </w:rPr>
              <w:t>6号）。2023年4月17日</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内蒙古铸合矿业有限公司</w:t>
            </w:r>
            <w:r>
              <w:rPr>
                <w:rFonts w:hint="default" w:ascii="Times New Roman" w:hAnsi="Times New Roman" w:eastAsia="宋体" w:cs="Times New Roman"/>
                <w:szCs w:val="21"/>
                <w:lang w:val="en-US" w:eastAsia="zh-CN"/>
              </w:rPr>
              <w:t>完成了</w:t>
            </w:r>
            <w:r>
              <w:rPr>
                <w:rFonts w:hint="default" w:ascii="Times New Roman" w:hAnsi="Times New Roman" w:eastAsia="宋体" w:cs="Times New Roman"/>
                <w:szCs w:val="21"/>
              </w:rPr>
              <w:t>项目竣工环境保护验收。</w:t>
            </w:r>
            <w:r>
              <w:rPr>
                <w:rFonts w:hint="default" w:ascii="Times New Roman" w:hAnsi="Times New Roman" w:eastAsia="宋体" w:cs="Times New Roman"/>
                <w:szCs w:val="21"/>
                <w:lang w:val="en-US" w:eastAsia="zh-CN"/>
              </w:rPr>
              <w:t>监理工程竣工资料显示，</w:t>
            </w:r>
            <w:r>
              <w:rPr>
                <w:rFonts w:hint="default" w:ascii="Times New Roman" w:hAnsi="Times New Roman" w:eastAsia="宋体" w:cs="Times New Roman"/>
                <w:szCs w:val="21"/>
              </w:rPr>
              <w:t>堆浸场</w:t>
            </w:r>
            <w:r>
              <w:rPr>
                <w:rFonts w:hint="default" w:ascii="Times New Roman" w:hAnsi="Times New Roman" w:eastAsia="宋体" w:cs="Times New Roman"/>
                <w:szCs w:val="21"/>
                <w:lang w:val="en-US" w:eastAsia="zh-CN"/>
              </w:rPr>
              <w:t>按规范</w:t>
            </w:r>
            <w:r>
              <w:rPr>
                <w:rFonts w:hint="default" w:ascii="Times New Roman" w:hAnsi="Times New Roman" w:eastAsia="宋体" w:cs="Times New Roman"/>
                <w:szCs w:val="21"/>
              </w:rPr>
              <w:t>进行了全防渗处理，</w:t>
            </w:r>
            <w:r>
              <w:rPr>
                <w:rFonts w:hint="default" w:ascii="Times New Roman" w:hAnsi="Times New Roman" w:eastAsia="宋体" w:cs="Times New Roman"/>
                <w:szCs w:val="21"/>
                <w:lang w:val="en-US" w:eastAsia="zh-CN"/>
              </w:rPr>
              <w:t>主要采用粘土、HDPE土工膜、长丝无纺布及彩条布进行多层防渗，</w:t>
            </w:r>
            <w:r>
              <w:rPr>
                <w:rFonts w:hint="default" w:ascii="Times New Roman" w:hAnsi="Times New Roman" w:eastAsia="宋体" w:cs="Times New Roman"/>
                <w:szCs w:val="21"/>
              </w:rPr>
              <w:t>渗透系数小于1.0×10-12cm/s。经调查核实，堆浸选矿项目</w:t>
            </w:r>
            <w:r>
              <w:rPr>
                <w:rFonts w:hint="default" w:ascii="Times New Roman" w:hAnsi="Times New Roman" w:eastAsia="宋体" w:cs="Times New Roman"/>
                <w:szCs w:val="21"/>
                <w:lang w:val="en-US" w:eastAsia="zh-CN"/>
              </w:rPr>
              <w:t>投产以来，内蒙古铸合矿业有限公司每季度委托第三方检测机构进行例行环境检测，检测报告显示，场区周边7处地下水监测井各类污染物浓度均符合《地下水质量标准》（GB/T14848-2017）Ⅲ类标准限值。堆浸场上游、下游土壤监测点氰化物等主要污染物含量均符合《土壤环境质量建设用地土壤污染风险管控标准》（GB36600-2018）第二类用地筛选值。</w:t>
            </w:r>
          </w:p>
          <w:p>
            <w:pPr>
              <w:spacing w:line="300" w:lineRule="exact"/>
              <w:ind w:right="74" w:firstLine="420" w:firstLineChars="200"/>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Cs w:val="21"/>
              </w:rPr>
              <w:t>接到群众投诉反映情况后</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巴彦淖尔市生态环境局乌拉特中旗分局</w:t>
            </w:r>
            <w:r>
              <w:rPr>
                <w:rFonts w:hint="default" w:ascii="Times New Roman" w:hAnsi="Times New Roman" w:eastAsia="宋体" w:cs="Times New Roman"/>
                <w:szCs w:val="21"/>
                <w:lang w:val="en-US" w:eastAsia="zh-CN"/>
              </w:rPr>
              <w:t>于</w:t>
            </w:r>
            <w:r>
              <w:rPr>
                <w:rFonts w:hint="default" w:ascii="Times New Roman" w:hAnsi="Times New Roman" w:eastAsia="宋体" w:cs="Times New Roman"/>
                <w:szCs w:val="21"/>
              </w:rPr>
              <w:t>2023年11月4日</w:t>
            </w:r>
            <w:r>
              <w:rPr>
                <w:rFonts w:hint="default" w:ascii="Times New Roman" w:hAnsi="Times New Roman" w:eastAsia="宋体" w:cs="Times New Roman"/>
                <w:szCs w:val="21"/>
                <w:lang w:val="en-US" w:eastAsia="zh-CN"/>
              </w:rPr>
              <w:t>委托内蒙古乾源环保科技有限公司</w:t>
            </w:r>
            <w:r>
              <w:rPr>
                <w:rFonts w:hint="default" w:ascii="Times New Roman" w:hAnsi="Times New Roman" w:eastAsia="宋体" w:cs="Times New Roman"/>
                <w:szCs w:val="21"/>
              </w:rPr>
              <w:t>，对内蒙古铸合矿业有限公司周边七处</w:t>
            </w:r>
            <w:r>
              <w:rPr>
                <w:rFonts w:hint="default" w:ascii="Times New Roman" w:hAnsi="Times New Roman" w:eastAsia="宋体" w:cs="Times New Roman"/>
                <w:szCs w:val="21"/>
                <w:lang w:val="en-US" w:eastAsia="zh-CN"/>
              </w:rPr>
              <w:t>地下水监</w:t>
            </w:r>
            <w:r>
              <w:rPr>
                <w:rFonts w:hint="default" w:ascii="Times New Roman" w:hAnsi="Times New Roman" w:eastAsia="宋体" w:cs="Times New Roman"/>
                <w:szCs w:val="21"/>
              </w:rPr>
              <w:t>测井及</w:t>
            </w:r>
            <w:r>
              <w:rPr>
                <w:rFonts w:hint="default" w:ascii="Times New Roman" w:hAnsi="Times New Roman" w:eastAsia="宋体" w:cs="Times New Roman"/>
                <w:szCs w:val="21"/>
                <w:lang w:val="en-US" w:eastAsia="zh-CN"/>
              </w:rPr>
              <w:t>堆浸场周边</w:t>
            </w:r>
            <w:r>
              <w:rPr>
                <w:rFonts w:hint="default" w:ascii="Times New Roman" w:hAnsi="Times New Roman" w:eastAsia="宋体" w:cs="Times New Roman"/>
                <w:szCs w:val="21"/>
              </w:rPr>
              <w:t>土壤进行了监测</w:t>
            </w:r>
            <w:r>
              <w:rPr>
                <w:rFonts w:hint="default" w:ascii="Times New Roman" w:hAnsi="Times New Roman" w:eastAsia="宋体" w:cs="Times New Roman"/>
                <w:szCs w:val="21"/>
                <w:lang w:val="en-US" w:eastAsia="zh-CN"/>
              </w:rPr>
              <w:t>。根据地下水和土壤检测报告结果显示，七处地下水监测井氰化物浓度均符合《地下水质量标准》（GB/T14848-2017）Ⅲ类标准限值，堆浸场周边3处土壤监测点氰化物含量均符合《土壤环境质量建设用地土壤污染风险管控标准》（GB36600-2018）第二类用地筛选值，未发现氰化堆渗漏情况。</w:t>
            </w:r>
          </w:p>
        </w:tc>
        <w:tc>
          <w:tcPr>
            <w:tcW w:w="675" w:type="dxa"/>
            <w:vAlign w:val="center"/>
          </w:tcPr>
          <w:p>
            <w:pPr>
              <w:spacing w:line="300" w:lineRule="exact"/>
              <w:jc w:val="center"/>
              <w:rPr>
                <w:rFonts w:hint="default" w:ascii="Times New Roman" w:hAnsi="Times New Roman" w:eastAsia="宋体" w:cs="Times New Roman"/>
                <w:spacing w:val="-3"/>
                <w:szCs w:val="21"/>
                <w:lang w:val="en-US" w:eastAsia="zh-CN"/>
              </w:rPr>
            </w:pPr>
            <w:r>
              <w:rPr>
                <w:rFonts w:hint="default" w:ascii="Times New Roman" w:hAnsi="Times New Roman" w:eastAsia="宋体" w:cs="Times New Roman"/>
                <w:spacing w:val="-3"/>
                <w:szCs w:val="21"/>
                <w:lang w:val="en-US" w:eastAsia="zh-CN"/>
              </w:rPr>
              <w:t>部分</w:t>
            </w:r>
          </w:p>
          <w:p>
            <w:pPr>
              <w:spacing w:line="300" w:lineRule="exact"/>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3"/>
                <w:szCs w:val="21"/>
              </w:rPr>
              <w:t>属实</w:t>
            </w:r>
          </w:p>
        </w:tc>
        <w:tc>
          <w:tcPr>
            <w:tcW w:w="2295" w:type="dxa"/>
            <w:vAlign w:val="center"/>
          </w:tcPr>
          <w:p>
            <w:pPr>
              <w:spacing w:line="300" w:lineRule="exact"/>
              <w:ind w:right="74" w:firstLine="420" w:firstLineChars="200"/>
              <w:rPr>
                <w:rFonts w:hint="default" w:ascii="Times New Roman" w:hAnsi="Times New Roman" w:eastAsia="宋体" w:cs="Times New Roman"/>
                <w:szCs w:val="21"/>
                <w:lang w:val="en-US" w:eastAsia="zh-CN"/>
              </w:rPr>
            </w:pPr>
          </w:p>
          <w:p>
            <w:pPr>
              <w:spacing w:line="300" w:lineRule="exact"/>
              <w:ind w:right="74"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一是</w:t>
            </w:r>
            <w:r>
              <w:rPr>
                <w:rFonts w:hint="default" w:ascii="Times New Roman" w:hAnsi="Times New Roman" w:eastAsia="宋体" w:cs="Times New Roman"/>
                <w:szCs w:val="21"/>
                <w:lang w:val="en-US" w:eastAsia="zh-CN"/>
              </w:rPr>
              <w:t>自然资源局、水利局、石哈河镇继续加强日常监管，加强地下水水位监测，确保不发生超采矿产资源、超采地下水资源行为；</w:t>
            </w:r>
          </w:p>
          <w:p>
            <w:pPr>
              <w:spacing w:line="300" w:lineRule="exact"/>
              <w:ind w:right="74"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二是</w:t>
            </w:r>
            <w:r>
              <w:rPr>
                <w:rFonts w:hint="default" w:ascii="Times New Roman" w:hAnsi="Times New Roman" w:eastAsia="宋体" w:cs="Times New Roman"/>
                <w:szCs w:val="21"/>
                <w:lang w:val="en-US" w:eastAsia="zh-CN"/>
              </w:rPr>
              <w:t>生态环境分局、应急管理局、石哈河镇继续督促企业严格落实环保、安全生产主体责任，生产过程中严格执行生态环境、安全生产应急管理等相关规定，定期修编并严格落实突发环境事件、安全生产应急预案，定期开展应急演练，坚决杜绝环境污染事件和安全生产事故的发生。</w:t>
            </w:r>
          </w:p>
          <w:p>
            <w:pPr>
              <w:spacing w:before="25" w:line="217" w:lineRule="auto"/>
              <w:ind w:left="124" w:leftChars="0" w:right="115" w:rightChars="0" w:firstLine="350" w:firstLineChars="0"/>
              <w:rPr>
                <w:rFonts w:hint="eastAsia" w:ascii="Times New Roman" w:hAnsi="Times New Roman" w:eastAsia="宋体" w:cs="Times New Roman"/>
                <w:kern w:val="2"/>
                <w:sz w:val="18"/>
                <w:szCs w:val="18"/>
                <w:lang w:val="en-US" w:eastAsia="zh-CN" w:bidi="ar-SA"/>
              </w:rPr>
            </w:pPr>
          </w:p>
        </w:tc>
        <w:tc>
          <w:tcPr>
            <w:tcW w:w="690" w:type="dxa"/>
            <w:vAlign w:val="center"/>
          </w:tcPr>
          <w:p>
            <w:pPr>
              <w:spacing w:before="1" w:line="249" w:lineRule="auto"/>
              <w:ind w:left="126" w:right="118" w:hanging="10"/>
              <w:jc w:val="center"/>
              <w:rPr>
                <w:rFonts w:hint="default" w:ascii="Times New Roman" w:hAnsi="Times New Roman" w:eastAsia="宋体" w:cs="Times New Roman"/>
                <w:sz w:val="18"/>
                <w:szCs w:val="18"/>
                <w:lang w:val="en-US" w:eastAsia="zh-CN"/>
              </w:rPr>
            </w:pPr>
          </w:p>
          <w:p>
            <w:pPr>
              <w:spacing w:before="1" w:line="249" w:lineRule="auto"/>
              <w:ind w:left="126" w:right="118" w:hanging="10"/>
              <w:jc w:val="center"/>
              <w:rPr>
                <w:rFonts w:hint="default" w:ascii="Times New Roman" w:hAnsi="Times New Roman" w:eastAsia="宋体" w:cs="Times New Roman"/>
                <w:sz w:val="18"/>
                <w:szCs w:val="18"/>
                <w:lang w:val="en-US" w:eastAsia="zh-CN"/>
              </w:rPr>
            </w:pPr>
          </w:p>
          <w:p>
            <w:pPr>
              <w:spacing w:before="1" w:line="249" w:lineRule="auto"/>
              <w:ind w:left="126" w:right="118" w:hanging="10"/>
              <w:jc w:val="center"/>
              <w:rPr>
                <w:rFonts w:hint="default" w:ascii="Times New Roman" w:hAnsi="Times New Roman" w:eastAsia="宋体" w:cs="Times New Roman"/>
                <w:sz w:val="18"/>
                <w:szCs w:val="18"/>
                <w:lang w:val="en-US" w:eastAsia="zh-CN"/>
              </w:rPr>
            </w:pPr>
          </w:p>
          <w:p>
            <w:pPr>
              <w:spacing w:before="1" w:line="249" w:lineRule="auto"/>
              <w:ind w:left="126" w:right="118" w:hanging="10"/>
              <w:jc w:val="center"/>
              <w:rPr>
                <w:rFonts w:hint="default" w:ascii="Times New Roman" w:hAnsi="Times New Roman" w:eastAsia="宋体" w:cs="Times New Roman"/>
                <w:sz w:val="18"/>
                <w:szCs w:val="18"/>
                <w:lang w:val="en-US" w:eastAsia="zh-CN"/>
              </w:rPr>
            </w:pPr>
          </w:p>
          <w:p>
            <w:pPr>
              <w:spacing w:before="1" w:line="249" w:lineRule="auto"/>
              <w:ind w:left="126" w:right="118" w:hanging="10"/>
              <w:jc w:val="center"/>
              <w:rPr>
                <w:rFonts w:hint="default" w:ascii="Times New Roman" w:hAnsi="Times New Roman" w:eastAsia="宋体" w:cs="Times New Roman"/>
                <w:sz w:val="18"/>
                <w:szCs w:val="18"/>
                <w:lang w:val="en-US" w:eastAsia="zh-CN"/>
              </w:rPr>
            </w:pPr>
          </w:p>
          <w:p>
            <w:pPr>
              <w:spacing w:before="1" w:line="249" w:lineRule="auto"/>
              <w:ind w:left="126" w:right="118" w:hanging="10"/>
              <w:jc w:val="center"/>
              <w:rPr>
                <w:rFonts w:hint="default" w:ascii="Times New Roman" w:hAnsi="Times New Roman" w:eastAsia="宋体" w:cs="Times New Roman"/>
                <w:sz w:val="18"/>
                <w:szCs w:val="18"/>
                <w:lang w:val="en-US" w:eastAsia="zh-CN"/>
              </w:rPr>
            </w:pPr>
          </w:p>
          <w:p>
            <w:pPr>
              <w:spacing w:before="1" w:line="249" w:lineRule="auto"/>
              <w:ind w:left="126" w:leftChars="0" w:right="118" w:rightChars="0" w:hanging="10" w:firstLine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3"/>
                <w:szCs w:val="21"/>
                <w:lang w:val="en-US" w:eastAsia="zh-CN"/>
              </w:rPr>
              <w:t>已办结</w:t>
            </w:r>
          </w:p>
        </w:tc>
        <w:tc>
          <w:tcPr>
            <w:tcW w:w="1054" w:type="dxa"/>
            <w:vAlign w:val="center"/>
          </w:tcPr>
          <w:p>
            <w:pPr>
              <w:spacing w:before="59" w:line="281" w:lineRule="auto"/>
              <w:ind w:right="20" w:right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21"/>
                <w:szCs w:val="21"/>
                <w:lang w:val="en-US" w:eastAsia="zh-CN"/>
              </w:rPr>
              <w:t>无</w:t>
            </w:r>
          </w:p>
        </w:tc>
      </w:tr>
    </w:tbl>
    <w:p>
      <w:pPr>
        <w:spacing w:line="600" w:lineRule="exact"/>
        <w:rPr>
          <w:rFonts w:ascii="Times New Roman" w:hAnsi="Times New Roman" w:eastAsia="Arial" w:cs="Times New Roman"/>
          <w:szCs w:val="21"/>
        </w:rPr>
        <w:sectPr>
          <w:footerReference r:id="rId3" w:type="default"/>
          <w:pgSz w:w="16840" w:h="11900"/>
          <w:pgMar w:top="1011" w:right="944" w:bottom="1158" w:left="444" w:header="0" w:footer="948" w:gutter="0"/>
          <w:cols w:space="720" w:num="1"/>
        </w:sectPr>
      </w:pPr>
    </w:p>
    <w:p>
      <w:pPr>
        <w:spacing w:line="600" w:lineRule="exact"/>
        <w:rPr>
          <w:rFonts w:ascii="Times New Roman" w:hAnsi="Times New Roman" w:eastAsia="仿宋_GB2312" w:cs="Times New Roman"/>
          <w:sz w:val="32"/>
          <w:szCs w:val="32"/>
        </w:rPr>
      </w:pPr>
    </w:p>
    <w:sectPr>
      <w:pgSz w:w="11906" w:h="16838"/>
      <w:pgMar w:top="0" w:right="0" w:bottom="567"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7545"/>
      <w:rPr>
        <w:rFonts w:ascii="宋体" w:hAnsi="宋体" w:eastAsia="宋体" w:cs="宋体"/>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cstheme="minorEastAsia"/>
                              <w:sz w:val="24"/>
                            </w:rPr>
                          </w:pPr>
                          <w:r>
                            <w:rPr>
                              <w:rFonts w:hint="eastAsia" w:asciiTheme="minorEastAsia" w:hAnsiTheme="minorEastAsia" w:cstheme="minorEastAsia"/>
                              <w:sz w:val="24"/>
                            </w:rPr>
                            <w:t xml:space="preserve">— </w:t>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9</w:t>
                          </w:r>
                          <w:r>
                            <w:rPr>
                              <w:rFonts w:hint="eastAsia" w:asciiTheme="minorEastAsia" w:hAnsiTheme="minorEastAsia" w:cstheme="minorEastAsia"/>
                              <w:sz w:val="24"/>
                            </w:rPr>
                            <w:fldChar w:fldCharType="end"/>
                          </w:r>
                          <w:r>
                            <w:rPr>
                              <w:rFonts w:hint="eastAsia" w:asciiTheme="minorEastAsia" w:hAnsiTheme="minorEastAsia" w:cstheme="minorEastAsia"/>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5"/>
                      <w:rPr>
                        <w:rFonts w:asciiTheme="minorEastAsia" w:hAnsiTheme="minorEastAsia" w:cstheme="minorEastAsia"/>
                        <w:sz w:val="24"/>
                      </w:rPr>
                    </w:pPr>
                    <w:r>
                      <w:rPr>
                        <w:rFonts w:hint="eastAsia" w:asciiTheme="minorEastAsia" w:hAnsiTheme="minorEastAsia" w:cstheme="minorEastAsia"/>
                        <w:sz w:val="24"/>
                      </w:rPr>
                      <w:t xml:space="preserve">— </w:t>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9</w:t>
                    </w:r>
                    <w:r>
                      <w:rPr>
                        <w:rFonts w:hint="eastAsia" w:asciiTheme="minorEastAsia" w:hAnsiTheme="minorEastAsia" w:cstheme="minorEastAsia"/>
                        <w:sz w:val="24"/>
                      </w:rPr>
                      <w:fldChar w:fldCharType="end"/>
                    </w:r>
                    <w:r>
                      <w:rPr>
                        <w:rFonts w:hint="eastAsia" w:asciiTheme="minorEastAsia" w:hAnsiTheme="minorEastAsia" w:cstheme="minorEastAsia"/>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ZGVlN2FiZWZmNjI0YzRmZDhmODJiYTA0MmY4NDEifQ=="/>
  </w:docVars>
  <w:rsids>
    <w:rsidRoot w:val="0099776F"/>
    <w:rsid w:val="00284771"/>
    <w:rsid w:val="00285F50"/>
    <w:rsid w:val="003E7521"/>
    <w:rsid w:val="00442921"/>
    <w:rsid w:val="0063063C"/>
    <w:rsid w:val="00630DD6"/>
    <w:rsid w:val="00710105"/>
    <w:rsid w:val="00784E83"/>
    <w:rsid w:val="007E65BD"/>
    <w:rsid w:val="0086535D"/>
    <w:rsid w:val="008B2589"/>
    <w:rsid w:val="0099776F"/>
    <w:rsid w:val="009A3E50"/>
    <w:rsid w:val="00BB2C16"/>
    <w:rsid w:val="00C257A5"/>
    <w:rsid w:val="00DA535A"/>
    <w:rsid w:val="00E01F86"/>
    <w:rsid w:val="00E81CB1"/>
    <w:rsid w:val="00EF6F33"/>
    <w:rsid w:val="00FF5490"/>
    <w:rsid w:val="01CF2AC9"/>
    <w:rsid w:val="056441D3"/>
    <w:rsid w:val="0620235A"/>
    <w:rsid w:val="06286813"/>
    <w:rsid w:val="06C66A16"/>
    <w:rsid w:val="08D24AEC"/>
    <w:rsid w:val="0AD35BED"/>
    <w:rsid w:val="0BF12D33"/>
    <w:rsid w:val="0BF13CB7"/>
    <w:rsid w:val="0FA74DC1"/>
    <w:rsid w:val="106D4390"/>
    <w:rsid w:val="10DC4D6D"/>
    <w:rsid w:val="11CD56CA"/>
    <w:rsid w:val="12684AF6"/>
    <w:rsid w:val="13D82382"/>
    <w:rsid w:val="14802C1D"/>
    <w:rsid w:val="14B4083D"/>
    <w:rsid w:val="14BC7D6E"/>
    <w:rsid w:val="16275D5F"/>
    <w:rsid w:val="171C6B6E"/>
    <w:rsid w:val="172D2EFF"/>
    <w:rsid w:val="181965CE"/>
    <w:rsid w:val="196621CA"/>
    <w:rsid w:val="1A424778"/>
    <w:rsid w:val="1E9A6F10"/>
    <w:rsid w:val="1ED45854"/>
    <w:rsid w:val="21FD5A25"/>
    <w:rsid w:val="22592A24"/>
    <w:rsid w:val="22ED6DD3"/>
    <w:rsid w:val="243674C1"/>
    <w:rsid w:val="24CF063F"/>
    <w:rsid w:val="298C3068"/>
    <w:rsid w:val="2B301B57"/>
    <w:rsid w:val="2B3807A5"/>
    <w:rsid w:val="2B8E1983"/>
    <w:rsid w:val="2C2A019F"/>
    <w:rsid w:val="2D17796B"/>
    <w:rsid w:val="2D1954A2"/>
    <w:rsid w:val="2DCE0BC4"/>
    <w:rsid w:val="2E921785"/>
    <w:rsid w:val="2EBA1EDB"/>
    <w:rsid w:val="2FAF39CF"/>
    <w:rsid w:val="2FDC57A2"/>
    <w:rsid w:val="315C2D1B"/>
    <w:rsid w:val="336979EA"/>
    <w:rsid w:val="3495305E"/>
    <w:rsid w:val="35F936AD"/>
    <w:rsid w:val="38C77485"/>
    <w:rsid w:val="3CAD38E6"/>
    <w:rsid w:val="3E1160A4"/>
    <w:rsid w:val="3FA56E51"/>
    <w:rsid w:val="42770F78"/>
    <w:rsid w:val="4426240C"/>
    <w:rsid w:val="449C6A74"/>
    <w:rsid w:val="462976F5"/>
    <w:rsid w:val="47CA7D9C"/>
    <w:rsid w:val="48AB4707"/>
    <w:rsid w:val="49537225"/>
    <w:rsid w:val="49AB5585"/>
    <w:rsid w:val="4BB47FB7"/>
    <w:rsid w:val="4DE45D18"/>
    <w:rsid w:val="4F906D28"/>
    <w:rsid w:val="4FA933A2"/>
    <w:rsid w:val="502D77CE"/>
    <w:rsid w:val="504338E1"/>
    <w:rsid w:val="533E519B"/>
    <w:rsid w:val="54795557"/>
    <w:rsid w:val="566D0157"/>
    <w:rsid w:val="57D367F9"/>
    <w:rsid w:val="5900696E"/>
    <w:rsid w:val="5E0C594C"/>
    <w:rsid w:val="5E7B6AB7"/>
    <w:rsid w:val="5EAA549F"/>
    <w:rsid w:val="5F0B6879"/>
    <w:rsid w:val="5F3560BF"/>
    <w:rsid w:val="5F446A72"/>
    <w:rsid w:val="5F693DD7"/>
    <w:rsid w:val="61B122E4"/>
    <w:rsid w:val="62301219"/>
    <w:rsid w:val="62447A48"/>
    <w:rsid w:val="6519613E"/>
    <w:rsid w:val="6B295636"/>
    <w:rsid w:val="6B772141"/>
    <w:rsid w:val="6B8E151B"/>
    <w:rsid w:val="6C054CB7"/>
    <w:rsid w:val="6CE03ECA"/>
    <w:rsid w:val="6F9B51CC"/>
    <w:rsid w:val="6FC979B6"/>
    <w:rsid w:val="6FD13CD0"/>
    <w:rsid w:val="70DC0075"/>
    <w:rsid w:val="71454032"/>
    <w:rsid w:val="71854748"/>
    <w:rsid w:val="726127F6"/>
    <w:rsid w:val="73992811"/>
    <w:rsid w:val="758418D5"/>
    <w:rsid w:val="75CD5EAB"/>
    <w:rsid w:val="7639432D"/>
    <w:rsid w:val="769E6791"/>
    <w:rsid w:val="76C91280"/>
    <w:rsid w:val="77A13F7F"/>
    <w:rsid w:val="7CF20C20"/>
    <w:rsid w:val="7D551A95"/>
    <w:rsid w:val="7DFD3F5F"/>
    <w:rsid w:val="7E28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eastAsia="en-US"/>
    </w:rPr>
  </w:style>
  <w:style w:type="paragraph" w:styleId="3">
    <w:name w:val="Body Text Indent"/>
    <w:basedOn w:val="1"/>
    <w:next w:val="4"/>
    <w:qFormat/>
    <w:uiPriority w:val="0"/>
    <w:pPr>
      <w:ind w:firstLine="640" w:firstLineChars="200"/>
    </w:pPr>
    <w:rPr>
      <w:rFonts w:ascii="仿宋_GB2312" w:hAnsi="Times New Roman" w:eastAsia="仿宋_GB2312"/>
      <w:bCs/>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1"/>
    <w:next w:val="7"/>
    <w:unhideWhenUsed/>
    <w:qFormat/>
    <w:uiPriority w:val="0"/>
    <w:pPr>
      <w:ind w:firstLine="420" w:firstLineChars="100"/>
    </w:pPr>
  </w:style>
  <w:style w:type="paragraph" w:styleId="7">
    <w:name w:val="Body Text First Indent 2"/>
    <w:basedOn w:val="3"/>
    <w:next w:val="1"/>
    <w:qFormat/>
    <w:uiPriority w:val="0"/>
    <w:pPr>
      <w:spacing w:after="0"/>
      <w:ind w:firstLine="420" w:firstLineChars="200"/>
    </w:pPr>
    <w:rPr>
      <w:rFonts w:ascii="仿宋_GB2312" w:eastAsia="仿宋_GB2312"/>
      <w:sz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752</Words>
  <Characters>4289</Characters>
  <Lines>35</Lines>
  <Paragraphs>10</Paragraphs>
  <TotalTime>0</TotalTime>
  <ScaleCrop>false</ScaleCrop>
  <LinksUpToDate>false</LinksUpToDate>
  <CharactersWithSpaces>5031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2023-11-01T02:36:00Z</dcterms:created>
  <dc:creator>w</dc:creator>
  <cp:lastModifiedBy>lenovo</cp:lastModifiedBy>
  <cp:lastPrinted>2023-11-07T13:39:00Z</cp:lastPrinted>
  <dcterms:modified xsi:type="dcterms:W3CDTF">2023-11-09T02:13:26Z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E2B40CB7ECFC4654A9E8D8D09BAEF20D_13</vt:lpwstr>
  </property>
</Properties>
</file>