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2B41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企业</w:t>
      </w:r>
      <w:r>
        <w:rPr>
          <w:rFonts w:hint="eastAsia" w:ascii="方正小标宋简体" w:hAnsi="方正小标宋简体" w:eastAsia="方正小标宋简体" w:cs="方正小标宋简体"/>
          <w:b w:val="0"/>
          <w:bCs w:val="0"/>
          <w:color w:val="auto"/>
          <w:sz w:val="44"/>
          <w:szCs w:val="44"/>
          <w:lang w:val="en-US" w:eastAsia="zh-CN"/>
        </w:rPr>
        <w:t>变更/备案“证照联办”办事</w:t>
      </w:r>
      <w:r>
        <w:rPr>
          <w:rFonts w:hint="eastAsia" w:ascii="方正小标宋简体" w:hAnsi="方正小标宋简体" w:eastAsia="方正小标宋简体" w:cs="方正小标宋简体"/>
          <w:b w:val="0"/>
          <w:bCs w:val="0"/>
          <w:color w:val="auto"/>
          <w:sz w:val="44"/>
          <w:szCs w:val="44"/>
        </w:rPr>
        <w:t>指南</w:t>
      </w:r>
    </w:p>
    <w:p w14:paraId="0B3AC16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eastAsia="方正小标宋简体"/>
          <w:color w:val="auto"/>
          <w:sz w:val="36"/>
          <w:szCs w:val="36"/>
        </w:rPr>
      </w:pPr>
    </w:p>
    <w:p w14:paraId="273358B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一、适用范围</w:t>
      </w:r>
    </w:p>
    <w:p w14:paraId="4BB8838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适用于乌拉特中旗范围内企业的变更/备案。</w:t>
      </w:r>
    </w:p>
    <w:p w14:paraId="720C3C5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二、事项内容</w:t>
      </w:r>
    </w:p>
    <w:p w14:paraId="4571F61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以</w:t>
      </w:r>
      <w:r>
        <w:rPr>
          <w:rFonts w:hint="eastAsia" w:ascii="仿宋_GB2312" w:hAnsi="仿宋_GB2312" w:eastAsia="仿宋_GB2312" w:cs="仿宋_GB2312"/>
          <w:sz w:val="32"/>
          <w:szCs w:val="32"/>
          <w:lang w:val="en-US" w:eastAsia="zh-CN"/>
        </w:rPr>
        <w:t>普通</w:t>
      </w:r>
      <w:r>
        <w:rPr>
          <w:rFonts w:hint="eastAsia" w:ascii="仿宋_GB2312" w:hAnsi="仿宋_GB2312" w:eastAsia="仿宋_GB2312" w:cs="仿宋_GB2312"/>
          <w:sz w:val="32"/>
          <w:szCs w:val="32"/>
        </w:rPr>
        <w:t>有限责任公司</w:t>
      </w:r>
      <w:r>
        <w:rPr>
          <w:rFonts w:hint="eastAsia" w:ascii="仿宋_GB2312" w:hAnsi="仿宋_GB2312" w:eastAsia="仿宋_GB2312" w:cs="仿宋_GB2312"/>
          <w:sz w:val="32"/>
          <w:szCs w:val="32"/>
          <w:lang w:val="en-US" w:eastAsia="zh-CN"/>
        </w:rPr>
        <w:t>变更/备案</w:t>
      </w:r>
      <w:r>
        <w:rPr>
          <w:rFonts w:hint="eastAsia" w:ascii="仿宋_GB2312" w:hAnsi="仿宋_GB2312" w:eastAsia="仿宋_GB2312" w:cs="仿宋_GB2312"/>
          <w:sz w:val="32"/>
          <w:szCs w:val="32"/>
        </w:rPr>
        <w:t>为例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公司注册登记、印章刻制、申领发票及税控设备、社保登记、医保登记、公积金缴存登记、银行预约开户和涉及相关许可/备案证（食品生产许可、食品经营许可、食品小作坊小餐饮小食杂登记、药品零食企业经营许可、第三类医疗器械经营许可、第二类医疗器械经营备案、特种设备使用登记)办理16</w:t>
      </w:r>
      <w:r>
        <w:rPr>
          <w:rFonts w:hint="eastAsia" w:ascii="仿宋_GB2312" w:hAnsi="仿宋_GB2312" w:eastAsia="仿宋_GB2312" w:cs="仿宋_GB2312"/>
          <w:sz w:val="32"/>
          <w:szCs w:val="32"/>
        </w:rPr>
        <w:t>个涉企办事事项</w:t>
      </w:r>
      <w:r>
        <w:rPr>
          <w:rFonts w:hint="eastAsia" w:ascii="仿宋_GB2312" w:hAnsi="仿宋_GB2312" w:eastAsia="仿宋_GB2312" w:cs="仿宋_GB2312"/>
          <w:sz w:val="32"/>
          <w:szCs w:val="32"/>
          <w:lang w:eastAsia="zh-CN"/>
        </w:rPr>
        <w:t>。</w:t>
      </w:r>
    </w:p>
    <w:p w14:paraId="6B1F226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三、申请材料清单</w:t>
      </w:r>
    </w:p>
    <w:tbl>
      <w:tblPr>
        <w:tblStyle w:val="5"/>
        <w:tblW w:w="9360"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240"/>
        <w:gridCol w:w="5145"/>
        <w:gridCol w:w="1513"/>
        <w:gridCol w:w="1499"/>
      </w:tblGrid>
      <w:tr w14:paraId="216AD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6348" w:type="dxa"/>
            <w:gridSpan w:val="3"/>
            <w:noWrap w:val="0"/>
            <w:vAlign w:val="center"/>
          </w:tcPr>
          <w:p w14:paraId="08C2424F">
            <w:pPr>
              <w:widowControl w:val="0"/>
              <w:numPr>
                <w:ilvl w:val="0"/>
                <w:numId w:val="0"/>
              </w:num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材料名称及申请条件</w:t>
            </w:r>
          </w:p>
        </w:tc>
        <w:tc>
          <w:tcPr>
            <w:tcW w:w="1513" w:type="dxa"/>
            <w:noWrap w:val="0"/>
            <w:vAlign w:val="center"/>
          </w:tcPr>
          <w:p w14:paraId="1E4A5349">
            <w:pPr>
              <w:widowControl w:val="0"/>
              <w:numPr>
                <w:ilvl w:val="0"/>
                <w:numId w:val="0"/>
              </w:num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获取方式</w:t>
            </w:r>
          </w:p>
        </w:tc>
        <w:tc>
          <w:tcPr>
            <w:tcW w:w="1499" w:type="dxa"/>
            <w:noWrap w:val="0"/>
            <w:vAlign w:val="center"/>
          </w:tcPr>
          <w:p w14:paraId="23F15688">
            <w:pPr>
              <w:widowControl w:val="0"/>
              <w:numPr>
                <w:ilvl w:val="0"/>
                <w:numId w:val="0"/>
              </w:num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说明</w:t>
            </w:r>
          </w:p>
        </w:tc>
      </w:tr>
      <w:tr w14:paraId="2DF2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360" w:type="dxa"/>
            <w:gridSpan w:val="5"/>
            <w:noWrap w:val="0"/>
            <w:vAlign w:val="center"/>
          </w:tcPr>
          <w:p w14:paraId="1895C64A">
            <w:pPr>
              <w:widowControl w:val="0"/>
              <w:numPr>
                <w:ilvl w:val="0"/>
                <w:numId w:val="0"/>
              </w:numPr>
              <w:jc w:val="center"/>
              <w:rPr>
                <w:rFonts w:hint="default"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企业变更登记</w:t>
            </w:r>
          </w:p>
        </w:tc>
      </w:tr>
      <w:tr w14:paraId="6AE6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348" w:type="dxa"/>
            <w:gridSpan w:val="3"/>
            <w:noWrap w:val="0"/>
            <w:vAlign w:val="center"/>
          </w:tcPr>
          <w:p w14:paraId="7F8A71BE">
            <w:pPr>
              <w:widowControl w:val="0"/>
              <w:numPr>
                <w:ilvl w:val="0"/>
                <w:numId w:val="0"/>
              </w:numPr>
              <w:jc w:val="left"/>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1.企业变更/备案“证照联办”一张表单</w:t>
            </w:r>
            <w:bookmarkStart w:id="1" w:name="_GoBack"/>
            <w:bookmarkEnd w:id="1"/>
          </w:p>
        </w:tc>
        <w:tc>
          <w:tcPr>
            <w:tcW w:w="1513" w:type="dxa"/>
            <w:noWrap w:val="0"/>
            <w:vAlign w:val="center"/>
          </w:tcPr>
          <w:p w14:paraId="47D6DC76">
            <w:pPr>
              <w:widowControl w:val="0"/>
              <w:numPr>
                <w:ilvl w:val="0"/>
                <w:numId w:val="0"/>
              </w:num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提交或</w:t>
            </w:r>
          </w:p>
          <w:p w14:paraId="150EF97E">
            <w:pPr>
              <w:widowControl w:val="0"/>
              <w:numPr>
                <w:ilvl w:val="0"/>
                <w:numId w:val="0"/>
              </w:num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自动生成</w:t>
            </w:r>
          </w:p>
        </w:tc>
        <w:tc>
          <w:tcPr>
            <w:tcW w:w="1499" w:type="dxa"/>
            <w:vMerge w:val="restart"/>
            <w:noWrap w:val="0"/>
            <w:vAlign w:val="center"/>
          </w:tcPr>
          <w:p w14:paraId="6106B597">
            <w:pPr>
              <w:widowControl w:val="0"/>
              <w:numPr>
                <w:ilvl w:val="0"/>
                <w:numId w:val="0"/>
              </w:numPr>
              <w:jc w:val="both"/>
              <w:rPr>
                <w:rFonts w:hint="eastAsia" w:ascii="仿宋_GB2312" w:hAnsi="仿宋_GB2312" w:eastAsia="仿宋_GB2312" w:cs="仿宋_GB2312"/>
                <w:color w:val="0000FF"/>
                <w:sz w:val="24"/>
                <w:szCs w:val="24"/>
                <w:vertAlign w:val="baseline"/>
                <w:lang w:val="en-US" w:eastAsia="zh-CN"/>
              </w:rPr>
            </w:pPr>
          </w:p>
          <w:p w14:paraId="37172355">
            <w:pPr>
              <w:widowControl w:val="0"/>
              <w:numPr>
                <w:ilvl w:val="0"/>
                <w:numId w:val="0"/>
              </w:numPr>
              <w:jc w:val="both"/>
              <w:rPr>
                <w:rFonts w:hint="eastAsia" w:ascii="仿宋_GB2312" w:hAnsi="仿宋_GB2312" w:eastAsia="仿宋_GB2312" w:cs="仿宋_GB2312"/>
                <w:color w:val="0000FF"/>
                <w:sz w:val="24"/>
                <w:szCs w:val="24"/>
                <w:vertAlign w:val="baseline"/>
                <w:lang w:val="en-US" w:eastAsia="zh-CN"/>
              </w:rPr>
            </w:pPr>
          </w:p>
          <w:p w14:paraId="3997D648">
            <w:pPr>
              <w:widowControl w:val="0"/>
              <w:numPr>
                <w:ilvl w:val="0"/>
                <w:numId w:val="0"/>
              </w:numPr>
              <w:jc w:val="both"/>
              <w:rPr>
                <w:rFonts w:hint="eastAsia" w:ascii="仿宋_GB2312" w:hAnsi="仿宋_GB2312" w:eastAsia="仿宋_GB2312" w:cs="仿宋_GB2312"/>
                <w:color w:val="0000FF"/>
                <w:sz w:val="24"/>
                <w:szCs w:val="24"/>
                <w:vertAlign w:val="baseline"/>
                <w:lang w:val="en-US" w:eastAsia="zh-CN"/>
              </w:rPr>
            </w:pPr>
          </w:p>
          <w:p w14:paraId="2106CEF8">
            <w:pPr>
              <w:widowControl w:val="0"/>
              <w:numPr>
                <w:ilvl w:val="0"/>
                <w:numId w:val="0"/>
              </w:numPr>
              <w:jc w:val="both"/>
              <w:rPr>
                <w:rFonts w:hint="eastAsia" w:ascii="仿宋_GB2312" w:hAnsi="仿宋_GB2312" w:eastAsia="仿宋_GB2312" w:cs="仿宋_GB2312"/>
                <w:color w:val="0000FF"/>
                <w:sz w:val="24"/>
                <w:szCs w:val="24"/>
                <w:vertAlign w:val="baseline"/>
                <w:lang w:val="en-US" w:eastAsia="zh-CN"/>
              </w:rPr>
            </w:pPr>
          </w:p>
          <w:p w14:paraId="320389E7">
            <w:pPr>
              <w:widowControl w:val="0"/>
              <w:numPr>
                <w:ilvl w:val="0"/>
                <w:numId w:val="0"/>
              </w:numPr>
              <w:jc w:val="both"/>
              <w:rPr>
                <w:rFonts w:hint="eastAsia" w:ascii="仿宋_GB2312" w:hAnsi="仿宋_GB2312" w:eastAsia="仿宋_GB2312" w:cs="仿宋_GB2312"/>
                <w:color w:val="0000FF"/>
                <w:sz w:val="24"/>
                <w:szCs w:val="24"/>
                <w:vertAlign w:val="baseline"/>
                <w:lang w:val="en-US" w:eastAsia="zh-CN"/>
              </w:rPr>
            </w:pPr>
          </w:p>
          <w:p w14:paraId="1012E3A4">
            <w:pPr>
              <w:widowControl w:val="0"/>
              <w:numPr>
                <w:ilvl w:val="0"/>
                <w:numId w:val="0"/>
              </w:numPr>
              <w:jc w:val="both"/>
              <w:rPr>
                <w:rFonts w:hint="eastAsia" w:ascii="仿宋_GB2312" w:hAnsi="仿宋_GB2312" w:eastAsia="仿宋_GB2312" w:cs="仿宋_GB2312"/>
                <w:color w:val="0000FF"/>
                <w:sz w:val="24"/>
                <w:szCs w:val="24"/>
                <w:vertAlign w:val="baseline"/>
                <w:lang w:val="en-US" w:eastAsia="zh-CN"/>
              </w:rPr>
            </w:pPr>
          </w:p>
          <w:p w14:paraId="56B532DE">
            <w:pPr>
              <w:widowControl w:val="0"/>
              <w:numPr>
                <w:ilvl w:val="0"/>
                <w:numId w:val="0"/>
              </w:numPr>
              <w:jc w:val="center"/>
              <w:rPr>
                <w:rFonts w:hint="eastAsia" w:ascii="仿宋_GB2312" w:hAnsi="仿宋_GB2312" w:eastAsia="仿宋_GB2312" w:cs="仿宋_GB2312"/>
                <w:color w:val="auto"/>
                <w:sz w:val="24"/>
                <w:szCs w:val="24"/>
                <w:vertAlign w:val="baseline"/>
                <w:lang w:val="en-US" w:eastAsia="zh-CN"/>
              </w:rPr>
            </w:pPr>
          </w:p>
          <w:p w14:paraId="2A6CDE36">
            <w:pPr>
              <w:widowControl w:val="0"/>
              <w:numPr>
                <w:ilvl w:val="0"/>
                <w:numId w:val="0"/>
              </w:num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注：1.企业变更时经办人（委托代理人）及涉及股东、法定代表人、董事、监事、经理、财务人员、联络员变更的需进行实名认证。</w:t>
            </w:r>
          </w:p>
          <w:p w14:paraId="620B4280">
            <w:pPr>
              <w:widowControl w:val="0"/>
              <w:numPr>
                <w:ilvl w:val="0"/>
                <w:numId w:val="0"/>
              </w:num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2.企业变更登记涉及所有事项均可通过全程电子化办理。</w:t>
            </w:r>
          </w:p>
          <w:p w14:paraId="5CA1C995">
            <w:pPr>
              <w:widowControl w:val="0"/>
              <w:numPr>
                <w:ilvl w:val="0"/>
                <w:numId w:val="0"/>
              </w:numPr>
              <w:jc w:val="both"/>
              <w:rPr>
                <w:rFonts w:hint="eastAsia" w:ascii="仿宋_GB2312" w:hAnsi="仿宋_GB2312" w:eastAsia="仿宋_GB2312" w:cs="仿宋_GB2312"/>
                <w:color w:val="auto"/>
                <w:sz w:val="24"/>
                <w:szCs w:val="24"/>
                <w:vertAlign w:val="baseline"/>
                <w:lang w:val="en-US" w:eastAsia="zh-CN"/>
              </w:rPr>
            </w:pPr>
          </w:p>
        </w:tc>
      </w:tr>
      <w:tr w14:paraId="166CD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6348" w:type="dxa"/>
            <w:gridSpan w:val="3"/>
            <w:noWrap w:val="0"/>
            <w:vAlign w:val="center"/>
          </w:tcPr>
          <w:p w14:paraId="6719D745">
            <w:pPr>
              <w:pStyle w:val="9"/>
              <w:keepNext w:val="0"/>
              <w:keepLines w:val="0"/>
              <w:pageBreakBefore w:val="0"/>
              <w:widowControl/>
              <w:numPr>
                <w:ilvl w:val="0"/>
                <w:numId w:val="0"/>
              </w:numPr>
              <w:kinsoku/>
              <w:wordWrap/>
              <w:overflowPunct w:val="0"/>
              <w:topLinePunct w:val="0"/>
              <w:autoSpaceDE/>
              <w:autoSpaceDN/>
              <w:bidi w:val="0"/>
              <w:adjustRightInd w:val="0"/>
              <w:snapToGrid w:val="0"/>
              <w:spacing w:line="240" w:lineRule="auto"/>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w:t>
            </w:r>
            <w:r>
              <w:rPr>
                <w:rFonts w:hint="eastAsia" w:ascii="仿宋_GB2312" w:hAnsi="仿宋_GB2312" w:eastAsia="仿宋_GB2312" w:cs="仿宋_GB2312"/>
                <w:color w:val="auto"/>
                <w:sz w:val="24"/>
                <w:szCs w:val="24"/>
                <w:vertAlign w:val="baseline"/>
                <w:lang w:val="en-US" w:eastAsia="zh-CN"/>
              </w:rPr>
              <w:t>股东会决议/决定</w:t>
            </w:r>
          </w:p>
        </w:tc>
        <w:tc>
          <w:tcPr>
            <w:tcW w:w="1513" w:type="dxa"/>
            <w:noWrap w:val="0"/>
            <w:vAlign w:val="center"/>
          </w:tcPr>
          <w:p w14:paraId="47613722">
            <w:pPr>
              <w:widowControl w:val="0"/>
              <w:numPr>
                <w:ilvl w:val="0"/>
                <w:numId w:val="0"/>
              </w:num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提交或上传</w:t>
            </w:r>
          </w:p>
        </w:tc>
        <w:tc>
          <w:tcPr>
            <w:tcW w:w="1499" w:type="dxa"/>
            <w:vMerge w:val="continue"/>
            <w:noWrap w:val="0"/>
            <w:vAlign w:val="center"/>
          </w:tcPr>
          <w:p w14:paraId="7067C7E9">
            <w:pPr>
              <w:widowControl w:val="0"/>
              <w:numPr>
                <w:ilvl w:val="0"/>
                <w:numId w:val="0"/>
              </w:numPr>
              <w:jc w:val="center"/>
              <w:rPr>
                <w:rFonts w:hint="eastAsia" w:ascii="仿宋_GB2312" w:hAnsi="仿宋_GB2312" w:eastAsia="仿宋_GB2312" w:cs="仿宋_GB2312"/>
                <w:color w:val="auto"/>
                <w:sz w:val="24"/>
                <w:szCs w:val="24"/>
                <w:vertAlign w:val="baseline"/>
                <w:lang w:val="en-US" w:eastAsia="zh-CN"/>
              </w:rPr>
            </w:pPr>
          </w:p>
        </w:tc>
      </w:tr>
      <w:tr w14:paraId="36C70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348" w:type="dxa"/>
            <w:gridSpan w:val="3"/>
            <w:noWrap w:val="0"/>
            <w:vAlign w:val="center"/>
          </w:tcPr>
          <w:p w14:paraId="7FD9224C">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kern w:val="2"/>
                <w:sz w:val="24"/>
                <w:szCs w:val="24"/>
                <w:vertAlign w:val="baseline"/>
                <w:lang w:val="en-US" w:eastAsia="zh-CN" w:bidi="ar-SA"/>
              </w:rPr>
              <w:t>3.提交修改后的公司章程或者公司章程修正案（变更登记事项涉及公司章程修改的）</w:t>
            </w:r>
          </w:p>
        </w:tc>
        <w:tc>
          <w:tcPr>
            <w:tcW w:w="1513" w:type="dxa"/>
            <w:noWrap w:val="0"/>
            <w:vAlign w:val="center"/>
          </w:tcPr>
          <w:p w14:paraId="1749EADA">
            <w:pPr>
              <w:widowControl w:val="0"/>
              <w:numPr>
                <w:ilvl w:val="0"/>
                <w:numId w:val="0"/>
              </w:numPr>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提交或上传</w:t>
            </w:r>
          </w:p>
        </w:tc>
        <w:tc>
          <w:tcPr>
            <w:tcW w:w="1499" w:type="dxa"/>
            <w:vMerge w:val="continue"/>
            <w:noWrap w:val="0"/>
            <w:vAlign w:val="center"/>
          </w:tcPr>
          <w:p w14:paraId="32AB76B1">
            <w:pPr>
              <w:widowControl w:val="0"/>
              <w:numPr>
                <w:ilvl w:val="0"/>
                <w:numId w:val="0"/>
              </w:numPr>
              <w:jc w:val="center"/>
              <w:rPr>
                <w:rFonts w:hint="eastAsia" w:ascii="仿宋_GB2312" w:hAnsi="仿宋_GB2312" w:eastAsia="仿宋_GB2312" w:cs="仿宋_GB2312"/>
                <w:color w:val="auto"/>
                <w:sz w:val="24"/>
                <w:szCs w:val="24"/>
                <w:vertAlign w:val="baseline"/>
                <w:lang w:val="en-US" w:eastAsia="zh-CN"/>
              </w:rPr>
            </w:pPr>
          </w:p>
        </w:tc>
      </w:tr>
      <w:tr w14:paraId="6AA51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963" w:type="dxa"/>
            <w:vMerge w:val="restart"/>
            <w:noWrap w:val="0"/>
            <w:vAlign w:val="center"/>
          </w:tcPr>
          <w:p w14:paraId="56E0F59C">
            <w:pPr>
              <w:widowControl w:val="0"/>
              <w:numPr>
                <w:ilvl w:val="0"/>
                <w:numId w:val="0"/>
              </w:numPr>
              <w:jc w:val="left"/>
              <w:rPr>
                <w:rFonts w:hint="eastAsia" w:ascii="仿宋_GB2312" w:hAnsi="仿宋_GB2312" w:eastAsia="仿宋_GB2312" w:cs="仿宋_GB2312"/>
                <w:color w:val="auto"/>
                <w:kern w:val="2"/>
                <w:sz w:val="24"/>
                <w:szCs w:val="24"/>
                <w:vertAlign w:val="baseline"/>
                <w:lang w:val="en-US" w:eastAsia="zh-CN" w:bidi="ar-SA"/>
              </w:rPr>
            </w:pPr>
          </w:p>
          <w:p w14:paraId="56168553">
            <w:pPr>
              <w:widowControl w:val="0"/>
              <w:numPr>
                <w:ilvl w:val="0"/>
                <w:numId w:val="0"/>
              </w:numPr>
              <w:jc w:val="left"/>
              <w:rPr>
                <w:rFonts w:hint="eastAsia" w:ascii="仿宋_GB2312" w:hAnsi="仿宋_GB2312" w:eastAsia="仿宋_GB2312" w:cs="仿宋_GB2312"/>
                <w:color w:val="auto"/>
                <w:kern w:val="2"/>
                <w:sz w:val="24"/>
                <w:szCs w:val="24"/>
                <w:vertAlign w:val="baseline"/>
                <w:lang w:val="en-US" w:eastAsia="zh-CN" w:bidi="ar-SA"/>
              </w:rPr>
            </w:pPr>
          </w:p>
          <w:p w14:paraId="1451B3F9">
            <w:pPr>
              <w:widowControl w:val="0"/>
              <w:numPr>
                <w:ilvl w:val="0"/>
                <w:numId w:val="0"/>
              </w:numPr>
              <w:jc w:val="left"/>
              <w:rPr>
                <w:rFonts w:hint="eastAsia" w:ascii="仿宋_GB2312" w:hAnsi="仿宋_GB2312" w:eastAsia="仿宋_GB2312" w:cs="仿宋_GB2312"/>
                <w:color w:val="auto"/>
                <w:kern w:val="2"/>
                <w:sz w:val="24"/>
                <w:szCs w:val="24"/>
                <w:vertAlign w:val="baseline"/>
                <w:lang w:val="en-US" w:eastAsia="zh-CN" w:bidi="ar-SA"/>
              </w:rPr>
            </w:pPr>
          </w:p>
          <w:p w14:paraId="357C6536">
            <w:pPr>
              <w:widowControl w:val="0"/>
              <w:numPr>
                <w:ilvl w:val="0"/>
                <w:numId w:val="0"/>
              </w:numPr>
              <w:jc w:val="left"/>
              <w:rPr>
                <w:rFonts w:hint="eastAsia" w:ascii="仿宋_GB2312" w:hAnsi="仿宋_GB2312" w:eastAsia="仿宋_GB2312" w:cs="仿宋_GB2312"/>
                <w:color w:val="auto"/>
                <w:kern w:val="2"/>
                <w:sz w:val="24"/>
                <w:szCs w:val="24"/>
                <w:vertAlign w:val="baseline"/>
                <w:lang w:val="en-US" w:eastAsia="zh-CN" w:bidi="ar-SA"/>
              </w:rPr>
            </w:pPr>
          </w:p>
          <w:p w14:paraId="20417FF5">
            <w:pPr>
              <w:widowControl w:val="0"/>
              <w:numPr>
                <w:ilvl w:val="0"/>
                <w:numId w:val="0"/>
              </w:numPr>
              <w:jc w:val="left"/>
              <w:rPr>
                <w:rFonts w:hint="eastAsia" w:ascii="仿宋_GB2312" w:hAnsi="仿宋_GB2312" w:eastAsia="仿宋_GB2312" w:cs="仿宋_GB2312"/>
                <w:color w:val="auto"/>
                <w:kern w:val="2"/>
                <w:sz w:val="24"/>
                <w:szCs w:val="24"/>
                <w:vertAlign w:val="baseline"/>
                <w:lang w:val="en-US" w:eastAsia="zh-CN" w:bidi="ar-SA"/>
              </w:rPr>
            </w:pPr>
          </w:p>
          <w:p w14:paraId="3CBA2902">
            <w:pPr>
              <w:widowControl w:val="0"/>
              <w:numPr>
                <w:ilvl w:val="0"/>
                <w:numId w:val="0"/>
              </w:numPr>
              <w:jc w:val="left"/>
              <w:rPr>
                <w:rFonts w:hint="eastAsia" w:ascii="仿宋_GB2312" w:hAnsi="仿宋_GB2312" w:eastAsia="仿宋_GB2312" w:cs="仿宋_GB2312"/>
                <w:color w:val="auto"/>
                <w:kern w:val="2"/>
                <w:sz w:val="24"/>
                <w:szCs w:val="24"/>
                <w:vertAlign w:val="baseline"/>
                <w:lang w:val="en-US" w:eastAsia="zh-CN" w:bidi="ar-SA"/>
              </w:rPr>
            </w:pPr>
          </w:p>
          <w:p w14:paraId="3A37A23F">
            <w:pPr>
              <w:widowControl w:val="0"/>
              <w:numPr>
                <w:ilvl w:val="0"/>
                <w:numId w:val="0"/>
              </w:numPr>
              <w:jc w:val="left"/>
              <w:rPr>
                <w:rFonts w:hint="eastAsia" w:ascii="仿宋_GB2312" w:hAnsi="仿宋_GB2312" w:eastAsia="仿宋_GB2312" w:cs="仿宋_GB2312"/>
                <w:color w:val="auto"/>
                <w:kern w:val="2"/>
                <w:sz w:val="24"/>
                <w:szCs w:val="24"/>
                <w:vertAlign w:val="baseline"/>
                <w:lang w:val="en-US" w:eastAsia="zh-CN" w:bidi="ar-SA"/>
              </w:rPr>
            </w:pPr>
          </w:p>
          <w:p w14:paraId="6691EFD6">
            <w:pPr>
              <w:widowControl w:val="0"/>
              <w:numPr>
                <w:ilvl w:val="0"/>
                <w:numId w:val="0"/>
              </w:numPr>
              <w:jc w:val="left"/>
              <w:rPr>
                <w:rFonts w:hint="eastAsia" w:ascii="仿宋_GB2312" w:hAnsi="仿宋_GB2312" w:eastAsia="仿宋_GB2312" w:cs="仿宋_GB2312"/>
                <w:color w:val="auto"/>
                <w:kern w:val="2"/>
                <w:sz w:val="24"/>
                <w:szCs w:val="24"/>
                <w:vertAlign w:val="baseline"/>
                <w:lang w:val="en-US" w:eastAsia="zh-CN" w:bidi="ar-SA"/>
              </w:rPr>
            </w:pPr>
          </w:p>
          <w:p w14:paraId="5DFC7B1E">
            <w:pPr>
              <w:widowControl w:val="0"/>
              <w:numPr>
                <w:ilvl w:val="0"/>
                <w:numId w:val="0"/>
              </w:numPr>
              <w:jc w:val="left"/>
              <w:rPr>
                <w:rFonts w:hint="eastAsia" w:ascii="仿宋_GB2312" w:hAnsi="仿宋_GB2312" w:eastAsia="仿宋_GB2312" w:cs="仿宋_GB2312"/>
                <w:color w:val="auto"/>
                <w:kern w:val="2"/>
                <w:sz w:val="24"/>
                <w:szCs w:val="24"/>
                <w:vertAlign w:val="baseline"/>
                <w:lang w:val="en-US" w:eastAsia="zh-CN" w:bidi="ar-SA"/>
              </w:rPr>
            </w:pPr>
          </w:p>
          <w:p w14:paraId="2533F43A">
            <w:pPr>
              <w:widowControl w:val="0"/>
              <w:numPr>
                <w:ilvl w:val="0"/>
                <w:numId w:val="0"/>
              </w:numPr>
              <w:jc w:val="left"/>
              <w:rPr>
                <w:rFonts w:hint="default" w:ascii="仿宋_GB2312" w:hAnsi="仿宋_GB2312" w:eastAsia="仿宋_GB2312" w:cs="仿宋_GB2312"/>
                <w:strike w:val="0"/>
                <w:dstrike w:val="0"/>
                <w:color w:val="auto"/>
                <w:sz w:val="24"/>
                <w:szCs w:val="24"/>
                <w:vertAlign w:val="baseline"/>
                <w:lang w:val="en-US" w:eastAsia="zh-CN"/>
              </w:rPr>
            </w:pPr>
            <w:r>
              <w:rPr>
                <w:rFonts w:hint="eastAsia" w:ascii="仿宋_GB2312" w:hAnsi="仿宋_GB2312" w:eastAsia="仿宋_GB2312" w:cs="仿宋_GB2312"/>
                <w:color w:val="auto"/>
                <w:kern w:val="2"/>
                <w:sz w:val="24"/>
                <w:szCs w:val="24"/>
                <w:vertAlign w:val="baseline"/>
                <w:lang w:val="en-US" w:eastAsia="zh-CN" w:bidi="ar-SA"/>
              </w:rPr>
              <w:t>4.变更事项相关证明文件。</w:t>
            </w:r>
          </w:p>
        </w:tc>
        <w:tc>
          <w:tcPr>
            <w:tcW w:w="5385" w:type="dxa"/>
            <w:gridSpan w:val="2"/>
            <w:noWrap w:val="0"/>
            <w:vAlign w:val="center"/>
          </w:tcPr>
          <w:p w14:paraId="3071A3E4">
            <w:pPr>
              <w:widowControl w:val="0"/>
              <w:numPr>
                <w:ilvl w:val="0"/>
                <w:numId w:val="0"/>
              </w:numPr>
              <w:jc w:val="left"/>
              <w:rPr>
                <w:rFonts w:hint="default" w:ascii="仿宋_GB2312" w:hAnsi="仿宋_GB2312" w:eastAsia="仿宋_GB2312" w:cs="仿宋_GB2312"/>
                <w:strike w:val="0"/>
                <w:dstrike w:val="0"/>
                <w:color w:val="auto"/>
                <w:sz w:val="24"/>
                <w:szCs w:val="24"/>
                <w:vertAlign w:val="baseline"/>
                <w:lang w:val="en-US" w:eastAsia="zh-CN"/>
              </w:rPr>
            </w:pPr>
            <w:r>
              <w:rPr>
                <w:rFonts w:hint="eastAsia" w:ascii="仿宋_GB2312" w:hAnsi="仿宋_GB2312" w:eastAsia="仿宋_GB2312" w:cs="仿宋_GB2312"/>
                <w:color w:val="auto"/>
                <w:kern w:val="2"/>
                <w:sz w:val="24"/>
                <w:szCs w:val="24"/>
                <w:vertAlign w:val="baseline"/>
                <w:lang w:val="en-US" w:eastAsia="zh-CN" w:bidi="ar-SA"/>
              </w:rPr>
              <w:t>（1）变更公司名称的，应当向有管辖权的登记机关提出申请。</w:t>
            </w:r>
          </w:p>
        </w:tc>
        <w:tc>
          <w:tcPr>
            <w:tcW w:w="1513" w:type="dxa"/>
            <w:noWrap w:val="0"/>
            <w:vAlign w:val="center"/>
          </w:tcPr>
          <w:p w14:paraId="6984C309">
            <w:pPr>
              <w:widowControl w:val="0"/>
              <w:numPr>
                <w:ilvl w:val="0"/>
                <w:numId w:val="0"/>
              </w:num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名称系统</w:t>
            </w:r>
          </w:p>
          <w:p w14:paraId="6347DCF3">
            <w:pPr>
              <w:widowControl w:val="0"/>
              <w:numPr>
                <w:ilvl w:val="0"/>
                <w:numId w:val="0"/>
              </w:numPr>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自主核准</w:t>
            </w:r>
          </w:p>
        </w:tc>
        <w:tc>
          <w:tcPr>
            <w:tcW w:w="1499" w:type="dxa"/>
            <w:vMerge w:val="continue"/>
            <w:noWrap w:val="0"/>
            <w:vAlign w:val="center"/>
          </w:tcPr>
          <w:p w14:paraId="27ED6257">
            <w:pPr>
              <w:widowControl w:val="0"/>
              <w:numPr>
                <w:ilvl w:val="0"/>
                <w:numId w:val="0"/>
              </w:numPr>
              <w:jc w:val="center"/>
              <w:rPr>
                <w:rFonts w:hint="eastAsia" w:ascii="仿宋_GB2312" w:hAnsi="仿宋_GB2312" w:eastAsia="仿宋_GB2312" w:cs="仿宋_GB2312"/>
                <w:color w:val="auto"/>
                <w:sz w:val="24"/>
                <w:szCs w:val="24"/>
                <w:vertAlign w:val="baseline"/>
                <w:lang w:val="en-US" w:eastAsia="zh-CN"/>
              </w:rPr>
            </w:pPr>
          </w:p>
        </w:tc>
      </w:tr>
      <w:tr w14:paraId="3FA6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63" w:type="dxa"/>
            <w:vMerge w:val="continue"/>
            <w:noWrap w:val="0"/>
            <w:vAlign w:val="center"/>
          </w:tcPr>
          <w:p w14:paraId="0DA406AB">
            <w:pPr>
              <w:widowControl w:val="0"/>
              <w:numPr>
                <w:ilvl w:val="0"/>
                <w:numId w:val="0"/>
              </w:numPr>
              <w:jc w:val="left"/>
              <w:rPr>
                <w:rFonts w:hint="eastAsia" w:ascii="仿宋_GB2312" w:hAnsi="仿宋_GB2312" w:eastAsia="仿宋_GB2312" w:cs="仿宋_GB2312"/>
                <w:strike w:val="0"/>
                <w:dstrike w:val="0"/>
                <w:color w:val="auto"/>
                <w:sz w:val="24"/>
                <w:szCs w:val="24"/>
                <w:vertAlign w:val="baseline"/>
                <w:lang w:val="en-US" w:eastAsia="zh-CN"/>
              </w:rPr>
            </w:pPr>
          </w:p>
        </w:tc>
        <w:tc>
          <w:tcPr>
            <w:tcW w:w="5385" w:type="dxa"/>
            <w:gridSpan w:val="2"/>
            <w:noWrap w:val="0"/>
            <w:vAlign w:val="center"/>
          </w:tcPr>
          <w:p w14:paraId="36AF7C7F">
            <w:pPr>
              <w:widowControl w:val="0"/>
              <w:numPr>
                <w:ilvl w:val="0"/>
                <w:numId w:val="0"/>
              </w:numPr>
              <w:jc w:val="left"/>
              <w:rPr>
                <w:rFonts w:hint="eastAsia" w:ascii="仿宋_GB2312" w:hAnsi="仿宋_GB2312" w:eastAsia="仿宋_GB2312" w:cs="仿宋_GB2312"/>
                <w:strike w:val="0"/>
                <w:dstrike w:val="0"/>
                <w:color w:val="auto"/>
                <w:sz w:val="24"/>
                <w:szCs w:val="24"/>
                <w:vertAlign w:val="baseline"/>
                <w:lang w:val="en-US" w:eastAsia="zh-CN"/>
              </w:rPr>
            </w:pPr>
            <w:r>
              <w:rPr>
                <w:rFonts w:hint="eastAsia" w:ascii="仿宋_GB2312" w:hAnsi="仿宋_GB2312" w:eastAsia="仿宋_GB2312" w:cs="仿宋_GB2312"/>
                <w:color w:val="auto"/>
                <w:kern w:val="2"/>
                <w:sz w:val="24"/>
                <w:szCs w:val="24"/>
                <w:vertAlign w:val="baseline"/>
                <w:lang w:val="en-US" w:eastAsia="zh-CN" w:bidi="ar-SA"/>
              </w:rPr>
              <w:t>（2）变更住所的，提交变更后住所使用相关文件。</w:t>
            </w:r>
          </w:p>
        </w:tc>
        <w:tc>
          <w:tcPr>
            <w:tcW w:w="1513" w:type="dxa"/>
            <w:noWrap w:val="0"/>
            <w:vAlign w:val="center"/>
          </w:tcPr>
          <w:p w14:paraId="1F0C41E0">
            <w:pPr>
              <w:widowControl w:val="0"/>
              <w:numPr>
                <w:ilvl w:val="0"/>
                <w:numId w:val="0"/>
              </w:num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提交或上传租赁合同或房产证复印件</w:t>
            </w:r>
          </w:p>
        </w:tc>
        <w:tc>
          <w:tcPr>
            <w:tcW w:w="1499" w:type="dxa"/>
            <w:vMerge w:val="continue"/>
            <w:noWrap w:val="0"/>
            <w:vAlign w:val="center"/>
          </w:tcPr>
          <w:p w14:paraId="40D14FB5">
            <w:pPr>
              <w:widowControl w:val="0"/>
              <w:numPr>
                <w:ilvl w:val="0"/>
                <w:numId w:val="0"/>
              </w:numPr>
              <w:jc w:val="center"/>
              <w:rPr>
                <w:rFonts w:hint="eastAsia" w:ascii="仿宋_GB2312" w:hAnsi="仿宋_GB2312" w:eastAsia="仿宋_GB2312" w:cs="仿宋_GB2312"/>
                <w:color w:val="auto"/>
                <w:sz w:val="24"/>
                <w:szCs w:val="24"/>
                <w:vertAlign w:val="baseline"/>
                <w:lang w:val="en-US" w:eastAsia="zh-CN"/>
              </w:rPr>
            </w:pPr>
          </w:p>
        </w:tc>
      </w:tr>
      <w:tr w14:paraId="38437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63" w:type="dxa"/>
            <w:vMerge w:val="continue"/>
            <w:noWrap w:val="0"/>
            <w:vAlign w:val="center"/>
          </w:tcPr>
          <w:p w14:paraId="3F2DD6D0">
            <w:pPr>
              <w:pStyle w:val="9"/>
              <w:keepNext w:val="0"/>
              <w:keepLines w:val="0"/>
              <w:pageBreakBefore w:val="0"/>
              <w:widowControl/>
              <w:kinsoku/>
              <w:wordWrap/>
              <w:overflowPunct w:val="0"/>
              <w:topLinePunct w:val="0"/>
              <w:autoSpaceDE/>
              <w:autoSpaceDN/>
              <w:bidi w:val="0"/>
              <w:adjustRightInd w:val="0"/>
              <w:snapToGrid w:val="0"/>
              <w:spacing w:line="240" w:lineRule="auto"/>
              <w:textAlignment w:val="auto"/>
              <w:rPr>
                <w:rFonts w:hint="default" w:ascii="仿宋_GB2312" w:hAnsi="仿宋_GB2312" w:eastAsia="仿宋_GB2312" w:cs="仿宋_GB2312"/>
                <w:strike w:val="0"/>
                <w:dstrike w:val="0"/>
                <w:color w:val="auto"/>
                <w:sz w:val="24"/>
                <w:szCs w:val="24"/>
                <w:vertAlign w:val="baseline"/>
                <w:lang w:val="en-US" w:eastAsia="zh-CN"/>
              </w:rPr>
            </w:pPr>
          </w:p>
        </w:tc>
        <w:tc>
          <w:tcPr>
            <w:tcW w:w="5385" w:type="dxa"/>
            <w:gridSpan w:val="2"/>
            <w:noWrap w:val="0"/>
            <w:vAlign w:val="center"/>
          </w:tcPr>
          <w:p w14:paraId="7778491F">
            <w:pPr>
              <w:pStyle w:val="9"/>
              <w:keepNext w:val="0"/>
              <w:keepLines w:val="0"/>
              <w:pageBreakBefore w:val="0"/>
              <w:widowControl/>
              <w:kinsoku/>
              <w:wordWrap/>
              <w:overflowPunct w:val="0"/>
              <w:topLinePunct w:val="0"/>
              <w:autoSpaceDE/>
              <w:autoSpaceDN/>
              <w:bidi w:val="0"/>
              <w:adjustRightInd w:val="0"/>
              <w:snapToGrid w:val="0"/>
              <w:spacing w:line="240" w:lineRule="auto"/>
              <w:textAlignment w:val="auto"/>
              <w:rPr>
                <w:rFonts w:hint="default" w:ascii="仿宋_GB2312" w:hAnsi="仿宋_GB2312" w:eastAsia="仿宋_GB2312" w:cs="仿宋_GB2312"/>
                <w:strike w:val="0"/>
                <w:dstrike w:val="0"/>
                <w:color w:val="auto"/>
                <w:sz w:val="24"/>
                <w:szCs w:val="24"/>
                <w:vertAlign w:val="baseline"/>
                <w:lang w:val="en-US" w:eastAsia="zh-CN"/>
              </w:rPr>
            </w:pPr>
            <w:r>
              <w:rPr>
                <w:rFonts w:hint="eastAsia" w:ascii="仿宋_GB2312" w:hAnsi="仿宋_GB2312" w:eastAsia="仿宋_GB2312" w:cs="仿宋_GB2312"/>
                <w:color w:val="auto"/>
                <w:kern w:val="2"/>
                <w:sz w:val="24"/>
                <w:szCs w:val="24"/>
                <w:vertAlign w:val="baseline"/>
                <w:lang w:val="en-US" w:eastAsia="zh-CN" w:bidi="ar-SA"/>
              </w:rPr>
              <w:t>（3）变更法定代表人的或法定代表人更改姓名的，根据公司章程的规定提交法定代表人免职证明和新任法定代表人的任职证明（股东会决议、股东决定由股东签署，董事会决议由公司董事签字）或提交公安部门出具的证明（自然人更改姓名后，其身份证号码与更改姓名前一致的，无需提交公安部门证明，只需提交新的身份证件复印件）。</w:t>
            </w:r>
          </w:p>
        </w:tc>
        <w:tc>
          <w:tcPr>
            <w:tcW w:w="1513" w:type="dxa"/>
            <w:noWrap w:val="0"/>
            <w:vAlign w:val="center"/>
          </w:tcPr>
          <w:p w14:paraId="04961073">
            <w:pPr>
              <w:widowControl w:val="0"/>
              <w:numPr>
                <w:ilvl w:val="0"/>
                <w:numId w:val="0"/>
              </w:num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提交或上传</w:t>
            </w:r>
          </w:p>
        </w:tc>
        <w:tc>
          <w:tcPr>
            <w:tcW w:w="1499" w:type="dxa"/>
            <w:vMerge w:val="continue"/>
            <w:noWrap w:val="0"/>
            <w:vAlign w:val="center"/>
          </w:tcPr>
          <w:p w14:paraId="2D845576">
            <w:pPr>
              <w:widowControl w:val="0"/>
              <w:numPr>
                <w:ilvl w:val="0"/>
                <w:numId w:val="0"/>
              </w:numPr>
              <w:jc w:val="center"/>
              <w:rPr>
                <w:rFonts w:hint="eastAsia" w:ascii="仿宋_GB2312" w:hAnsi="仿宋_GB2312" w:eastAsia="仿宋_GB2312" w:cs="仿宋_GB2312"/>
                <w:color w:val="auto"/>
                <w:sz w:val="24"/>
                <w:szCs w:val="24"/>
                <w:vertAlign w:val="baseline"/>
                <w:lang w:val="en-US" w:eastAsia="zh-CN"/>
              </w:rPr>
            </w:pPr>
          </w:p>
        </w:tc>
      </w:tr>
      <w:tr w14:paraId="2B925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63" w:type="dxa"/>
            <w:vMerge w:val="continue"/>
            <w:noWrap w:val="0"/>
            <w:vAlign w:val="center"/>
          </w:tcPr>
          <w:p w14:paraId="330DC1C3">
            <w:pPr>
              <w:pStyle w:val="9"/>
              <w:keepNext w:val="0"/>
              <w:keepLines w:val="0"/>
              <w:pageBreakBefore w:val="0"/>
              <w:widowControl/>
              <w:kinsoku/>
              <w:wordWrap/>
              <w:overflowPunct w:val="0"/>
              <w:topLinePunct w:val="0"/>
              <w:autoSpaceDE/>
              <w:autoSpaceDN/>
              <w:bidi w:val="0"/>
              <w:adjustRightInd w:val="0"/>
              <w:snapToGrid w:val="0"/>
              <w:spacing w:line="240" w:lineRule="auto"/>
              <w:textAlignment w:val="auto"/>
              <w:rPr>
                <w:rFonts w:hint="eastAsia" w:ascii="仿宋_GB2312" w:hAnsi="仿宋_GB2312" w:eastAsia="仿宋_GB2312" w:cs="仿宋_GB2312"/>
                <w:color w:val="auto"/>
                <w:kern w:val="2"/>
                <w:sz w:val="24"/>
                <w:szCs w:val="24"/>
                <w:vertAlign w:val="baseline"/>
                <w:lang w:val="en-US" w:eastAsia="zh-CN" w:bidi="ar-SA"/>
              </w:rPr>
            </w:pPr>
          </w:p>
        </w:tc>
        <w:tc>
          <w:tcPr>
            <w:tcW w:w="5385" w:type="dxa"/>
            <w:gridSpan w:val="2"/>
            <w:noWrap w:val="0"/>
            <w:vAlign w:val="center"/>
          </w:tcPr>
          <w:p w14:paraId="598242AC">
            <w:pPr>
              <w:pStyle w:val="9"/>
              <w:keepNext w:val="0"/>
              <w:keepLines w:val="0"/>
              <w:pageBreakBefore w:val="0"/>
              <w:widowControl/>
              <w:kinsoku/>
              <w:wordWrap/>
              <w:overflowPunct w:val="0"/>
              <w:topLinePunct w:val="0"/>
              <w:autoSpaceDE/>
              <w:autoSpaceDN/>
              <w:bidi w:val="0"/>
              <w:adjustRightInd w:val="0"/>
              <w:snapToGrid w:val="0"/>
              <w:spacing w:line="240" w:lineRule="auto"/>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4）减少注册资本的,提交公司债务清偿或债务担保情况的说明，仅通过报纸发布减少注册资本公告的，需要提交依法刊登公告的报纸样张。应当自公告之日起45日后申请变更登记。已通过国家企业信用信息公示系统发布减少注册资本公告的，可免于提交减资公告材料。</w:t>
            </w:r>
          </w:p>
        </w:tc>
        <w:tc>
          <w:tcPr>
            <w:tcW w:w="1513" w:type="dxa"/>
            <w:noWrap w:val="0"/>
            <w:vAlign w:val="center"/>
          </w:tcPr>
          <w:p w14:paraId="31159FCB">
            <w:pPr>
              <w:widowControl w:val="0"/>
              <w:numPr>
                <w:ilvl w:val="0"/>
                <w:numId w:val="0"/>
              </w:num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提交或</w:t>
            </w:r>
          </w:p>
          <w:p w14:paraId="482D50F6">
            <w:pPr>
              <w:widowControl w:val="0"/>
              <w:numPr>
                <w:ilvl w:val="0"/>
                <w:numId w:val="0"/>
              </w:numPr>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系统查阅</w:t>
            </w:r>
          </w:p>
        </w:tc>
        <w:tc>
          <w:tcPr>
            <w:tcW w:w="1499" w:type="dxa"/>
            <w:vMerge w:val="continue"/>
            <w:noWrap w:val="0"/>
            <w:vAlign w:val="center"/>
          </w:tcPr>
          <w:p w14:paraId="75BADB27">
            <w:pPr>
              <w:widowControl w:val="0"/>
              <w:numPr>
                <w:ilvl w:val="0"/>
                <w:numId w:val="0"/>
              </w:numPr>
              <w:jc w:val="center"/>
              <w:rPr>
                <w:rFonts w:hint="eastAsia" w:ascii="仿宋_GB2312" w:hAnsi="仿宋_GB2312" w:eastAsia="仿宋_GB2312" w:cs="仿宋_GB2312"/>
                <w:color w:val="auto"/>
                <w:sz w:val="24"/>
                <w:szCs w:val="24"/>
                <w:vertAlign w:val="baseline"/>
                <w:lang w:val="en-US" w:eastAsia="zh-CN"/>
              </w:rPr>
            </w:pPr>
          </w:p>
        </w:tc>
      </w:tr>
      <w:tr w14:paraId="1272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63" w:type="dxa"/>
            <w:vMerge w:val="continue"/>
            <w:noWrap w:val="0"/>
            <w:vAlign w:val="center"/>
          </w:tcPr>
          <w:p w14:paraId="628FDEB5">
            <w:pPr>
              <w:pStyle w:val="9"/>
              <w:keepNext w:val="0"/>
              <w:keepLines w:val="0"/>
              <w:pageBreakBefore w:val="0"/>
              <w:widowControl/>
              <w:kinsoku/>
              <w:wordWrap/>
              <w:overflowPunct w:val="0"/>
              <w:topLinePunct w:val="0"/>
              <w:autoSpaceDE/>
              <w:autoSpaceDN/>
              <w:bidi w:val="0"/>
              <w:adjustRightInd w:val="0"/>
              <w:snapToGrid w:val="0"/>
              <w:spacing w:line="240" w:lineRule="auto"/>
              <w:textAlignment w:val="auto"/>
              <w:rPr>
                <w:rFonts w:hint="eastAsia" w:ascii="仿宋_GB2312" w:hAnsi="仿宋_GB2312" w:eastAsia="仿宋_GB2312" w:cs="仿宋_GB2312"/>
                <w:color w:val="auto"/>
                <w:kern w:val="2"/>
                <w:sz w:val="24"/>
                <w:szCs w:val="24"/>
                <w:vertAlign w:val="baseline"/>
                <w:lang w:val="en-US" w:eastAsia="zh-CN" w:bidi="ar-SA"/>
              </w:rPr>
            </w:pPr>
          </w:p>
        </w:tc>
        <w:tc>
          <w:tcPr>
            <w:tcW w:w="5385" w:type="dxa"/>
            <w:gridSpan w:val="2"/>
            <w:noWrap w:val="0"/>
            <w:vAlign w:val="center"/>
          </w:tcPr>
          <w:p w14:paraId="3DA76011">
            <w:pPr>
              <w:pStyle w:val="9"/>
              <w:keepNext w:val="0"/>
              <w:keepLines w:val="0"/>
              <w:pageBreakBefore w:val="0"/>
              <w:widowControl/>
              <w:kinsoku/>
              <w:wordWrap/>
              <w:overflowPunct w:val="0"/>
              <w:topLinePunct w:val="0"/>
              <w:autoSpaceDE/>
              <w:autoSpaceDN/>
              <w:bidi w:val="0"/>
              <w:adjustRightInd w:val="0"/>
              <w:snapToGrid w:val="0"/>
              <w:spacing w:line="240" w:lineRule="auto"/>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（5）变更经营范围的，公司申请登记的经营范围中有法律、行政法规和国务院决定规定必须在登记前报经批准的项目，提交有关批准文件或者许可证件的复印件。</w:t>
            </w:r>
          </w:p>
        </w:tc>
        <w:tc>
          <w:tcPr>
            <w:tcW w:w="1513" w:type="dxa"/>
            <w:noWrap w:val="0"/>
            <w:vAlign w:val="center"/>
          </w:tcPr>
          <w:p w14:paraId="0381D542">
            <w:pPr>
              <w:widowControl w:val="0"/>
              <w:numPr>
                <w:ilvl w:val="0"/>
                <w:numId w:val="0"/>
              </w:num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提交或</w:t>
            </w:r>
          </w:p>
          <w:p w14:paraId="327F3951">
            <w:pPr>
              <w:widowControl w:val="0"/>
              <w:numPr>
                <w:ilvl w:val="0"/>
                <w:numId w:val="0"/>
              </w:numPr>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系统查阅</w:t>
            </w:r>
          </w:p>
        </w:tc>
        <w:tc>
          <w:tcPr>
            <w:tcW w:w="1499" w:type="dxa"/>
            <w:vMerge w:val="continue"/>
            <w:noWrap w:val="0"/>
            <w:vAlign w:val="center"/>
          </w:tcPr>
          <w:p w14:paraId="6AA16827">
            <w:pPr>
              <w:widowControl w:val="0"/>
              <w:numPr>
                <w:ilvl w:val="0"/>
                <w:numId w:val="0"/>
              </w:numPr>
              <w:jc w:val="center"/>
              <w:rPr>
                <w:rFonts w:hint="eastAsia" w:ascii="仿宋_GB2312" w:hAnsi="仿宋_GB2312" w:eastAsia="仿宋_GB2312" w:cs="仿宋_GB2312"/>
                <w:color w:val="auto"/>
                <w:sz w:val="24"/>
                <w:szCs w:val="24"/>
                <w:vertAlign w:val="baseline"/>
                <w:lang w:val="en-US" w:eastAsia="zh-CN"/>
              </w:rPr>
            </w:pPr>
          </w:p>
        </w:tc>
      </w:tr>
      <w:tr w14:paraId="1D66C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63" w:type="dxa"/>
            <w:vMerge w:val="continue"/>
            <w:noWrap w:val="0"/>
            <w:vAlign w:val="center"/>
          </w:tcPr>
          <w:p w14:paraId="32D2BC14">
            <w:pPr>
              <w:pStyle w:val="9"/>
              <w:keepNext w:val="0"/>
              <w:keepLines w:val="0"/>
              <w:pageBreakBefore w:val="0"/>
              <w:widowControl/>
              <w:kinsoku/>
              <w:wordWrap/>
              <w:overflowPunct w:val="0"/>
              <w:topLinePunct w:val="0"/>
              <w:autoSpaceDE/>
              <w:autoSpaceDN/>
              <w:bidi w:val="0"/>
              <w:adjustRightInd w:val="0"/>
              <w:snapToGrid w:val="0"/>
              <w:spacing w:line="240" w:lineRule="auto"/>
              <w:textAlignment w:val="auto"/>
              <w:rPr>
                <w:rFonts w:hint="eastAsia" w:ascii="仿宋_GB2312" w:hAnsi="仿宋_GB2312" w:eastAsia="仿宋_GB2312" w:cs="仿宋_GB2312"/>
                <w:color w:val="auto"/>
                <w:kern w:val="2"/>
                <w:sz w:val="24"/>
                <w:szCs w:val="24"/>
                <w:vertAlign w:val="baseline"/>
                <w:lang w:val="en-US" w:eastAsia="zh-CN" w:bidi="ar-SA"/>
              </w:rPr>
            </w:pPr>
          </w:p>
        </w:tc>
        <w:tc>
          <w:tcPr>
            <w:tcW w:w="5385" w:type="dxa"/>
            <w:gridSpan w:val="2"/>
            <w:noWrap w:val="0"/>
            <w:vAlign w:val="center"/>
          </w:tcPr>
          <w:p w14:paraId="4DC6467A">
            <w:pPr>
              <w:pStyle w:val="9"/>
              <w:keepNext w:val="0"/>
              <w:keepLines w:val="0"/>
              <w:pageBreakBefore w:val="0"/>
              <w:widowControl/>
              <w:kinsoku/>
              <w:wordWrap/>
              <w:overflowPunct w:val="0"/>
              <w:topLinePunct w:val="0"/>
              <w:autoSpaceDE/>
              <w:autoSpaceDN/>
              <w:bidi w:val="0"/>
              <w:adjustRightInd w:val="0"/>
              <w:snapToGrid w:val="0"/>
              <w:spacing w:line="240" w:lineRule="auto"/>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（6）变更股东的，提交股东双方签署的股权转让协议或者股权交割证明、新股东的主体资格文件或自然人身份证件复印件。</w:t>
            </w:r>
          </w:p>
        </w:tc>
        <w:tc>
          <w:tcPr>
            <w:tcW w:w="1513" w:type="dxa"/>
            <w:noWrap w:val="0"/>
            <w:vAlign w:val="center"/>
          </w:tcPr>
          <w:p w14:paraId="1EA15349">
            <w:pPr>
              <w:widowControl w:val="0"/>
              <w:numPr>
                <w:ilvl w:val="0"/>
                <w:numId w:val="0"/>
              </w:numPr>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提交或上传</w:t>
            </w:r>
          </w:p>
        </w:tc>
        <w:tc>
          <w:tcPr>
            <w:tcW w:w="1499" w:type="dxa"/>
            <w:vMerge w:val="continue"/>
            <w:noWrap w:val="0"/>
            <w:vAlign w:val="center"/>
          </w:tcPr>
          <w:p w14:paraId="210E7BE7">
            <w:pPr>
              <w:widowControl w:val="0"/>
              <w:numPr>
                <w:ilvl w:val="0"/>
                <w:numId w:val="0"/>
              </w:numPr>
              <w:jc w:val="center"/>
              <w:rPr>
                <w:rFonts w:hint="eastAsia" w:ascii="仿宋_GB2312" w:hAnsi="仿宋_GB2312" w:eastAsia="仿宋_GB2312" w:cs="仿宋_GB2312"/>
                <w:color w:val="auto"/>
                <w:sz w:val="24"/>
                <w:szCs w:val="24"/>
                <w:vertAlign w:val="baseline"/>
                <w:lang w:val="en-US" w:eastAsia="zh-CN"/>
              </w:rPr>
            </w:pPr>
          </w:p>
        </w:tc>
      </w:tr>
      <w:tr w14:paraId="14FBF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348" w:type="dxa"/>
            <w:gridSpan w:val="3"/>
            <w:noWrap w:val="0"/>
            <w:vAlign w:val="center"/>
          </w:tcPr>
          <w:p w14:paraId="1AE7C52B">
            <w:pPr>
              <w:pStyle w:val="9"/>
              <w:keepNext w:val="0"/>
              <w:keepLines w:val="0"/>
              <w:pageBreakBefore w:val="0"/>
              <w:widowControl/>
              <w:kinsoku/>
              <w:wordWrap/>
              <w:overflowPunct w:val="0"/>
              <w:topLinePunct w:val="0"/>
              <w:autoSpaceDE/>
              <w:autoSpaceDN/>
              <w:bidi w:val="0"/>
              <w:adjustRightInd w:val="0"/>
              <w:snapToGrid w:val="0"/>
              <w:spacing w:line="240" w:lineRule="auto"/>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5.法律、行政法规和国务院决定规定公司变更事项必须报经批准的，提交有关的批准文件或者许可证件复印件。</w:t>
            </w:r>
          </w:p>
        </w:tc>
        <w:tc>
          <w:tcPr>
            <w:tcW w:w="1513" w:type="dxa"/>
            <w:noWrap w:val="0"/>
            <w:vAlign w:val="center"/>
          </w:tcPr>
          <w:p w14:paraId="1ABFA999">
            <w:pPr>
              <w:widowControl w:val="0"/>
              <w:numPr>
                <w:ilvl w:val="0"/>
                <w:numId w:val="0"/>
              </w:numPr>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提交或上传</w:t>
            </w:r>
          </w:p>
        </w:tc>
        <w:tc>
          <w:tcPr>
            <w:tcW w:w="1499" w:type="dxa"/>
            <w:vMerge w:val="continue"/>
            <w:noWrap w:val="0"/>
            <w:vAlign w:val="center"/>
          </w:tcPr>
          <w:p w14:paraId="0D927764">
            <w:pPr>
              <w:widowControl w:val="0"/>
              <w:numPr>
                <w:ilvl w:val="0"/>
                <w:numId w:val="0"/>
              </w:numPr>
              <w:jc w:val="center"/>
              <w:rPr>
                <w:rFonts w:hint="eastAsia" w:ascii="仿宋_GB2312" w:hAnsi="仿宋_GB2312" w:eastAsia="仿宋_GB2312" w:cs="仿宋_GB2312"/>
                <w:color w:val="auto"/>
                <w:sz w:val="24"/>
                <w:szCs w:val="24"/>
                <w:vertAlign w:val="baseline"/>
                <w:lang w:val="en-US" w:eastAsia="zh-CN"/>
              </w:rPr>
            </w:pPr>
          </w:p>
        </w:tc>
      </w:tr>
      <w:tr w14:paraId="23C0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348" w:type="dxa"/>
            <w:gridSpan w:val="3"/>
            <w:noWrap w:val="0"/>
            <w:vAlign w:val="center"/>
          </w:tcPr>
          <w:p w14:paraId="3E159CFB">
            <w:pPr>
              <w:pStyle w:val="9"/>
              <w:keepNext w:val="0"/>
              <w:keepLines w:val="0"/>
              <w:pageBreakBefore w:val="0"/>
              <w:widowControl/>
              <w:kinsoku/>
              <w:wordWrap/>
              <w:overflowPunct w:val="0"/>
              <w:topLinePunct w:val="0"/>
              <w:autoSpaceDE/>
              <w:autoSpaceDN/>
              <w:bidi w:val="0"/>
              <w:adjustRightInd w:val="0"/>
              <w:snapToGrid w:val="0"/>
              <w:spacing w:line="240" w:lineRule="auto"/>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6.已领取纸质版营业执照的缴回营业执照正、副本（涉及照面信息变更的）。</w:t>
            </w:r>
          </w:p>
        </w:tc>
        <w:tc>
          <w:tcPr>
            <w:tcW w:w="1513" w:type="dxa"/>
            <w:noWrap w:val="0"/>
            <w:vAlign w:val="center"/>
          </w:tcPr>
          <w:p w14:paraId="2825479D">
            <w:pPr>
              <w:widowControl w:val="0"/>
              <w:numPr>
                <w:ilvl w:val="0"/>
                <w:numId w:val="0"/>
              </w:numPr>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提交或上传</w:t>
            </w:r>
          </w:p>
        </w:tc>
        <w:tc>
          <w:tcPr>
            <w:tcW w:w="1499" w:type="dxa"/>
            <w:vMerge w:val="continue"/>
            <w:noWrap w:val="0"/>
            <w:vAlign w:val="center"/>
          </w:tcPr>
          <w:p w14:paraId="6E43C95B">
            <w:pPr>
              <w:widowControl w:val="0"/>
              <w:numPr>
                <w:ilvl w:val="0"/>
                <w:numId w:val="0"/>
              </w:numPr>
              <w:jc w:val="center"/>
              <w:rPr>
                <w:rFonts w:hint="eastAsia" w:ascii="仿宋_GB2312" w:hAnsi="仿宋_GB2312" w:eastAsia="仿宋_GB2312" w:cs="仿宋_GB2312"/>
                <w:color w:val="auto"/>
                <w:sz w:val="24"/>
                <w:szCs w:val="24"/>
                <w:vertAlign w:val="baseline"/>
                <w:lang w:val="en-US" w:eastAsia="zh-CN"/>
              </w:rPr>
            </w:pPr>
          </w:p>
        </w:tc>
      </w:tr>
      <w:tr w14:paraId="4B21B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360" w:type="dxa"/>
            <w:gridSpan w:val="5"/>
            <w:noWrap w:val="0"/>
            <w:vAlign w:val="center"/>
          </w:tcPr>
          <w:p w14:paraId="6FB04AF6">
            <w:pPr>
              <w:widowControl w:val="0"/>
              <w:numPr>
                <w:ilvl w:val="0"/>
                <w:numId w:val="0"/>
              </w:numPr>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企业备案登记</w:t>
            </w:r>
          </w:p>
        </w:tc>
      </w:tr>
      <w:tr w14:paraId="67708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348" w:type="dxa"/>
            <w:gridSpan w:val="3"/>
            <w:noWrap w:val="0"/>
            <w:vAlign w:val="center"/>
          </w:tcPr>
          <w:p w14:paraId="19496BCB">
            <w:pPr>
              <w:pStyle w:val="9"/>
              <w:keepNext w:val="0"/>
              <w:keepLines w:val="0"/>
              <w:pageBreakBefore w:val="0"/>
              <w:widowControl/>
              <w:kinsoku/>
              <w:wordWrap/>
              <w:overflowPunct w:val="0"/>
              <w:topLinePunct w:val="0"/>
              <w:autoSpaceDE/>
              <w:autoSpaceDN/>
              <w:bidi w:val="0"/>
              <w:adjustRightInd w:val="0"/>
              <w:snapToGrid w:val="0"/>
              <w:spacing w:line="240" w:lineRule="auto"/>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1.《企业变更/备案“证照联办”一张表单》</w:t>
            </w:r>
          </w:p>
        </w:tc>
        <w:tc>
          <w:tcPr>
            <w:tcW w:w="1513" w:type="dxa"/>
            <w:noWrap w:val="0"/>
            <w:vAlign w:val="center"/>
          </w:tcPr>
          <w:p w14:paraId="15416193">
            <w:pPr>
              <w:widowControl w:val="0"/>
              <w:numPr>
                <w:ilvl w:val="0"/>
                <w:numId w:val="0"/>
              </w:num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提交或</w:t>
            </w:r>
          </w:p>
          <w:p w14:paraId="40C7CF6A">
            <w:pPr>
              <w:widowControl w:val="0"/>
              <w:numPr>
                <w:ilvl w:val="0"/>
                <w:numId w:val="0"/>
              </w:num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自动生成</w:t>
            </w:r>
          </w:p>
        </w:tc>
        <w:tc>
          <w:tcPr>
            <w:tcW w:w="1499" w:type="dxa"/>
            <w:vMerge w:val="restart"/>
            <w:noWrap w:val="0"/>
            <w:vAlign w:val="center"/>
          </w:tcPr>
          <w:p w14:paraId="353C2C65">
            <w:pPr>
              <w:widowControl w:val="0"/>
              <w:numPr>
                <w:ilvl w:val="0"/>
                <w:numId w:val="0"/>
              </w:numPr>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注：企业备案登记涉及所有事项均可通过全程电子化办理。</w:t>
            </w:r>
          </w:p>
        </w:tc>
      </w:tr>
      <w:tr w14:paraId="2CEA3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348" w:type="dxa"/>
            <w:gridSpan w:val="3"/>
            <w:noWrap w:val="0"/>
            <w:vAlign w:val="center"/>
          </w:tcPr>
          <w:p w14:paraId="55EFEF3D">
            <w:pPr>
              <w:pStyle w:val="9"/>
              <w:keepNext w:val="0"/>
              <w:keepLines w:val="0"/>
              <w:pageBreakBefore w:val="0"/>
              <w:widowControl/>
              <w:kinsoku/>
              <w:wordWrap/>
              <w:overflowPunct w:val="0"/>
              <w:topLinePunct w:val="0"/>
              <w:autoSpaceDE/>
              <w:autoSpaceDN/>
              <w:bidi w:val="0"/>
              <w:adjustRightInd w:val="0"/>
              <w:snapToGrid w:val="0"/>
              <w:spacing w:line="240" w:lineRule="auto"/>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2.法律、行政法规和国务院决定规定备案事项必须报经批准的，提交有关的批准文件或者许可证件复印件。</w:t>
            </w:r>
          </w:p>
        </w:tc>
        <w:tc>
          <w:tcPr>
            <w:tcW w:w="1513" w:type="dxa"/>
            <w:noWrap w:val="0"/>
            <w:vAlign w:val="center"/>
          </w:tcPr>
          <w:p w14:paraId="48E99C42">
            <w:pPr>
              <w:widowControl w:val="0"/>
              <w:numPr>
                <w:ilvl w:val="0"/>
                <w:numId w:val="0"/>
              </w:numPr>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提交或上传</w:t>
            </w:r>
          </w:p>
        </w:tc>
        <w:tc>
          <w:tcPr>
            <w:tcW w:w="1499" w:type="dxa"/>
            <w:vMerge w:val="continue"/>
            <w:noWrap w:val="0"/>
            <w:vAlign w:val="center"/>
          </w:tcPr>
          <w:p w14:paraId="7D10909F">
            <w:pPr>
              <w:widowControl w:val="0"/>
              <w:numPr>
                <w:ilvl w:val="0"/>
                <w:numId w:val="0"/>
              </w:numPr>
              <w:jc w:val="center"/>
              <w:rPr>
                <w:rFonts w:hint="eastAsia" w:ascii="仿宋_GB2312" w:hAnsi="仿宋_GB2312" w:eastAsia="仿宋_GB2312" w:cs="仿宋_GB2312"/>
                <w:color w:val="auto"/>
                <w:sz w:val="24"/>
                <w:szCs w:val="24"/>
                <w:vertAlign w:val="baseline"/>
                <w:lang w:val="en-US" w:eastAsia="zh-CN"/>
              </w:rPr>
            </w:pPr>
          </w:p>
        </w:tc>
      </w:tr>
      <w:tr w14:paraId="282DB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3" w:type="dxa"/>
            <w:gridSpan w:val="2"/>
            <w:vMerge w:val="restart"/>
            <w:noWrap w:val="0"/>
            <w:vAlign w:val="center"/>
          </w:tcPr>
          <w:p w14:paraId="7C5A972A">
            <w:pPr>
              <w:pStyle w:val="9"/>
              <w:keepNext w:val="0"/>
              <w:keepLines w:val="0"/>
              <w:pageBreakBefore w:val="0"/>
              <w:widowControl/>
              <w:kinsoku/>
              <w:wordWrap/>
              <w:overflowPunct w:val="0"/>
              <w:topLinePunct w:val="0"/>
              <w:autoSpaceDE/>
              <w:autoSpaceDN/>
              <w:bidi w:val="0"/>
              <w:adjustRightInd w:val="0"/>
              <w:snapToGrid w:val="0"/>
              <w:spacing w:line="240" w:lineRule="auto"/>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3.备案事项证明文件。</w:t>
            </w:r>
          </w:p>
        </w:tc>
        <w:tc>
          <w:tcPr>
            <w:tcW w:w="5145" w:type="dxa"/>
            <w:noWrap w:val="0"/>
            <w:vAlign w:val="center"/>
          </w:tcPr>
          <w:p w14:paraId="74B67B40">
            <w:pPr>
              <w:pStyle w:val="9"/>
              <w:keepNext w:val="0"/>
              <w:keepLines w:val="0"/>
              <w:pageBreakBefore w:val="0"/>
              <w:widowControl/>
              <w:kinsoku/>
              <w:wordWrap/>
              <w:overflowPunct w:val="0"/>
              <w:topLinePunct w:val="0"/>
              <w:autoSpaceDE/>
              <w:autoSpaceDN/>
              <w:bidi w:val="0"/>
              <w:adjustRightInd w:val="0"/>
              <w:snapToGrid w:val="0"/>
              <w:spacing w:line="240" w:lineRule="auto"/>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（1）章程备案。提交修改后的公司章程或者公司章程修正案；关于修改公司章程的决议、决定。</w:t>
            </w:r>
          </w:p>
        </w:tc>
        <w:tc>
          <w:tcPr>
            <w:tcW w:w="1513" w:type="dxa"/>
            <w:noWrap w:val="0"/>
            <w:vAlign w:val="center"/>
          </w:tcPr>
          <w:p w14:paraId="009DDD9E">
            <w:pPr>
              <w:widowControl w:val="0"/>
              <w:numPr>
                <w:ilvl w:val="0"/>
                <w:numId w:val="0"/>
              </w:numPr>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提交或上传</w:t>
            </w:r>
          </w:p>
        </w:tc>
        <w:tc>
          <w:tcPr>
            <w:tcW w:w="1499" w:type="dxa"/>
            <w:vMerge w:val="continue"/>
            <w:noWrap w:val="0"/>
            <w:vAlign w:val="center"/>
          </w:tcPr>
          <w:p w14:paraId="34A300E4">
            <w:pPr>
              <w:widowControl w:val="0"/>
              <w:numPr>
                <w:ilvl w:val="0"/>
                <w:numId w:val="0"/>
              </w:numPr>
              <w:jc w:val="center"/>
              <w:rPr>
                <w:rFonts w:hint="eastAsia" w:ascii="仿宋_GB2312" w:hAnsi="仿宋_GB2312" w:eastAsia="仿宋_GB2312" w:cs="仿宋_GB2312"/>
                <w:color w:val="auto"/>
                <w:sz w:val="24"/>
                <w:szCs w:val="24"/>
                <w:vertAlign w:val="baseline"/>
                <w:lang w:val="en-US" w:eastAsia="zh-CN"/>
              </w:rPr>
            </w:pPr>
          </w:p>
        </w:tc>
      </w:tr>
      <w:tr w14:paraId="74B10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3" w:type="dxa"/>
            <w:gridSpan w:val="2"/>
            <w:vMerge w:val="continue"/>
            <w:noWrap w:val="0"/>
            <w:vAlign w:val="center"/>
          </w:tcPr>
          <w:p w14:paraId="75000E40">
            <w:pPr>
              <w:pStyle w:val="9"/>
              <w:keepNext w:val="0"/>
              <w:keepLines w:val="0"/>
              <w:pageBreakBefore w:val="0"/>
              <w:widowControl/>
              <w:kinsoku/>
              <w:wordWrap/>
              <w:overflowPunct w:val="0"/>
              <w:topLinePunct w:val="0"/>
              <w:autoSpaceDE/>
              <w:autoSpaceDN/>
              <w:bidi w:val="0"/>
              <w:adjustRightInd w:val="0"/>
              <w:snapToGrid w:val="0"/>
              <w:spacing w:line="240" w:lineRule="auto"/>
              <w:textAlignment w:val="auto"/>
              <w:rPr>
                <w:rFonts w:hint="eastAsia" w:ascii="仿宋_GB2312" w:hAnsi="仿宋_GB2312" w:eastAsia="仿宋_GB2312" w:cs="仿宋_GB2312"/>
                <w:color w:val="auto"/>
                <w:kern w:val="2"/>
                <w:sz w:val="24"/>
                <w:szCs w:val="24"/>
                <w:vertAlign w:val="baseline"/>
                <w:lang w:val="en-US" w:eastAsia="zh-CN" w:bidi="ar-SA"/>
              </w:rPr>
            </w:pPr>
          </w:p>
        </w:tc>
        <w:tc>
          <w:tcPr>
            <w:tcW w:w="5145" w:type="dxa"/>
            <w:noWrap w:val="0"/>
            <w:vAlign w:val="center"/>
          </w:tcPr>
          <w:p w14:paraId="5D159672">
            <w:pPr>
              <w:keepNext w:val="0"/>
              <w:keepLines w:val="0"/>
              <w:pageBreakBefore w:val="0"/>
              <w:widowControl/>
              <w:kinsoku/>
              <w:wordWrap/>
              <w:overflowPunct w:val="0"/>
              <w:topLinePunct w:val="0"/>
              <w:autoSpaceDE/>
              <w:autoSpaceDN/>
              <w:bidi w:val="0"/>
              <w:adjustRightInd w:val="0"/>
              <w:snapToGrid w:val="0"/>
              <w:spacing w:line="240" w:lineRule="auto"/>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w:t>
            </w:r>
            <w:bookmarkStart w:id="0" w:name="OLE_LINK2"/>
            <w:r>
              <w:rPr>
                <w:rFonts w:hint="eastAsia" w:ascii="仿宋_GB2312" w:hAnsi="仿宋_GB2312" w:eastAsia="仿宋_GB2312" w:cs="仿宋_GB2312"/>
                <w:color w:val="auto"/>
                <w:kern w:val="2"/>
                <w:sz w:val="24"/>
                <w:szCs w:val="24"/>
                <w:vertAlign w:val="baseline"/>
                <w:lang w:val="en-US" w:eastAsia="zh-CN" w:bidi="ar-SA"/>
              </w:rPr>
              <w:t>经营期限、认缴的出资数额备案，提交修改后的公司章程或者公司章程修正案。其中因股东之间转让部分股权导致认缴的出资数额变更的，还需提交股东双方签署的股权转让协议或者股权交割证明。</w:t>
            </w:r>
            <w:bookmarkEnd w:id="0"/>
          </w:p>
        </w:tc>
        <w:tc>
          <w:tcPr>
            <w:tcW w:w="1513" w:type="dxa"/>
            <w:noWrap w:val="0"/>
            <w:vAlign w:val="center"/>
          </w:tcPr>
          <w:p w14:paraId="173A1C85">
            <w:pPr>
              <w:widowControl w:val="0"/>
              <w:numPr>
                <w:ilvl w:val="0"/>
                <w:numId w:val="0"/>
              </w:numPr>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提交或上传</w:t>
            </w:r>
          </w:p>
        </w:tc>
        <w:tc>
          <w:tcPr>
            <w:tcW w:w="1499" w:type="dxa"/>
            <w:vMerge w:val="continue"/>
            <w:noWrap w:val="0"/>
            <w:vAlign w:val="center"/>
          </w:tcPr>
          <w:p w14:paraId="6DE44ACE">
            <w:pPr>
              <w:widowControl w:val="0"/>
              <w:numPr>
                <w:ilvl w:val="0"/>
                <w:numId w:val="0"/>
              </w:numPr>
              <w:jc w:val="center"/>
              <w:rPr>
                <w:rFonts w:hint="eastAsia" w:ascii="仿宋_GB2312" w:hAnsi="仿宋_GB2312" w:eastAsia="仿宋_GB2312" w:cs="仿宋_GB2312"/>
                <w:color w:val="auto"/>
                <w:sz w:val="24"/>
                <w:szCs w:val="24"/>
                <w:vertAlign w:val="baseline"/>
                <w:lang w:val="en-US" w:eastAsia="zh-CN"/>
              </w:rPr>
            </w:pPr>
          </w:p>
        </w:tc>
      </w:tr>
      <w:tr w14:paraId="4EC18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3" w:type="dxa"/>
            <w:gridSpan w:val="2"/>
            <w:vMerge w:val="continue"/>
            <w:noWrap w:val="0"/>
            <w:vAlign w:val="center"/>
          </w:tcPr>
          <w:p w14:paraId="4B70AB82">
            <w:pPr>
              <w:pStyle w:val="9"/>
              <w:keepNext w:val="0"/>
              <w:keepLines w:val="0"/>
              <w:pageBreakBefore w:val="0"/>
              <w:widowControl/>
              <w:kinsoku/>
              <w:wordWrap/>
              <w:overflowPunct w:val="0"/>
              <w:topLinePunct w:val="0"/>
              <w:autoSpaceDE/>
              <w:autoSpaceDN/>
              <w:bidi w:val="0"/>
              <w:adjustRightInd w:val="0"/>
              <w:snapToGrid w:val="0"/>
              <w:spacing w:line="240" w:lineRule="auto"/>
              <w:textAlignment w:val="auto"/>
              <w:rPr>
                <w:rFonts w:hint="eastAsia" w:ascii="仿宋_GB2312" w:hAnsi="仿宋_GB2312" w:eastAsia="仿宋_GB2312" w:cs="仿宋_GB2312"/>
                <w:color w:val="auto"/>
                <w:kern w:val="2"/>
                <w:sz w:val="24"/>
                <w:szCs w:val="24"/>
                <w:vertAlign w:val="baseline"/>
                <w:lang w:val="en-US" w:eastAsia="zh-CN" w:bidi="ar-SA"/>
              </w:rPr>
            </w:pPr>
          </w:p>
        </w:tc>
        <w:tc>
          <w:tcPr>
            <w:tcW w:w="5145" w:type="dxa"/>
            <w:noWrap w:val="0"/>
            <w:vAlign w:val="center"/>
          </w:tcPr>
          <w:p w14:paraId="18EFCE46">
            <w:pPr>
              <w:keepNext w:val="0"/>
              <w:keepLines w:val="0"/>
              <w:pageBreakBefore w:val="0"/>
              <w:widowControl/>
              <w:kinsoku/>
              <w:wordWrap/>
              <w:overflowPunct w:val="0"/>
              <w:topLinePunct w:val="0"/>
              <w:autoSpaceDE/>
              <w:autoSpaceDN/>
              <w:bidi w:val="0"/>
              <w:adjustRightInd w:val="0"/>
              <w:snapToGrid w:val="0"/>
              <w:spacing w:line="240" w:lineRule="auto"/>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（3）董事、监事、高级管理人员备案，提交有关董事、监事、高级管理人员任免职的决议、决定（包括股东会决议/决定、董事会决议、监事会决议、职工代表大会决议）。</w:t>
            </w:r>
          </w:p>
        </w:tc>
        <w:tc>
          <w:tcPr>
            <w:tcW w:w="1513" w:type="dxa"/>
            <w:noWrap w:val="0"/>
            <w:vAlign w:val="center"/>
          </w:tcPr>
          <w:p w14:paraId="5F8BE6D9">
            <w:pPr>
              <w:widowControl w:val="0"/>
              <w:numPr>
                <w:ilvl w:val="0"/>
                <w:numId w:val="0"/>
              </w:numPr>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提交或上传</w:t>
            </w:r>
          </w:p>
        </w:tc>
        <w:tc>
          <w:tcPr>
            <w:tcW w:w="1499" w:type="dxa"/>
            <w:vMerge w:val="continue"/>
            <w:noWrap w:val="0"/>
            <w:vAlign w:val="center"/>
          </w:tcPr>
          <w:p w14:paraId="4AABDF40">
            <w:pPr>
              <w:widowControl w:val="0"/>
              <w:numPr>
                <w:ilvl w:val="0"/>
                <w:numId w:val="0"/>
              </w:numPr>
              <w:jc w:val="center"/>
              <w:rPr>
                <w:rFonts w:hint="eastAsia" w:ascii="仿宋_GB2312" w:hAnsi="仿宋_GB2312" w:eastAsia="仿宋_GB2312" w:cs="仿宋_GB2312"/>
                <w:color w:val="auto"/>
                <w:sz w:val="24"/>
                <w:szCs w:val="24"/>
                <w:vertAlign w:val="baseline"/>
                <w:lang w:val="en-US" w:eastAsia="zh-CN"/>
              </w:rPr>
            </w:pPr>
          </w:p>
        </w:tc>
      </w:tr>
      <w:tr w14:paraId="424C4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3" w:type="dxa"/>
            <w:gridSpan w:val="2"/>
            <w:vMerge w:val="continue"/>
            <w:noWrap w:val="0"/>
            <w:vAlign w:val="center"/>
          </w:tcPr>
          <w:p w14:paraId="23DE9DE2">
            <w:pPr>
              <w:pStyle w:val="9"/>
              <w:keepNext w:val="0"/>
              <w:keepLines w:val="0"/>
              <w:pageBreakBefore w:val="0"/>
              <w:widowControl/>
              <w:kinsoku/>
              <w:wordWrap/>
              <w:overflowPunct w:val="0"/>
              <w:topLinePunct w:val="0"/>
              <w:autoSpaceDE/>
              <w:autoSpaceDN/>
              <w:bidi w:val="0"/>
              <w:adjustRightInd w:val="0"/>
              <w:snapToGrid w:val="0"/>
              <w:spacing w:line="240" w:lineRule="auto"/>
              <w:textAlignment w:val="auto"/>
              <w:rPr>
                <w:rFonts w:hint="eastAsia" w:ascii="仿宋_GB2312" w:hAnsi="仿宋_GB2312" w:eastAsia="仿宋_GB2312" w:cs="仿宋_GB2312"/>
                <w:color w:val="auto"/>
                <w:kern w:val="2"/>
                <w:sz w:val="24"/>
                <w:szCs w:val="24"/>
                <w:vertAlign w:val="baseline"/>
                <w:lang w:val="en-US" w:eastAsia="zh-CN" w:bidi="ar-SA"/>
              </w:rPr>
            </w:pPr>
          </w:p>
        </w:tc>
        <w:tc>
          <w:tcPr>
            <w:tcW w:w="5145" w:type="dxa"/>
            <w:noWrap w:val="0"/>
            <w:vAlign w:val="center"/>
          </w:tcPr>
          <w:p w14:paraId="3CF2D11B">
            <w:pPr>
              <w:pStyle w:val="9"/>
              <w:keepNext w:val="0"/>
              <w:keepLines w:val="0"/>
              <w:pageBreakBefore w:val="0"/>
              <w:widowControl/>
              <w:kinsoku/>
              <w:wordWrap/>
              <w:overflowPunct w:val="0"/>
              <w:topLinePunct w:val="0"/>
              <w:autoSpaceDE/>
              <w:autoSpaceDN/>
              <w:bidi w:val="0"/>
              <w:adjustRightInd w:val="0"/>
              <w:snapToGrid w:val="0"/>
              <w:spacing w:line="240" w:lineRule="auto"/>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（4）更换登记联络员，填写《联络员信息表》，提交联络员的身份证明复印件（使用纸质材料办理登记的，直接在申请书中粘贴身份证复印件)。</w:t>
            </w:r>
          </w:p>
        </w:tc>
        <w:tc>
          <w:tcPr>
            <w:tcW w:w="1513" w:type="dxa"/>
            <w:noWrap w:val="0"/>
            <w:vAlign w:val="center"/>
          </w:tcPr>
          <w:p w14:paraId="1CFDD336">
            <w:pPr>
              <w:widowControl w:val="0"/>
              <w:numPr>
                <w:ilvl w:val="0"/>
                <w:numId w:val="0"/>
              </w:numPr>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提交或自动生成</w:t>
            </w:r>
          </w:p>
        </w:tc>
        <w:tc>
          <w:tcPr>
            <w:tcW w:w="1499" w:type="dxa"/>
            <w:vMerge w:val="continue"/>
            <w:noWrap w:val="0"/>
            <w:vAlign w:val="center"/>
          </w:tcPr>
          <w:p w14:paraId="6CEE254B">
            <w:pPr>
              <w:widowControl w:val="0"/>
              <w:numPr>
                <w:ilvl w:val="0"/>
                <w:numId w:val="0"/>
              </w:numPr>
              <w:jc w:val="center"/>
              <w:rPr>
                <w:rFonts w:hint="eastAsia" w:ascii="仿宋_GB2312" w:hAnsi="仿宋_GB2312" w:eastAsia="仿宋_GB2312" w:cs="仿宋_GB2312"/>
                <w:color w:val="auto"/>
                <w:sz w:val="24"/>
                <w:szCs w:val="24"/>
                <w:vertAlign w:val="baseline"/>
                <w:lang w:val="en-US" w:eastAsia="zh-CN"/>
              </w:rPr>
            </w:pPr>
          </w:p>
        </w:tc>
      </w:tr>
      <w:tr w14:paraId="246C8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9360" w:type="dxa"/>
            <w:gridSpan w:val="5"/>
            <w:noWrap w:val="0"/>
            <w:vAlign w:val="center"/>
          </w:tcPr>
          <w:p w14:paraId="6D3532B4">
            <w:pPr>
              <w:widowControl w:val="0"/>
              <w:numPr>
                <w:ilvl w:val="0"/>
                <w:numId w:val="0"/>
              </w:numPr>
              <w:jc w:val="center"/>
              <w:rPr>
                <w:rFonts w:hint="eastAsia" w:ascii="仿宋_GB2312" w:hAnsi="仿宋_GB2312" w:eastAsia="仿宋_GB2312" w:cs="仿宋_GB2312"/>
                <w:b/>
                <w:bCs/>
                <w:color w:val="auto"/>
                <w:sz w:val="24"/>
                <w:szCs w:val="24"/>
                <w:vertAlign w:val="baseline"/>
                <w:lang w:eastAsia="zh-CN"/>
              </w:rPr>
            </w:pPr>
            <w:r>
              <w:rPr>
                <w:rFonts w:hint="eastAsia" w:ascii="仿宋_GB2312" w:hAnsi="仿宋_GB2312" w:eastAsia="仿宋_GB2312" w:cs="仿宋_GB2312"/>
                <w:b/>
                <w:bCs/>
                <w:color w:val="auto"/>
                <w:sz w:val="24"/>
                <w:szCs w:val="24"/>
                <w:vertAlign w:val="baseline"/>
                <w:lang w:val="en-US" w:eastAsia="zh-CN"/>
              </w:rPr>
              <w:t>印章刻制（仅涉及名称变更申请）</w:t>
            </w:r>
          </w:p>
        </w:tc>
      </w:tr>
      <w:tr w14:paraId="1BB9F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348" w:type="dxa"/>
            <w:gridSpan w:val="3"/>
            <w:noWrap w:val="0"/>
            <w:vAlign w:val="center"/>
          </w:tcPr>
          <w:p w14:paraId="0155D94C">
            <w:pPr>
              <w:widowControl w:val="0"/>
              <w:numPr>
                <w:ilvl w:val="0"/>
                <w:numId w:val="0"/>
              </w:numPr>
              <w:jc w:val="left"/>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1、电子营业执照</w:t>
            </w:r>
          </w:p>
        </w:tc>
        <w:tc>
          <w:tcPr>
            <w:tcW w:w="1513" w:type="dxa"/>
            <w:noWrap w:val="0"/>
            <w:vAlign w:val="center"/>
          </w:tcPr>
          <w:p w14:paraId="0B27056E">
            <w:pPr>
              <w:widowControl w:val="0"/>
              <w:numPr>
                <w:ilvl w:val="0"/>
                <w:numId w:val="0"/>
              </w:numPr>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系统推送</w:t>
            </w:r>
          </w:p>
        </w:tc>
        <w:tc>
          <w:tcPr>
            <w:tcW w:w="1499" w:type="dxa"/>
            <w:vMerge w:val="restart"/>
            <w:noWrap w:val="0"/>
            <w:vAlign w:val="center"/>
          </w:tcPr>
          <w:p w14:paraId="52A655C6">
            <w:pPr>
              <w:widowControl w:val="0"/>
              <w:numPr>
                <w:ilvl w:val="0"/>
                <w:numId w:val="0"/>
              </w:numPr>
              <w:jc w:val="both"/>
              <w:rPr>
                <w:rFonts w:hint="eastAsia" w:ascii="仿宋_GB2312" w:hAnsi="仿宋_GB2312" w:eastAsia="仿宋_GB2312" w:cs="仿宋_GB2312"/>
                <w:color w:val="auto"/>
                <w:sz w:val="24"/>
                <w:szCs w:val="24"/>
                <w:vertAlign w:val="baseline"/>
                <w:lang w:val="en-US" w:eastAsia="zh-CN"/>
              </w:rPr>
            </w:pPr>
          </w:p>
        </w:tc>
      </w:tr>
      <w:tr w14:paraId="2587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348" w:type="dxa"/>
            <w:gridSpan w:val="3"/>
            <w:noWrap w:val="0"/>
            <w:vAlign w:val="center"/>
          </w:tcPr>
          <w:p w14:paraId="3BC5187A">
            <w:pPr>
              <w:widowControl w:val="0"/>
              <w:numPr>
                <w:ilvl w:val="0"/>
                <w:numId w:val="0"/>
              </w:numPr>
              <w:jc w:val="left"/>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2、经办人接收的承接码</w:t>
            </w:r>
          </w:p>
        </w:tc>
        <w:tc>
          <w:tcPr>
            <w:tcW w:w="1513" w:type="dxa"/>
            <w:noWrap w:val="0"/>
            <w:vAlign w:val="center"/>
          </w:tcPr>
          <w:p w14:paraId="7265DD34">
            <w:pPr>
              <w:widowControl w:val="0"/>
              <w:numPr>
                <w:ilvl w:val="0"/>
                <w:numId w:val="0"/>
              </w:numPr>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短信接收</w:t>
            </w:r>
          </w:p>
        </w:tc>
        <w:tc>
          <w:tcPr>
            <w:tcW w:w="1499" w:type="dxa"/>
            <w:vMerge w:val="continue"/>
            <w:noWrap w:val="0"/>
            <w:vAlign w:val="center"/>
          </w:tcPr>
          <w:p w14:paraId="47349AEB">
            <w:pPr>
              <w:widowControl w:val="0"/>
              <w:numPr>
                <w:ilvl w:val="0"/>
                <w:numId w:val="0"/>
              </w:numPr>
              <w:jc w:val="center"/>
              <w:rPr>
                <w:rFonts w:hint="eastAsia" w:ascii="仿宋_GB2312" w:hAnsi="仿宋_GB2312" w:eastAsia="仿宋_GB2312" w:cs="仿宋_GB2312"/>
                <w:color w:val="auto"/>
                <w:sz w:val="24"/>
                <w:szCs w:val="24"/>
                <w:vertAlign w:val="baseline"/>
                <w:lang w:eastAsia="zh-CN"/>
              </w:rPr>
            </w:pPr>
          </w:p>
        </w:tc>
      </w:tr>
      <w:tr w14:paraId="38309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360" w:type="dxa"/>
            <w:gridSpan w:val="5"/>
            <w:noWrap w:val="0"/>
            <w:vAlign w:val="center"/>
          </w:tcPr>
          <w:p w14:paraId="31C5785F">
            <w:pPr>
              <w:widowControl w:val="0"/>
              <w:numPr>
                <w:ilvl w:val="0"/>
                <w:numId w:val="0"/>
              </w:numPr>
              <w:jc w:val="center"/>
              <w:rPr>
                <w:rFonts w:hint="default"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申领发票及税控设备（仅涉及此项内容变更申请）</w:t>
            </w:r>
          </w:p>
        </w:tc>
      </w:tr>
      <w:tr w14:paraId="59DBC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6348" w:type="dxa"/>
            <w:gridSpan w:val="3"/>
            <w:noWrap w:val="0"/>
            <w:vAlign w:val="center"/>
          </w:tcPr>
          <w:p w14:paraId="52D01807">
            <w:pPr>
              <w:widowControl w:val="0"/>
              <w:numPr>
                <w:ilvl w:val="0"/>
                <w:numId w:val="0"/>
              </w:numPr>
              <w:jc w:val="left"/>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val="en-US" w:eastAsia="zh-CN"/>
              </w:rPr>
              <w:t>1、加载统一社会代码的营业执照（企业办税人员已实名的，可不再提交营业执照原件）</w:t>
            </w:r>
          </w:p>
        </w:tc>
        <w:tc>
          <w:tcPr>
            <w:tcW w:w="1513" w:type="dxa"/>
            <w:vMerge w:val="restart"/>
            <w:noWrap w:val="0"/>
            <w:vAlign w:val="center"/>
          </w:tcPr>
          <w:p w14:paraId="6F58A4DD">
            <w:pPr>
              <w:widowControl w:val="0"/>
              <w:numPr>
                <w:ilvl w:val="0"/>
                <w:numId w:val="0"/>
              </w:numPr>
              <w:jc w:val="center"/>
              <w:rPr>
                <w:rFonts w:hint="eastAsia" w:ascii="仿宋_GB2312" w:hAnsi="仿宋_GB2312" w:eastAsia="仿宋_GB2312" w:cs="仿宋_GB2312"/>
                <w:color w:val="0000FF"/>
                <w:sz w:val="24"/>
                <w:szCs w:val="24"/>
                <w:vertAlign w:val="baseline"/>
                <w:lang w:val="en-US" w:eastAsia="zh-CN"/>
              </w:rPr>
            </w:pPr>
          </w:p>
          <w:p w14:paraId="0890252B">
            <w:pPr>
              <w:widowControl w:val="0"/>
              <w:numPr>
                <w:ilvl w:val="0"/>
                <w:numId w:val="0"/>
              </w:num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提交或系统调取</w:t>
            </w:r>
          </w:p>
          <w:p w14:paraId="1D274B97">
            <w:pPr>
              <w:widowControl w:val="0"/>
              <w:numPr>
                <w:ilvl w:val="0"/>
                <w:numId w:val="0"/>
              </w:numPr>
              <w:jc w:val="center"/>
              <w:rPr>
                <w:rFonts w:hint="eastAsia" w:ascii="仿宋_GB2312" w:hAnsi="仿宋_GB2312" w:eastAsia="仿宋_GB2312" w:cs="仿宋_GB2312"/>
                <w:color w:val="auto"/>
                <w:sz w:val="24"/>
                <w:szCs w:val="24"/>
                <w:vertAlign w:val="baseline"/>
                <w:lang w:val="en-US" w:eastAsia="zh-CN"/>
              </w:rPr>
            </w:pPr>
          </w:p>
        </w:tc>
        <w:tc>
          <w:tcPr>
            <w:tcW w:w="1499" w:type="dxa"/>
            <w:vMerge w:val="restart"/>
            <w:noWrap w:val="0"/>
            <w:vAlign w:val="center"/>
          </w:tcPr>
          <w:p w14:paraId="687D2177">
            <w:pPr>
              <w:widowControl w:val="0"/>
              <w:numPr>
                <w:ilvl w:val="0"/>
                <w:numId w:val="0"/>
              </w:numPr>
              <w:jc w:val="both"/>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开办企业也可通过内蒙古自治区电子税务局，在线提交申领发票和税控设备申请</w:t>
            </w:r>
          </w:p>
        </w:tc>
      </w:tr>
      <w:tr w14:paraId="26D2B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348" w:type="dxa"/>
            <w:gridSpan w:val="3"/>
            <w:noWrap w:val="0"/>
            <w:vAlign w:val="center"/>
          </w:tcPr>
          <w:p w14:paraId="4208D367">
            <w:pPr>
              <w:widowControl w:val="0"/>
              <w:numPr>
                <w:ilvl w:val="0"/>
                <w:numId w:val="0"/>
              </w:numPr>
              <w:jc w:val="left"/>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2、经办人身份证件</w:t>
            </w:r>
          </w:p>
        </w:tc>
        <w:tc>
          <w:tcPr>
            <w:tcW w:w="1513" w:type="dxa"/>
            <w:vMerge w:val="continue"/>
            <w:noWrap w:val="0"/>
            <w:vAlign w:val="center"/>
          </w:tcPr>
          <w:p w14:paraId="388959B0">
            <w:pPr>
              <w:widowControl w:val="0"/>
              <w:numPr>
                <w:ilvl w:val="0"/>
                <w:numId w:val="0"/>
              </w:numPr>
              <w:jc w:val="center"/>
              <w:rPr>
                <w:rFonts w:hint="eastAsia" w:ascii="仿宋_GB2312" w:hAnsi="仿宋_GB2312" w:eastAsia="仿宋_GB2312" w:cs="仿宋_GB2312"/>
                <w:color w:val="auto"/>
                <w:sz w:val="24"/>
                <w:szCs w:val="24"/>
                <w:vertAlign w:val="baseline"/>
                <w:lang w:val="en-US" w:eastAsia="zh-CN"/>
              </w:rPr>
            </w:pPr>
          </w:p>
        </w:tc>
        <w:tc>
          <w:tcPr>
            <w:tcW w:w="1499" w:type="dxa"/>
            <w:vMerge w:val="continue"/>
            <w:noWrap w:val="0"/>
            <w:vAlign w:val="center"/>
          </w:tcPr>
          <w:p w14:paraId="1E13C1A3">
            <w:pPr>
              <w:widowControl w:val="0"/>
              <w:numPr>
                <w:ilvl w:val="0"/>
                <w:numId w:val="0"/>
              </w:numPr>
              <w:jc w:val="center"/>
              <w:rPr>
                <w:rFonts w:hint="eastAsia" w:ascii="仿宋_GB2312" w:hAnsi="仿宋_GB2312" w:eastAsia="仿宋_GB2312" w:cs="仿宋_GB2312"/>
                <w:color w:val="auto"/>
                <w:sz w:val="24"/>
                <w:szCs w:val="24"/>
                <w:vertAlign w:val="baseline"/>
                <w:lang w:val="en-US" w:eastAsia="zh-CN"/>
              </w:rPr>
            </w:pPr>
          </w:p>
        </w:tc>
      </w:tr>
      <w:tr w14:paraId="1CA30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360" w:type="dxa"/>
            <w:gridSpan w:val="5"/>
            <w:noWrap w:val="0"/>
            <w:vAlign w:val="center"/>
          </w:tcPr>
          <w:p w14:paraId="5C37A8BD">
            <w:pPr>
              <w:widowControl w:val="0"/>
              <w:numPr>
                <w:ilvl w:val="0"/>
                <w:numId w:val="0"/>
              </w:numPr>
              <w:jc w:val="center"/>
              <w:rPr>
                <w:rFonts w:hint="default"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社保登记（仅涉及此项内容变更申请）</w:t>
            </w:r>
          </w:p>
        </w:tc>
      </w:tr>
      <w:tr w14:paraId="196B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6348" w:type="dxa"/>
            <w:gridSpan w:val="3"/>
            <w:noWrap w:val="0"/>
            <w:vAlign w:val="center"/>
          </w:tcPr>
          <w:p w14:paraId="2ED13A16">
            <w:pPr>
              <w:widowControl w:val="0"/>
              <w:numPr>
                <w:ilvl w:val="0"/>
                <w:numId w:val="0"/>
              </w:num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申请条件：经办人网办选择“企业参保信息和职工参保信息”或填写表单中“社保医保信息”。</w:t>
            </w:r>
          </w:p>
        </w:tc>
        <w:tc>
          <w:tcPr>
            <w:tcW w:w="1513" w:type="dxa"/>
            <w:noWrap w:val="0"/>
            <w:vAlign w:val="center"/>
          </w:tcPr>
          <w:p w14:paraId="71A1680E">
            <w:pPr>
              <w:widowControl w:val="0"/>
              <w:numPr>
                <w:ilvl w:val="0"/>
                <w:numId w:val="0"/>
              </w:num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提交或系统推送</w:t>
            </w:r>
          </w:p>
        </w:tc>
        <w:tc>
          <w:tcPr>
            <w:tcW w:w="1499" w:type="dxa"/>
            <w:noWrap w:val="0"/>
            <w:vAlign w:val="center"/>
          </w:tcPr>
          <w:p w14:paraId="64A73842">
            <w:pPr>
              <w:widowControl w:val="0"/>
              <w:numPr>
                <w:ilvl w:val="0"/>
                <w:numId w:val="0"/>
              </w:num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市场监管部门推送到社保部门</w:t>
            </w:r>
          </w:p>
        </w:tc>
      </w:tr>
      <w:tr w14:paraId="2D50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60" w:type="dxa"/>
            <w:gridSpan w:val="5"/>
            <w:noWrap w:val="0"/>
            <w:vAlign w:val="center"/>
          </w:tcPr>
          <w:p w14:paraId="2AC9F7AA">
            <w:pPr>
              <w:widowControl w:val="0"/>
              <w:numPr>
                <w:ilvl w:val="0"/>
                <w:numId w:val="0"/>
              </w:numPr>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医保登记（仅涉及此项内容变更申请）</w:t>
            </w:r>
          </w:p>
        </w:tc>
      </w:tr>
      <w:tr w14:paraId="6C6B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348" w:type="dxa"/>
            <w:gridSpan w:val="3"/>
            <w:noWrap w:val="0"/>
            <w:vAlign w:val="center"/>
          </w:tcPr>
          <w:p w14:paraId="3C34737D">
            <w:pPr>
              <w:widowControl w:val="0"/>
              <w:numPr>
                <w:ilvl w:val="0"/>
                <w:numId w:val="0"/>
              </w:numPr>
              <w:jc w:val="both"/>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申请条件：经办人网办选择“单位医保登记”或填写表单中“社保医保信息”。</w:t>
            </w:r>
          </w:p>
        </w:tc>
        <w:tc>
          <w:tcPr>
            <w:tcW w:w="1513" w:type="dxa"/>
            <w:noWrap w:val="0"/>
            <w:vAlign w:val="center"/>
          </w:tcPr>
          <w:p w14:paraId="54C466B8">
            <w:pPr>
              <w:widowControl w:val="0"/>
              <w:numPr>
                <w:ilvl w:val="0"/>
                <w:numId w:val="0"/>
              </w:numPr>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提交或系统推送</w:t>
            </w:r>
          </w:p>
        </w:tc>
        <w:tc>
          <w:tcPr>
            <w:tcW w:w="1499" w:type="dxa"/>
            <w:noWrap w:val="0"/>
            <w:vAlign w:val="center"/>
          </w:tcPr>
          <w:p w14:paraId="69433AB2">
            <w:pPr>
              <w:widowControl w:val="0"/>
              <w:numPr>
                <w:ilvl w:val="0"/>
                <w:numId w:val="0"/>
              </w:numPr>
              <w:jc w:val="both"/>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市场监管部门推动到医保部门</w:t>
            </w:r>
          </w:p>
        </w:tc>
      </w:tr>
      <w:tr w14:paraId="1438E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360" w:type="dxa"/>
            <w:gridSpan w:val="5"/>
            <w:noWrap w:val="0"/>
            <w:vAlign w:val="center"/>
          </w:tcPr>
          <w:p w14:paraId="7A1564BB">
            <w:pPr>
              <w:widowControl w:val="0"/>
              <w:numPr>
                <w:ilvl w:val="0"/>
                <w:numId w:val="0"/>
              </w:numPr>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公积金缴存登记（仅涉及此项内容变更申请）</w:t>
            </w:r>
          </w:p>
        </w:tc>
      </w:tr>
      <w:tr w14:paraId="3C3B9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348" w:type="dxa"/>
            <w:gridSpan w:val="3"/>
            <w:noWrap w:val="0"/>
            <w:vAlign w:val="center"/>
          </w:tcPr>
          <w:p w14:paraId="5D1C73C8">
            <w:pPr>
              <w:widowControl w:val="0"/>
              <w:numPr>
                <w:ilvl w:val="0"/>
                <w:numId w:val="0"/>
              </w:numPr>
              <w:jc w:val="both"/>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申请条件：经办人网办选择“公积金讯息填报”或填写表单中“住房公积金缴存登记”。</w:t>
            </w:r>
          </w:p>
        </w:tc>
        <w:tc>
          <w:tcPr>
            <w:tcW w:w="1513" w:type="dxa"/>
            <w:noWrap w:val="0"/>
            <w:vAlign w:val="center"/>
          </w:tcPr>
          <w:p w14:paraId="335BF3A5">
            <w:pPr>
              <w:widowControl w:val="0"/>
              <w:numPr>
                <w:ilvl w:val="0"/>
                <w:numId w:val="0"/>
              </w:numPr>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提交或系统推送</w:t>
            </w:r>
          </w:p>
        </w:tc>
        <w:tc>
          <w:tcPr>
            <w:tcW w:w="1499" w:type="dxa"/>
            <w:noWrap w:val="0"/>
            <w:vAlign w:val="center"/>
          </w:tcPr>
          <w:p w14:paraId="093672C1">
            <w:pPr>
              <w:widowControl w:val="0"/>
              <w:numPr>
                <w:ilvl w:val="0"/>
                <w:numId w:val="0"/>
              </w:numPr>
              <w:jc w:val="both"/>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市场监管部门推送到公积金部门</w:t>
            </w:r>
          </w:p>
        </w:tc>
      </w:tr>
      <w:tr w14:paraId="5DBF0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360" w:type="dxa"/>
            <w:gridSpan w:val="5"/>
            <w:noWrap w:val="0"/>
            <w:vAlign w:val="center"/>
          </w:tcPr>
          <w:p w14:paraId="544441ED">
            <w:pPr>
              <w:widowControl w:val="0"/>
              <w:numPr>
                <w:ilvl w:val="0"/>
                <w:numId w:val="0"/>
              </w:numPr>
              <w:jc w:val="center"/>
              <w:rPr>
                <w:rFonts w:hint="default"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银行开户（仅涉及此项内容变更申请）</w:t>
            </w:r>
          </w:p>
        </w:tc>
      </w:tr>
      <w:tr w14:paraId="2B029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348" w:type="dxa"/>
            <w:gridSpan w:val="3"/>
            <w:noWrap w:val="0"/>
            <w:vAlign w:val="center"/>
          </w:tcPr>
          <w:p w14:paraId="4541A1EC">
            <w:pPr>
              <w:widowControl w:val="0"/>
              <w:numPr>
                <w:ilvl w:val="0"/>
                <w:numId w:val="0"/>
              </w:numPr>
              <w:jc w:val="left"/>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1、营业执照</w:t>
            </w:r>
          </w:p>
        </w:tc>
        <w:tc>
          <w:tcPr>
            <w:tcW w:w="1513" w:type="dxa"/>
            <w:noWrap w:val="0"/>
            <w:vAlign w:val="center"/>
          </w:tcPr>
          <w:p w14:paraId="3C7F4FF7">
            <w:pPr>
              <w:widowControl w:val="0"/>
              <w:numPr>
                <w:ilvl w:val="0"/>
                <w:numId w:val="0"/>
              </w:numPr>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提交</w:t>
            </w:r>
          </w:p>
        </w:tc>
        <w:tc>
          <w:tcPr>
            <w:tcW w:w="1499" w:type="dxa"/>
            <w:vMerge w:val="restart"/>
            <w:noWrap w:val="0"/>
            <w:vAlign w:val="center"/>
          </w:tcPr>
          <w:p w14:paraId="14DC8E1F">
            <w:pPr>
              <w:widowControl w:val="0"/>
              <w:numPr>
                <w:ilvl w:val="0"/>
                <w:numId w:val="0"/>
              </w:numPr>
              <w:jc w:val="both"/>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银行预约开户通过“一网通办”平台生成预约账号并推送给所选的商业银行完成账号的生成。</w:t>
            </w:r>
          </w:p>
        </w:tc>
      </w:tr>
      <w:tr w14:paraId="028E9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348" w:type="dxa"/>
            <w:gridSpan w:val="3"/>
            <w:noWrap w:val="0"/>
            <w:vAlign w:val="center"/>
          </w:tcPr>
          <w:p w14:paraId="31CEC296">
            <w:pPr>
              <w:widowControl w:val="0"/>
              <w:numPr>
                <w:ilvl w:val="0"/>
                <w:numId w:val="0"/>
              </w:numPr>
              <w:jc w:val="left"/>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2、法定代表人/单位负责人有效身份证件</w:t>
            </w:r>
          </w:p>
        </w:tc>
        <w:tc>
          <w:tcPr>
            <w:tcW w:w="1513" w:type="dxa"/>
            <w:noWrap w:val="0"/>
            <w:vAlign w:val="center"/>
          </w:tcPr>
          <w:p w14:paraId="28BC9FB3">
            <w:pPr>
              <w:widowControl w:val="0"/>
              <w:numPr>
                <w:ilvl w:val="0"/>
                <w:numId w:val="0"/>
              </w:numPr>
              <w:ind w:left="0" w:leftChars="0" w:firstLine="0" w:firstLineChars="0"/>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提交</w:t>
            </w:r>
          </w:p>
        </w:tc>
        <w:tc>
          <w:tcPr>
            <w:tcW w:w="1499" w:type="dxa"/>
            <w:vMerge w:val="continue"/>
            <w:noWrap w:val="0"/>
            <w:vAlign w:val="center"/>
          </w:tcPr>
          <w:p w14:paraId="2F64588B">
            <w:pPr>
              <w:widowControl w:val="0"/>
              <w:numPr>
                <w:ilvl w:val="0"/>
                <w:numId w:val="0"/>
              </w:numPr>
              <w:ind w:left="0" w:leftChars="0" w:firstLine="0" w:firstLineChars="0"/>
              <w:jc w:val="center"/>
              <w:rPr>
                <w:rFonts w:hint="eastAsia" w:ascii="仿宋_GB2312" w:hAnsi="仿宋_GB2312" w:eastAsia="仿宋_GB2312" w:cs="仿宋_GB2312"/>
                <w:color w:val="auto"/>
                <w:sz w:val="24"/>
                <w:szCs w:val="24"/>
                <w:vertAlign w:val="baseline"/>
                <w:lang w:val="en-US" w:eastAsia="zh-CN"/>
              </w:rPr>
            </w:pPr>
          </w:p>
        </w:tc>
      </w:tr>
      <w:tr w14:paraId="78BFA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348" w:type="dxa"/>
            <w:gridSpan w:val="3"/>
            <w:noWrap w:val="0"/>
            <w:vAlign w:val="center"/>
          </w:tcPr>
          <w:p w14:paraId="5D13DCD2">
            <w:pPr>
              <w:widowControl w:val="0"/>
              <w:numPr>
                <w:ilvl w:val="0"/>
                <w:numId w:val="0"/>
              </w:numPr>
              <w:ind w:left="0" w:leftChars="0" w:firstLine="0" w:firstLineChars="0"/>
              <w:jc w:val="left"/>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3、非法定代表人/单位负责人亲自办理开户手续的，还需提供授权委托书、经办人有效身份证件</w:t>
            </w:r>
          </w:p>
        </w:tc>
        <w:tc>
          <w:tcPr>
            <w:tcW w:w="1513" w:type="dxa"/>
            <w:noWrap w:val="0"/>
            <w:vAlign w:val="center"/>
          </w:tcPr>
          <w:p w14:paraId="279DA5FB">
            <w:pPr>
              <w:widowControl w:val="0"/>
              <w:numPr>
                <w:ilvl w:val="0"/>
                <w:numId w:val="0"/>
              </w:numPr>
              <w:ind w:left="0" w:leftChars="0" w:firstLine="0" w:firstLineChars="0"/>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提交</w:t>
            </w:r>
          </w:p>
        </w:tc>
        <w:tc>
          <w:tcPr>
            <w:tcW w:w="1499" w:type="dxa"/>
            <w:vMerge w:val="continue"/>
            <w:noWrap w:val="0"/>
            <w:vAlign w:val="center"/>
          </w:tcPr>
          <w:p w14:paraId="18420CA6">
            <w:pPr>
              <w:widowControl w:val="0"/>
              <w:numPr>
                <w:ilvl w:val="0"/>
                <w:numId w:val="0"/>
              </w:numPr>
              <w:ind w:left="0" w:leftChars="0" w:firstLine="0" w:firstLineChars="0"/>
              <w:jc w:val="center"/>
              <w:rPr>
                <w:rFonts w:hint="eastAsia" w:ascii="仿宋_GB2312" w:hAnsi="仿宋_GB2312" w:eastAsia="仿宋_GB2312" w:cs="仿宋_GB2312"/>
                <w:color w:val="auto"/>
                <w:sz w:val="24"/>
                <w:szCs w:val="24"/>
                <w:vertAlign w:val="baseline"/>
                <w:lang w:val="en-US" w:eastAsia="zh-CN"/>
              </w:rPr>
            </w:pPr>
          </w:p>
        </w:tc>
      </w:tr>
      <w:tr w14:paraId="0AE2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6348" w:type="dxa"/>
            <w:gridSpan w:val="3"/>
            <w:noWrap w:val="0"/>
            <w:vAlign w:val="center"/>
          </w:tcPr>
          <w:p w14:paraId="7BC0529E">
            <w:pPr>
              <w:widowControl w:val="0"/>
              <w:numPr>
                <w:ilvl w:val="0"/>
                <w:numId w:val="0"/>
              </w:numPr>
              <w:ind w:left="0" w:leftChars="0" w:firstLine="0" w:firstLineChars="0"/>
              <w:jc w:val="left"/>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4、证明公司控股/控制/受益情况的资料（如：公司章程、出资协议、验资报告、高级管理人员任命文件、受益所有人身份证件复印件等）</w:t>
            </w:r>
          </w:p>
        </w:tc>
        <w:tc>
          <w:tcPr>
            <w:tcW w:w="1513" w:type="dxa"/>
            <w:noWrap w:val="0"/>
            <w:vAlign w:val="center"/>
          </w:tcPr>
          <w:p w14:paraId="5B43006C">
            <w:pPr>
              <w:widowControl w:val="0"/>
              <w:numPr>
                <w:ilvl w:val="0"/>
                <w:numId w:val="0"/>
              </w:numPr>
              <w:ind w:left="0" w:leftChars="0" w:firstLine="0" w:firstLineChars="0"/>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提交</w:t>
            </w:r>
          </w:p>
        </w:tc>
        <w:tc>
          <w:tcPr>
            <w:tcW w:w="1499" w:type="dxa"/>
            <w:vMerge w:val="continue"/>
            <w:noWrap w:val="0"/>
            <w:vAlign w:val="center"/>
          </w:tcPr>
          <w:p w14:paraId="2E0C31DC">
            <w:pPr>
              <w:widowControl w:val="0"/>
              <w:numPr>
                <w:ilvl w:val="0"/>
                <w:numId w:val="0"/>
              </w:numPr>
              <w:ind w:left="0" w:leftChars="0" w:firstLine="0" w:firstLineChars="0"/>
              <w:jc w:val="center"/>
              <w:rPr>
                <w:rFonts w:hint="eastAsia" w:ascii="仿宋_GB2312" w:hAnsi="仿宋_GB2312" w:eastAsia="仿宋_GB2312" w:cs="仿宋_GB2312"/>
                <w:color w:val="auto"/>
                <w:sz w:val="24"/>
                <w:szCs w:val="24"/>
                <w:vertAlign w:val="baseline"/>
                <w:lang w:val="en-US" w:eastAsia="zh-CN"/>
              </w:rPr>
            </w:pPr>
          </w:p>
        </w:tc>
      </w:tr>
      <w:tr w14:paraId="58186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348" w:type="dxa"/>
            <w:gridSpan w:val="3"/>
            <w:noWrap w:val="0"/>
            <w:vAlign w:val="center"/>
          </w:tcPr>
          <w:p w14:paraId="495AD9A4">
            <w:pPr>
              <w:widowControl w:val="0"/>
              <w:numPr>
                <w:ilvl w:val="0"/>
                <w:numId w:val="0"/>
              </w:numPr>
              <w:ind w:left="0" w:leftChars="0" w:firstLine="0" w:firstLineChars="0"/>
              <w:jc w:val="left"/>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5、如开立非基本账户，需携带基本户开户行出具的基本存款账户信息或开户许可证</w:t>
            </w:r>
          </w:p>
        </w:tc>
        <w:tc>
          <w:tcPr>
            <w:tcW w:w="1513" w:type="dxa"/>
            <w:noWrap w:val="0"/>
            <w:vAlign w:val="center"/>
          </w:tcPr>
          <w:p w14:paraId="10994F1D">
            <w:pPr>
              <w:widowControl w:val="0"/>
              <w:numPr>
                <w:ilvl w:val="0"/>
                <w:numId w:val="0"/>
              </w:numPr>
              <w:ind w:left="0" w:leftChars="0" w:firstLine="0" w:firstLineChars="0"/>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提交</w:t>
            </w:r>
          </w:p>
        </w:tc>
        <w:tc>
          <w:tcPr>
            <w:tcW w:w="1499" w:type="dxa"/>
            <w:vMerge w:val="continue"/>
            <w:noWrap w:val="0"/>
            <w:vAlign w:val="center"/>
          </w:tcPr>
          <w:p w14:paraId="6A5FF3CE">
            <w:pPr>
              <w:widowControl w:val="0"/>
              <w:numPr>
                <w:ilvl w:val="0"/>
                <w:numId w:val="0"/>
              </w:numPr>
              <w:ind w:left="0" w:leftChars="0" w:firstLine="0" w:firstLineChars="0"/>
              <w:jc w:val="center"/>
              <w:rPr>
                <w:rFonts w:hint="eastAsia" w:ascii="仿宋_GB2312" w:hAnsi="仿宋_GB2312" w:eastAsia="仿宋_GB2312" w:cs="仿宋_GB2312"/>
                <w:color w:val="auto"/>
                <w:sz w:val="24"/>
                <w:szCs w:val="24"/>
                <w:vertAlign w:val="baseline"/>
                <w:lang w:val="en-US" w:eastAsia="zh-CN"/>
              </w:rPr>
            </w:pPr>
          </w:p>
        </w:tc>
      </w:tr>
      <w:tr w14:paraId="26638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360" w:type="dxa"/>
            <w:gridSpan w:val="5"/>
            <w:noWrap w:val="0"/>
            <w:vAlign w:val="center"/>
          </w:tcPr>
          <w:p w14:paraId="0C91E71B">
            <w:pPr>
              <w:widowControl w:val="0"/>
              <w:numPr>
                <w:ilvl w:val="0"/>
                <w:numId w:val="0"/>
              </w:numPr>
              <w:ind w:left="0" w:leftChars="0" w:firstLine="0" w:firstLineChars="0"/>
              <w:jc w:val="center"/>
              <w:rPr>
                <w:rFonts w:hint="default" w:ascii="仿宋_GB2312" w:hAnsi="仿宋_GB2312" w:eastAsia="仿宋_GB2312" w:cs="仿宋_GB2312"/>
                <w:color w:val="0000FF"/>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涉及相关许可/备案证的办理（仅涉及此项内容变更申请）</w:t>
            </w:r>
          </w:p>
        </w:tc>
      </w:tr>
      <w:tr w14:paraId="6EF55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6348" w:type="dxa"/>
            <w:gridSpan w:val="3"/>
            <w:noWrap w:val="0"/>
            <w:vAlign w:val="center"/>
          </w:tcPr>
          <w:p w14:paraId="09A01785">
            <w:pPr>
              <w:widowControl w:val="0"/>
              <w:numPr>
                <w:ilvl w:val="0"/>
                <w:numId w:val="0"/>
              </w:numPr>
              <w:ind w:left="0" w:leftChars="0" w:firstLine="0" w:firstLineChars="0"/>
              <w:jc w:val="left"/>
              <w:rPr>
                <w:rFonts w:hint="default" w:ascii="仿宋_GB2312" w:hAnsi="仿宋_GB2312" w:eastAsia="仿宋_GB2312" w:cs="仿宋_GB2312"/>
                <w:color w:val="0000FF"/>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申请条件：涉及市场监管部门相关许可/备案证（食品生产许可、食品经营许可、食品小作坊小餐饮小食杂登记、药品零食企业经营许可、第三类医疗器械经营许可、第二类医疗器械经营备案、特种设备使用登记)变更办理所需的法定材料（包括现场核查等）</w:t>
            </w:r>
          </w:p>
        </w:tc>
        <w:tc>
          <w:tcPr>
            <w:tcW w:w="1513" w:type="dxa"/>
            <w:noWrap w:val="0"/>
            <w:vAlign w:val="center"/>
          </w:tcPr>
          <w:p w14:paraId="264505B5">
            <w:pPr>
              <w:widowControl w:val="0"/>
              <w:numPr>
                <w:ilvl w:val="0"/>
                <w:numId w:val="0"/>
              </w:numPr>
              <w:ind w:left="0" w:leftChars="0" w:firstLine="0" w:firstLineChars="0"/>
              <w:jc w:val="center"/>
              <w:rPr>
                <w:rFonts w:hint="default" w:ascii="仿宋_GB2312" w:hAnsi="仿宋_GB2312" w:eastAsia="仿宋_GB2312" w:cs="仿宋_GB2312"/>
                <w:color w:val="0000FF"/>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提交或上传</w:t>
            </w:r>
          </w:p>
        </w:tc>
        <w:tc>
          <w:tcPr>
            <w:tcW w:w="1499" w:type="dxa"/>
            <w:noWrap w:val="0"/>
            <w:vAlign w:val="center"/>
          </w:tcPr>
          <w:p w14:paraId="1907079F">
            <w:pPr>
              <w:widowControl w:val="0"/>
              <w:numPr>
                <w:ilvl w:val="0"/>
                <w:numId w:val="0"/>
              </w:numPr>
              <w:ind w:left="0" w:leftChars="0" w:firstLine="0" w:firstLineChars="0"/>
              <w:jc w:val="left"/>
              <w:rPr>
                <w:rFonts w:hint="default" w:ascii="仿宋_GB2312" w:hAnsi="仿宋_GB2312" w:eastAsia="仿宋_GB2312" w:cs="仿宋_GB2312"/>
                <w:color w:val="0000FF"/>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营业执照及市场监管部门相关许可/备案证的变更可通过“一网”申请、录入、核发及办结。</w:t>
            </w:r>
          </w:p>
        </w:tc>
      </w:tr>
    </w:tbl>
    <w:p w14:paraId="06178D0F"/>
    <w:p w14:paraId="4102A7FF">
      <w:pPr>
        <w:pStyle w:val="8"/>
        <w:ind w:left="0" w:leftChars="0" w:firstLine="320" w:firstLineChars="100"/>
        <w:rPr>
          <w:rFonts w:hint="eastAsia" w:ascii="黑体" w:hAnsi="黑体" w:eastAsia="黑体" w:cs="黑体"/>
          <w:color w:val="auto"/>
          <w:kern w:val="2"/>
          <w:sz w:val="32"/>
          <w:szCs w:val="32"/>
          <w:lang w:val="en-US" w:eastAsia="zh-CN" w:bidi="ar-SA"/>
        </w:rPr>
      </w:pPr>
    </w:p>
    <w:p w14:paraId="19EF79D3">
      <w:pPr>
        <w:pStyle w:val="8"/>
        <w:ind w:left="0" w:leftChars="0" w:firstLine="320" w:firstLineChars="100"/>
        <w:rPr>
          <w:rFonts w:hint="eastAsia" w:ascii="黑体" w:hAnsi="黑体" w:eastAsia="黑体" w:cs="黑体"/>
          <w:color w:val="auto"/>
          <w:kern w:val="2"/>
          <w:sz w:val="32"/>
          <w:szCs w:val="32"/>
          <w:lang w:val="en-US" w:eastAsia="zh-CN" w:bidi="ar-SA"/>
        </w:rPr>
      </w:pPr>
    </w:p>
    <w:p w14:paraId="3650CC37">
      <w:pPr>
        <w:pStyle w:val="8"/>
        <w:ind w:left="0" w:leftChars="0" w:firstLine="320" w:firstLineChars="100"/>
        <w:rPr>
          <w:rFonts w:hint="eastAsia"/>
          <w:b/>
          <w:bCs/>
          <w:color w:val="0000FF"/>
          <w:sz w:val="52"/>
          <w:szCs w:val="52"/>
          <w:lang w:eastAsia="zh-CN"/>
        </w:rPr>
      </w:pPr>
      <w:r>
        <w:rPr>
          <w:rFonts w:hint="eastAsia" w:ascii="黑体" w:hAnsi="黑体" w:eastAsia="黑体" w:cs="黑体"/>
          <w:color w:val="auto"/>
          <w:kern w:val="2"/>
          <w:sz w:val="32"/>
          <w:szCs w:val="32"/>
          <w:lang w:val="en-US" w:eastAsia="zh-CN" w:bidi="ar-SA"/>
        </w:rPr>
        <w:t>四、流程图</w:t>
      </w:r>
    </w:p>
    <w:p w14:paraId="41FDD8A9">
      <w:pPr>
        <w:pStyle w:val="8"/>
        <w:ind w:left="0" w:leftChars="0" w:firstLine="0" w:firstLineChars="0"/>
        <w:rPr>
          <w:rFonts w:hint="eastAsia"/>
          <w:b/>
          <w:bCs/>
          <w:color w:val="0000FF"/>
          <w:sz w:val="52"/>
          <w:szCs w:val="52"/>
          <w:lang w:eastAsia="zh-CN"/>
        </w:rPr>
      </w:pPr>
      <w:r>
        <w:drawing>
          <wp:anchor distT="0" distB="0" distL="114300" distR="114300" simplePos="0" relativeHeight="251659264" behindDoc="0" locked="0" layoutInCell="1" allowOverlap="1">
            <wp:simplePos x="0" y="0"/>
            <wp:positionH relativeFrom="column">
              <wp:posOffset>-642620</wp:posOffset>
            </wp:positionH>
            <wp:positionV relativeFrom="paragraph">
              <wp:posOffset>31115</wp:posOffset>
            </wp:positionV>
            <wp:extent cx="6596380" cy="8733790"/>
            <wp:effectExtent l="0" t="0" r="13970" b="1016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6596380" cy="8733790"/>
                    </a:xfrm>
                    <a:prstGeom prst="rect">
                      <a:avLst/>
                    </a:prstGeom>
                    <a:noFill/>
                    <a:ln>
                      <a:noFill/>
                    </a:ln>
                  </pic:spPr>
                </pic:pic>
              </a:graphicData>
            </a:graphic>
          </wp:anchor>
        </w:drawing>
      </w:r>
    </w:p>
    <w:p w14:paraId="554BBE8A">
      <w:pPr>
        <w:pStyle w:val="8"/>
        <w:ind w:left="0" w:leftChars="0" w:firstLine="522" w:firstLineChars="100"/>
        <w:rPr>
          <w:rFonts w:hint="eastAsia"/>
          <w:b/>
          <w:bCs/>
          <w:color w:val="0000FF"/>
          <w:sz w:val="52"/>
          <w:szCs w:val="52"/>
          <w:lang w:eastAsia="zh-CN"/>
        </w:rPr>
      </w:pPr>
    </w:p>
    <w:p w14:paraId="3532078E">
      <w:pPr>
        <w:pStyle w:val="8"/>
        <w:ind w:left="0" w:leftChars="0" w:firstLine="0" w:firstLineChars="0"/>
        <w:rPr>
          <w:rFonts w:hint="eastAsia"/>
          <w:b/>
          <w:bCs/>
          <w:color w:val="0000FF"/>
          <w:sz w:val="52"/>
          <w:szCs w:val="52"/>
          <w:lang w:eastAsia="zh-CN"/>
        </w:rPr>
      </w:pPr>
    </w:p>
    <w:p w14:paraId="2061E70D">
      <w:pPr>
        <w:rPr>
          <w:rFonts w:hint="eastAsia"/>
          <w:b/>
          <w:bCs/>
          <w:color w:val="0000FF"/>
          <w:sz w:val="52"/>
          <w:szCs w:val="52"/>
          <w:lang w:eastAsia="zh-CN"/>
        </w:rPr>
      </w:pPr>
      <w:r>
        <w:rPr>
          <w:rFonts w:hint="eastAsia"/>
          <w:b/>
          <w:bCs/>
          <w:color w:val="0000FF"/>
          <w:sz w:val="52"/>
          <w:szCs w:val="52"/>
          <w:lang w:eastAsia="zh-CN"/>
        </w:rPr>
        <w:br w:type="page"/>
      </w:r>
    </w:p>
    <w:p w14:paraId="1FCF267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w:t>
      </w:r>
      <w:r>
        <w:rPr>
          <w:rFonts w:hint="eastAsia" w:ascii="黑体" w:hAnsi="黑体" w:eastAsia="黑体" w:cs="黑体"/>
          <w:sz w:val="32"/>
          <w:szCs w:val="32"/>
        </w:rPr>
        <w:t>办理</w:t>
      </w:r>
      <w:r>
        <w:rPr>
          <w:rFonts w:hint="eastAsia" w:ascii="黑体" w:hAnsi="黑体" w:eastAsia="黑体" w:cs="黑体"/>
          <w:sz w:val="32"/>
          <w:szCs w:val="32"/>
          <w:lang w:eastAsia="zh-CN"/>
        </w:rPr>
        <w:t>方式</w:t>
      </w:r>
    </w:p>
    <w:p w14:paraId="1F5C884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线上全程电子化登记</w:t>
      </w:r>
    </w:p>
    <w:p w14:paraId="0DEBFF2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2、线下综合窗口（一窗）纸质材料收件受理</w:t>
      </w:r>
    </w:p>
    <w:p w14:paraId="13BC464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六、办理时限</w:t>
      </w:r>
    </w:p>
    <w:p w14:paraId="34E0BEF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0.5个工作日</w:t>
      </w:r>
    </w:p>
    <w:p w14:paraId="3BE9151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七、收费依据</w:t>
      </w:r>
    </w:p>
    <w:p w14:paraId="630146C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p w14:paraId="5DE2154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八、办理地点</w:t>
      </w:r>
    </w:p>
    <w:p w14:paraId="3C80380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内蒙古自治区巴彦淖尔市乌拉特中旗海流图镇海流图大街北路与云英街交汇处东北角北疆明珠商业A座1号楼政务服务中心1楼1-3号窗口、15-20号窗口</w:t>
      </w:r>
    </w:p>
    <w:p w14:paraId="3928C14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九、</w:t>
      </w:r>
      <w:r>
        <w:rPr>
          <w:rFonts w:hint="eastAsia" w:ascii="黑体" w:hAnsi="黑体" w:eastAsia="黑体" w:cs="黑体"/>
          <w:sz w:val="32"/>
          <w:szCs w:val="32"/>
          <w:lang w:eastAsia="zh-CN"/>
        </w:rPr>
        <w:t>咨询方式</w:t>
      </w:r>
    </w:p>
    <w:p w14:paraId="712CF5D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1.现场咨询：旗政务服务中心</w:t>
      </w:r>
    </w:p>
    <w:p w14:paraId="2F0134E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2.电话咨询：0478-2269129、0478-2269125、0478-5699899。</w:t>
      </w:r>
    </w:p>
    <w:p w14:paraId="7307F61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十、</w:t>
      </w:r>
      <w:r>
        <w:rPr>
          <w:rFonts w:hint="eastAsia" w:ascii="黑体" w:hAnsi="黑体" w:eastAsia="黑体" w:cs="黑体"/>
          <w:sz w:val="32"/>
          <w:szCs w:val="32"/>
          <w:lang w:eastAsia="zh-CN"/>
        </w:rPr>
        <w:t>办公时间</w:t>
      </w:r>
    </w:p>
    <w:p w14:paraId="0E4EE96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周一至周五上午9:00--12：00，下午3：00--6：00（法定节假日除外）</w:t>
      </w:r>
    </w:p>
    <w:p w14:paraId="420325F8">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办理进程及结果查询</w:t>
      </w:r>
    </w:p>
    <w:p w14:paraId="56A3A98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fldChar w:fldCharType="begin"/>
      </w:r>
      <w:r>
        <w:rPr>
          <w:rFonts w:hint="eastAsia" w:ascii="仿宋" w:hAnsi="仿宋" w:eastAsia="仿宋" w:cs="仿宋"/>
          <w:color w:val="auto"/>
          <w:sz w:val="32"/>
          <w:szCs w:val="32"/>
          <w:lang w:val="en-US" w:eastAsia="zh-CN"/>
        </w:rPr>
        <w:instrText xml:space="preserve"> HYPERLINK "http://117.161.154.157:7011/psout/jsp/gcloud/psout/network/web/popup/bljd.jsp" </w:instrText>
      </w:r>
      <w:r>
        <w:rPr>
          <w:rFonts w:hint="eastAsia" w:ascii="仿宋" w:hAnsi="仿宋" w:eastAsia="仿宋" w:cs="仿宋"/>
          <w:color w:val="auto"/>
          <w:sz w:val="32"/>
          <w:szCs w:val="32"/>
          <w:lang w:val="en-US" w:eastAsia="zh-CN"/>
        </w:rPr>
        <w:fldChar w:fldCharType="separate"/>
      </w:r>
      <w:r>
        <w:rPr>
          <w:rStyle w:val="7"/>
          <w:rFonts w:hint="eastAsia" w:ascii="仿宋" w:hAnsi="仿宋" w:eastAsia="仿宋" w:cs="仿宋"/>
          <w:color w:val="auto"/>
          <w:sz w:val="32"/>
          <w:szCs w:val="32"/>
          <w:lang w:val="en-US" w:eastAsia="zh-CN"/>
        </w:rPr>
        <w:t>http://117.161.154.157:7011/psout/jsp/gcloud/psout/network/web/popup/bljd.jsp</w:t>
      </w:r>
      <w:r>
        <w:rPr>
          <w:rFonts w:hint="eastAsia" w:ascii="仿宋" w:hAnsi="仿宋" w:eastAsia="仿宋" w:cs="仿宋"/>
          <w:color w:val="auto"/>
          <w:sz w:val="32"/>
          <w:szCs w:val="32"/>
          <w:lang w:val="en-US" w:eastAsia="zh-CN"/>
        </w:rPr>
        <w:fldChar w:fldCharType="end"/>
      </w:r>
    </w:p>
    <w:p w14:paraId="3D150F1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十二、结果领取方式</w:t>
      </w:r>
    </w:p>
    <w:p w14:paraId="0974956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现场领取或者通过自助一体机打印（涉及营业执照变更的）或者邮寄。</w:t>
      </w:r>
    </w:p>
    <w:p w14:paraId="7BDFBE94">
      <w:pPr>
        <w:pStyle w:val="8"/>
        <w:rPr>
          <w:rFonts w:hint="eastAsia"/>
          <w:b/>
          <w:bCs/>
          <w:sz w:val="52"/>
          <w:szCs w:val="52"/>
          <w:lang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21FBC">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21C1A8">
                          <w:pPr>
                            <w:pStyle w:val="2"/>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21C1A8">
                    <w:pPr>
                      <w:pStyle w:val="2"/>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B2D4C8"/>
    <w:multiLevelType w:val="singleLevel"/>
    <w:tmpl w:val="4BB2D4C8"/>
    <w:lvl w:ilvl="0" w:tentative="0">
      <w:start w:val="1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1YzkyZWY4MmM5NTUzZDA1MDU1NGU5MzllZGE1MjgifQ=="/>
  </w:docVars>
  <w:rsids>
    <w:rsidRoot w:val="251218A3"/>
    <w:rsid w:val="01B80D3F"/>
    <w:rsid w:val="03F45B9A"/>
    <w:rsid w:val="04FE63B4"/>
    <w:rsid w:val="06CC603E"/>
    <w:rsid w:val="0CE85EBA"/>
    <w:rsid w:val="0D29288E"/>
    <w:rsid w:val="0D7330E0"/>
    <w:rsid w:val="0DCD726B"/>
    <w:rsid w:val="0E9E4C36"/>
    <w:rsid w:val="0EA93835"/>
    <w:rsid w:val="0EBC26D6"/>
    <w:rsid w:val="10560C67"/>
    <w:rsid w:val="10E05471"/>
    <w:rsid w:val="11050ACA"/>
    <w:rsid w:val="11E20E0C"/>
    <w:rsid w:val="16CE696A"/>
    <w:rsid w:val="18237D2B"/>
    <w:rsid w:val="193D1788"/>
    <w:rsid w:val="1EA95D87"/>
    <w:rsid w:val="1F501EB5"/>
    <w:rsid w:val="251218A3"/>
    <w:rsid w:val="27547E37"/>
    <w:rsid w:val="29381E4C"/>
    <w:rsid w:val="293E074F"/>
    <w:rsid w:val="34FC3978"/>
    <w:rsid w:val="37DB2F78"/>
    <w:rsid w:val="384358B1"/>
    <w:rsid w:val="39D05AFD"/>
    <w:rsid w:val="3B5F0C53"/>
    <w:rsid w:val="3BEE202A"/>
    <w:rsid w:val="3D1428EA"/>
    <w:rsid w:val="3DFF0F83"/>
    <w:rsid w:val="3E5C591E"/>
    <w:rsid w:val="40C27F71"/>
    <w:rsid w:val="412D10FA"/>
    <w:rsid w:val="4167271B"/>
    <w:rsid w:val="455F4DAF"/>
    <w:rsid w:val="464911E0"/>
    <w:rsid w:val="4B6B0F4E"/>
    <w:rsid w:val="4B81732A"/>
    <w:rsid w:val="4D310EDE"/>
    <w:rsid w:val="4F2C4E99"/>
    <w:rsid w:val="4FB07878"/>
    <w:rsid w:val="52972235"/>
    <w:rsid w:val="53227120"/>
    <w:rsid w:val="5897140C"/>
    <w:rsid w:val="58A74ED0"/>
    <w:rsid w:val="5BE8723C"/>
    <w:rsid w:val="5BF6034F"/>
    <w:rsid w:val="62950448"/>
    <w:rsid w:val="64812553"/>
    <w:rsid w:val="75631015"/>
    <w:rsid w:val="76CF5F86"/>
    <w:rsid w:val="778F5522"/>
    <w:rsid w:val="7A5A1319"/>
    <w:rsid w:val="7AA27864"/>
    <w:rsid w:val="7B213F4C"/>
    <w:rsid w:val="7FFE3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paragraph" w:customStyle="1" w:styleId="8">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customStyle="1" w:styleId="9">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2475</Words>
  <Characters>2620</Characters>
  <Lines>0</Lines>
  <Paragraphs>0</Paragraphs>
  <TotalTime>0</TotalTime>
  <ScaleCrop>false</ScaleCrop>
  <LinksUpToDate>false</LinksUpToDate>
  <CharactersWithSpaces>2620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2023-09-20T12:07:00Z</dcterms:created>
  <dc:creator>Administrator</dc:creator>
  <cp:lastModifiedBy>NNNNNKY</cp:lastModifiedBy>
  <dcterms:modified xsi:type="dcterms:W3CDTF">2025-12-10T09:32:43Z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8D640C329D874C579C6091928F357847_13</vt:lpwstr>
  </property>
  <property fmtid="{D5CDD505-2E9C-101B-9397-08002B2CF9AE}" pid="4" name="KSOTemplateDocerSaveRecord">
    <vt:lpwstr>eyJoZGlkIjoiYWQ4ZjhhOTJiNjRjMThjNWYxZGI4ODg5M2IzZTgxZmUiLCJ1c2VySWQiOiIzMDQzMzUzNzUifQ==</vt:lpwstr>
  </property>
</Properties>
</file>