
<file path=[Content_Types].xml><?xml version="1.0" encoding="utf-8"?>
<Types xmlns="http://schemas.openxmlformats.org/package/2006/content-types">
  <Default Extension="xml" ContentType="application/xml"/>
  <Default Extension="jpeg" ContentType="image/jpeg"/>
  <Default Extension="JPG" ContentType="image/.jpg"/>
  <Default Extension="tiff" ContentType="image/tif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spacing w:line="520" w:lineRule="exact"/>
        <w:rPr>
          <w:rFonts w:hint="eastAsia"/>
          <w:sz w:val="44"/>
        </w:rPr>
      </w:pPr>
    </w:p>
    <w:p>
      <w:pPr>
        <w:keepNext w:val="0"/>
        <w:keepLines w:val="0"/>
        <w:pageBreakBefore w:val="0"/>
        <w:kinsoku/>
        <w:overflowPunct/>
        <w:topLinePunct w:val="0"/>
        <w:autoSpaceDE/>
        <w:autoSpaceDN/>
        <w:bidi w:val="0"/>
        <w:spacing w:line="580" w:lineRule="exact"/>
        <w:jc w:val="both"/>
        <w:textAlignment w:val="auto"/>
        <w:rPr>
          <w:rFonts w:hint="eastAsia" w:ascii="方正小标宋简体" w:eastAsia="方正小标宋简体"/>
          <w:sz w:val="44"/>
          <w:szCs w:val="44"/>
          <w:lang w:eastAsia="zh-CN"/>
        </w:rPr>
      </w:pP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方正小标宋简体" w:eastAsia="方正小标宋简体"/>
          <w:sz w:val="44"/>
          <w:szCs w:val="44"/>
          <w:lang w:eastAsia="zh-CN"/>
        </w:rPr>
      </w:pPr>
      <w:r>
        <w:rPr>
          <w:rFonts w:hint="eastAsia" w:ascii="方正小标宋简体" w:eastAsia="方正小标宋简体"/>
          <w:sz w:val="44"/>
          <w:szCs w:val="44"/>
          <w:lang w:eastAsia="zh-CN"/>
        </w:rPr>
        <w:t>内蒙古自治区人民政府关于印发</w:t>
      </w: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方正小标宋简体" w:eastAsia="方正小标宋简体"/>
          <w:sz w:val="44"/>
          <w:szCs w:val="44"/>
          <w:lang w:eastAsia="zh-CN"/>
        </w:rPr>
      </w:pPr>
      <w:r>
        <w:rPr>
          <w:rFonts w:hint="eastAsia" w:ascii="方正小标宋简体" w:eastAsia="方正小标宋简体"/>
          <w:sz w:val="44"/>
          <w:szCs w:val="44"/>
          <w:lang w:eastAsia="zh-CN"/>
        </w:rPr>
        <w:t>自治区持续优化营商环境行动方案的通知</w:t>
      </w: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方正小标宋简体" w:eastAsia="方正小标宋简体"/>
          <w:sz w:val="44"/>
          <w:szCs w:val="44"/>
          <w:lang w:eastAsia="zh-CN"/>
        </w:rPr>
      </w:pP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方正小标宋简体" w:eastAsia="方正小标宋简体"/>
          <w:sz w:val="44"/>
          <w:szCs w:val="44"/>
          <w:lang w:eastAsia="zh-CN"/>
        </w:rPr>
      </w:pPr>
      <w:bookmarkStart w:id="0" w:name="_GoBack"/>
      <w:r>
        <w:rPr>
          <w:rFonts w:hint="eastAsia" w:ascii="仿宋_GB2312" w:hAnsi="华文仿宋" w:eastAsia="仿宋_GB2312"/>
          <w:sz w:val="32"/>
          <w:lang w:eastAsia="zh-CN"/>
        </w:rPr>
        <w:t>内政发〔2024〕16号</w:t>
      </w:r>
    </w:p>
    <w:bookmarkEnd w:id="0"/>
    <w:p>
      <w:pPr>
        <w:keepNext w:val="0"/>
        <w:keepLines w:val="0"/>
        <w:pageBreakBefore w:val="0"/>
        <w:kinsoku/>
        <w:overflowPunct/>
        <w:topLinePunct w:val="0"/>
        <w:autoSpaceDE/>
        <w:autoSpaceDN/>
        <w:bidi w:val="0"/>
        <w:spacing w:line="580" w:lineRule="exact"/>
        <w:textAlignment w:val="auto"/>
        <w:rPr>
          <w:rFonts w:hint="eastAsia" w:eastAsia="仿宋_GB2312"/>
          <w:sz w:val="32"/>
        </w:rPr>
      </w:pP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方正楷体_GBK" w:hAnsi="方正楷体_GBK" w:eastAsia="方正楷体_GBK" w:cs="方正楷体_GBK"/>
          <w:sz w:val="32"/>
          <w:lang w:eastAsia="zh-CN"/>
        </w:rPr>
      </w:pPr>
      <w:r>
        <w:rPr>
          <w:rFonts w:hint="eastAsia" w:ascii="方正楷体_GBK" w:hAnsi="方正楷体_GBK" w:eastAsia="方正楷体_GBK" w:cs="方正楷体_GBK"/>
          <w:sz w:val="32"/>
          <w:lang w:eastAsia="zh-CN"/>
        </w:rPr>
        <w:t>各盟行政公署、市人民政府，自治区各委、办、厅、局，各大企业、事业单位：</w:t>
      </w:r>
    </w:p>
    <w:p>
      <w:pPr>
        <w:keepNext w:val="0"/>
        <w:keepLines w:val="0"/>
        <w:pageBreakBefore w:val="0"/>
        <w:widowControl w:val="0"/>
        <w:kinsoku/>
        <w:wordWrap/>
        <w:overflowPunct/>
        <w:topLinePunct w:val="0"/>
        <w:autoSpaceDE/>
        <w:autoSpaceDN/>
        <w:bidi w:val="0"/>
        <w:adjustRightInd/>
        <w:snapToGrid/>
        <w:spacing w:line="400" w:lineRule="exact"/>
        <w:ind w:firstLine="640"/>
        <w:textAlignment w:val="auto"/>
        <w:rPr>
          <w:rFonts w:hint="eastAsia" w:ascii="方正楷体_GBK" w:hAnsi="方正楷体_GBK" w:eastAsia="方正楷体_GBK" w:cs="方正楷体_GBK"/>
          <w:sz w:val="32"/>
          <w:lang w:val="en-US" w:eastAsia="zh-CN"/>
        </w:rPr>
      </w:pPr>
      <w:r>
        <w:rPr>
          <w:rFonts w:hint="eastAsia" w:ascii="方正楷体_GBK" w:hAnsi="方正楷体_GBK" w:eastAsia="方正楷体_GBK" w:cs="方正楷体_GBK"/>
          <w:sz w:val="32"/>
          <w:lang w:val="en-US" w:eastAsia="zh-CN"/>
        </w:rPr>
        <w:t>现将《内蒙古自治区持续优化营商环境行动方案》印发给你们，请结合实际，认真贯彻落实。</w:t>
      </w:r>
    </w:p>
    <w:p>
      <w:pPr>
        <w:keepNext w:val="0"/>
        <w:keepLines w:val="0"/>
        <w:pageBreakBefore w:val="0"/>
        <w:kinsoku/>
        <w:overflowPunct/>
        <w:topLinePunct w:val="0"/>
        <w:autoSpaceDE/>
        <w:autoSpaceDN/>
        <w:bidi w:val="0"/>
        <w:spacing w:line="580" w:lineRule="exact"/>
        <w:ind w:firstLine="640"/>
        <w:textAlignment w:val="auto"/>
        <w:rPr>
          <w:rFonts w:hint="default" w:ascii="方正楷体_GBK" w:hAnsi="方正楷体_GBK" w:eastAsia="方正楷体_GBK" w:cs="方正楷体_GBK"/>
          <w:sz w:val="32"/>
          <w:lang w:val="en-US" w:eastAsia="zh-CN"/>
        </w:rPr>
      </w:pPr>
    </w:p>
    <w:p>
      <w:pPr>
        <w:keepNext w:val="0"/>
        <w:keepLines w:val="0"/>
        <w:pageBreakBefore w:val="0"/>
        <w:kinsoku/>
        <w:overflowPunct/>
        <w:topLinePunct w:val="0"/>
        <w:autoSpaceDE/>
        <w:autoSpaceDN/>
        <w:bidi w:val="0"/>
        <w:spacing w:line="580" w:lineRule="exact"/>
        <w:ind w:firstLine="640"/>
        <w:textAlignment w:val="auto"/>
        <w:rPr>
          <w:rFonts w:hint="default" w:ascii="方正楷体_GBK" w:hAnsi="方正楷体_GBK" w:eastAsia="方正楷体_GBK" w:cs="方正楷体_GBK"/>
          <w:sz w:val="32"/>
          <w:lang w:val="en-US" w:eastAsia="zh-CN"/>
        </w:rPr>
      </w:pPr>
    </w:p>
    <w:p>
      <w:pPr>
        <w:keepNext w:val="0"/>
        <w:keepLines w:val="0"/>
        <w:pageBreakBefore w:val="0"/>
        <w:kinsoku/>
        <w:overflowPunct/>
        <w:topLinePunct w:val="0"/>
        <w:autoSpaceDE/>
        <w:autoSpaceDN/>
        <w:bidi w:val="0"/>
        <w:spacing w:line="580" w:lineRule="exact"/>
        <w:ind w:firstLine="640"/>
        <w:textAlignment w:val="auto"/>
        <w:rPr>
          <w:rFonts w:hint="default" w:ascii="方正楷体_GBK" w:hAnsi="方正楷体_GBK" w:eastAsia="方正楷体_GBK" w:cs="方正楷体_GBK"/>
          <w:sz w:val="32"/>
          <w:lang w:val="en-US" w:eastAsia="zh-CN"/>
        </w:rPr>
      </w:pPr>
    </w:p>
    <w:p>
      <w:pPr>
        <w:keepNext w:val="0"/>
        <w:keepLines w:val="0"/>
        <w:pageBreakBefore w:val="0"/>
        <w:kinsoku/>
        <w:overflowPunct/>
        <w:topLinePunct w:val="0"/>
        <w:autoSpaceDE/>
        <w:autoSpaceDN/>
        <w:bidi w:val="0"/>
        <w:spacing w:line="580" w:lineRule="exact"/>
        <w:ind w:firstLine="640"/>
        <w:textAlignment w:val="auto"/>
        <w:rPr>
          <w:rFonts w:hint="default" w:ascii="方正楷体_GBK" w:hAnsi="方正楷体_GBK" w:eastAsia="方正楷体_GBK" w:cs="方正楷体_GBK"/>
          <w:sz w:val="32"/>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641"/>
        <w:textAlignment w:val="auto"/>
        <w:rPr>
          <w:rFonts w:hint="eastAsia" w:ascii="方正楷体_GBK" w:hAnsi="方正楷体_GBK" w:eastAsia="方正楷体_GBK" w:cs="方正楷体_GBK"/>
          <w:sz w:val="32"/>
          <w:lang w:val="en-US" w:eastAsia="zh-CN"/>
        </w:rPr>
      </w:pPr>
      <w:r>
        <w:rPr>
          <w:rFonts w:hint="eastAsia" w:ascii="方正楷体_GBK" w:hAnsi="方正楷体_GBK" w:eastAsia="方正楷体_GBK" w:cs="方正楷体_GBK"/>
          <w:sz w:val="32"/>
          <w:lang w:val="en-US" w:eastAsia="zh-CN"/>
        </w:rPr>
        <w:t xml:space="preserve">                            2024年5月8日</w:t>
      </w:r>
    </w:p>
    <w:p>
      <w:pPr>
        <w:keepNext w:val="0"/>
        <w:keepLines w:val="0"/>
        <w:pageBreakBefore w:val="0"/>
        <w:widowControl w:val="0"/>
        <w:kinsoku/>
        <w:wordWrap/>
        <w:overflowPunct/>
        <w:topLinePunct/>
        <w:autoSpaceDE/>
        <w:autoSpaceDN/>
        <w:bidi w:val="0"/>
        <w:adjustRightInd/>
        <w:snapToGrid/>
        <w:spacing w:line="400" w:lineRule="exact"/>
        <w:ind w:firstLine="640" w:firstLineChars="200"/>
        <w:textAlignment w:val="auto"/>
        <w:rPr>
          <w:rFonts w:hint="eastAsia" w:ascii="方正楷体_GBK" w:hAnsi="方正楷体_GBK" w:eastAsia="方正楷体_GBK" w:cs="方正楷体_GBK"/>
          <w:sz w:val="32"/>
          <w:lang w:val="en-US" w:eastAsia="zh-CN"/>
        </w:rPr>
      </w:pPr>
      <w:r>
        <w:rPr>
          <w:rFonts w:hint="eastAsia" w:ascii="方正楷体_GBK" w:hAnsi="方正楷体_GBK" w:eastAsia="方正楷体_GBK" w:cs="方正楷体_GBK"/>
          <w:sz w:val="32"/>
          <w:lang w:val="en-US" w:eastAsia="zh-CN"/>
        </w:rPr>
        <w:t>（此件公开发布）</w:t>
      </w:r>
    </w:p>
    <w:p>
      <w:pPr>
        <w:keepNext w:val="0"/>
        <w:keepLines w:val="0"/>
        <w:pageBreakBefore w:val="0"/>
        <w:widowControl w:val="0"/>
        <w:kinsoku/>
        <w:wordWrap/>
        <w:overflowPunct/>
        <w:topLinePunct/>
        <w:autoSpaceDE/>
        <w:autoSpaceDN/>
        <w:bidi w:val="0"/>
        <w:adjustRightInd/>
        <w:snapToGrid/>
        <w:spacing w:line="400" w:lineRule="exact"/>
        <w:ind w:firstLine="640" w:firstLineChars="200"/>
        <w:textAlignment w:val="auto"/>
        <w:rPr>
          <w:rFonts w:hint="eastAsia" w:ascii="方正楷体_GBK" w:hAnsi="方正楷体_GBK" w:eastAsia="方正楷体_GBK" w:cs="方正楷体_GBK"/>
          <w:sz w:val="32"/>
          <w:lang w:val="en-US" w:eastAsia="zh-CN"/>
        </w:rPr>
      </w:pPr>
    </w:p>
    <w:p>
      <w:pPr>
        <w:keepNext w:val="0"/>
        <w:keepLines w:val="0"/>
        <w:pageBreakBefore w:val="0"/>
        <w:widowControl w:val="0"/>
        <w:kinsoku/>
        <w:wordWrap/>
        <w:overflowPunct/>
        <w:topLinePunct/>
        <w:autoSpaceDE/>
        <w:autoSpaceDN/>
        <w:bidi w:val="0"/>
        <w:adjustRightInd/>
        <w:snapToGrid/>
        <w:spacing w:line="400" w:lineRule="exact"/>
        <w:ind w:firstLine="640" w:firstLineChars="200"/>
        <w:textAlignment w:val="auto"/>
        <w:rPr>
          <w:rFonts w:hint="eastAsia" w:ascii="方正楷体_GBK" w:hAnsi="方正楷体_GBK" w:eastAsia="方正楷体_GBK" w:cs="方正楷体_GBK"/>
          <w:sz w:val="32"/>
          <w:lang w:val="en-US" w:eastAsia="zh-CN"/>
        </w:rPr>
      </w:pPr>
    </w:p>
    <w:p>
      <w:pPr>
        <w:keepNext w:val="0"/>
        <w:keepLines w:val="0"/>
        <w:pageBreakBefore w:val="0"/>
        <w:widowControl w:val="0"/>
        <w:kinsoku/>
        <w:wordWrap/>
        <w:overflowPunct/>
        <w:topLinePunct/>
        <w:autoSpaceDE/>
        <w:autoSpaceDN/>
        <w:bidi w:val="0"/>
        <w:adjustRightInd/>
        <w:snapToGrid/>
        <w:spacing w:line="400" w:lineRule="exact"/>
        <w:ind w:firstLine="640" w:firstLineChars="200"/>
        <w:textAlignment w:val="auto"/>
        <w:rPr>
          <w:rFonts w:hint="eastAsia" w:ascii="方正楷体_GBK" w:hAnsi="方正楷体_GBK" w:eastAsia="方正楷体_GBK" w:cs="方正楷体_GBK"/>
          <w:sz w:val="32"/>
          <w:lang w:val="en-US" w:eastAsia="zh-CN"/>
        </w:rPr>
      </w:pPr>
    </w:p>
    <w:p>
      <w:pPr>
        <w:keepNext w:val="0"/>
        <w:keepLines w:val="0"/>
        <w:pageBreakBefore w:val="0"/>
        <w:widowControl w:val="0"/>
        <w:kinsoku/>
        <w:wordWrap/>
        <w:overflowPunct/>
        <w:topLinePunct/>
        <w:autoSpaceDE/>
        <w:autoSpaceDN/>
        <w:bidi w:val="0"/>
        <w:adjustRightInd/>
        <w:snapToGrid/>
        <w:spacing w:line="400" w:lineRule="exact"/>
        <w:ind w:firstLine="640" w:firstLineChars="200"/>
        <w:textAlignment w:val="auto"/>
        <w:rPr>
          <w:rFonts w:hint="eastAsia" w:ascii="方正楷体_GBK" w:hAnsi="方正楷体_GBK" w:eastAsia="方正楷体_GBK" w:cs="方正楷体_GBK"/>
          <w:sz w:val="32"/>
          <w:lang w:val="en-US" w:eastAsia="zh-CN"/>
        </w:rPr>
      </w:pPr>
    </w:p>
    <w:p>
      <w:pPr>
        <w:keepNext w:val="0"/>
        <w:keepLines w:val="0"/>
        <w:pageBreakBefore w:val="0"/>
        <w:widowControl w:val="0"/>
        <w:kinsoku/>
        <w:wordWrap/>
        <w:overflowPunct/>
        <w:topLinePunct/>
        <w:autoSpaceDE/>
        <w:autoSpaceDN/>
        <w:bidi w:val="0"/>
        <w:adjustRightInd/>
        <w:snapToGrid/>
        <w:spacing w:line="400" w:lineRule="exact"/>
        <w:ind w:firstLine="640" w:firstLineChars="200"/>
        <w:textAlignment w:val="auto"/>
        <w:rPr>
          <w:rFonts w:hint="eastAsia" w:ascii="方正楷体_GBK" w:hAnsi="方正楷体_GBK" w:eastAsia="方正楷体_GBK" w:cs="方正楷体_GBK"/>
          <w:sz w:val="32"/>
          <w:lang w:val="en-US" w:eastAsia="zh-CN"/>
        </w:rPr>
      </w:pPr>
    </w:p>
    <w:p>
      <w:pPr>
        <w:keepNext w:val="0"/>
        <w:keepLines w:val="0"/>
        <w:pageBreakBefore w:val="0"/>
        <w:widowControl w:val="0"/>
        <w:kinsoku/>
        <w:wordWrap/>
        <w:overflowPunct/>
        <w:topLinePunct/>
        <w:autoSpaceDE/>
        <w:autoSpaceDN/>
        <w:bidi w:val="0"/>
        <w:adjustRightInd/>
        <w:snapToGrid/>
        <w:spacing w:line="400" w:lineRule="exact"/>
        <w:ind w:firstLine="640" w:firstLineChars="200"/>
        <w:textAlignment w:val="auto"/>
        <w:rPr>
          <w:rFonts w:hint="eastAsia" w:ascii="方正楷体_GBK" w:hAnsi="方正楷体_GBK" w:eastAsia="方正楷体_GBK" w:cs="方正楷体_GBK"/>
          <w:sz w:val="32"/>
          <w:lang w:val="en-US" w:eastAsia="zh-CN"/>
        </w:rPr>
      </w:pPr>
    </w:p>
    <w:p>
      <w:pPr>
        <w:keepNext w:val="0"/>
        <w:keepLines w:val="0"/>
        <w:pageBreakBefore w:val="0"/>
        <w:widowControl w:val="0"/>
        <w:kinsoku/>
        <w:wordWrap/>
        <w:overflowPunct/>
        <w:topLinePunct/>
        <w:autoSpaceDE/>
        <w:autoSpaceDN/>
        <w:bidi w:val="0"/>
        <w:adjustRightInd/>
        <w:snapToGrid/>
        <w:spacing w:line="400" w:lineRule="exact"/>
        <w:ind w:firstLine="640" w:firstLineChars="200"/>
        <w:textAlignment w:val="auto"/>
        <w:rPr>
          <w:rFonts w:hint="eastAsia" w:ascii="方正楷体_GBK" w:hAnsi="方正楷体_GBK" w:eastAsia="方正楷体_GBK" w:cs="方正楷体_GBK"/>
          <w:sz w:val="32"/>
          <w:lang w:val="en-US" w:eastAsia="zh-CN"/>
        </w:rPr>
      </w:pPr>
    </w:p>
    <w:p>
      <w:pPr>
        <w:keepNext w:val="0"/>
        <w:keepLines w:val="0"/>
        <w:pageBreakBefore w:val="0"/>
        <w:widowControl w:val="0"/>
        <w:kinsoku/>
        <w:wordWrap/>
        <w:overflowPunct/>
        <w:topLinePunct/>
        <w:autoSpaceDE/>
        <w:autoSpaceDN/>
        <w:bidi w:val="0"/>
        <w:adjustRightInd/>
        <w:snapToGrid/>
        <w:spacing w:line="400" w:lineRule="exact"/>
        <w:ind w:firstLine="640" w:firstLineChars="200"/>
        <w:textAlignment w:val="auto"/>
        <w:rPr>
          <w:rFonts w:hint="eastAsia" w:ascii="方正楷体_GBK" w:hAnsi="方正楷体_GBK" w:eastAsia="方正楷体_GBK" w:cs="方正楷体_GBK"/>
          <w:sz w:val="32"/>
          <w:lang w:val="en-US" w:eastAsia="zh-CN"/>
        </w:rPr>
      </w:pPr>
    </w:p>
    <w:p>
      <w:pPr>
        <w:keepNext w:val="0"/>
        <w:keepLines w:val="0"/>
        <w:pageBreakBefore w:val="0"/>
        <w:widowControl w:val="0"/>
        <w:kinsoku/>
        <w:wordWrap/>
        <w:overflowPunct/>
        <w:topLinePunct/>
        <w:autoSpaceDE/>
        <w:autoSpaceDN/>
        <w:bidi w:val="0"/>
        <w:adjustRightInd/>
        <w:snapToGrid/>
        <w:spacing w:line="400" w:lineRule="exact"/>
        <w:ind w:firstLine="640" w:firstLineChars="200"/>
        <w:textAlignment w:val="auto"/>
        <w:rPr>
          <w:rFonts w:hint="eastAsia" w:ascii="方正楷体_GBK" w:hAnsi="方正楷体_GBK" w:eastAsia="方正楷体_GBK" w:cs="方正楷体_GBK"/>
          <w:sz w:val="32"/>
          <w:lang w:val="en-US" w:eastAsia="zh-CN"/>
        </w:rPr>
      </w:pPr>
    </w:p>
    <w:p>
      <w:pPr>
        <w:keepNext w:val="0"/>
        <w:keepLines w:val="0"/>
        <w:pageBreakBefore w:val="0"/>
        <w:widowControl w:val="0"/>
        <w:kinsoku/>
        <w:wordWrap/>
        <w:overflowPunct/>
        <w:topLinePunct/>
        <w:autoSpaceDE/>
        <w:autoSpaceDN/>
        <w:bidi w:val="0"/>
        <w:adjustRightInd/>
        <w:snapToGrid/>
        <w:spacing w:line="400" w:lineRule="exact"/>
        <w:ind w:firstLine="640" w:firstLineChars="200"/>
        <w:textAlignment w:val="auto"/>
        <w:rPr>
          <w:rFonts w:hint="eastAsia" w:ascii="方正楷体_GBK" w:hAnsi="方正楷体_GBK" w:eastAsia="方正楷体_GBK" w:cs="方正楷体_GBK"/>
          <w:sz w:val="32"/>
          <w:lang w:val="en-US" w:eastAsia="zh-CN"/>
        </w:rPr>
      </w:pPr>
    </w:p>
    <w:p>
      <w:pPr>
        <w:keepNext w:val="0"/>
        <w:keepLines w:val="0"/>
        <w:pageBreakBefore w:val="0"/>
        <w:widowControl w:val="0"/>
        <w:kinsoku/>
        <w:overflowPunct/>
        <w:topLinePunct/>
        <w:autoSpaceDE/>
        <w:autoSpaceDN/>
        <w:bidi w:val="0"/>
        <w:spacing w:line="580" w:lineRule="exact"/>
        <w:ind w:firstLine="640" w:firstLineChars="200"/>
        <w:textAlignment w:val="auto"/>
        <w:rPr>
          <w:rFonts w:hint="default" w:ascii="方正楷体_GBK" w:hAnsi="方正楷体_GBK" w:eastAsia="方正楷体_GBK" w:cs="方正楷体_GBK"/>
          <w:sz w:val="32"/>
          <w:lang w:val="en-US" w:eastAsia="zh-CN"/>
        </w:rPr>
      </w:pPr>
    </w:p>
    <w:p>
      <w:pPr>
        <w:keepNext w:val="0"/>
        <w:keepLines w:val="0"/>
        <w:pageBreakBefore w:val="0"/>
        <w:widowControl w:val="0"/>
        <w:suppressAutoHyphens/>
        <w:kinsoku/>
        <w:overflowPunct/>
        <w:topLinePunct/>
        <w:autoSpaceDE/>
        <w:autoSpaceDN/>
        <w:bidi w:val="0"/>
        <w:spacing w:line="580" w:lineRule="exact"/>
        <w:ind w:firstLine="880" w:firstLineChars="200"/>
        <w:jc w:val="center"/>
        <w:textAlignment w:val="auto"/>
        <w:rPr>
          <w:rFonts w:hint="eastAsia" w:ascii="方正小标宋简体" w:hAnsi="方正小标宋简体" w:eastAsia="方正小标宋简体" w:cs="方正小标宋简体"/>
          <w:bCs/>
          <w:sz w:val="44"/>
          <w:szCs w:val="44"/>
          <w:u w:val="none"/>
          <w:lang w:bidi="ar"/>
        </w:rPr>
      </w:pPr>
      <w:r>
        <w:rPr>
          <w:rFonts w:hint="eastAsia" w:ascii="方正小标宋简体" w:hAnsi="方正小标宋简体" w:eastAsia="方正小标宋简体" w:cs="方正小标宋简体"/>
          <w:bCs/>
          <w:sz w:val="44"/>
          <w:szCs w:val="44"/>
          <w:u w:val="none"/>
          <w:lang w:bidi="ar"/>
        </w:rPr>
        <w:t>内蒙古自治区持续优化营商环境行动方案</w:t>
      </w:r>
    </w:p>
    <w:p>
      <w:pPr>
        <w:keepNext w:val="0"/>
        <w:keepLines w:val="0"/>
        <w:pageBreakBefore w:val="0"/>
        <w:widowControl w:val="0"/>
        <w:suppressAutoHyphens/>
        <w:kinsoku/>
        <w:overflowPunct/>
        <w:topLinePunct/>
        <w:autoSpaceDE/>
        <w:autoSpaceDN/>
        <w:bidi w:val="0"/>
        <w:adjustRightInd w:val="0"/>
        <w:snapToGrid w:val="0"/>
        <w:spacing w:line="580" w:lineRule="exact"/>
        <w:ind w:firstLine="560" w:firstLineChars="200"/>
        <w:jc w:val="center"/>
        <w:textAlignment w:val="auto"/>
        <w:outlineLvl w:val="0"/>
        <w:rPr>
          <w:rFonts w:hint="eastAsia" w:ascii="楷体_GB2312" w:hAnsi="楷体_GB2312" w:eastAsia="楷体_GB2312" w:cs="楷体_GB2312"/>
          <w:spacing w:val="-20"/>
          <w:kern w:val="0"/>
          <w:sz w:val="32"/>
          <w:szCs w:val="32"/>
          <w:u w:val="none"/>
          <w:lang w:bidi="ar"/>
        </w:rPr>
      </w:pPr>
    </w:p>
    <w:p>
      <w:pPr>
        <w:keepNext w:val="0"/>
        <w:keepLines w:val="0"/>
        <w:pageBreakBefore w:val="0"/>
        <w:widowControl w:val="0"/>
        <w:suppressAutoHyphens/>
        <w:kinsoku/>
        <w:overflowPunct/>
        <w:topLinePunct/>
        <w:autoSpaceDE/>
        <w:autoSpaceDN/>
        <w:bidi w:val="0"/>
        <w:spacing w:line="580" w:lineRule="exact"/>
        <w:ind w:firstLine="664" w:firstLineChars="200"/>
        <w:textAlignment w:val="auto"/>
        <w:rPr>
          <w:rFonts w:hint="eastAsia" w:ascii="方正仿宋_GBK" w:hAnsi="方正仿宋_GBK" w:eastAsia="方正仿宋_GBK" w:cs="方正仿宋_GBK"/>
          <w:bCs/>
          <w:sz w:val="32"/>
          <w:szCs w:val="32"/>
          <w:u w:val="none"/>
        </w:rPr>
      </w:pPr>
      <w:r>
        <w:rPr>
          <w:rFonts w:hint="eastAsia" w:ascii="方正仿宋_GBK" w:hAnsi="方正仿宋_GBK" w:eastAsia="方正仿宋_GBK" w:cs="方正仿宋_GBK"/>
          <w:bCs/>
          <w:spacing w:val="6"/>
          <w:sz w:val="32"/>
          <w:szCs w:val="32"/>
          <w:u w:val="none"/>
        </w:rPr>
        <w:t>为</w:t>
      </w:r>
      <w:r>
        <w:rPr>
          <w:rFonts w:hint="eastAsia" w:ascii="方正仿宋_GBK" w:hAnsi="方正仿宋_GBK" w:eastAsia="方正仿宋_GBK" w:cs="方正仿宋_GBK"/>
          <w:bCs/>
          <w:spacing w:val="6"/>
          <w:sz w:val="32"/>
          <w:szCs w:val="32"/>
          <w:u w:val="none"/>
          <w:lang w:val="en-US" w:eastAsia="zh-CN"/>
        </w:rPr>
        <w:t>全面</w:t>
      </w:r>
      <w:r>
        <w:rPr>
          <w:rFonts w:hint="eastAsia" w:ascii="方正仿宋_GBK" w:hAnsi="方正仿宋_GBK" w:eastAsia="方正仿宋_GBK" w:cs="方正仿宋_GBK"/>
          <w:bCs/>
          <w:spacing w:val="6"/>
          <w:sz w:val="32"/>
          <w:szCs w:val="32"/>
          <w:u w:val="none"/>
        </w:rPr>
        <w:t>贯彻党的二十大和二十届二中全会精神，深入贯彻</w:t>
      </w:r>
      <w:r>
        <w:rPr>
          <w:rFonts w:hint="eastAsia" w:ascii="方正仿宋_GBK" w:hAnsi="方正仿宋_GBK" w:eastAsia="方正仿宋_GBK" w:cs="方正仿宋_GBK"/>
          <w:bCs/>
          <w:sz w:val="32"/>
          <w:szCs w:val="32"/>
          <w:u w:val="none"/>
        </w:rPr>
        <w:t>习近平总书记对内蒙古</w:t>
      </w:r>
      <w:r>
        <w:rPr>
          <w:rFonts w:hint="eastAsia" w:ascii="方正仿宋_GBK" w:hAnsi="方正仿宋_GBK" w:eastAsia="方正仿宋_GBK" w:cs="方正仿宋_GBK"/>
          <w:bCs/>
          <w:sz w:val="32"/>
          <w:szCs w:val="32"/>
          <w:u w:val="none"/>
          <w:lang w:eastAsia="zh-CN"/>
        </w:rPr>
        <w:t>的</w:t>
      </w:r>
      <w:r>
        <w:rPr>
          <w:rFonts w:hint="eastAsia" w:ascii="方正仿宋_GBK" w:hAnsi="方正仿宋_GBK" w:eastAsia="方正仿宋_GBK" w:cs="方正仿宋_GBK"/>
          <w:bCs/>
          <w:sz w:val="32"/>
          <w:szCs w:val="32"/>
          <w:u w:val="none"/>
        </w:rPr>
        <w:t>重要指示精神，</w:t>
      </w:r>
      <w:r>
        <w:rPr>
          <w:rFonts w:hint="eastAsia" w:ascii="方正仿宋_GBK" w:hAnsi="方正仿宋_GBK" w:eastAsia="方正仿宋_GBK" w:cs="方正仿宋_GBK"/>
          <w:bCs/>
          <w:sz w:val="32"/>
          <w:szCs w:val="32"/>
          <w:u w:val="none"/>
          <w:lang w:val="en-US" w:eastAsia="zh-CN"/>
        </w:rPr>
        <w:t>认真</w:t>
      </w:r>
      <w:r>
        <w:rPr>
          <w:rFonts w:hint="eastAsia" w:ascii="方正仿宋_GBK" w:hAnsi="方正仿宋_GBK" w:eastAsia="方正仿宋_GBK" w:cs="方正仿宋_GBK"/>
          <w:bCs/>
          <w:sz w:val="32"/>
          <w:szCs w:val="32"/>
          <w:u w:val="none"/>
        </w:rPr>
        <w:t>落实《优化营商环境条例》，</w:t>
      </w:r>
      <w:r>
        <w:rPr>
          <w:rFonts w:hint="eastAsia" w:ascii="方正仿宋_GBK" w:hAnsi="方正仿宋_GBK" w:eastAsia="方正仿宋_GBK" w:cs="方正仿宋_GBK"/>
          <w:bCs/>
          <w:sz w:val="32"/>
          <w:szCs w:val="32"/>
          <w:u w:val="none"/>
          <w:lang w:val="en-US" w:eastAsia="zh-CN"/>
        </w:rPr>
        <w:t>坚持</w:t>
      </w:r>
      <w:r>
        <w:rPr>
          <w:rFonts w:hint="eastAsia" w:ascii="方正仿宋_GBK" w:hAnsi="方正仿宋_GBK" w:eastAsia="方正仿宋_GBK" w:cs="方正仿宋_GBK"/>
          <w:bCs/>
          <w:sz w:val="32"/>
          <w:szCs w:val="32"/>
          <w:u w:val="none"/>
        </w:rPr>
        <w:t>以铸牢中华民族共同体意识为工作主线，</w:t>
      </w:r>
      <w:r>
        <w:rPr>
          <w:rFonts w:hint="eastAsia" w:ascii="方正仿宋_GBK" w:hAnsi="方正仿宋_GBK" w:eastAsia="方正仿宋_GBK" w:cs="方正仿宋_GBK"/>
          <w:bCs/>
          <w:sz w:val="32"/>
          <w:szCs w:val="32"/>
          <w:u w:val="none"/>
          <w:lang w:val="en-US" w:eastAsia="zh-CN"/>
        </w:rPr>
        <w:t>坚持</w:t>
      </w:r>
      <w:r>
        <w:rPr>
          <w:rFonts w:hint="eastAsia" w:ascii="方正仿宋_GBK" w:hAnsi="方正仿宋_GBK" w:eastAsia="方正仿宋_GBK" w:cs="方正仿宋_GBK"/>
          <w:bCs/>
          <w:kern w:val="2"/>
          <w:sz w:val="32"/>
          <w:szCs w:val="32"/>
          <w:u w:val="none"/>
        </w:rPr>
        <w:t>“抓环境就是抓发展”的理念，</w:t>
      </w:r>
      <w:r>
        <w:rPr>
          <w:rFonts w:hint="eastAsia" w:ascii="方正仿宋_GBK" w:hAnsi="方正仿宋_GBK" w:eastAsia="方正仿宋_GBK" w:cs="方正仿宋_GBK"/>
          <w:bCs/>
          <w:kern w:val="2"/>
          <w:sz w:val="32"/>
          <w:szCs w:val="32"/>
          <w:u w:val="none"/>
          <w:lang w:val="en-US" w:eastAsia="zh-CN"/>
        </w:rPr>
        <w:t>坚持“</w:t>
      </w:r>
      <w:r>
        <w:rPr>
          <w:rFonts w:hint="eastAsia" w:ascii="方正仿宋_GBK" w:hAnsi="方正仿宋_GBK" w:eastAsia="方正仿宋_GBK" w:cs="方正仿宋_GBK"/>
          <w:b w:val="0"/>
          <w:bCs/>
          <w:kern w:val="2"/>
          <w:sz w:val="32"/>
          <w:szCs w:val="32"/>
          <w:u w:val="none"/>
        </w:rPr>
        <w:t>有效市场、有为政府</w:t>
      </w:r>
      <w:r>
        <w:rPr>
          <w:rFonts w:hint="eastAsia" w:ascii="方正仿宋_GBK" w:hAnsi="方正仿宋_GBK" w:eastAsia="方正仿宋_GBK" w:cs="方正仿宋_GBK"/>
          <w:b w:val="0"/>
          <w:bCs/>
          <w:kern w:val="2"/>
          <w:sz w:val="32"/>
          <w:szCs w:val="32"/>
          <w:u w:val="none"/>
          <w:lang w:eastAsia="zh-CN"/>
        </w:rPr>
        <w:t>，</w:t>
      </w:r>
      <w:r>
        <w:rPr>
          <w:rFonts w:hint="eastAsia" w:ascii="方正仿宋_GBK" w:hAnsi="方正仿宋_GBK" w:eastAsia="方正仿宋_GBK" w:cs="方正仿宋_GBK"/>
          <w:b w:val="0"/>
          <w:bCs/>
          <w:kern w:val="2"/>
          <w:sz w:val="32"/>
          <w:szCs w:val="32"/>
          <w:u w:val="none"/>
        </w:rPr>
        <w:t>问题导向、目标导向</w:t>
      </w:r>
      <w:r>
        <w:rPr>
          <w:rFonts w:hint="eastAsia" w:ascii="方正仿宋_GBK" w:hAnsi="方正仿宋_GBK" w:eastAsia="方正仿宋_GBK" w:cs="方正仿宋_GBK"/>
          <w:b w:val="0"/>
          <w:bCs/>
          <w:kern w:val="2"/>
          <w:sz w:val="32"/>
          <w:szCs w:val="32"/>
          <w:u w:val="none"/>
          <w:lang w:eastAsia="zh-CN"/>
        </w:rPr>
        <w:t>，</w:t>
      </w:r>
      <w:r>
        <w:rPr>
          <w:rFonts w:hint="eastAsia" w:ascii="方正仿宋_GBK" w:hAnsi="方正仿宋_GBK" w:eastAsia="方正仿宋_GBK" w:cs="方正仿宋_GBK"/>
          <w:b w:val="0"/>
          <w:bCs/>
          <w:kern w:val="2"/>
          <w:sz w:val="32"/>
          <w:szCs w:val="32"/>
          <w:u w:val="none"/>
        </w:rPr>
        <w:t>改革引领、数字赋能</w:t>
      </w:r>
      <w:r>
        <w:rPr>
          <w:rFonts w:hint="eastAsia" w:ascii="方正仿宋_GBK" w:hAnsi="方正仿宋_GBK" w:eastAsia="方正仿宋_GBK" w:cs="方正仿宋_GBK"/>
          <w:b w:val="0"/>
          <w:bCs/>
          <w:kern w:val="2"/>
          <w:sz w:val="32"/>
          <w:szCs w:val="32"/>
          <w:u w:val="none"/>
          <w:lang w:eastAsia="zh-CN"/>
        </w:rPr>
        <w:t>，</w:t>
      </w:r>
      <w:r>
        <w:rPr>
          <w:rFonts w:hint="eastAsia" w:ascii="方正仿宋_GBK" w:hAnsi="方正仿宋_GBK" w:eastAsia="方正仿宋_GBK" w:cs="方正仿宋_GBK"/>
          <w:b w:val="0"/>
          <w:bCs/>
          <w:kern w:val="2"/>
          <w:sz w:val="32"/>
          <w:szCs w:val="32"/>
          <w:u w:val="none"/>
        </w:rPr>
        <w:t>系统集成、协同高效</w:t>
      </w:r>
      <w:r>
        <w:rPr>
          <w:rFonts w:hint="eastAsia" w:ascii="方正仿宋_GBK" w:hAnsi="方正仿宋_GBK" w:eastAsia="方正仿宋_GBK" w:cs="方正仿宋_GBK"/>
          <w:b w:val="0"/>
          <w:bCs/>
          <w:kern w:val="2"/>
          <w:sz w:val="32"/>
          <w:szCs w:val="32"/>
          <w:u w:val="none"/>
          <w:lang w:eastAsia="zh-CN"/>
        </w:rPr>
        <w:t>”</w:t>
      </w:r>
      <w:r>
        <w:rPr>
          <w:rFonts w:hint="eastAsia" w:ascii="方正仿宋_GBK" w:hAnsi="方正仿宋_GBK" w:eastAsia="方正仿宋_GBK" w:cs="方正仿宋_GBK"/>
          <w:b w:val="0"/>
          <w:bCs/>
          <w:kern w:val="2"/>
          <w:sz w:val="32"/>
          <w:szCs w:val="32"/>
          <w:u w:val="none"/>
          <w:lang w:val="en-US" w:eastAsia="zh-CN"/>
        </w:rPr>
        <w:t>的原则</w:t>
      </w:r>
      <w:r>
        <w:rPr>
          <w:rFonts w:hint="eastAsia" w:ascii="方正仿宋_GBK" w:hAnsi="方正仿宋_GBK" w:eastAsia="方正仿宋_GBK" w:cs="方正仿宋_GBK"/>
          <w:b w:val="0"/>
          <w:bCs/>
          <w:kern w:val="2"/>
          <w:sz w:val="32"/>
          <w:szCs w:val="32"/>
          <w:u w:val="none"/>
          <w:lang w:eastAsia="zh-CN"/>
        </w:rPr>
        <w:t>，</w:t>
      </w:r>
      <w:r>
        <w:rPr>
          <w:rFonts w:hint="eastAsia" w:ascii="方正仿宋_GBK" w:hAnsi="方正仿宋_GBK" w:eastAsia="方正仿宋_GBK" w:cs="方正仿宋_GBK"/>
          <w:bCs/>
          <w:kern w:val="2"/>
          <w:sz w:val="32"/>
          <w:szCs w:val="32"/>
          <w:u w:val="none"/>
        </w:rPr>
        <w:t>按照“有求必应、无事不扰”</w:t>
      </w:r>
      <w:r>
        <w:rPr>
          <w:rFonts w:hint="eastAsia" w:ascii="方正仿宋_GBK" w:hAnsi="方正仿宋_GBK" w:eastAsia="方正仿宋_GBK" w:cs="方正仿宋_GBK"/>
          <w:bCs/>
          <w:kern w:val="2"/>
          <w:sz w:val="32"/>
          <w:szCs w:val="32"/>
          <w:u w:val="none"/>
          <w:lang w:eastAsia="zh-CN"/>
        </w:rPr>
        <w:t>、</w:t>
      </w:r>
      <w:r>
        <w:rPr>
          <w:rFonts w:hint="eastAsia" w:ascii="方正仿宋_GBK" w:hAnsi="方正仿宋_GBK" w:eastAsia="方正仿宋_GBK" w:cs="方正仿宋_GBK"/>
          <w:bCs/>
          <w:kern w:val="2"/>
          <w:sz w:val="32"/>
          <w:szCs w:val="32"/>
          <w:u w:val="none"/>
        </w:rPr>
        <w:t>“高效办成一件事”的监管服务方式，</w:t>
      </w:r>
      <w:r>
        <w:rPr>
          <w:rFonts w:hint="eastAsia" w:ascii="方正仿宋_GBK" w:hAnsi="方正仿宋_GBK" w:eastAsia="方正仿宋_GBK" w:cs="方正仿宋_GBK"/>
          <w:bCs/>
          <w:sz w:val="32"/>
          <w:szCs w:val="32"/>
          <w:u w:val="none"/>
        </w:rPr>
        <w:t>持续优化营商环境，更好服务经营主体和社会公众，加快发展新质生产力，扎实推进高质量发展，奋力书写中国式现代化内蒙古新篇章</w:t>
      </w:r>
      <w:r>
        <w:rPr>
          <w:rFonts w:hint="eastAsia" w:ascii="方正仿宋_GBK" w:hAnsi="方正仿宋_GBK" w:eastAsia="方正仿宋_GBK" w:cs="方正仿宋_GBK"/>
          <w:bCs/>
          <w:sz w:val="32"/>
          <w:szCs w:val="32"/>
          <w:u w:val="none"/>
          <w:lang w:eastAsia="zh-CN"/>
        </w:rPr>
        <w:t>，</w:t>
      </w:r>
      <w:r>
        <w:rPr>
          <w:rFonts w:hint="eastAsia" w:ascii="方正仿宋_GBK" w:hAnsi="方正仿宋_GBK" w:eastAsia="方正仿宋_GBK" w:cs="方正仿宋_GBK"/>
          <w:bCs/>
          <w:sz w:val="32"/>
          <w:szCs w:val="32"/>
          <w:u w:val="none"/>
        </w:rPr>
        <w:t>结合自治区实际，制定本方案。</w:t>
      </w:r>
    </w:p>
    <w:p>
      <w:pPr>
        <w:keepNext w:val="0"/>
        <w:keepLines w:val="0"/>
        <w:pageBreakBefore w:val="0"/>
        <w:widowControl w:val="0"/>
        <w:numPr>
          <w:ilvl w:val="0"/>
          <w:numId w:val="1"/>
        </w:numPr>
        <w:suppressAutoHyphens/>
        <w:kinsoku/>
        <w:overflowPunct/>
        <w:topLinePunct/>
        <w:autoSpaceDE/>
        <w:autoSpaceDN/>
        <w:bidi w:val="0"/>
        <w:spacing w:line="580" w:lineRule="exact"/>
        <w:ind w:firstLine="640" w:firstLineChars="200"/>
        <w:textAlignment w:val="auto"/>
        <w:outlineLvl w:val="0"/>
        <w:rPr>
          <w:rFonts w:hint="eastAsia" w:ascii="方正黑体_GBK" w:hAnsi="方正黑体_GBK" w:eastAsia="方正黑体_GBK" w:cs="方正黑体_GBK"/>
          <w:bCs/>
          <w:sz w:val="32"/>
          <w:szCs w:val="32"/>
          <w:u w:val="none"/>
          <w:lang w:val="en-US" w:eastAsia="zh-CN"/>
        </w:rPr>
      </w:pPr>
      <w:r>
        <w:rPr>
          <w:rFonts w:hint="eastAsia" w:ascii="方正黑体_GBK" w:hAnsi="方正黑体_GBK" w:eastAsia="方正黑体_GBK" w:cs="方正黑体_GBK"/>
          <w:bCs/>
          <w:sz w:val="32"/>
          <w:szCs w:val="32"/>
          <w:u w:val="none"/>
          <w:lang w:val="en-US" w:eastAsia="zh-CN"/>
        </w:rPr>
        <w:t>目标任务</w:t>
      </w:r>
    </w:p>
    <w:p>
      <w:pPr>
        <w:keepNext w:val="0"/>
        <w:keepLines w:val="0"/>
        <w:pageBreakBefore w:val="0"/>
        <w:widowControl w:val="0"/>
        <w:kinsoku/>
        <w:overflowPunct/>
        <w:topLinePunct/>
        <w:autoSpaceDE/>
        <w:autoSpaceDN/>
        <w:bidi w:val="0"/>
        <w:spacing w:before="0" w:beforeAutospacing="0" w:after="0" w:afterAutospacing="0" w:line="580" w:lineRule="exact"/>
        <w:ind w:firstLine="640" w:firstLineChars="200"/>
        <w:jc w:val="both"/>
        <w:textAlignment w:val="auto"/>
        <w:outlineLvl w:val="1"/>
        <w:rPr>
          <w:rFonts w:hint="eastAsia" w:ascii="方正仿宋_GBK" w:hAnsi="方正仿宋_GBK" w:eastAsia="方正仿宋_GBK" w:cs="方正仿宋_GBK"/>
          <w:bCs/>
          <w:sz w:val="32"/>
          <w:szCs w:val="32"/>
          <w:u w:val="none"/>
          <w:lang w:eastAsia="zh-CN"/>
        </w:rPr>
      </w:pPr>
      <w:r>
        <w:rPr>
          <w:rFonts w:hint="eastAsia" w:ascii="方正仿宋_GBK" w:hAnsi="方正仿宋_GBK" w:eastAsia="方正仿宋_GBK" w:cs="方正仿宋_GBK"/>
          <w:bCs/>
          <w:sz w:val="32"/>
          <w:szCs w:val="32"/>
          <w:u w:val="none"/>
        </w:rPr>
        <w:t>聚焦“六个工程”</w:t>
      </w:r>
      <w:r>
        <w:rPr>
          <w:rFonts w:hint="eastAsia" w:ascii="方正仿宋_GBK" w:hAnsi="方正仿宋_GBK" w:eastAsia="方正仿宋_GBK" w:cs="方正仿宋_GBK"/>
          <w:bCs/>
          <w:sz w:val="32"/>
          <w:szCs w:val="32"/>
          <w:u w:val="none"/>
          <w:lang w:val="en-US" w:eastAsia="zh-CN"/>
        </w:rPr>
        <w:t>和</w:t>
      </w:r>
      <w:r>
        <w:rPr>
          <w:rFonts w:hint="eastAsia" w:ascii="方正仿宋_GBK" w:hAnsi="方正仿宋_GBK" w:eastAsia="方正仿宋_GBK" w:cs="方正仿宋_GBK"/>
          <w:bCs/>
          <w:sz w:val="32"/>
          <w:szCs w:val="32"/>
          <w:u w:val="none"/>
        </w:rPr>
        <w:t>企业投资生产经营、群众办事过程中的急难愁盼问题，加快推进160项重点任务落实，2024年底前取得阶段性成效，完成121项重点任务，2025年底前完成全部重点任务并持续推进</w:t>
      </w:r>
      <w:r>
        <w:rPr>
          <w:rFonts w:hint="eastAsia" w:ascii="方正仿宋_GBK" w:hAnsi="方正仿宋_GBK" w:eastAsia="方正仿宋_GBK" w:cs="方正仿宋_GBK"/>
          <w:bCs/>
          <w:sz w:val="32"/>
          <w:szCs w:val="32"/>
          <w:u w:val="none"/>
          <w:lang w:eastAsia="zh-CN"/>
        </w:rPr>
        <w:t>，</w:t>
      </w:r>
      <w:r>
        <w:rPr>
          <w:rFonts w:hint="eastAsia" w:ascii="方正仿宋_GBK" w:hAnsi="方正仿宋_GBK" w:eastAsia="方正仿宋_GBK" w:cs="方正仿宋_GBK"/>
          <w:bCs/>
          <w:kern w:val="2"/>
          <w:sz w:val="32"/>
          <w:szCs w:val="32"/>
          <w:u w:val="none"/>
        </w:rPr>
        <w:t>着力构建亲清政商关系，努力</w:t>
      </w:r>
      <w:r>
        <w:rPr>
          <w:rFonts w:hint="eastAsia" w:ascii="方正仿宋_GBK" w:hAnsi="方正仿宋_GBK" w:eastAsia="方正仿宋_GBK" w:cs="方正仿宋_GBK"/>
          <w:bCs/>
          <w:kern w:val="2"/>
          <w:sz w:val="32"/>
          <w:szCs w:val="32"/>
          <w:u w:val="none"/>
          <w:lang w:val="en-US" w:eastAsia="zh-CN"/>
        </w:rPr>
        <w:t>打造</w:t>
      </w:r>
      <w:r>
        <w:rPr>
          <w:rFonts w:hint="eastAsia" w:ascii="方正仿宋_GBK" w:hAnsi="方正仿宋_GBK" w:eastAsia="方正仿宋_GBK" w:cs="方正仿宋_GBK"/>
          <w:bCs/>
          <w:kern w:val="2"/>
          <w:sz w:val="32"/>
          <w:szCs w:val="32"/>
          <w:u w:val="none"/>
        </w:rPr>
        <w:t>市场化、法治化、国际化、便利化的营商环境</w:t>
      </w:r>
      <w:r>
        <w:rPr>
          <w:rFonts w:hint="eastAsia" w:ascii="方正仿宋_GBK" w:hAnsi="方正仿宋_GBK" w:eastAsia="方正仿宋_GBK" w:cs="方正仿宋_GBK"/>
          <w:bCs/>
          <w:kern w:val="2"/>
          <w:sz w:val="32"/>
          <w:szCs w:val="32"/>
          <w:u w:val="none"/>
          <w:lang w:eastAsia="zh-CN"/>
        </w:rPr>
        <w:t>，</w:t>
      </w:r>
      <w:r>
        <w:rPr>
          <w:rFonts w:hint="eastAsia" w:ascii="方正仿宋_GBK" w:hAnsi="方正仿宋_GBK" w:eastAsia="方正仿宋_GBK" w:cs="方正仿宋_GBK"/>
          <w:bCs/>
          <w:sz w:val="32"/>
          <w:szCs w:val="32"/>
          <w:u w:val="none"/>
        </w:rPr>
        <w:t>为办好“两件大事”、实现“闯新路、进中游”目标营造良好环境</w:t>
      </w:r>
      <w:r>
        <w:rPr>
          <w:rFonts w:hint="eastAsia" w:ascii="方正仿宋_GBK" w:hAnsi="方正仿宋_GBK" w:eastAsia="方正仿宋_GBK" w:cs="方正仿宋_GBK"/>
          <w:bCs/>
          <w:sz w:val="32"/>
          <w:szCs w:val="32"/>
          <w:u w:val="none"/>
          <w:lang w:eastAsia="zh-CN"/>
        </w:rPr>
        <w:t>。</w:t>
      </w:r>
    </w:p>
    <w:p>
      <w:pPr>
        <w:keepNext w:val="0"/>
        <w:keepLines w:val="0"/>
        <w:pageBreakBefore w:val="0"/>
        <w:widowControl w:val="0"/>
        <w:numPr>
          <w:ilvl w:val="0"/>
          <w:numId w:val="0"/>
        </w:numPr>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kern w:val="2"/>
          <w:sz w:val="32"/>
          <w:szCs w:val="32"/>
          <w:u w:val="none"/>
          <w:lang w:val="en-US" w:eastAsia="zh-CN"/>
        </w:rPr>
      </w:pPr>
      <w:r>
        <w:rPr>
          <w:rFonts w:hint="eastAsia" w:ascii="方正楷体_GBK" w:hAnsi="方正楷体_GBK" w:eastAsia="方正楷体_GBK" w:cs="方正楷体_GBK"/>
          <w:bCs/>
          <w:kern w:val="2"/>
          <w:sz w:val="32"/>
          <w:szCs w:val="32"/>
          <w:u w:val="none"/>
          <w:lang w:eastAsia="zh-CN"/>
        </w:rPr>
        <w:t>（</w:t>
      </w:r>
      <w:r>
        <w:rPr>
          <w:rFonts w:hint="eastAsia" w:ascii="方正楷体_GBK" w:hAnsi="方正楷体_GBK" w:eastAsia="方正楷体_GBK" w:cs="方正楷体_GBK"/>
          <w:bCs/>
          <w:kern w:val="2"/>
          <w:sz w:val="32"/>
          <w:szCs w:val="32"/>
          <w:u w:val="none"/>
          <w:lang w:val="en-US" w:eastAsia="zh-CN"/>
        </w:rPr>
        <w:t>一</w:t>
      </w:r>
      <w:r>
        <w:rPr>
          <w:rFonts w:hint="eastAsia" w:ascii="方正楷体_GBK" w:hAnsi="方正楷体_GBK" w:eastAsia="方正楷体_GBK" w:cs="方正楷体_GBK"/>
          <w:bCs/>
          <w:kern w:val="2"/>
          <w:sz w:val="32"/>
          <w:szCs w:val="32"/>
          <w:u w:val="none"/>
          <w:lang w:eastAsia="zh-CN"/>
        </w:rPr>
        <w:t>）</w:t>
      </w:r>
      <w:r>
        <w:rPr>
          <w:rFonts w:hint="eastAsia" w:ascii="方正楷体_GBK" w:hAnsi="方正楷体_GBK" w:eastAsia="方正楷体_GBK" w:cs="方正楷体_GBK"/>
          <w:bCs/>
          <w:kern w:val="2"/>
          <w:sz w:val="32"/>
          <w:szCs w:val="32"/>
          <w:u w:val="none"/>
        </w:rPr>
        <w:t>强化重点领域改革，优化政务服务环境。</w:t>
      </w:r>
      <w:r>
        <w:rPr>
          <w:rFonts w:hint="eastAsia" w:ascii="方正楷体_GBK" w:hAnsi="方正楷体_GBK" w:eastAsia="方正楷体_GBK" w:cs="方正楷体_GBK"/>
          <w:bCs/>
          <w:kern w:val="2"/>
          <w:sz w:val="32"/>
          <w:szCs w:val="32"/>
          <w:u w:val="none"/>
          <w:lang w:val="en-US" w:eastAsia="zh-CN"/>
        </w:rPr>
        <w:t xml:space="preserve"> </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z w:val="32"/>
          <w:szCs w:val="32"/>
          <w:u w:val="none"/>
        </w:rPr>
      </w:pPr>
      <w:r>
        <w:rPr>
          <w:rFonts w:hint="eastAsia" w:ascii="方正仿宋_GBK" w:hAnsi="方正仿宋_GBK" w:eastAsia="方正仿宋_GBK" w:cs="方正仿宋_GBK"/>
          <w:b w:val="0"/>
          <w:bCs/>
          <w:sz w:val="32"/>
          <w:szCs w:val="32"/>
          <w:u w:val="none"/>
          <w:lang w:bidi="ar"/>
        </w:rPr>
        <w:t>1.提升政务服务水平。</w:t>
      </w:r>
      <w:r>
        <w:rPr>
          <w:rFonts w:hint="eastAsia" w:ascii="方正仿宋_GBK" w:hAnsi="方正仿宋_GBK" w:eastAsia="方正仿宋_GBK" w:cs="方正仿宋_GBK"/>
          <w:b w:val="0"/>
          <w:bCs/>
          <w:sz w:val="32"/>
          <w:szCs w:val="32"/>
          <w:u w:val="none"/>
        </w:rPr>
        <w:t>完成全区所有行政许可事项全要素标准化，建立统一规范。迭代升级政务服务平台，深化政务服务“一网通办”改革，推动“高</w:t>
      </w:r>
      <w:r>
        <w:rPr>
          <w:rFonts w:hint="eastAsia" w:ascii="方正仿宋_GBK" w:hAnsi="方正仿宋_GBK" w:eastAsia="方正仿宋_GBK" w:cs="方正仿宋_GBK"/>
          <w:bCs/>
          <w:sz w:val="32"/>
          <w:szCs w:val="32"/>
          <w:u w:val="none"/>
        </w:rPr>
        <w:t>效办成一件事”13个服务套餐全面落地。建立健全各级政务服务中心公安服务综合窗口，将除涉密和有特殊审批规定外的治安、户政、交管等公安政务服务事项进驻公安综合窗口，做到“前台综合收件、后台分类审批、统一窗口出件”，实现“一窗通办”。对风险可控、纠错成本低且能够通过事中事后监管有效防范风险的政务服务事项，推行“告知承诺+容缺办理”审批服务模式。完善政务服务电子监察系统，对政务服务效率进行网上监督。加强对政务服务一线工作人员的定期培训和业务考核，对</w:t>
      </w:r>
      <w:r>
        <w:rPr>
          <w:rFonts w:hint="eastAsia" w:ascii="方正仿宋_GBK" w:hAnsi="方正仿宋_GBK" w:eastAsia="方正仿宋_GBK" w:cs="方正仿宋_GBK"/>
          <w:bCs/>
          <w:sz w:val="32"/>
          <w:szCs w:val="32"/>
          <w:u w:val="none"/>
          <w:lang w:val="en-US" w:eastAsia="zh-CN"/>
        </w:rPr>
        <w:t>工作人员的</w:t>
      </w:r>
      <w:r>
        <w:rPr>
          <w:rFonts w:hint="eastAsia" w:ascii="方正仿宋_GBK" w:hAnsi="方正仿宋_GBK" w:eastAsia="方正仿宋_GBK" w:cs="方正仿宋_GBK"/>
          <w:bCs/>
          <w:sz w:val="32"/>
          <w:szCs w:val="32"/>
          <w:u w:val="none"/>
        </w:rPr>
        <w:t>工作职责</w:t>
      </w:r>
      <w:r>
        <w:rPr>
          <w:rFonts w:hint="eastAsia" w:ascii="方正仿宋_GBK" w:hAnsi="方正仿宋_GBK" w:eastAsia="方正仿宋_GBK" w:cs="方正仿宋_GBK"/>
          <w:bCs/>
          <w:sz w:val="32"/>
          <w:szCs w:val="32"/>
          <w:u w:val="none"/>
          <w:lang w:val="en-US" w:eastAsia="zh-CN"/>
        </w:rPr>
        <w:t>及政务服务事项</w:t>
      </w:r>
      <w:r>
        <w:rPr>
          <w:rFonts w:hint="eastAsia" w:ascii="方正仿宋_GBK" w:hAnsi="方正仿宋_GBK" w:eastAsia="方正仿宋_GBK" w:cs="方正仿宋_GBK"/>
          <w:bCs/>
          <w:sz w:val="32"/>
          <w:szCs w:val="32"/>
          <w:u w:val="none"/>
        </w:rPr>
        <w:t>办理流程、所需材料</w:t>
      </w:r>
      <w:r>
        <w:rPr>
          <w:rFonts w:hint="eastAsia" w:ascii="方正仿宋_GBK" w:hAnsi="方正仿宋_GBK" w:eastAsia="方正仿宋_GBK" w:cs="方正仿宋_GBK"/>
          <w:bCs/>
          <w:sz w:val="32"/>
          <w:szCs w:val="32"/>
          <w:u w:val="none"/>
          <w:lang w:eastAsia="zh-CN"/>
        </w:rPr>
        <w:t>、</w:t>
      </w:r>
      <w:r>
        <w:rPr>
          <w:rFonts w:hint="eastAsia" w:ascii="方正仿宋_GBK" w:hAnsi="方正仿宋_GBK" w:eastAsia="方正仿宋_GBK" w:cs="方正仿宋_GBK"/>
          <w:bCs/>
          <w:sz w:val="32"/>
          <w:szCs w:val="32"/>
          <w:u w:val="none"/>
        </w:rPr>
        <w:t>办结时限等实行清单管理并向社会公开。完善涉企服务事项满意度评价内容，定期公开评价结果，把“好差评”结果与各部门、个人年度考核相结合，推动各地区</w:t>
      </w:r>
      <w:r>
        <w:rPr>
          <w:rFonts w:hint="eastAsia" w:ascii="方正仿宋_GBK" w:hAnsi="方正仿宋_GBK" w:eastAsia="方正仿宋_GBK" w:cs="方正仿宋_GBK"/>
          <w:bCs/>
          <w:sz w:val="32"/>
          <w:szCs w:val="32"/>
          <w:u w:val="none"/>
          <w:lang w:eastAsia="zh-CN"/>
        </w:rPr>
        <w:t>、</w:t>
      </w:r>
      <w:r>
        <w:rPr>
          <w:rFonts w:hint="eastAsia" w:ascii="方正仿宋_GBK" w:hAnsi="方正仿宋_GBK" w:eastAsia="方正仿宋_GBK" w:cs="方正仿宋_GBK"/>
          <w:bCs/>
          <w:sz w:val="32"/>
          <w:szCs w:val="32"/>
          <w:u w:val="none"/>
        </w:rPr>
        <w:t>各</w:t>
      </w:r>
      <w:r>
        <w:rPr>
          <w:rFonts w:hint="eastAsia" w:ascii="方正仿宋_GBK" w:hAnsi="方正仿宋_GBK" w:eastAsia="方正仿宋_GBK" w:cs="方正仿宋_GBK"/>
          <w:bCs/>
          <w:sz w:val="32"/>
          <w:szCs w:val="32"/>
          <w:u w:val="none"/>
          <w:lang w:val="en-US" w:eastAsia="zh-CN"/>
        </w:rPr>
        <w:t>有关</w:t>
      </w:r>
      <w:r>
        <w:rPr>
          <w:rFonts w:hint="eastAsia" w:ascii="方正仿宋_GBK" w:hAnsi="方正仿宋_GBK" w:eastAsia="方正仿宋_GBK" w:cs="方正仿宋_GBK"/>
          <w:bCs/>
          <w:sz w:val="32"/>
          <w:szCs w:val="32"/>
          <w:u w:val="none"/>
        </w:rPr>
        <w:t>部门一线工作人员严格履职尽责、提升服务质效。推进全区行政许可、行政处罚结果“双公示”工作全覆盖，并将“双公示”全面拓展至“十公示”。</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 w:val="0"/>
          <w:bCs/>
          <w:sz w:val="32"/>
          <w:szCs w:val="32"/>
          <w:u w:val="none"/>
        </w:rPr>
      </w:pPr>
      <w:r>
        <w:rPr>
          <w:rFonts w:hint="eastAsia" w:ascii="方正仿宋_GBK" w:hAnsi="方正仿宋_GBK" w:eastAsia="方正仿宋_GBK" w:cs="方正仿宋_GBK"/>
          <w:b w:val="0"/>
          <w:bCs/>
          <w:sz w:val="32"/>
          <w:szCs w:val="32"/>
          <w:u w:val="none"/>
          <w:lang w:bidi="ar"/>
        </w:rPr>
        <w:t>2.推动“蒙速办”政务服务品牌再升级。</w:t>
      </w:r>
      <w:r>
        <w:rPr>
          <w:rFonts w:hint="eastAsia" w:ascii="方正仿宋_GBK" w:hAnsi="方正仿宋_GBK" w:eastAsia="方正仿宋_GBK" w:cs="方正仿宋_GBK"/>
          <w:bCs/>
          <w:sz w:val="32"/>
          <w:szCs w:val="32"/>
          <w:u w:val="none"/>
        </w:rPr>
        <w:t>全面推进政务服务线上线下融合发展，推进关联事项集成办、容缺事项承诺办、异地事项全区办、政策服务免申办。坚持政务数据赋能，拓展网上办事广度与深度，最大限度拓宽服务渠道、提升服务能力。持续完善“综合一窗”系统功能，提升支撑线下服务受理能力。推进“蒙速办”优化迭代，规范各级各类移动政务服务应用接入。加强“蒙速办”移动端建设运营，推动各类政务服务事项、特色应用及主题服务专栏“应接尽接、应上尽上”，提升服务办事体验。推动更多高频事项网上办、掌上办、一次办，实现从网上可办向好办易办转变，打造“蒙速办”政务服务品牌。</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pacing w:val="-6"/>
          <w:sz w:val="32"/>
          <w:szCs w:val="32"/>
          <w:u w:val="none"/>
        </w:rPr>
      </w:pPr>
      <w:r>
        <w:rPr>
          <w:rFonts w:hint="eastAsia" w:ascii="方正仿宋_GBK" w:hAnsi="方正仿宋_GBK" w:eastAsia="方正仿宋_GBK" w:cs="方正仿宋_GBK"/>
          <w:b w:val="0"/>
          <w:bCs/>
          <w:sz w:val="32"/>
          <w:szCs w:val="32"/>
          <w:u w:val="none"/>
          <w:lang w:bidi="ar"/>
        </w:rPr>
        <w:t>3.加强数据共享应用。</w:t>
      </w:r>
      <w:r>
        <w:rPr>
          <w:rFonts w:hint="eastAsia" w:ascii="方正仿宋_GBK" w:hAnsi="方正仿宋_GBK" w:eastAsia="方正仿宋_GBK" w:cs="方正仿宋_GBK"/>
          <w:bCs/>
          <w:sz w:val="32"/>
          <w:szCs w:val="32"/>
          <w:u w:val="none"/>
        </w:rPr>
        <w:t>制定出台《内蒙古自治区公共数据管理办法》，明确各级行政机关和公共企事业单位数据采集、汇聚、共享、开放、管理等要求，加快一体化政务大数据体系建设，促进公共数据汇聚融合、共享开放和开发利用。持续提升电子政务云、网的支撑保障能力，完善自治区、盟市两级大数据平台建设，初步形成以“一云一网一平台”为核心的自治区政务数字化基础支撑体系。以“高效办成一件事”</w:t>
      </w:r>
      <w:r>
        <w:rPr>
          <w:rFonts w:hint="eastAsia" w:ascii="方正仿宋_GBK" w:hAnsi="方正仿宋_GBK" w:eastAsia="方正仿宋_GBK" w:cs="方正仿宋_GBK"/>
          <w:bCs/>
          <w:sz w:val="32"/>
          <w:szCs w:val="32"/>
          <w:u w:val="none"/>
          <w:lang w:eastAsia="zh-CN"/>
        </w:rPr>
        <w:t>、</w:t>
      </w:r>
      <w:r>
        <w:rPr>
          <w:rFonts w:hint="eastAsia" w:ascii="方正仿宋_GBK" w:hAnsi="方正仿宋_GBK" w:eastAsia="方正仿宋_GBK" w:cs="方正仿宋_GBK"/>
          <w:bCs/>
          <w:sz w:val="32"/>
          <w:szCs w:val="32"/>
          <w:u w:val="none"/>
        </w:rPr>
        <w:t>“全区通办”等业务应用需求为导向，梳理数据共享“三清单”</w:t>
      </w:r>
      <w:r>
        <w:rPr>
          <w:rFonts w:hint="eastAsia" w:ascii="方正仿宋_GBK" w:hAnsi="方正仿宋_GBK" w:eastAsia="方正仿宋_GBK" w:cs="方正仿宋_GBK"/>
          <w:bCs/>
          <w:color w:val="auto"/>
          <w:sz w:val="32"/>
          <w:szCs w:val="32"/>
          <w:highlight w:val="none"/>
          <w:u w:val="none"/>
        </w:rPr>
        <w:t>，</w:t>
      </w:r>
      <w:r>
        <w:rPr>
          <w:rFonts w:hint="eastAsia" w:ascii="方正仿宋_GBK" w:hAnsi="方正仿宋_GBK" w:eastAsia="方正仿宋_GBK" w:cs="方正仿宋_GBK"/>
          <w:bCs/>
          <w:color w:val="auto"/>
          <w:sz w:val="32"/>
          <w:szCs w:val="32"/>
          <w:highlight w:val="none"/>
          <w:u w:val="none"/>
          <w:lang w:bidi="ar"/>
        </w:rPr>
        <w:t>对照数据需求清单，逐项明确数据所属部门</w:t>
      </w:r>
      <w:r>
        <w:rPr>
          <w:rFonts w:hint="eastAsia" w:ascii="方正仿宋_GBK" w:hAnsi="方正仿宋_GBK" w:eastAsia="方正仿宋_GBK" w:cs="方正仿宋_GBK"/>
          <w:bCs/>
          <w:color w:val="auto"/>
          <w:sz w:val="32"/>
          <w:szCs w:val="32"/>
          <w:highlight w:val="none"/>
          <w:u w:val="none"/>
          <w:lang w:eastAsia="zh-CN" w:bidi="ar"/>
        </w:rPr>
        <w:t>、</w:t>
      </w:r>
      <w:r>
        <w:rPr>
          <w:rFonts w:hint="eastAsia" w:ascii="方正仿宋_GBK" w:hAnsi="方正仿宋_GBK" w:eastAsia="方正仿宋_GBK" w:cs="方正仿宋_GBK"/>
          <w:bCs/>
          <w:color w:val="auto"/>
          <w:sz w:val="32"/>
          <w:szCs w:val="32"/>
          <w:highlight w:val="none"/>
          <w:u w:val="none"/>
          <w:lang w:bidi="ar"/>
        </w:rPr>
        <w:t>所在系统</w:t>
      </w:r>
      <w:r>
        <w:rPr>
          <w:rFonts w:hint="eastAsia" w:ascii="方正仿宋_GBK" w:hAnsi="方正仿宋_GBK" w:eastAsia="方正仿宋_GBK" w:cs="方正仿宋_GBK"/>
          <w:bCs/>
          <w:color w:val="auto"/>
          <w:sz w:val="32"/>
          <w:szCs w:val="32"/>
          <w:highlight w:val="none"/>
          <w:u w:val="none"/>
          <w:lang w:eastAsia="zh-CN" w:bidi="ar"/>
        </w:rPr>
        <w:t>、</w:t>
      </w:r>
      <w:r>
        <w:rPr>
          <w:rFonts w:hint="eastAsia" w:ascii="方正仿宋_GBK" w:hAnsi="方正仿宋_GBK" w:eastAsia="方正仿宋_GBK" w:cs="方正仿宋_GBK"/>
          <w:bCs/>
          <w:color w:val="auto"/>
          <w:sz w:val="32"/>
          <w:szCs w:val="32"/>
          <w:highlight w:val="none"/>
          <w:u w:val="none"/>
          <w:lang w:bidi="ar"/>
        </w:rPr>
        <w:t>共享方式</w:t>
      </w:r>
      <w:r>
        <w:rPr>
          <w:rFonts w:hint="eastAsia" w:ascii="方正仿宋_GBK" w:hAnsi="方正仿宋_GBK" w:eastAsia="方正仿宋_GBK" w:cs="方正仿宋_GBK"/>
          <w:bCs/>
          <w:color w:val="auto"/>
          <w:sz w:val="32"/>
          <w:szCs w:val="32"/>
          <w:highlight w:val="none"/>
          <w:u w:val="none"/>
          <w:lang w:eastAsia="zh-CN" w:bidi="ar"/>
        </w:rPr>
        <w:t>以及</w:t>
      </w:r>
      <w:r>
        <w:rPr>
          <w:rFonts w:hint="eastAsia" w:ascii="方正仿宋_GBK" w:hAnsi="方正仿宋_GBK" w:eastAsia="方正仿宋_GBK" w:cs="方正仿宋_GBK"/>
          <w:bCs/>
          <w:color w:val="auto"/>
          <w:sz w:val="32"/>
          <w:szCs w:val="32"/>
          <w:highlight w:val="none"/>
          <w:u w:val="none"/>
          <w:lang w:bidi="ar"/>
        </w:rPr>
        <w:t>共享频率，</w:t>
      </w:r>
      <w:r>
        <w:rPr>
          <w:rFonts w:hint="eastAsia" w:ascii="方正仿宋_GBK" w:hAnsi="方正仿宋_GBK" w:eastAsia="方正仿宋_GBK" w:cs="方正仿宋_GBK"/>
          <w:bCs/>
          <w:color w:val="auto"/>
          <w:sz w:val="32"/>
          <w:szCs w:val="32"/>
          <w:highlight w:val="none"/>
          <w:u w:val="none"/>
        </w:rPr>
        <w:t>完</w:t>
      </w:r>
      <w:r>
        <w:rPr>
          <w:rFonts w:hint="eastAsia" w:ascii="方正仿宋_GBK" w:hAnsi="方正仿宋_GBK" w:eastAsia="方正仿宋_GBK" w:cs="方正仿宋_GBK"/>
          <w:bCs/>
          <w:sz w:val="32"/>
          <w:szCs w:val="32"/>
          <w:u w:val="none"/>
        </w:rPr>
        <w:t>善数据资源目录，持续打通数据壁垒，实现跨层级、跨地域、跨系统、跨部门、跨业务数据按需共享共用。督促电子证照行业主管部门</w:t>
      </w:r>
      <w:r>
        <w:rPr>
          <w:rFonts w:hint="eastAsia" w:ascii="方正仿宋_GBK" w:hAnsi="方正仿宋_GBK" w:eastAsia="方正仿宋_GBK" w:cs="方正仿宋_GBK"/>
          <w:bCs/>
          <w:spacing w:val="-6"/>
          <w:sz w:val="32"/>
          <w:szCs w:val="32"/>
          <w:u w:val="none"/>
        </w:rPr>
        <w:t>完成存量证照标准化改造，全面支撑电子化应用和全国互通互认。</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z w:val="32"/>
          <w:szCs w:val="32"/>
          <w:u w:val="none"/>
        </w:rPr>
      </w:pPr>
      <w:r>
        <w:rPr>
          <w:rFonts w:hint="eastAsia" w:ascii="方正仿宋_GBK" w:hAnsi="方正仿宋_GBK" w:eastAsia="方正仿宋_GBK" w:cs="方正仿宋_GBK"/>
          <w:b w:val="0"/>
          <w:bCs/>
          <w:sz w:val="32"/>
          <w:szCs w:val="32"/>
          <w:u w:val="none"/>
          <w:lang w:bidi="ar"/>
        </w:rPr>
        <w:t>4.持续优化经营主体登记服务。</w:t>
      </w:r>
      <w:r>
        <w:rPr>
          <w:rFonts w:hint="eastAsia" w:ascii="方正仿宋_GBK" w:hAnsi="方正仿宋_GBK" w:eastAsia="方正仿宋_GBK" w:cs="方正仿宋_GBK"/>
          <w:bCs/>
          <w:sz w:val="32"/>
          <w:szCs w:val="32"/>
          <w:u w:val="none"/>
        </w:rPr>
        <w:t>拓展经营主体设立、变更、注销全程电子化覆盖范围。支持开户银行通过企业开办“一网通”平台推送银行开户预约账号信息。依托不动产数据库，推动企业住所（经营场所）标准化登记，实现与不动产登记相关信息在线比对核验。依托全国统一电子营业执照系统及“经营主体身份码”，全面推广“一企、一照、一码”应用。</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z w:val="32"/>
          <w:szCs w:val="32"/>
          <w:u w:val="none"/>
        </w:rPr>
      </w:pPr>
      <w:r>
        <w:rPr>
          <w:rFonts w:hint="eastAsia" w:ascii="方正仿宋_GBK" w:hAnsi="方正仿宋_GBK" w:eastAsia="方正仿宋_GBK" w:cs="方正仿宋_GBK"/>
          <w:b w:val="0"/>
          <w:bCs/>
          <w:sz w:val="32"/>
          <w:szCs w:val="32"/>
          <w:u w:val="none"/>
          <w:lang w:bidi="ar"/>
        </w:rPr>
        <w:t>5.积极推进市场准入制度改革。</w:t>
      </w:r>
      <w:r>
        <w:rPr>
          <w:rFonts w:hint="eastAsia" w:ascii="方正仿宋_GBK" w:hAnsi="方正仿宋_GBK" w:eastAsia="方正仿宋_GBK" w:cs="方正仿宋_GBK"/>
          <w:bCs/>
          <w:sz w:val="32"/>
          <w:szCs w:val="32"/>
          <w:u w:val="none"/>
        </w:rPr>
        <w:t>严格落实“全国一张清单”管理模式，依法保障各类经营主体平等进入，确保“一单尽列，单外无单”，完善与之相适应的审批和监管机制。健全民间投资参与全区重点行业和领域体制机制，提高民间投资参与度，加强各地区民间投资占固定资产投资比重的考核。按照国家工作部署，启动开展市场准入效能评估工作，深化效能评估结果运用，着力提升准入效能。深入排查归集违背市场准入负面清单案例，全面清理各类显性和隐性壁垒。</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z w:val="32"/>
          <w:szCs w:val="32"/>
          <w:u w:val="none"/>
        </w:rPr>
      </w:pPr>
      <w:r>
        <w:rPr>
          <w:rFonts w:hint="eastAsia" w:ascii="方正仿宋_GBK" w:hAnsi="方正仿宋_GBK" w:eastAsia="方正仿宋_GBK" w:cs="方正仿宋_GBK"/>
          <w:b w:val="0"/>
          <w:bCs/>
          <w:sz w:val="32"/>
          <w:szCs w:val="32"/>
          <w:u w:val="none"/>
          <w:lang w:bidi="ar"/>
        </w:rPr>
        <w:t>6.深化工程建设项目审批制度改革。</w:t>
      </w:r>
      <w:r>
        <w:rPr>
          <w:rFonts w:hint="eastAsia" w:ascii="方正仿宋_GBK" w:hAnsi="方正仿宋_GBK" w:eastAsia="方正仿宋_GBK" w:cs="方正仿宋_GBK"/>
          <w:bCs/>
          <w:sz w:val="32"/>
          <w:szCs w:val="32"/>
          <w:u w:val="none"/>
        </w:rPr>
        <w:t>推进房屋建筑和城市基础设施等工程建设项目审批标准化、规范化、便利化。完善工程建设项目审批管理系统功能，推进工程建设项目全流程数字化报建，实现所有县城和</w:t>
      </w:r>
      <w:r>
        <w:rPr>
          <w:rFonts w:hint="eastAsia" w:ascii="方正仿宋_GBK" w:hAnsi="方正仿宋_GBK" w:eastAsia="方正仿宋_GBK" w:cs="方正仿宋_GBK"/>
          <w:bCs/>
          <w:sz w:val="32"/>
          <w:szCs w:val="32"/>
          <w:u w:val="none"/>
          <w:lang w:eastAsia="zh-CN"/>
        </w:rPr>
        <w:t>旗</w:t>
      </w:r>
      <w:r>
        <w:rPr>
          <w:rFonts w:hint="eastAsia" w:ascii="方正仿宋_GBK" w:hAnsi="方正仿宋_GBK" w:eastAsia="方正仿宋_GBK" w:cs="方正仿宋_GBK"/>
          <w:bCs/>
          <w:sz w:val="32"/>
          <w:szCs w:val="32"/>
          <w:u w:val="none"/>
        </w:rPr>
        <w:t>县级以上城市工程建设项目审批管理系统全覆盖，推进工程建设项目申报“一个系统”办理。加强工程建设项目审批事项清单化管理，细化量化受理审查标准，并向社会公开。加强审批用时管理，推进工程可行性研究报告评审和规划设计方案审查限时完成。积极</w:t>
      </w:r>
      <w:r>
        <w:rPr>
          <w:rFonts w:hint="eastAsia" w:ascii="方正仿宋_GBK" w:hAnsi="方正仿宋_GBK" w:eastAsia="方正仿宋_GBK" w:cs="方正仿宋_GBK"/>
          <w:bCs/>
          <w:sz w:val="32"/>
          <w:szCs w:val="32"/>
          <w:u w:val="none"/>
          <w:lang w:val="en-US" w:eastAsia="zh-CN"/>
        </w:rPr>
        <w:t>推进</w:t>
      </w:r>
      <w:r>
        <w:rPr>
          <w:rFonts w:hint="eastAsia" w:ascii="方正仿宋_GBK" w:hAnsi="方正仿宋_GBK" w:eastAsia="方正仿宋_GBK" w:cs="方正仿宋_GBK"/>
          <w:bCs/>
          <w:sz w:val="32"/>
          <w:szCs w:val="32"/>
          <w:u w:val="none"/>
        </w:rPr>
        <w:t>工程建设项目图纸全过程数字化管理，</w:t>
      </w:r>
      <w:r>
        <w:rPr>
          <w:rFonts w:hint="eastAsia" w:ascii="方正仿宋_GBK" w:hAnsi="方正仿宋_GBK" w:eastAsia="方正仿宋_GBK" w:cs="方正仿宋_GBK"/>
          <w:bCs/>
          <w:color w:val="auto"/>
          <w:sz w:val="32"/>
          <w:szCs w:val="32"/>
          <w:u w:val="none"/>
        </w:rPr>
        <w:t>完善数字化施工图审查系统应用与监管。</w:t>
      </w:r>
      <w:r>
        <w:rPr>
          <w:rFonts w:hint="eastAsia" w:ascii="方正仿宋_GBK" w:hAnsi="方正仿宋_GBK" w:eastAsia="方正仿宋_GBK" w:cs="方正仿宋_GBK"/>
          <w:bCs/>
          <w:sz w:val="32"/>
          <w:szCs w:val="32"/>
          <w:u w:val="none"/>
        </w:rPr>
        <w:t>建立健全重点投资项目手续领办、代办、帮办机制，从落地、建设到投入使用全方位全流程跟踪服务。</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trike w:val="0"/>
          <w:sz w:val="32"/>
          <w:szCs w:val="32"/>
          <w:u w:val="none"/>
        </w:rPr>
      </w:pPr>
      <w:r>
        <w:rPr>
          <w:rFonts w:hint="eastAsia" w:ascii="方正仿宋_GBK" w:hAnsi="方正仿宋_GBK" w:eastAsia="方正仿宋_GBK" w:cs="方正仿宋_GBK"/>
          <w:b w:val="0"/>
          <w:bCs/>
          <w:sz w:val="32"/>
          <w:szCs w:val="32"/>
          <w:u w:val="none"/>
          <w:lang w:bidi="ar"/>
        </w:rPr>
        <w:t>7.推进能源、水利、交通等工程建设领域“一件事”集成办。</w:t>
      </w:r>
      <w:r>
        <w:rPr>
          <w:rFonts w:hint="eastAsia" w:ascii="方正仿宋_GBK" w:hAnsi="方正仿宋_GBK" w:eastAsia="方正仿宋_GBK" w:cs="方正仿宋_GBK"/>
          <w:bCs/>
          <w:sz w:val="32"/>
          <w:szCs w:val="32"/>
          <w:u w:val="none"/>
          <w:shd w:val="clear" w:color="auto" w:fill="auto"/>
        </w:rPr>
        <w:t>探索开展能源、水利、交通“一件事”集成办，明确每个“一件事”的牵头部门和配合部门，强化跨部门政策、业务、系统协同和数据共享。牵头部门负责制定工作方案，明确目标任务、改革措施和职责分工，推动改革任务落地见效。通过重构部门业务办理流程，强化线上线下联动，开展并联审批、联合评审、联合验收等，大幅压减办理时长和办事成本。</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z w:val="32"/>
          <w:szCs w:val="32"/>
          <w:u w:val="none"/>
        </w:rPr>
      </w:pPr>
      <w:r>
        <w:rPr>
          <w:rFonts w:hint="eastAsia" w:ascii="方正仿宋_GBK" w:hAnsi="方正仿宋_GBK" w:eastAsia="方正仿宋_GBK" w:cs="方正仿宋_GBK"/>
          <w:b w:val="0"/>
          <w:bCs/>
          <w:sz w:val="32"/>
          <w:szCs w:val="32"/>
          <w:u w:val="none"/>
          <w:lang w:bidi="ar"/>
        </w:rPr>
        <w:t>8.深化环境影响评价制度改革。</w:t>
      </w:r>
      <w:r>
        <w:rPr>
          <w:rFonts w:hint="eastAsia" w:ascii="方正仿宋_GBK" w:hAnsi="方正仿宋_GBK" w:eastAsia="方正仿宋_GBK" w:cs="方正仿宋_GBK"/>
          <w:bCs/>
          <w:sz w:val="32"/>
          <w:szCs w:val="32"/>
          <w:u w:val="none"/>
        </w:rPr>
        <w:t>对纳入试点的产业园区内应编制环境影响报告表的纺织服装、服饰业，木材加工和木、竹、藤、棕、草制品业，家具制造业，文教、工美、体育和娱乐用品制造业，塑料制品业，通用设备制造业，专用设备制造业，仪器仪表制造业，金属制品、机械和设备维修业</w:t>
      </w:r>
      <w:r>
        <w:rPr>
          <w:rFonts w:hint="eastAsia" w:ascii="方正仿宋_GBK" w:hAnsi="方正仿宋_GBK" w:eastAsia="方正仿宋_GBK" w:cs="方正仿宋_GBK"/>
          <w:b w:val="0"/>
          <w:bCs/>
          <w:sz w:val="32"/>
          <w:szCs w:val="32"/>
          <w:u w:val="none"/>
          <w:lang w:val="en-US" w:eastAsia="zh-CN"/>
        </w:rPr>
        <w:t>9</w:t>
      </w:r>
      <w:r>
        <w:rPr>
          <w:rFonts w:hint="eastAsia" w:ascii="方正仿宋_GBK" w:hAnsi="方正仿宋_GBK" w:eastAsia="方正仿宋_GBK" w:cs="方正仿宋_GBK"/>
          <w:b w:val="0"/>
          <w:bCs/>
          <w:sz w:val="32"/>
          <w:szCs w:val="32"/>
          <w:u w:val="none"/>
        </w:rPr>
        <w:t>类建设项目</w:t>
      </w:r>
      <w:r>
        <w:rPr>
          <w:rFonts w:hint="eastAsia" w:ascii="方正仿宋_GBK" w:hAnsi="方正仿宋_GBK" w:eastAsia="方正仿宋_GBK" w:cs="方正仿宋_GBK"/>
          <w:bCs/>
          <w:sz w:val="32"/>
          <w:szCs w:val="32"/>
          <w:u w:val="none"/>
        </w:rPr>
        <w:t>，以及其他集中搬迁入园的报告表项目，探索开展同类项目环评“打捆”审批，并明确相应企业的环保责任。对</w:t>
      </w:r>
      <w:r>
        <w:rPr>
          <w:rFonts w:hint="eastAsia" w:ascii="方正仿宋_GBK" w:hAnsi="方正仿宋_GBK" w:eastAsia="方正仿宋_GBK" w:cs="方正仿宋_GBK"/>
          <w:bCs/>
          <w:color w:val="auto"/>
          <w:sz w:val="32"/>
          <w:szCs w:val="32"/>
          <w:u w:val="none"/>
        </w:rPr>
        <w:t>农副食品加工业，食品制造业，酒、饮料制造业，纺织服装、服饰业，制鞋业，印刷业，通用设备制造业，专用设备制造业，加油、加气站，汽车、摩托车等修理与维护业，自来水生产和供应业，天然气锅炉</w:t>
      </w:r>
      <w:r>
        <w:rPr>
          <w:rFonts w:hint="eastAsia" w:ascii="方正仿宋_GBK" w:hAnsi="方正仿宋_GBK" w:eastAsia="方正仿宋_GBK" w:cs="方正仿宋_GBK"/>
          <w:b w:val="0"/>
          <w:bCs/>
          <w:color w:val="auto"/>
          <w:sz w:val="32"/>
          <w:szCs w:val="32"/>
          <w:u w:val="none"/>
          <w:lang w:val="en-US" w:eastAsia="zh-CN"/>
        </w:rPr>
        <w:t>12</w:t>
      </w:r>
      <w:r>
        <w:rPr>
          <w:rFonts w:hint="eastAsia" w:ascii="方正仿宋_GBK" w:hAnsi="方正仿宋_GBK" w:eastAsia="方正仿宋_GBK" w:cs="方正仿宋_GBK"/>
          <w:b w:val="0"/>
          <w:bCs/>
          <w:color w:val="auto"/>
          <w:sz w:val="32"/>
          <w:szCs w:val="32"/>
          <w:u w:val="none"/>
        </w:rPr>
        <w:t>类</w:t>
      </w:r>
      <w:r>
        <w:rPr>
          <w:rFonts w:hint="eastAsia" w:ascii="方正仿宋_GBK" w:hAnsi="方正仿宋_GBK" w:eastAsia="方正仿宋_GBK" w:cs="方正仿宋_GBK"/>
          <w:b w:val="0"/>
          <w:bCs/>
          <w:sz w:val="32"/>
          <w:szCs w:val="32"/>
          <w:u w:val="none"/>
        </w:rPr>
        <w:t>建设项目</w:t>
      </w:r>
      <w:r>
        <w:rPr>
          <w:rFonts w:hint="eastAsia" w:ascii="方正仿宋_GBK" w:hAnsi="方正仿宋_GBK" w:eastAsia="方正仿宋_GBK" w:cs="方正仿宋_GBK"/>
          <w:bCs/>
          <w:sz w:val="32"/>
          <w:szCs w:val="32"/>
          <w:u w:val="none"/>
        </w:rPr>
        <w:t>，在企业自愿的原则下，探索实施环评与排污许可“两证审批合一”。</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z w:val="32"/>
          <w:szCs w:val="32"/>
          <w:u w:val="none"/>
        </w:rPr>
      </w:pPr>
      <w:r>
        <w:rPr>
          <w:rFonts w:hint="eastAsia" w:ascii="方正仿宋_GBK" w:hAnsi="方正仿宋_GBK" w:eastAsia="方正仿宋_GBK" w:cs="方正仿宋_GBK"/>
          <w:b w:val="0"/>
          <w:bCs/>
          <w:sz w:val="32"/>
          <w:szCs w:val="32"/>
          <w:u w:val="none"/>
          <w:lang w:bidi="ar"/>
        </w:rPr>
        <w:t>9.推进不动产交易登记监管制度改革创新。</w:t>
      </w:r>
      <w:r>
        <w:rPr>
          <w:rFonts w:hint="eastAsia" w:ascii="方正仿宋_GBK" w:hAnsi="方正仿宋_GBK" w:eastAsia="方正仿宋_GBK" w:cs="方正仿宋_GBK"/>
          <w:bCs/>
          <w:sz w:val="32"/>
          <w:szCs w:val="32"/>
          <w:u w:val="none"/>
        </w:rPr>
        <w:t>完善二手房转移登记与水电气暖联动过户以及涉企涉税不动产登记业务“一件事一次办”。各地区要在部门官网公开区分新建和存量、分不同类型细化统计的数据信息，匿名公开不动产登记性别分类统计数据信息。建立不动产登记信息可视化查询机制，权利人在身份认证后可依法查询其名下的不动产自然状态、权利限制等登记信息，有条件的地区可拓展产权人线上授权查询服务，提升信息查询便利度。加强商品房交易监管，鼓励将通过房地产经纪机构成交的存量房买卖佣金纳入交易资金监管范围。除当事人提出明确要求外，存量房交易资金应纳入资金监管。存量房自行成交的，由当事人选择是否进行交易资金监管。</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z w:val="32"/>
          <w:szCs w:val="32"/>
          <w:u w:val="none"/>
        </w:rPr>
      </w:pPr>
      <w:r>
        <w:rPr>
          <w:rFonts w:hint="eastAsia" w:ascii="方正仿宋_GBK" w:hAnsi="方正仿宋_GBK" w:eastAsia="方正仿宋_GBK" w:cs="方正仿宋_GBK"/>
          <w:b w:val="0"/>
          <w:bCs/>
          <w:sz w:val="32"/>
          <w:szCs w:val="32"/>
          <w:u w:val="none"/>
          <w:lang w:bidi="ar"/>
        </w:rPr>
        <w:t>10.提升纳税服务和监管水平。</w:t>
      </w:r>
      <w:r>
        <w:rPr>
          <w:rFonts w:hint="eastAsia" w:ascii="方正仿宋_GBK" w:hAnsi="方正仿宋_GBK" w:eastAsia="方正仿宋_GBK" w:cs="方正仿宋_GBK"/>
          <w:bCs/>
          <w:color w:val="auto"/>
          <w:sz w:val="32"/>
          <w:szCs w:val="32"/>
          <w:u w:val="none"/>
        </w:rPr>
        <w:t>多种形式公开税收政策解读、系统操作指南等内容</w:t>
      </w:r>
      <w:r>
        <w:rPr>
          <w:rFonts w:hint="eastAsia" w:ascii="方正仿宋_GBK" w:hAnsi="方正仿宋_GBK" w:eastAsia="方正仿宋_GBK" w:cs="方正仿宋_GBK"/>
          <w:bCs/>
          <w:color w:val="auto"/>
          <w:sz w:val="32"/>
          <w:szCs w:val="32"/>
          <w:u w:val="none"/>
          <w:lang w:eastAsia="zh-CN"/>
        </w:rPr>
        <w:t>。</w:t>
      </w:r>
      <w:r>
        <w:rPr>
          <w:rFonts w:hint="eastAsia" w:ascii="方正仿宋_GBK" w:hAnsi="方正仿宋_GBK" w:eastAsia="方正仿宋_GBK" w:cs="方正仿宋_GBK"/>
          <w:bCs/>
          <w:color w:val="auto"/>
          <w:sz w:val="32"/>
          <w:szCs w:val="32"/>
          <w:u w:val="none"/>
        </w:rPr>
        <w:t>做好税务规范性文件清理工作。</w:t>
      </w:r>
      <w:r>
        <w:rPr>
          <w:rFonts w:hint="eastAsia" w:ascii="方正仿宋_GBK" w:hAnsi="方正仿宋_GBK" w:eastAsia="方正仿宋_GBK" w:cs="方正仿宋_GBK"/>
          <w:bCs/>
          <w:sz w:val="32"/>
          <w:szCs w:val="32"/>
          <w:u w:val="none"/>
        </w:rPr>
        <w:t>构建“精准推送、智能交互、办问协同、全程互动”的征纳互动服务模式。优化退税流程，明确各环节办理时限，实行退税全链条监控提醒的闭环管理机制。</w:t>
      </w:r>
      <w:r>
        <w:rPr>
          <w:rFonts w:hint="eastAsia" w:ascii="方正仿宋_GBK" w:hAnsi="方正仿宋_GBK" w:eastAsia="方正仿宋_GBK" w:cs="方正仿宋_GBK"/>
          <w:bCs/>
          <w:color w:val="auto"/>
          <w:sz w:val="32"/>
          <w:szCs w:val="32"/>
          <w:highlight w:val="none"/>
          <w:u w:val="none"/>
          <w:lang w:eastAsia="zh-CN"/>
        </w:rPr>
        <w:t>实施“无风险不打扰、有违法要追究、全过程强智控”的</w:t>
      </w:r>
      <w:r>
        <w:rPr>
          <w:rFonts w:hint="eastAsia" w:ascii="方正仿宋_GBK" w:hAnsi="方正仿宋_GBK" w:eastAsia="方正仿宋_GBK" w:cs="方正仿宋_GBK"/>
          <w:bCs/>
          <w:color w:val="auto"/>
          <w:sz w:val="32"/>
          <w:szCs w:val="32"/>
          <w:highlight w:val="none"/>
          <w:u w:val="none"/>
        </w:rPr>
        <w:t>税务</w:t>
      </w:r>
      <w:r>
        <w:rPr>
          <w:rFonts w:hint="eastAsia" w:ascii="方正仿宋_GBK" w:hAnsi="方正仿宋_GBK" w:eastAsia="方正仿宋_GBK" w:cs="方正仿宋_GBK"/>
          <w:bCs/>
          <w:color w:val="auto"/>
          <w:sz w:val="32"/>
          <w:szCs w:val="32"/>
          <w:highlight w:val="none"/>
          <w:u w:val="none"/>
          <w:lang w:eastAsia="zh-CN"/>
        </w:rPr>
        <w:t>执法新模式。坚持审慎包容监管，开展</w:t>
      </w:r>
      <w:r>
        <w:rPr>
          <w:rFonts w:hint="eastAsia" w:ascii="方正仿宋_GBK" w:hAnsi="方正仿宋_GBK" w:eastAsia="方正仿宋_GBK" w:cs="方正仿宋_GBK"/>
          <w:bCs/>
          <w:color w:val="auto"/>
          <w:sz w:val="32"/>
          <w:szCs w:val="32"/>
          <w:highlight w:val="none"/>
          <w:u w:val="none"/>
        </w:rPr>
        <w:t>递进式税收风险应对</w:t>
      </w:r>
      <w:r>
        <w:rPr>
          <w:rFonts w:hint="eastAsia" w:ascii="方正仿宋_GBK" w:hAnsi="方正仿宋_GBK" w:eastAsia="方正仿宋_GBK" w:cs="方正仿宋_GBK"/>
          <w:bCs/>
          <w:color w:val="auto"/>
          <w:sz w:val="32"/>
          <w:szCs w:val="32"/>
          <w:highlight w:val="none"/>
          <w:u w:val="none"/>
          <w:lang w:eastAsia="zh-CN"/>
        </w:rPr>
        <w:t>。</w:t>
      </w:r>
      <w:r>
        <w:rPr>
          <w:rFonts w:hint="eastAsia" w:ascii="方正仿宋_GBK" w:hAnsi="方正仿宋_GBK" w:eastAsia="方正仿宋_GBK" w:cs="方正仿宋_GBK"/>
          <w:bCs/>
          <w:sz w:val="32"/>
          <w:szCs w:val="32"/>
          <w:u w:val="none"/>
        </w:rPr>
        <w:t>推动社保经办和缴费业务“一厅联办”，全面推行“社保缴费不出村”服务。推进新时代“枫桥式”税务所（分局、办税服务厅）建设，建立涉税费争议联合调解机制，成立税费争议处理中心、云端争议调解室、“公职律师涉税争议咨询调解中心”等，一站式化解群众税费争议和矛盾纠纷。</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z w:val="32"/>
          <w:szCs w:val="32"/>
          <w:u w:val="none"/>
        </w:rPr>
      </w:pPr>
      <w:r>
        <w:rPr>
          <w:rFonts w:hint="eastAsia" w:ascii="方正仿宋_GBK" w:hAnsi="方正仿宋_GBK" w:eastAsia="方正仿宋_GBK" w:cs="方正仿宋_GBK"/>
          <w:b w:val="0"/>
          <w:bCs/>
          <w:sz w:val="32"/>
          <w:szCs w:val="32"/>
          <w:u w:val="none"/>
        </w:rPr>
        <w:t>11.提高对外开放水平。</w:t>
      </w:r>
      <w:r>
        <w:rPr>
          <w:rFonts w:hint="eastAsia" w:ascii="方正仿宋_GBK" w:hAnsi="方正仿宋_GBK" w:eastAsia="方正仿宋_GBK" w:cs="方正仿宋_GBK"/>
          <w:bCs/>
          <w:sz w:val="32"/>
          <w:szCs w:val="32"/>
          <w:u w:val="none"/>
        </w:rPr>
        <w:t>围绕创建自由贸易试验区工程，加快推出一批基础性改革事项和高水平开放举措。优化自治区国际贸易“单一窗口”功能，加大推广应用力度。优化进出口货物通关模式，支持企业自主选择进出口申报模式，提升口岸通关时效。推进口岸物流单证全流程无纸化，提升口岸基础设施和查验监管服务智能化水平。在边境地区培育特色商品商贸中心，做大边民互市贸易规模。积极利用国家服务贸易创新发展引导基金，支持跨境电商等新业态新模式发展和海外仓建设。鼓励和指导面向《区域全面经济伙伴关系协定》（RCEP）等自由贸易伙伴的贸易促进活动。加大重点领域吸引外商投资力度，拓宽利用外资渠道，提高利用外资质量，积极开展与东部沿海地区合作，承接外商投资企业梯度转移。</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z w:val="32"/>
          <w:szCs w:val="32"/>
          <w:u w:val="none"/>
        </w:rPr>
      </w:pPr>
      <w:r>
        <w:rPr>
          <w:rFonts w:hint="eastAsia" w:ascii="方正仿宋_GBK" w:hAnsi="方正仿宋_GBK" w:eastAsia="方正仿宋_GBK" w:cs="方正仿宋_GBK"/>
          <w:b w:val="0"/>
          <w:bCs/>
          <w:sz w:val="32"/>
          <w:szCs w:val="32"/>
          <w:u w:val="none"/>
        </w:rPr>
        <w:t>12.规范政府采购和招标投标。</w:t>
      </w:r>
      <w:r>
        <w:rPr>
          <w:rFonts w:hint="eastAsia" w:ascii="方正仿宋_GBK" w:hAnsi="方正仿宋_GBK" w:eastAsia="方正仿宋_GBK" w:cs="方正仿宋_GBK"/>
          <w:bCs/>
          <w:sz w:val="32"/>
          <w:szCs w:val="32"/>
          <w:u w:val="none"/>
        </w:rPr>
        <w:t>在</w:t>
      </w:r>
      <w:r>
        <w:rPr>
          <w:rFonts w:hint="eastAsia" w:ascii="方正仿宋_GBK" w:hAnsi="方正仿宋_GBK" w:eastAsia="方正仿宋_GBK" w:cs="方正仿宋_GBK"/>
          <w:bCs/>
          <w:sz w:val="32"/>
          <w:szCs w:val="32"/>
          <w:u w:val="none"/>
          <w:lang w:eastAsia="zh-CN"/>
        </w:rPr>
        <w:t>“</w:t>
      </w:r>
      <w:r>
        <w:rPr>
          <w:rFonts w:hint="eastAsia" w:ascii="方正仿宋_GBK" w:hAnsi="方正仿宋_GBK" w:eastAsia="方正仿宋_GBK" w:cs="方正仿宋_GBK"/>
          <w:bCs/>
          <w:sz w:val="32"/>
          <w:szCs w:val="32"/>
          <w:u w:val="none"/>
        </w:rPr>
        <w:t>内蒙古自治区政府采购网</w:t>
      </w:r>
      <w:r>
        <w:rPr>
          <w:rFonts w:hint="eastAsia" w:ascii="方正仿宋_GBK" w:hAnsi="方正仿宋_GBK" w:eastAsia="方正仿宋_GBK" w:cs="方正仿宋_GBK"/>
          <w:bCs/>
          <w:sz w:val="32"/>
          <w:szCs w:val="32"/>
          <w:u w:val="none"/>
          <w:lang w:eastAsia="zh-CN"/>
        </w:rPr>
        <w:t>”</w:t>
      </w:r>
      <w:r>
        <w:rPr>
          <w:rFonts w:hint="eastAsia" w:ascii="方正仿宋_GBK" w:hAnsi="方正仿宋_GBK" w:eastAsia="方正仿宋_GBK" w:cs="方正仿宋_GBK"/>
          <w:bCs/>
          <w:sz w:val="32"/>
          <w:szCs w:val="32"/>
          <w:u w:val="none"/>
        </w:rPr>
        <w:t>开设优化营商环境专区，发布优化政府采购领域营商环境政策和资讯。实现政府采购盟市间远程异地评审，提升政府采购项目评审的公正性。开通政府采购云平台金融模块履约保函功能，具备履约保函替代履约保证金条件，减少供应商资金占用，减轻供应商参与政府采购活动的制度性交易成本。实现政府采购和公共资源交易领域CA互认，降低同时参与政府采购和公共资源招标投标供应商的制度性交易成本，提高供应商满意度。对于有预付安排的合同，鼓励采购人将合同预付款比例提高到30%以上。深化公共资源交易平台整合共享，着力打造公共资源交易“全区一张</w:t>
      </w:r>
      <w:r>
        <w:rPr>
          <w:rFonts w:hint="eastAsia" w:ascii="方正仿宋_GBK" w:hAnsi="方正仿宋_GBK" w:eastAsia="方正仿宋_GBK" w:cs="方正仿宋_GBK"/>
          <w:bCs/>
          <w:spacing w:val="-6"/>
          <w:sz w:val="32"/>
          <w:szCs w:val="32"/>
          <w:u w:val="none"/>
        </w:rPr>
        <w:t>网”。推动适合市场化方式配置的公共资源进入统一平台交易，逐</w:t>
      </w:r>
      <w:r>
        <w:rPr>
          <w:rFonts w:hint="eastAsia" w:ascii="方正仿宋_GBK" w:hAnsi="方正仿宋_GBK" w:eastAsia="方正仿宋_GBK" w:cs="方正仿宋_GBK"/>
          <w:bCs/>
          <w:sz w:val="32"/>
          <w:szCs w:val="32"/>
          <w:u w:val="none"/>
        </w:rPr>
        <w:t>步实现全区公共资源交易数据“一网共享”、交易“一网通办”、服务“一网集成”、监管“一网协同”、平台“一网统管”。以自治区公共资源交易主体信息库为基础，加快推进公共资源交易“一地注册、全区通用”。加大招标投标信息公开力度，推进全流程各环节实现交易进度和流程数字化管理。鼓励减免政府投资项目</w:t>
      </w:r>
      <w:r>
        <w:rPr>
          <w:rFonts w:hint="eastAsia" w:ascii="方正仿宋_GBK" w:hAnsi="方正仿宋_GBK" w:eastAsia="方正仿宋_GBK" w:cs="方正仿宋_GBK"/>
          <w:bCs/>
          <w:spacing w:val="-6"/>
          <w:sz w:val="32"/>
          <w:szCs w:val="32"/>
          <w:u w:val="none"/>
        </w:rPr>
        <w:t>投标保证金和实行差异化缴纳投标保证金，鼓励使用电子保函，降</w:t>
      </w:r>
      <w:r>
        <w:rPr>
          <w:rFonts w:hint="eastAsia" w:ascii="方正仿宋_GBK" w:hAnsi="方正仿宋_GBK" w:eastAsia="方正仿宋_GBK" w:cs="方正仿宋_GBK"/>
          <w:bCs/>
          <w:sz w:val="32"/>
          <w:szCs w:val="32"/>
          <w:u w:val="none"/>
        </w:rPr>
        <w:t>低电子保函费用，提高保函使用便利度。</w:t>
      </w:r>
    </w:p>
    <w:p>
      <w:pPr>
        <w:pStyle w:val="12"/>
        <w:keepNext w:val="0"/>
        <w:keepLines w:val="0"/>
        <w:pageBreakBefore w:val="0"/>
        <w:widowControl w:val="0"/>
        <w:kinsoku/>
        <w:overflowPunct/>
        <w:topLinePunct/>
        <w:autoSpaceDE/>
        <w:autoSpaceDN/>
        <w:bidi w:val="0"/>
        <w:spacing w:before="0" w:beforeAutospacing="0" w:after="0" w:afterAutospacing="0" w:line="580" w:lineRule="exact"/>
        <w:ind w:firstLine="640" w:firstLineChars="200"/>
        <w:jc w:val="both"/>
        <w:textAlignment w:val="auto"/>
        <w:outlineLvl w:val="1"/>
        <w:rPr>
          <w:rFonts w:hint="eastAsia" w:ascii="方正楷体_GBK" w:hAnsi="方正楷体_GBK" w:eastAsia="方正楷体_GBK" w:cs="方正楷体_GBK"/>
          <w:bCs/>
          <w:kern w:val="2"/>
          <w:sz w:val="32"/>
          <w:szCs w:val="32"/>
          <w:u w:val="none"/>
        </w:rPr>
      </w:pPr>
      <w:r>
        <w:rPr>
          <w:rFonts w:hint="eastAsia" w:ascii="方正楷体_GBK" w:hAnsi="方正楷体_GBK" w:eastAsia="方正楷体_GBK" w:cs="方正楷体_GBK"/>
          <w:bCs/>
          <w:kern w:val="2"/>
          <w:sz w:val="32"/>
          <w:szCs w:val="32"/>
          <w:u w:val="none"/>
        </w:rPr>
        <w:t>（二）降低企业经营成本，优化要素保障环境。</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z w:val="32"/>
          <w:szCs w:val="32"/>
          <w:u w:val="none"/>
          <w:lang w:bidi="ar"/>
        </w:rPr>
      </w:pPr>
      <w:r>
        <w:rPr>
          <w:rFonts w:hint="eastAsia" w:ascii="方正仿宋_GBK" w:hAnsi="方正仿宋_GBK" w:eastAsia="方正仿宋_GBK" w:cs="方正仿宋_GBK"/>
          <w:b w:val="0"/>
          <w:bCs/>
          <w:sz w:val="32"/>
          <w:szCs w:val="32"/>
          <w:u w:val="none"/>
          <w:lang w:bidi="ar"/>
        </w:rPr>
        <w:t>13.优化市政公用基础设施保障。</w:t>
      </w:r>
      <w:r>
        <w:rPr>
          <w:rFonts w:hint="eastAsia" w:ascii="方正仿宋_GBK" w:hAnsi="方正仿宋_GBK" w:eastAsia="方正仿宋_GBK" w:cs="方正仿宋_GBK"/>
          <w:bCs/>
          <w:sz w:val="32"/>
          <w:szCs w:val="32"/>
          <w:u w:val="none"/>
          <w:lang w:bidi="ar"/>
        </w:rPr>
        <w:t>聚焦“温暖工程”，一体推进城市燃气、供热等</w:t>
      </w:r>
      <w:r>
        <w:rPr>
          <w:rFonts w:hint="eastAsia" w:ascii="方正仿宋_GBK" w:hAnsi="方正仿宋_GBK" w:eastAsia="方正仿宋_GBK" w:cs="方正仿宋_GBK"/>
          <w:bCs/>
          <w:sz w:val="32"/>
          <w:szCs w:val="32"/>
          <w:u w:val="none"/>
          <w:lang w:val="en-US" w:eastAsia="zh-CN" w:bidi="ar"/>
        </w:rPr>
        <w:t>4</w:t>
      </w:r>
      <w:r>
        <w:rPr>
          <w:rFonts w:hint="eastAsia" w:ascii="方正仿宋_GBK" w:hAnsi="方正仿宋_GBK" w:eastAsia="方正仿宋_GBK" w:cs="方正仿宋_GBK"/>
          <w:bCs/>
          <w:sz w:val="32"/>
          <w:szCs w:val="32"/>
          <w:u w:val="none"/>
          <w:lang w:bidi="ar"/>
        </w:rPr>
        <w:t>类管网更新改造。完善政企协同办电工作机制，推动居民用户“刷脸办电”和企业用户“一证办电”常态化、制度化、规范化。推行水电气热网等市政接入工程涉及的行政审批、报装业务在线并联办理，对符合条件的市政接入工程实行告知承诺制。逐步归集城市水电气热网等公用设施基础信息数据，提升风险监测、预警和防范能力。加强对水电气热网等市政公用服务价格的监管，依法查处价格违法违规行为。</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z w:val="32"/>
          <w:szCs w:val="32"/>
          <w:u w:val="none"/>
          <w:lang w:bidi="ar"/>
        </w:rPr>
      </w:pPr>
      <w:r>
        <w:rPr>
          <w:rFonts w:hint="eastAsia" w:ascii="方正仿宋_GBK" w:hAnsi="方正仿宋_GBK" w:eastAsia="方正仿宋_GBK" w:cs="方正仿宋_GBK"/>
          <w:b w:val="0"/>
          <w:bCs/>
          <w:sz w:val="32"/>
          <w:szCs w:val="32"/>
          <w:u w:val="none"/>
          <w:lang w:bidi="ar"/>
        </w:rPr>
        <w:t>14.提升融资服务和监管水平。</w:t>
      </w:r>
      <w:r>
        <w:rPr>
          <w:rFonts w:hint="eastAsia" w:ascii="方正仿宋_GBK" w:hAnsi="方正仿宋_GBK" w:eastAsia="方正仿宋_GBK" w:cs="方正仿宋_GBK"/>
          <w:bCs/>
          <w:sz w:val="32"/>
          <w:szCs w:val="32"/>
          <w:u w:val="none"/>
          <w:lang w:bidi="ar"/>
        </w:rPr>
        <w:t>完善融资性担保机构考核评价机制，引导政府性融资担保、再担保机构拓展业务覆盖面，降低担保费率，完善风险补偿和分担机制。建立健全金融消费纠纷多元化解机制，维护金融消费者合法权益。</w:t>
      </w:r>
      <w:r>
        <w:rPr>
          <w:rFonts w:hint="eastAsia" w:ascii="方正仿宋_GBK" w:hAnsi="方正仿宋_GBK" w:eastAsia="方正仿宋_GBK" w:cs="方正仿宋_GBK"/>
          <w:bCs/>
          <w:sz w:val="32"/>
          <w:szCs w:val="32"/>
          <w:u w:val="none"/>
          <w:lang w:val="en-US" w:eastAsia="zh-CN" w:bidi="ar"/>
        </w:rPr>
        <w:t>实施</w:t>
      </w:r>
      <w:r>
        <w:rPr>
          <w:rFonts w:hint="eastAsia" w:ascii="方正仿宋_GBK" w:hAnsi="方正仿宋_GBK" w:eastAsia="方正仿宋_GBK" w:cs="方正仿宋_GBK"/>
          <w:bCs/>
          <w:sz w:val="32"/>
          <w:szCs w:val="32"/>
          <w:u w:val="none"/>
          <w:lang w:bidi="ar"/>
        </w:rPr>
        <w:t>“蒙信贷”模式，自上而下加强金融信用信息基础设施建设，推动金融数据与政务数据实现互联互通，支持信用贷款扩面提质。推动“银税互动”和更多金融机构实现线上数据直连，提高信息共享效率。充分发挥动产融资统一登记公示系统等金融基础设施作用，发展产业链供应链金融。强力推进普惠型小微企业贷款投放工作，健全完善服务小微企业敢贷愿贷能贷会贷长效机制。搭建民间投资与金融</w:t>
      </w:r>
      <w:r>
        <w:rPr>
          <w:rFonts w:hint="eastAsia" w:ascii="方正仿宋_GBK" w:hAnsi="方正仿宋_GBK" w:eastAsia="方正仿宋_GBK" w:cs="方正仿宋_GBK"/>
          <w:bCs/>
          <w:spacing w:val="6"/>
          <w:sz w:val="32"/>
          <w:szCs w:val="32"/>
          <w:u w:val="none"/>
          <w:lang w:bidi="ar"/>
        </w:rPr>
        <w:t>机构沟通对接平台，引导金融机构加大对民间投资项目的支持</w:t>
      </w:r>
      <w:r>
        <w:rPr>
          <w:rFonts w:hint="eastAsia" w:ascii="方正仿宋_GBK" w:hAnsi="方正仿宋_GBK" w:eastAsia="方正仿宋_GBK" w:cs="方正仿宋_GBK"/>
          <w:bCs/>
          <w:sz w:val="32"/>
          <w:szCs w:val="32"/>
          <w:u w:val="none"/>
          <w:lang w:bidi="ar"/>
        </w:rPr>
        <w:t>力度。</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z w:val="32"/>
          <w:szCs w:val="32"/>
          <w:u w:val="none"/>
          <w:lang w:bidi="ar"/>
        </w:rPr>
      </w:pPr>
      <w:r>
        <w:rPr>
          <w:rFonts w:hint="eastAsia" w:ascii="方正仿宋_GBK" w:hAnsi="方正仿宋_GBK" w:eastAsia="方正仿宋_GBK" w:cs="方正仿宋_GBK"/>
          <w:b w:val="0"/>
          <w:bCs/>
          <w:sz w:val="32"/>
          <w:szCs w:val="32"/>
          <w:u w:val="none"/>
          <w:lang w:bidi="ar"/>
        </w:rPr>
        <w:t>15.强化就业和人才服务保障。</w:t>
      </w:r>
      <w:r>
        <w:rPr>
          <w:rFonts w:hint="eastAsia" w:ascii="方正仿宋_GBK" w:hAnsi="方正仿宋_GBK" w:eastAsia="方正仿宋_GBK" w:cs="方正仿宋_GBK"/>
          <w:bCs/>
          <w:sz w:val="32"/>
          <w:szCs w:val="32"/>
          <w:u w:val="none"/>
          <w:lang w:bidi="ar"/>
        </w:rPr>
        <w:t>强化各地区调解组织架构及人员队伍建设，提升劳动争议调解工作规范化、专业化水平。加大“社银一体化”服务网点建设力度，</w:t>
      </w:r>
      <w:r>
        <w:rPr>
          <w:rFonts w:hint="eastAsia" w:ascii="方正仿宋_GBK" w:hAnsi="方正仿宋_GBK" w:eastAsia="方正仿宋_GBK" w:cs="方正仿宋_GBK"/>
          <w:bCs/>
          <w:color w:val="auto"/>
          <w:sz w:val="32"/>
          <w:szCs w:val="32"/>
          <w:u w:val="none"/>
          <w:lang w:bidi="ar"/>
        </w:rPr>
        <w:t>推动人社服务</w:t>
      </w:r>
      <w:r>
        <w:rPr>
          <w:rFonts w:hint="eastAsia" w:ascii="方正仿宋_GBK" w:hAnsi="方正仿宋_GBK" w:eastAsia="方正仿宋_GBK" w:cs="方正仿宋_GBK"/>
          <w:bCs/>
          <w:sz w:val="32"/>
          <w:szCs w:val="32"/>
          <w:u w:val="none"/>
          <w:lang w:bidi="ar"/>
        </w:rPr>
        <w:t>向下延伸、向群众身边延展，推进人社服务“提速办”</w:t>
      </w:r>
      <w:r>
        <w:rPr>
          <w:rFonts w:hint="eastAsia" w:ascii="方正仿宋_GBK" w:hAnsi="方正仿宋_GBK" w:eastAsia="方正仿宋_GBK" w:cs="方正仿宋_GBK"/>
          <w:bCs/>
          <w:sz w:val="32"/>
          <w:szCs w:val="32"/>
          <w:u w:val="none"/>
          <w:lang w:eastAsia="zh-CN" w:bidi="ar"/>
        </w:rPr>
        <w:t>、</w:t>
      </w:r>
      <w:r>
        <w:rPr>
          <w:rFonts w:hint="eastAsia" w:ascii="方正仿宋_GBK" w:hAnsi="方正仿宋_GBK" w:eastAsia="方正仿宋_GBK" w:cs="方正仿宋_GBK"/>
          <w:bCs/>
          <w:sz w:val="32"/>
          <w:szCs w:val="32"/>
          <w:u w:val="none"/>
          <w:lang w:bidi="ar"/>
        </w:rPr>
        <w:t>“就近办”</w:t>
      </w:r>
      <w:r>
        <w:rPr>
          <w:rFonts w:hint="eastAsia" w:ascii="方正仿宋_GBK" w:hAnsi="方正仿宋_GBK" w:eastAsia="方正仿宋_GBK" w:cs="方正仿宋_GBK"/>
          <w:bCs/>
          <w:sz w:val="32"/>
          <w:szCs w:val="32"/>
          <w:u w:val="none"/>
          <w:lang w:eastAsia="zh-CN" w:bidi="ar"/>
        </w:rPr>
        <w:t>、</w:t>
      </w:r>
      <w:r>
        <w:rPr>
          <w:rFonts w:hint="eastAsia" w:ascii="方正仿宋_GBK" w:hAnsi="方正仿宋_GBK" w:eastAsia="方正仿宋_GBK" w:cs="方正仿宋_GBK"/>
          <w:bCs/>
          <w:sz w:val="32"/>
          <w:szCs w:val="32"/>
          <w:u w:val="none"/>
          <w:lang w:bidi="ar"/>
        </w:rPr>
        <w:t>“打包办”。推进综合柜员制，实现养老、工伤、失业、社保卡等社保类业务“一窗通办”。推动失业保险稳岗及更多优惠政策“免申即享”。实施新就业形态劳动者权益维护专项行动，以货运、网约车、网约配送等行业的头部平台企业为重点，推动平台企业与工会、劳动者建立协商协调机制。推进灵活就业人员参保登记、缴费在移动端联合办理，提升灵活就业人员参保缴费便利度。加快智慧劳动保障监察信息平台建设，充分发挥</w:t>
      </w:r>
      <w:r>
        <w:rPr>
          <w:rFonts w:hint="eastAsia" w:ascii="方正仿宋_GBK" w:hAnsi="方正仿宋_GBK" w:eastAsia="方正仿宋_GBK" w:cs="方正仿宋_GBK"/>
          <w:bCs/>
          <w:sz w:val="32"/>
          <w:szCs w:val="32"/>
          <w:u w:val="none"/>
          <w:lang w:eastAsia="zh-CN" w:bidi="ar"/>
        </w:rPr>
        <w:t>其</w:t>
      </w:r>
      <w:r>
        <w:rPr>
          <w:rFonts w:hint="eastAsia" w:ascii="方正仿宋_GBK" w:hAnsi="方正仿宋_GBK" w:eastAsia="方正仿宋_GBK" w:cs="方正仿宋_GBK"/>
          <w:bCs/>
          <w:sz w:val="32"/>
          <w:szCs w:val="32"/>
          <w:u w:val="none"/>
          <w:lang w:bidi="ar"/>
        </w:rPr>
        <w:t>对工资拖欠行为的监控预警功能。完善人才引进与现有人才留用机制，绘制重点产业人才图谱，靶向引聚一批“高精尖缺”战略顶尖人才、科技领军人才和创新创业团队。围绕产业紧缺人才，深化职称评审改革。探索扩大企业年金覆盖面。</w:t>
      </w:r>
    </w:p>
    <w:p>
      <w:pPr>
        <w:pStyle w:val="12"/>
        <w:keepNext w:val="0"/>
        <w:keepLines w:val="0"/>
        <w:pageBreakBefore w:val="0"/>
        <w:widowControl w:val="0"/>
        <w:kinsoku/>
        <w:overflowPunct/>
        <w:topLinePunct/>
        <w:autoSpaceDE/>
        <w:autoSpaceDN/>
        <w:bidi w:val="0"/>
        <w:spacing w:before="0" w:beforeAutospacing="0" w:after="0" w:afterAutospacing="0" w:line="580" w:lineRule="exact"/>
        <w:ind w:firstLine="640" w:firstLineChars="200"/>
        <w:jc w:val="both"/>
        <w:textAlignment w:val="auto"/>
        <w:outlineLvl w:val="1"/>
        <w:rPr>
          <w:rFonts w:hint="eastAsia" w:ascii="方正仿宋_GBK" w:hAnsi="方正仿宋_GBK" w:eastAsia="方正仿宋_GBK" w:cs="方正仿宋_GBK"/>
          <w:bCs/>
          <w:kern w:val="2"/>
          <w:sz w:val="32"/>
          <w:szCs w:val="32"/>
          <w:u w:val="none"/>
        </w:rPr>
      </w:pPr>
      <w:r>
        <w:rPr>
          <w:rFonts w:hint="eastAsia" w:ascii="方正楷体_GBK" w:hAnsi="方正楷体_GBK" w:eastAsia="方正楷体_GBK" w:cs="方正楷体_GBK"/>
          <w:bCs/>
          <w:kern w:val="2"/>
          <w:sz w:val="32"/>
          <w:szCs w:val="32"/>
          <w:u w:val="none"/>
        </w:rPr>
        <w:t>（三）加强企业权益保护，优化法治监管环境。</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z w:val="32"/>
          <w:szCs w:val="32"/>
          <w:u w:val="none"/>
          <w:lang w:bidi="ar"/>
        </w:rPr>
      </w:pPr>
      <w:r>
        <w:rPr>
          <w:rFonts w:hint="eastAsia" w:ascii="方正仿宋_GBK" w:hAnsi="方正仿宋_GBK" w:eastAsia="方正仿宋_GBK" w:cs="方正仿宋_GBK"/>
          <w:b w:val="0"/>
          <w:bCs/>
          <w:sz w:val="32"/>
          <w:szCs w:val="32"/>
          <w:u w:val="none"/>
          <w:lang w:bidi="ar"/>
        </w:rPr>
        <w:t>16.推动优化营商环境立法。</w:t>
      </w:r>
      <w:r>
        <w:rPr>
          <w:rFonts w:hint="eastAsia" w:ascii="方正仿宋_GBK" w:hAnsi="方正仿宋_GBK" w:eastAsia="方正仿宋_GBK" w:cs="方正仿宋_GBK"/>
          <w:b w:val="0"/>
          <w:bCs/>
          <w:sz w:val="32"/>
          <w:szCs w:val="32"/>
          <w:u w:val="none"/>
          <w:lang w:eastAsia="zh-CN" w:bidi="ar"/>
        </w:rPr>
        <w:t>推动</w:t>
      </w:r>
      <w:r>
        <w:rPr>
          <w:rFonts w:hint="eastAsia" w:ascii="方正仿宋_GBK" w:hAnsi="方正仿宋_GBK" w:eastAsia="方正仿宋_GBK" w:cs="方正仿宋_GBK"/>
          <w:bCs/>
          <w:sz w:val="32"/>
          <w:szCs w:val="32"/>
          <w:u w:val="none"/>
          <w:lang w:bidi="ar"/>
        </w:rPr>
        <w:t>修订《内蒙古自治区人民代表大会常务委员会关于进一步优化营商环境的决定》。推动营商环境相关领域立法精细化，推进政务服务、监管执法、府院联动、</w:t>
      </w:r>
      <w:r>
        <w:rPr>
          <w:rFonts w:hint="eastAsia" w:ascii="方正仿宋_GBK" w:hAnsi="方正仿宋_GBK" w:eastAsia="方正仿宋_GBK" w:cs="方正仿宋_GBK"/>
          <w:bCs/>
          <w:spacing w:val="-6"/>
          <w:sz w:val="32"/>
          <w:szCs w:val="32"/>
          <w:u w:val="none"/>
          <w:lang w:bidi="ar"/>
        </w:rPr>
        <w:t>公共法律服务等重点领域立法，提升各领域营商环境的法治化、规</w:t>
      </w:r>
      <w:r>
        <w:rPr>
          <w:rFonts w:hint="eastAsia" w:ascii="方正仿宋_GBK" w:hAnsi="方正仿宋_GBK" w:eastAsia="方正仿宋_GBK" w:cs="方正仿宋_GBK"/>
          <w:bCs/>
          <w:sz w:val="32"/>
          <w:szCs w:val="32"/>
          <w:u w:val="none"/>
          <w:lang w:bidi="ar"/>
        </w:rPr>
        <w:t>范化、制度化水平，为优化营商环境提供更加有力的法治保障。</w:t>
      </w:r>
    </w:p>
    <w:p>
      <w:pPr>
        <w:keepNext w:val="0"/>
        <w:keepLines w:val="0"/>
        <w:pageBreakBefore w:val="0"/>
        <w:widowControl w:val="0"/>
        <w:kinsoku/>
        <w:overflowPunct/>
        <w:topLinePunct/>
        <w:autoSpaceDE/>
        <w:autoSpaceDN/>
        <w:bidi w:val="0"/>
        <w:spacing w:after="0" w:line="580" w:lineRule="exact"/>
        <w:ind w:firstLine="640" w:firstLineChars="200"/>
        <w:textAlignment w:val="auto"/>
        <w:rPr>
          <w:rFonts w:hint="eastAsia" w:ascii="方正仿宋_GBK" w:hAnsi="方正仿宋_GBK" w:eastAsia="方正仿宋_GBK" w:cs="方正仿宋_GBK"/>
          <w:bCs/>
          <w:sz w:val="32"/>
          <w:szCs w:val="32"/>
          <w:u w:val="none"/>
          <w:lang w:bidi="ar"/>
        </w:rPr>
      </w:pPr>
      <w:r>
        <w:rPr>
          <w:rFonts w:hint="eastAsia" w:ascii="方正仿宋_GBK" w:hAnsi="方正仿宋_GBK" w:eastAsia="方正仿宋_GBK" w:cs="方正仿宋_GBK"/>
          <w:b w:val="0"/>
          <w:bCs/>
          <w:sz w:val="32"/>
          <w:szCs w:val="32"/>
          <w:u w:val="none"/>
          <w:lang w:bidi="ar"/>
        </w:rPr>
        <w:t>17.开展诚信工程建设。</w:t>
      </w:r>
      <w:r>
        <w:rPr>
          <w:rFonts w:hint="eastAsia" w:ascii="方正仿宋_GBK" w:hAnsi="方正仿宋_GBK" w:eastAsia="方正仿宋_GBK" w:cs="方正仿宋_GBK"/>
          <w:bCs/>
          <w:color w:val="auto"/>
          <w:sz w:val="32"/>
          <w:szCs w:val="32"/>
          <w:u w:val="none"/>
          <w:lang w:bidi="ar"/>
        </w:rPr>
        <w:t>全面提升政务诚信、商务诚信、社会诚信、司法公信水平。建立政务诚信信息管理平台，做好政府失信行为的信息归集、甄别研判、数据分析、办结销号等工作。开展政务失信行为大排查、大起底，推动整改落实。实行政府失信行为报告制度，制定失信责任追究具体办法。开展地区政务诚信状况评价，推动评价结果在改革试点、项目投资、社</w:t>
      </w:r>
      <w:r>
        <w:rPr>
          <w:rFonts w:hint="eastAsia" w:ascii="方正仿宋_GBK" w:hAnsi="方正仿宋_GBK" w:eastAsia="方正仿宋_GBK" w:cs="方正仿宋_GBK"/>
          <w:bCs/>
          <w:sz w:val="32"/>
          <w:szCs w:val="32"/>
          <w:u w:val="none"/>
          <w:lang w:bidi="ar"/>
        </w:rPr>
        <w:t>会管理等政策领域和绩效考核中的应用。建立重点人员个人诚信记录，加强失信主体、失信行为惩戒。开展教育和人事人才、科研、民政、劳动保障、社保、文化和旅游、医药卫生、招标投标、生态环境等重点领域失信突出问题集中整治。开展超权限、超范围、超数额</w:t>
      </w:r>
      <w:r>
        <w:rPr>
          <w:rFonts w:hint="eastAsia" w:ascii="方正仿宋_GBK" w:hAnsi="方正仿宋_GBK" w:eastAsia="方正仿宋_GBK" w:cs="方正仿宋_GBK"/>
          <w:bCs/>
          <w:sz w:val="32"/>
          <w:szCs w:val="32"/>
          <w:u w:val="none"/>
          <w:lang w:val="en-US" w:eastAsia="zh-CN" w:bidi="ar"/>
        </w:rPr>
        <w:t>以及</w:t>
      </w:r>
      <w:r>
        <w:rPr>
          <w:rFonts w:hint="eastAsia" w:ascii="方正仿宋_GBK" w:hAnsi="方正仿宋_GBK" w:eastAsia="方正仿宋_GBK" w:cs="方正仿宋_GBK"/>
          <w:bCs/>
          <w:sz w:val="32"/>
          <w:szCs w:val="32"/>
          <w:u w:val="none"/>
          <w:lang w:bidi="ar"/>
        </w:rPr>
        <w:t>超时限查封、扣押、冻结问题专项检查。建立联合防范惩治虚假诉讼工作机制，开展深化虚假诉讼监督专项活动。</w:t>
      </w:r>
    </w:p>
    <w:p>
      <w:pPr>
        <w:keepNext w:val="0"/>
        <w:keepLines w:val="0"/>
        <w:pageBreakBefore w:val="0"/>
        <w:widowControl w:val="0"/>
        <w:kinsoku/>
        <w:overflowPunct/>
        <w:topLinePunct/>
        <w:autoSpaceDE/>
        <w:autoSpaceDN/>
        <w:bidi w:val="0"/>
        <w:spacing w:after="0" w:line="580" w:lineRule="exact"/>
        <w:ind w:firstLine="640" w:firstLineChars="200"/>
        <w:textAlignment w:val="auto"/>
        <w:rPr>
          <w:rFonts w:hint="eastAsia" w:ascii="方正仿宋_GBK" w:hAnsi="方正仿宋_GBK" w:eastAsia="方正仿宋_GBK" w:cs="方正仿宋_GBK"/>
          <w:bCs/>
          <w:sz w:val="32"/>
          <w:szCs w:val="32"/>
          <w:u w:val="none"/>
          <w:lang w:bidi="ar"/>
        </w:rPr>
      </w:pPr>
      <w:r>
        <w:rPr>
          <w:rFonts w:hint="eastAsia" w:ascii="方正仿宋_GBK" w:hAnsi="方正仿宋_GBK" w:eastAsia="方正仿宋_GBK" w:cs="方正仿宋_GBK"/>
          <w:b w:val="0"/>
          <w:bCs/>
          <w:sz w:val="32"/>
          <w:szCs w:val="32"/>
          <w:u w:val="none"/>
          <w:lang w:bidi="ar"/>
        </w:rPr>
        <w:t>18.推进信用监管常态化。</w:t>
      </w:r>
      <w:r>
        <w:rPr>
          <w:rFonts w:hint="eastAsia" w:ascii="方正仿宋_GBK" w:hAnsi="方正仿宋_GBK" w:eastAsia="方正仿宋_GBK" w:cs="方正仿宋_GBK"/>
          <w:bCs/>
          <w:sz w:val="32"/>
          <w:szCs w:val="32"/>
          <w:u w:val="none"/>
          <w:lang w:bidi="ar"/>
        </w:rPr>
        <w:t>健全完善全区法人主体信用信息库，建立信用档案。依据权责清单，在重点行业领域建立完善信用评价制度。建立“全生命周期”新型信用监管机制，推动“双随机、一公开”监管和信用监管深度融合，实行差异化监管措施。强化市场监管领域企业信用与执法检查联动，</w:t>
      </w:r>
      <w:r>
        <w:rPr>
          <w:rFonts w:hint="eastAsia" w:ascii="方正仿宋_GBK" w:hAnsi="方正仿宋_GBK" w:eastAsia="方正仿宋_GBK" w:cs="方正仿宋_GBK"/>
          <w:bCs/>
          <w:color w:val="auto"/>
          <w:sz w:val="32"/>
          <w:szCs w:val="32"/>
          <w:u w:val="none"/>
          <w:lang w:bidi="ar"/>
        </w:rPr>
        <w:t>对信用良好的企业原则上不主动开展检查，根据举报投诉、转（交）办等线索实施“事件触发式”检查；</w:t>
      </w:r>
      <w:r>
        <w:rPr>
          <w:rFonts w:hint="eastAsia" w:ascii="方正仿宋_GBK" w:hAnsi="方正仿宋_GBK" w:eastAsia="方正仿宋_GBK" w:cs="方正仿宋_GBK"/>
          <w:bCs/>
          <w:sz w:val="32"/>
          <w:szCs w:val="32"/>
          <w:u w:val="none"/>
          <w:lang w:bidi="ar"/>
        </w:rPr>
        <w:t>对信用风险一般的企业，按照常规比例和频次进行抽查；对违法失信、风险较高的企业，适当提高抽查比例和频次。建立商务领域信用奖惩机制，编制《内蒙古自治区诚信典型选树对象目录（2.0版）》</w:t>
      </w:r>
      <w:r>
        <w:rPr>
          <w:rFonts w:hint="eastAsia" w:ascii="方正仿宋_GBK" w:hAnsi="方正仿宋_GBK" w:eastAsia="方正仿宋_GBK" w:cs="方正仿宋_GBK"/>
          <w:bCs/>
          <w:sz w:val="32"/>
          <w:szCs w:val="32"/>
          <w:u w:val="none"/>
          <w:lang w:eastAsia="zh-CN" w:bidi="ar"/>
        </w:rPr>
        <w:t>、</w:t>
      </w:r>
      <w:r>
        <w:rPr>
          <w:rFonts w:hint="eastAsia" w:ascii="方正仿宋_GBK" w:hAnsi="方正仿宋_GBK" w:eastAsia="方正仿宋_GBK" w:cs="方正仿宋_GBK"/>
          <w:bCs/>
          <w:sz w:val="32"/>
          <w:szCs w:val="32"/>
          <w:u w:val="none"/>
          <w:lang w:bidi="ar"/>
        </w:rPr>
        <w:t>《内蒙古自治区守信激励措施清单（2.0版）》。动态调整市场监管部门失信惩戒措施基础清单。完善公共信用信息分类修复制度，优化国家企业信用信息公示系统和“信用中国（内蒙古）”网站信用修复结果共享和互认机制，及时依法依规解除失信约束措施。</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z w:val="32"/>
          <w:szCs w:val="32"/>
          <w:u w:val="none"/>
          <w:lang w:bidi="ar"/>
        </w:rPr>
      </w:pPr>
      <w:r>
        <w:rPr>
          <w:rFonts w:hint="eastAsia" w:ascii="方正仿宋_GBK" w:hAnsi="方正仿宋_GBK" w:eastAsia="方正仿宋_GBK" w:cs="方正仿宋_GBK"/>
          <w:b w:val="0"/>
          <w:bCs/>
          <w:sz w:val="32"/>
          <w:szCs w:val="32"/>
          <w:u w:val="none"/>
          <w:lang w:bidi="ar"/>
        </w:rPr>
        <w:t>19.推进市场监管现代化。</w:t>
      </w:r>
      <w:r>
        <w:rPr>
          <w:rFonts w:hint="eastAsia" w:ascii="方正仿宋_GBK" w:hAnsi="方正仿宋_GBK" w:eastAsia="方正仿宋_GBK" w:cs="方正仿宋_GBK"/>
          <w:bCs/>
          <w:sz w:val="32"/>
          <w:szCs w:val="32"/>
          <w:u w:val="none"/>
          <w:lang w:bidi="ar"/>
        </w:rPr>
        <w:t>运用大数据、人工智能等技术赋能非现场检查，实现“远程管”</w:t>
      </w:r>
      <w:r>
        <w:rPr>
          <w:rFonts w:hint="eastAsia" w:ascii="方正仿宋_GBK" w:hAnsi="方正仿宋_GBK" w:eastAsia="方正仿宋_GBK" w:cs="方正仿宋_GBK"/>
          <w:bCs/>
          <w:sz w:val="32"/>
          <w:szCs w:val="32"/>
          <w:u w:val="none"/>
          <w:lang w:eastAsia="zh-CN" w:bidi="ar"/>
        </w:rPr>
        <w:t>、</w:t>
      </w:r>
      <w:r>
        <w:rPr>
          <w:rFonts w:hint="eastAsia" w:ascii="方正仿宋_GBK" w:hAnsi="方正仿宋_GBK" w:eastAsia="方正仿宋_GBK" w:cs="方正仿宋_GBK"/>
          <w:bCs/>
          <w:sz w:val="32"/>
          <w:szCs w:val="32"/>
          <w:u w:val="none"/>
          <w:lang w:bidi="ar"/>
        </w:rPr>
        <w:t>“早干预”，对非现场监管能够实现预期监管目的和效果的，减少开展现场检查频次。深入推进监管系统对接，推动各</w:t>
      </w:r>
      <w:r>
        <w:rPr>
          <w:rFonts w:hint="eastAsia" w:ascii="方正仿宋_GBK" w:hAnsi="方正仿宋_GBK" w:eastAsia="方正仿宋_GBK" w:cs="方正仿宋_GBK"/>
          <w:bCs/>
          <w:sz w:val="32"/>
          <w:szCs w:val="32"/>
          <w:u w:val="none"/>
          <w:lang w:val="en-US" w:eastAsia="zh-CN" w:bidi="ar"/>
        </w:rPr>
        <w:t>有关</w:t>
      </w:r>
      <w:r>
        <w:rPr>
          <w:rFonts w:hint="eastAsia" w:ascii="方正仿宋_GBK" w:hAnsi="方正仿宋_GBK" w:eastAsia="方正仿宋_GBK" w:cs="方正仿宋_GBK"/>
          <w:bCs/>
          <w:sz w:val="32"/>
          <w:szCs w:val="32"/>
          <w:u w:val="none"/>
          <w:lang w:bidi="ar"/>
        </w:rPr>
        <w:t>部门监管数据</w:t>
      </w:r>
      <w:r>
        <w:rPr>
          <w:rFonts w:hint="eastAsia" w:ascii="方正仿宋_GBK" w:hAnsi="方正仿宋_GBK" w:eastAsia="方正仿宋_GBK" w:cs="方正仿宋_GBK"/>
          <w:bCs/>
          <w:sz w:val="32"/>
          <w:szCs w:val="32"/>
          <w:u w:val="none"/>
          <w:lang w:eastAsia="zh-CN" w:bidi="ar"/>
        </w:rPr>
        <w:t>的</w:t>
      </w:r>
      <w:r>
        <w:rPr>
          <w:rFonts w:hint="eastAsia" w:ascii="方正仿宋_GBK" w:hAnsi="方正仿宋_GBK" w:eastAsia="方正仿宋_GBK" w:cs="方正仿宋_GBK"/>
          <w:bCs/>
          <w:sz w:val="32"/>
          <w:szCs w:val="32"/>
          <w:u w:val="none"/>
          <w:lang w:bidi="ar"/>
        </w:rPr>
        <w:t>归集共享和应用，建立经营主体全生命周期监管链，对经营主体实施事前、事中、事后“全生命周期”监管。建立完善中介服务事项清单制度，推动行政权力实施部门和行业主管部门规范中介服务机构执业行为，督促中介服务机构向社会公开办理中介服务的条件、流程、时限、收费标准等，将中介机构诚信状况与年检年审、银行授信、政府招标投标等挂钩。开展对行政机关指定中介机构垄断服务、中介机构强制服务等行为</w:t>
      </w:r>
      <w:r>
        <w:rPr>
          <w:rFonts w:hint="eastAsia" w:ascii="方正仿宋_GBK" w:hAnsi="方正仿宋_GBK" w:eastAsia="方正仿宋_GBK" w:cs="方正仿宋_GBK"/>
          <w:bCs/>
          <w:sz w:val="32"/>
          <w:szCs w:val="32"/>
          <w:u w:val="none"/>
          <w:lang w:eastAsia="zh-CN" w:bidi="ar"/>
        </w:rPr>
        <w:t>的</w:t>
      </w:r>
      <w:r>
        <w:rPr>
          <w:rFonts w:hint="eastAsia" w:ascii="方正仿宋_GBK" w:hAnsi="方正仿宋_GBK" w:eastAsia="方正仿宋_GBK" w:cs="方正仿宋_GBK"/>
          <w:bCs/>
          <w:sz w:val="32"/>
          <w:szCs w:val="32"/>
          <w:u w:val="none"/>
          <w:lang w:bidi="ar"/>
        </w:rPr>
        <w:t>专项整治。</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z w:val="32"/>
          <w:szCs w:val="32"/>
          <w:u w:val="none"/>
          <w:lang w:bidi="ar"/>
        </w:rPr>
      </w:pPr>
      <w:r>
        <w:rPr>
          <w:rFonts w:hint="eastAsia" w:ascii="方正仿宋_GBK" w:hAnsi="方正仿宋_GBK" w:eastAsia="方正仿宋_GBK" w:cs="方正仿宋_GBK"/>
          <w:b w:val="0"/>
          <w:bCs/>
          <w:sz w:val="32"/>
          <w:szCs w:val="32"/>
          <w:u w:val="none"/>
          <w:lang w:bidi="ar"/>
        </w:rPr>
        <w:t>20.</w:t>
      </w:r>
      <w:r>
        <w:rPr>
          <w:rFonts w:hint="eastAsia" w:ascii="方正仿宋_GBK" w:hAnsi="方正仿宋_GBK" w:eastAsia="方正仿宋_GBK" w:cs="方正仿宋_GBK"/>
          <w:b w:val="0"/>
          <w:bCs/>
          <w:sz w:val="32"/>
          <w:szCs w:val="32"/>
          <w:u w:val="none"/>
          <w:lang w:val="en-US" w:eastAsia="zh-CN" w:bidi="ar"/>
        </w:rPr>
        <w:t>积极</w:t>
      </w:r>
      <w:r>
        <w:rPr>
          <w:rFonts w:hint="eastAsia" w:ascii="方正仿宋_GBK" w:hAnsi="方正仿宋_GBK" w:eastAsia="方正仿宋_GBK" w:cs="方正仿宋_GBK"/>
          <w:b w:val="0"/>
          <w:bCs/>
          <w:sz w:val="32"/>
          <w:szCs w:val="32"/>
          <w:u w:val="none"/>
          <w:lang w:bidi="ar"/>
        </w:rPr>
        <w:t>推进一体化综合监管。</w:t>
      </w:r>
      <w:r>
        <w:rPr>
          <w:rFonts w:hint="eastAsia" w:ascii="方正仿宋_GBK" w:hAnsi="方正仿宋_GBK" w:eastAsia="方正仿宋_GBK" w:cs="方正仿宋_GBK"/>
          <w:bCs/>
          <w:sz w:val="32"/>
          <w:szCs w:val="32"/>
          <w:u w:val="none"/>
          <w:lang w:bidi="ar"/>
        </w:rPr>
        <w:t>贯彻落实《内蒙古自治区深入推进跨部门综合监管实施方案》，推动食品、药品、燃气、建筑工程质量、非法金融活动等领域开展跨部门综合监管，推动“进一次门、查多项事”，实现跨部门、跨地区互认和共享结果。行业主管部门将跨部门综合监管事项纳入自治区“互联网+监管”系统统一管理，全面实施监管事项“一张清单”、监管业务“一张网”、监管数据“一张图”。根据企业“风险+信用”评价结果开展差异化监管，</w:t>
      </w:r>
      <w:r>
        <w:rPr>
          <w:rFonts w:hint="eastAsia" w:ascii="方正仿宋_GBK" w:hAnsi="方正仿宋_GBK" w:eastAsia="方正仿宋_GBK" w:cs="方正仿宋_GBK"/>
          <w:bCs/>
          <w:sz w:val="32"/>
          <w:szCs w:val="32"/>
          <w:u w:val="none"/>
          <w:lang w:val="en-US" w:eastAsia="zh-CN" w:bidi="ar"/>
        </w:rPr>
        <w:t>积极</w:t>
      </w:r>
      <w:r>
        <w:rPr>
          <w:rFonts w:hint="eastAsia" w:ascii="方正仿宋_GBK" w:hAnsi="方正仿宋_GBK" w:eastAsia="方正仿宋_GBK" w:cs="方正仿宋_GBK"/>
          <w:bCs/>
          <w:sz w:val="32"/>
          <w:szCs w:val="32"/>
          <w:u w:val="none"/>
          <w:lang w:bidi="ar"/>
        </w:rPr>
        <w:t>实施综合监管“一业一册”告知制度，一类事项制定一册合规经营指南，一次性告知经营主体合规经营要求。行业主管部门完善跨部门综合监管制度，优化跨部门综合监管联动机制。全面部署应用统一综合执法系统，实行“一案一码”，规范执法标准和流程。</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z w:val="32"/>
          <w:szCs w:val="32"/>
          <w:u w:val="none"/>
          <w:lang w:bidi="ar"/>
        </w:rPr>
      </w:pPr>
      <w:r>
        <w:rPr>
          <w:rFonts w:hint="eastAsia" w:ascii="方正仿宋_GBK" w:hAnsi="方正仿宋_GBK" w:eastAsia="方正仿宋_GBK" w:cs="方正仿宋_GBK"/>
          <w:b w:val="0"/>
          <w:bCs/>
          <w:sz w:val="32"/>
          <w:szCs w:val="32"/>
          <w:u w:val="none"/>
          <w:lang w:bidi="ar"/>
        </w:rPr>
        <w:t>21.严格规范公正文明执法。</w:t>
      </w:r>
      <w:r>
        <w:rPr>
          <w:rFonts w:hint="eastAsia" w:ascii="方正仿宋_GBK" w:hAnsi="方正仿宋_GBK" w:eastAsia="方正仿宋_GBK" w:cs="方正仿宋_GBK"/>
          <w:bCs/>
          <w:sz w:val="32"/>
          <w:szCs w:val="32"/>
          <w:u w:val="none"/>
          <w:lang w:bidi="ar"/>
        </w:rPr>
        <w:t>坚持过罚相当、宽严相济，规范行使行政裁量权，防止任性执法、类案不同罚、过度处罚等问题</w:t>
      </w:r>
      <w:r>
        <w:rPr>
          <w:rFonts w:hint="eastAsia" w:ascii="方正仿宋_GBK" w:hAnsi="方正仿宋_GBK" w:eastAsia="方正仿宋_GBK" w:cs="方正仿宋_GBK"/>
          <w:bCs/>
          <w:sz w:val="32"/>
          <w:szCs w:val="32"/>
          <w:u w:val="none"/>
          <w:lang w:eastAsia="zh-CN" w:bidi="ar"/>
        </w:rPr>
        <w:t>的发生</w:t>
      </w:r>
      <w:r>
        <w:rPr>
          <w:rFonts w:hint="eastAsia" w:ascii="方正仿宋_GBK" w:hAnsi="方正仿宋_GBK" w:eastAsia="方正仿宋_GBK" w:cs="方正仿宋_GBK"/>
          <w:bCs/>
          <w:sz w:val="32"/>
          <w:szCs w:val="32"/>
          <w:u w:val="none"/>
          <w:lang w:bidi="ar"/>
        </w:rPr>
        <w:t>。</w:t>
      </w:r>
      <w:r>
        <w:rPr>
          <w:rFonts w:hint="eastAsia" w:ascii="方正仿宋_GBK" w:hAnsi="方正仿宋_GBK" w:eastAsia="方正仿宋_GBK" w:cs="方正仿宋_GBK"/>
          <w:bCs/>
          <w:color w:val="auto"/>
          <w:sz w:val="32"/>
          <w:szCs w:val="32"/>
          <w:highlight w:val="none"/>
          <w:u w:val="none"/>
          <w:lang w:bidi="ar"/>
        </w:rPr>
        <w:t>完善轻微违法行为免罚和初次违法慎罚制度，</w:t>
      </w:r>
      <w:r>
        <w:rPr>
          <w:rFonts w:hint="eastAsia" w:ascii="方正仿宋_GBK" w:hAnsi="方正仿宋_GBK" w:eastAsia="方正仿宋_GBK" w:cs="方正仿宋_GBK"/>
          <w:bCs/>
          <w:color w:val="auto"/>
          <w:sz w:val="32"/>
          <w:szCs w:val="32"/>
          <w:highlight w:val="none"/>
          <w:u w:val="none"/>
          <w:lang w:eastAsia="zh-CN" w:bidi="ar"/>
        </w:rPr>
        <w:t>动态调整“轻罚”、“免罚”、“不罚”清单</w:t>
      </w:r>
      <w:r>
        <w:rPr>
          <w:rFonts w:hint="eastAsia" w:ascii="方正仿宋_GBK" w:hAnsi="方正仿宋_GBK" w:eastAsia="方正仿宋_GBK" w:cs="方正仿宋_GBK"/>
          <w:bCs/>
          <w:color w:val="auto"/>
          <w:sz w:val="32"/>
          <w:szCs w:val="32"/>
          <w:highlight w:val="none"/>
          <w:u w:val="none"/>
          <w:lang w:bidi="ar"/>
        </w:rPr>
        <w:t>，</w:t>
      </w:r>
      <w:r>
        <w:rPr>
          <w:rFonts w:hint="eastAsia" w:ascii="方正仿宋_GBK" w:hAnsi="方正仿宋_GBK" w:eastAsia="方正仿宋_GBK" w:cs="方正仿宋_GBK"/>
          <w:bCs/>
          <w:sz w:val="32"/>
          <w:szCs w:val="32"/>
          <w:u w:val="none"/>
          <w:lang w:bidi="ar"/>
        </w:rPr>
        <w:t>惠及更多经营主体。推广“体检式监管、服务型执法”模式，推行首次违法预警提示、轻微违法告知承诺制、社会服务折抵罚款等柔性执法，鼓励执法部门为企业提供专业化服务。依规依纪依法在重点领域试行行政执法人员尽职免责制度。</w:t>
      </w:r>
      <w:r>
        <w:rPr>
          <w:rFonts w:hint="eastAsia" w:ascii="方正仿宋_GBK" w:hAnsi="方正仿宋_GBK" w:eastAsia="方正仿宋_GBK" w:cs="方正仿宋_GBK"/>
          <w:bCs/>
          <w:sz w:val="32"/>
          <w:szCs w:val="32"/>
          <w:u w:val="none"/>
          <w:lang w:val="en-US" w:eastAsia="zh-CN" w:bidi="ar"/>
        </w:rPr>
        <w:t>进一步规范</w:t>
      </w:r>
      <w:r>
        <w:rPr>
          <w:rFonts w:hint="eastAsia" w:ascii="方正仿宋_GBK" w:hAnsi="方正仿宋_GBK" w:eastAsia="方正仿宋_GBK" w:cs="方正仿宋_GBK"/>
          <w:bCs/>
          <w:sz w:val="32"/>
          <w:szCs w:val="32"/>
          <w:u w:val="none"/>
          <w:lang w:bidi="ar"/>
        </w:rPr>
        <w:t>地方性法规、政府规章罚款的</w:t>
      </w:r>
      <w:r>
        <w:rPr>
          <w:rFonts w:hint="eastAsia" w:ascii="方正仿宋_GBK" w:hAnsi="方正仿宋_GBK" w:eastAsia="方正仿宋_GBK" w:cs="方正仿宋_GBK"/>
          <w:bCs/>
          <w:sz w:val="32"/>
          <w:szCs w:val="32"/>
          <w:u w:val="none"/>
          <w:lang w:val="en-US" w:eastAsia="zh-CN" w:bidi="ar"/>
        </w:rPr>
        <w:t>设定</w:t>
      </w:r>
      <w:r>
        <w:rPr>
          <w:rFonts w:hint="eastAsia" w:ascii="方正仿宋_GBK" w:hAnsi="方正仿宋_GBK" w:eastAsia="方正仿宋_GBK" w:cs="方正仿宋_GBK"/>
          <w:bCs/>
          <w:sz w:val="32"/>
          <w:szCs w:val="32"/>
          <w:u w:val="none"/>
          <w:lang w:bidi="ar"/>
        </w:rPr>
        <w:t>，严禁行政规范性文件设定罚款，防止以罚增收、以罚代管、逐利执法等行为。</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z w:val="32"/>
          <w:szCs w:val="32"/>
          <w:u w:val="none"/>
          <w:lang w:bidi="ar"/>
        </w:rPr>
      </w:pPr>
      <w:r>
        <w:rPr>
          <w:rFonts w:hint="eastAsia" w:ascii="方正仿宋_GBK" w:hAnsi="方正仿宋_GBK" w:eastAsia="方正仿宋_GBK" w:cs="方正仿宋_GBK"/>
          <w:b w:val="0"/>
          <w:bCs/>
          <w:sz w:val="32"/>
          <w:szCs w:val="32"/>
          <w:u w:val="none"/>
          <w:lang w:bidi="ar"/>
        </w:rPr>
        <w:t>22.提升商业纠纷解决效率。</w:t>
      </w:r>
      <w:r>
        <w:rPr>
          <w:rFonts w:hint="eastAsia" w:ascii="方正仿宋_GBK" w:hAnsi="方正仿宋_GBK" w:eastAsia="方正仿宋_GBK" w:cs="方正仿宋_GBK"/>
          <w:bCs/>
          <w:sz w:val="32"/>
          <w:szCs w:val="32"/>
          <w:u w:val="none"/>
          <w:lang w:bidi="ar"/>
        </w:rPr>
        <w:t>深化案件繁简分流改革，支持法院依法拓展小额诉讼程序适用范围，提高适用案件标的额。深化数字法院建设，支持法院推动诉讼主体、诉讼类型、诉讼流程“网上办”全覆盖，拓展“云法庭”功能，推行诉讼费电子专用票据，实现线上申请、及时退费，在线生成诉讼费用缴纳通知书和提供电子发票。建设法院大数据平台，持续推进立审执流程数据共享，依托信息化缩短立审执时限，提升司法服务效率。</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z w:val="32"/>
          <w:szCs w:val="32"/>
          <w:u w:val="none"/>
          <w:lang w:bidi="ar"/>
        </w:rPr>
      </w:pPr>
      <w:r>
        <w:rPr>
          <w:rFonts w:hint="eastAsia" w:ascii="方正仿宋_GBK" w:hAnsi="方正仿宋_GBK" w:eastAsia="方正仿宋_GBK" w:cs="方正仿宋_GBK"/>
          <w:b w:val="0"/>
          <w:bCs/>
          <w:sz w:val="32"/>
          <w:szCs w:val="32"/>
          <w:u w:val="none"/>
          <w:lang w:bidi="ar"/>
        </w:rPr>
        <w:t>23.完善民商事纠纷调解机制。</w:t>
      </w:r>
      <w:r>
        <w:rPr>
          <w:rFonts w:hint="eastAsia" w:ascii="方正仿宋_GBK" w:hAnsi="方正仿宋_GBK" w:eastAsia="方正仿宋_GBK" w:cs="方正仿宋_GBK"/>
          <w:bCs/>
          <w:sz w:val="32"/>
          <w:szCs w:val="32"/>
          <w:u w:val="none"/>
          <w:lang w:bidi="ar"/>
        </w:rPr>
        <w:t>完善调解、仲裁、诉讼等有机衔接协调的多元化纠纷解决机制。鼓励支持仲裁机构、商事调解</w:t>
      </w:r>
      <w:r>
        <w:rPr>
          <w:rFonts w:hint="eastAsia" w:ascii="方正仿宋_GBK" w:hAnsi="方正仿宋_GBK" w:eastAsia="方正仿宋_GBK" w:cs="方正仿宋_GBK"/>
          <w:bCs/>
          <w:spacing w:val="-6"/>
          <w:sz w:val="32"/>
          <w:szCs w:val="32"/>
          <w:u w:val="none"/>
          <w:lang w:bidi="ar"/>
        </w:rPr>
        <w:t>组织发展，</w:t>
      </w:r>
      <w:r>
        <w:rPr>
          <w:rFonts w:hint="eastAsia" w:ascii="方正仿宋_GBK" w:hAnsi="方正仿宋_GBK" w:eastAsia="方正仿宋_GBK" w:cs="方正仿宋_GBK"/>
          <w:bCs/>
          <w:spacing w:val="-6"/>
          <w:sz w:val="32"/>
          <w:szCs w:val="32"/>
          <w:u w:val="none"/>
          <w:lang w:val="en-US" w:eastAsia="zh-CN" w:bidi="ar"/>
        </w:rPr>
        <w:t>注重运用调解手段解决商业纠纷</w:t>
      </w:r>
      <w:r>
        <w:rPr>
          <w:rFonts w:hint="eastAsia" w:ascii="方正仿宋_GBK" w:hAnsi="方正仿宋_GBK" w:eastAsia="方正仿宋_GBK" w:cs="方正仿宋_GBK"/>
          <w:bCs/>
          <w:spacing w:val="-6"/>
          <w:sz w:val="32"/>
          <w:szCs w:val="32"/>
          <w:u w:val="none"/>
          <w:lang w:bidi="ar"/>
        </w:rPr>
        <w:t>。</w:t>
      </w:r>
      <w:r>
        <w:rPr>
          <w:rFonts w:hint="eastAsia" w:ascii="方正仿宋_GBK" w:hAnsi="方正仿宋_GBK" w:eastAsia="方正仿宋_GBK" w:cs="方正仿宋_GBK"/>
          <w:bCs/>
          <w:color w:val="auto"/>
          <w:spacing w:val="-6"/>
          <w:sz w:val="32"/>
          <w:szCs w:val="32"/>
          <w:highlight w:val="none"/>
          <w:u w:val="none"/>
          <w:lang w:bidi="ar"/>
        </w:rPr>
        <w:t>建设一批专业化、集</w:t>
      </w:r>
      <w:r>
        <w:rPr>
          <w:rFonts w:hint="eastAsia" w:ascii="方正仿宋_GBK" w:hAnsi="方正仿宋_GBK" w:eastAsia="方正仿宋_GBK" w:cs="方正仿宋_GBK"/>
          <w:bCs/>
          <w:color w:val="auto"/>
          <w:sz w:val="32"/>
          <w:szCs w:val="32"/>
          <w:highlight w:val="none"/>
          <w:u w:val="none"/>
          <w:lang w:bidi="ar"/>
        </w:rPr>
        <w:t>约化、市场化矛盾纠纷调解机构。建立诉前调解自动履行奖惩机制。对于自动履行完毕的案件，经当事人申请，</w:t>
      </w:r>
      <w:r>
        <w:rPr>
          <w:rFonts w:hint="eastAsia" w:ascii="方正仿宋_GBK" w:hAnsi="方正仿宋_GBK" w:eastAsia="方正仿宋_GBK" w:cs="方正仿宋_GBK"/>
          <w:bCs/>
          <w:color w:val="auto"/>
          <w:sz w:val="32"/>
          <w:szCs w:val="32"/>
          <w:highlight w:val="none"/>
          <w:u w:val="none"/>
          <w:lang w:eastAsia="zh-CN" w:bidi="ar"/>
        </w:rPr>
        <w:t>法院</w:t>
      </w:r>
      <w:r>
        <w:rPr>
          <w:rFonts w:hint="eastAsia" w:ascii="方正仿宋_GBK" w:hAnsi="方正仿宋_GBK" w:eastAsia="方正仿宋_GBK" w:cs="方正仿宋_GBK"/>
          <w:bCs/>
          <w:color w:val="auto"/>
          <w:sz w:val="32"/>
          <w:szCs w:val="32"/>
          <w:highlight w:val="none"/>
          <w:u w:val="none"/>
          <w:lang w:bidi="ar"/>
        </w:rPr>
        <w:t>可出具《自</w:t>
      </w:r>
      <w:r>
        <w:rPr>
          <w:rFonts w:hint="eastAsia" w:ascii="方正仿宋_GBK" w:hAnsi="方正仿宋_GBK" w:eastAsia="方正仿宋_GBK" w:cs="方正仿宋_GBK"/>
          <w:bCs/>
          <w:color w:val="auto"/>
          <w:spacing w:val="-6"/>
          <w:sz w:val="32"/>
          <w:szCs w:val="32"/>
          <w:highlight w:val="none"/>
          <w:u w:val="none"/>
          <w:lang w:bidi="ar"/>
        </w:rPr>
        <w:t>动履行证明书》。建立将自动履行</w:t>
      </w:r>
      <w:r>
        <w:rPr>
          <w:rFonts w:hint="eastAsia" w:ascii="方正仿宋_GBK" w:hAnsi="方正仿宋_GBK" w:eastAsia="方正仿宋_GBK" w:cs="方正仿宋_GBK"/>
          <w:bCs/>
          <w:color w:val="auto"/>
          <w:spacing w:val="-6"/>
          <w:sz w:val="32"/>
          <w:szCs w:val="32"/>
          <w:highlight w:val="none"/>
          <w:u w:val="none"/>
          <w:lang w:eastAsia="zh-CN" w:bidi="ar"/>
        </w:rPr>
        <w:t>行为</w:t>
      </w:r>
      <w:r>
        <w:rPr>
          <w:rFonts w:hint="eastAsia" w:ascii="方正仿宋_GBK" w:hAnsi="方正仿宋_GBK" w:eastAsia="方正仿宋_GBK" w:cs="方正仿宋_GBK"/>
          <w:bCs/>
          <w:color w:val="auto"/>
          <w:spacing w:val="-6"/>
          <w:sz w:val="32"/>
          <w:szCs w:val="32"/>
          <w:highlight w:val="none"/>
          <w:u w:val="none"/>
          <w:lang w:bidi="ar"/>
        </w:rPr>
        <w:t>与提升信用评价挂钩机制</w:t>
      </w:r>
      <w:r>
        <w:rPr>
          <w:rFonts w:hint="eastAsia" w:ascii="方正仿宋_GBK" w:hAnsi="方正仿宋_GBK" w:eastAsia="方正仿宋_GBK" w:cs="方正仿宋_GBK"/>
          <w:bCs/>
          <w:spacing w:val="-6"/>
          <w:sz w:val="32"/>
          <w:szCs w:val="32"/>
          <w:u w:val="none"/>
          <w:lang w:bidi="ar"/>
        </w:rPr>
        <w:t>，</w:t>
      </w:r>
      <w:r>
        <w:rPr>
          <w:rFonts w:hint="eastAsia" w:ascii="方正仿宋_GBK" w:hAnsi="方正仿宋_GBK" w:eastAsia="方正仿宋_GBK" w:cs="方正仿宋_GBK"/>
          <w:bCs/>
          <w:sz w:val="32"/>
          <w:szCs w:val="32"/>
          <w:u w:val="none"/>
          <w:lang w:bidi="ar"/>
        </w:rPr>
        <w:t>定期将诚信履行名单推送至市场监管、税务等部门和金融机构。</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z w:val="32"/>
          <w:szCs w:val="32"/>
          <w:u w:val="none"/>
          <w:lang w:bidi="ar"/>
        </w:rPr>
      </w:pPr>
      <w:r>
        <w:rPr>
          <w:rFonts w:hint="eastAsia" w:ascii="方正仿宋_GBK" w:hAnsi="方正仿宋_GBK" w:eastAsia="方正仿宋_GBK" w:cs="方正仿宋_GBK"/>
          <w:b w:val="0"/>
          <w:bCs/>
          <w:sz w:val="32"/>
          <w:szCs w:val="32"/>
          <w:u w:val="none"/>
          <w:lang w:bidi="ar"/>
        </w:rPr>
        <w:t>24.深化企业破产制度改革。</w:t>
      </w:r>
      <w:r>
        <w:rPr>
          <w:rFonts w:hint="eastAsia" w:ascii="方正仿宋_GBK" w:hAnsi="方正仿宋_GBK" w:eastAsia="方正仿宋_GBK" w:cs="方正仿宋_GBK"/>
          <w:bCs/>
          <w:sz w:val="32"/>
          <w:szCs w:val="32"/>
          <w:u w:val="none"/>
          <w:lang w:bidi="ar"/>
        </w:rPr>
        <w:t>健全“立审执破一体化”机制，加强执行法官与破产法官混合审判团队建设。严格破产案件审限管理，加大</w:t>
      </w:r>
      <w:r>
        <w:rPr>
          <w:rFonts w:hint="eastAsia" w:ascii="方正仿宋_GBK" w:hAnsi="方正仿宋_GBK" w:eastAsia="方正仿宋_GBK" w:cs="方正仿宋_GBK"/>
          <w:bCs/>
          <w:sz w:val="32"/>
          <w:szCs w:val="32"/>
          <w:u w:val="none"/>
          <w:lang w:eastAsia="zh-CN" w:bidi="ar"/>
        </w:rPr>
        <w:t>对</w:t>
      </w:r>
      <w:r>
        <w:rPr>
          <w:rFonts w:hint="eastAsia" w:ascii="方正仿宋_GBK" w:hAnsi="方正仿宋_GBK" w:eastAsia="方正仿宋_GBK" w:cs="方正仿宋_GBK"/>
          <w:bCs/>
          <w:sz w:val="32"/>
          <w:szCs w:val="32"/>
          <w:u w:val="none"/>
          <w:lang w:bidi="ar"/>
        </w:rPr>
        <w:t>长期未结案件</w:t>
      </w:r>
      <w:r>
        <w:rPr>
          <w:rFonts w:hint="eastAsia" w:ascii="方正仿宋_GBK" w:hAnsi="方正仿宋_GBK" w:eastAsia="方正仿宋_GBK" w:cs="方正仿宋_GBK"/>
          <w:bCs/>
          <w:sz w:val="32"/>
          <w:szCs w:val="32"/>
          <w:u w:val="none"/>
          <w:lang w:eastAsia="zh-CN" w:bidi="ar"/>
        </w:rPr>
        <w:t>的</w:t>
      </w:r>
      <w:r>
        <w:rPr>
          <w:rFonts w:hint="eastAsia" w:ascii="方正仿宋_GBK" w:hAnsi="方正仿宋_GBK" w:eastAsia="方正仿宋_GBK" w:cs="方正仿宋_GBK"/>
          <w:bCs/>
          <w:sz w:val="32"/>
          <w:szCs w:val="32"/>
          <w:u w:val="none"/>
          <w:lang w:bidi="ar"/>
        </w:rPr>
        <w:t>清理力度。提升简案快审程序适用率，提高“无产可破”</w:t>
      </w:r>
      <w:r>
        <w:rPr>
          <w:rFonts w:hint="eastAsia" w:ascii="方正仿宋_GBK" w:hAnsi="方正仿宋_GBK" w:eastAsia="方正仿宋_GBK" w:cs="方正仿宋_GBK"/>
          <w:bCs/>
          <w:sz w:val="32"/>
          <w:szCs w:val="32"/>
          <w:u w:val="none"/>
          <w:lang w:eastAsia="zh-CN" w:bidi="ar"/>
        </w:rPr>
        <w:t>、</w:t>
      </w:r>
      <w:r>
        <w:rPr>
          <w:rFonts w:hint="eastAsia" w:ascii="方正仿宋_GBK" w:hAnsi="方正仿宋_GBK" w:eastAsia="方正仿宋_GBK" w:cs="方正仿宋_GBK"/>
          <w:bCs/>
          <w:sz w:val="32"/>
          <w:szCs w:val="32"/>
          <w:u w:val="none"/>
          <w:lang w:bidi="ar"/>
        </w:rPr>
        <w:t>“执转破”等破产案件审理效率。</w:t>
      </w:r>
      <w:r>
        <w:rPr>
          <w:rFonts w:hint="eastAsia" w:ascii="方正仿宋_GBK" w:hAnsi="方正仿宋_GBK" w:eastAsia="方正仿宋_GBK" w:cs="方正仿宋_GBK"/>
          <w:bCs/>
          <w:sz w:val="32"/>
          <w:szCs w:val="32"/>
          <w:u w:val="none"/>
          <w:lang w:val="en-US" w:eastAsia="zh-CN" w:bidi="ar"/>
        </w:rPr>
        <w:t>指导各盟市</w:t>
      </w:r>
      <w:r>
        <w:rPr>
          <w:rFonts w:hint="eastAsia" w:ascii="方正仿宋_GBK" w:hAnsi="方正仿宋_GBK" w:eastAsia="方正仿宋_GBK" w:cs="方正仿宋_GBK"/>
          <w:bCs/>
          <w:color w:val="auto"/>
          <w:sz w:val="32"/>
          <w:szCs w:val="32"/>
          <w:highlight w:val="none"/>
          <w:u w:val="none"/>
          <w:lang w:bidi="ar"/>
        </w:rPr>
        <w:t>建立健全破产援助资金管理</w:t>
      </w:r>
      <w:r>
        <w:rPr>
          <w:rFonts w:hint="eastAsia" w:ascii="方正仿宋_GBK" w:hAnsi="方正仿宋_GBK" w:eastAsia="方正仿宋_GBK" w:cs="方正仿宋_GBK"/>
          <w:bCs/>
          <w:color w:val="auto"/>
          <w:sz w:val="32"/>
          <w:szCs w:val="32"/>
          <w:highlight w:val="none"/>
          <w:u w:val="none"/>
          <w:lang w:eastAsia="zh-CN" w:bidi="ar"/>
        </w:rPr>
        <w:t>机制</w:t>
      </w:r>
      <w:r>
        <w:rPr>
          <w:rFonts w:hint="eastAsia" w:ascii="方正仿宋_GBK" w:hAnsi="方正仿宋_GBK" w:eastAsia="方正仿宋_GBK" w:cs="方正仿宋_GBK"/>
          <w:bCs/>
          <w:sz w:val="32"/>
          <w:szCs w:val="32"/>
          <w:u w:val="none"/>
          <w:lang w:bidi="ar"/>
        </w:rPr>
        <w:t>，完善优化破产援助资金审批方式，提升资金拨付效率。加强破产重整企业识别，建立破产工作统一协调机制，充分发挥政府与法院联动协调机制作用，采取综合模式挽救企业。</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z w:val="32"/>
          <w:szCs w:val="32"/>
          <w:u w:val="none"/>
          <w:lang w:bidi="ar"/>
        </w:rPr>
      </w:pPr>
      <w:r>
        <w:rPr>
          <w:rFonts w:hint="eastAsia" w:ascii="方正仿宋_GBK" w:hAnsi="方正仿宋_GBK" w:eastAsia="方正仿宋_GBK" w:cs="方正仿宋_GBK"/>
          <w:b w:val="0"/>
          <w:bCs/>
          <w:sz w:val="32"/>
          <w:szCs w:val="32"/>
          <w:u w:val="none"/>
          <w:lang w:bidi="ar"/>
        </w:rPr>
        <w:t>25.完善促进企业合规的法律服务体系。</w:t>
      </w:r>
      <w:r>
        <w:rPr>
          <w:rFonts w:hint="eastAsia" w:ascii="方正仿宋_GBK" w:hAnsi="方正仿宋_GBK" w:eastAsia="方正仿宋_GBK" w:cs="方正仿宋_GBK"/>
          <w:bCs/>
          <w:sz w:val="32"/>
          <w:szCs w:val="32"/>
          <w:u w:val="none"/>
          <w:lang w:bidi="ar"/>
        </w:rPr>
        <w:t>推动法律服务资源下</w:t>
      </w:r>
      <w:r>
        <w:rPr>
          <w:rFonts w:hint="eastAsia" w:ascii="方正仿宋_GBK" w:hAnsi="方正仿宋_GBK" w:eastAsia="方正仿宋_GBK" w:cs="方正仿宋_GBK"/>
          <w:bCs/>
          <w:spacing w:val="-6"/>
          <w:sz w:val="32"/>
          <w:szCs w:val="32"/>
          <w:u w:val="none"/>
          <w:lang w:bidi="ar"/>
        </w:rPr>
        <w:t>沉，从源头上帮助企业提升合规水平。构建企业合规管理体系，建</w:t>
      </w:r>
      <w:r>
        <w:rPr>
          <w:rFonts w:hint="eastAsia" w:ascii="方正仿宋_GBK" w:hAnsi="方正仿宋_GBK" w:eastAsia="方正仿宋_GBK" w:cs="方正仿宋_GBK"/>
          <w:bCs/>
          <w:sz w:val="32"/>
          <w:szCs w:val="32"/>
          <w:u w:val="none"/>
          <w:lang w:bidi="ar"/>
        </w:rPr>
        <w:t>立第三方机制专业人员名录库，完善涉案企业第三方监督评估机</w:t>
      </w:r>
      <w:r>
        <w:rPr>
          <w:rFonts w:hint="eastAsia" w:ascii="方正仿宋_GBK" w:hAnsi="方正仿宋_GBK" w:eastAsia="方正仿宋_GBK" w:cs="方正仿宋_GBK"/>
          <w:bCs/>
          <w:spacing w:val="-6"/>
          <w:sz w:val="32"/>
          <w:szCs w:val="32"/>
          <w:u w:val="none"/>
          <w:lang w:bidi="ar"/>
        </w:rPr>
        <w:t>制，扩大企业合规制度适用范围和覆盖</w:t>
      </w:r>
      <w:r>
        <w:rPr>
          <w:rFonts w:hint="eastAsia" w:ascii="方正仿宋_GBK" w:hAnsi="方正仿宋_GBK" w:eastAsia="方正仿宋_GBK" w:cs="方正仿宋_GBK"/>
          <w:bCs/>
          <w:color w:val="auto"/>
          <w:spacing w:val="-6"/>
          <w:sz w:val="32"/>
          <w:szCs w:val="32"/>
          <w:u w:val="none"/>
          <w:lang w:bidi="ar"/>
        </w:rPr>
        <w:t>率。制定不同类型案件、不</w:t>
      </w:r>
      <w:r>
        <w:rPr>
          <w:rFonts w:hint="eastAsia" w:ascii="方正仿宋_GBK" w:hAnsi="方正仿宋_GBK" w:eastAsia="方正仿宋_GBK" w:cs="方正仿宋_GBK"/>
          <w:bCs/>
          <w:color w:val="auto"/>
          <w:sz w:val="32"/>
          <w:szCs w:val="32"/>
          <w:u w:val="none"/>
          <w:lang w:bidi="ar"/>
        </w:rPr>
        <w:t>同类别企业、行业的专项或多项合规标准，促进企业涉案行</w:t>
      </w:r>
      <w:r>
        <w:rPr>
          <w:rFonts w:hint="eastAsia" w:ascii="方正仿宋_GBK" w:hAnsi="方正仿宋_GBK" w:eastAsia="方正仿宋_GBK" w:cs="方正仿宋_GBK"/>
          <w:bCs/>
          <w:sz w:val="32"/>
          <w:szCs w:val="32"/>
          <w:u w:val="none"/>
          <w:lang w:bidi="ar"/>
        </w:rPr>
        <w:t>为和</w:t>
      </w:r>
      <w:r>
        <w:rPr>
          <w:rFonts w:hint="eastAsia" w:ascii="方正仿宋_GBK" w:hAnsi="方正仿宋_GBK" w:eastAsia="方正仿宋_GBK" w:cs="方正仿宋_GBK"/>
          <w:bCs/>
          <w:spacing w:val="-11"/>
          <w:sz w:val="32"/>
          <w:szCs w:val="32"/>
          <w:u w:val="none"/>
          <w:lang w:bidi="ar"/>
        </w:rPr>
        <w:t>企业内部管理的合规整改，推动企业前端治理、末端治理一体化。推</w:t>
      </w:r>
      <w:r>
        <w:rPr>
          <w:rFonts w:hint="eastAsia" w:ascii="方正仿宋_GBK" w:hAnsi="方正仿宋_GBK" w:eastAsia="方正仿宋_GBK" w:cs="方正仿宋_GBK"/>
          <w:bCs/>
          <w:sz w:val="32"/>
          <w:szCs w:val="32"/>
          <w:u w:val="none"/>
          <w:lang w:bidi="ar"/>
        </w:rPr>
        <w:t>进公证事项在线办理，扩大“最多跑一次”公证事项范围。</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z w:val="32"/>
          <w:szCs w:val="32"/>
          <w:u w:val="none"/>
          <w:lang w:bidi="ar"/>
        </w:rPr>
      </w:pPr>
      <w:r>
        <w:rPr>
          <w:rFonts w:hint="eastAsia" w:ascii="方正仿宋_GBK" w:hAnsi="方正仿宋_GBK" w:eastAsia="方正仿宋_GBK" w:cs="方正仿宋_GBK"/>
          <w:b w:val="0"/>
          <w:bCs/>
          <w:sz w:val="32"/>
          <w:szCs w:val="32"/>
          <w:u w:val="none"/>
          <w:lang w:bidi="ar"/>
        </w:rPr>
        <w:t>26.依法保护民营企业产权和民营企业家权益。</w:t>
      </w:r>
      <w:r>
        <w:rPr>
          <w:rFonts w:hint="eastAsia" w:ascii="方正仿宋_GBK" w:hAnsi="方正仿宋_GBK" w:eastAsia="方正仿宋_GBK" w:cs="方正仿宋_GBK"/>
          <w:bCs/>
          <w:sz w:val="32"/>
          <w:szCs w:val="32"/>
          <w:u w:val="none"/>
          <w:lang w:bidi="ar"/>
        </w:rPr>
        <w:t>拓宽行政执法问题线索征集方式，为民营企业投诉、举报行政执法问题提供便利。建立完善与民营企业的常态化沟通交流机制，收集整理</w:t>
      </w:r>
      <w:r>
        <w:rPr>
          <w:rFonts w:hint="eastAsia" w:ascii="方正仿宋_GBK" w:hAnsi="方正仿宋_GBK" w:eastAsia="方正仿宋_GBK" w:cs="方正仿宋_GBK"/>
          <w:bCs/>
          <w:sz w:val="32"/>
          <w:szCs w:val="32"/>
          <w:u w:val="none"/>
          <w:lang w:eastAsia="zh-CN" w:bidi="ar"/>
        </w:rPr>
        <w:t>对</w:t>
      </w:r>
      <w:r>
        <w:rPr>
          <w:rFonts w:hint="eastAsia" w:ascii="方正仿宋_GBK" w:hAnsi="方正仿宋_GBK" w:eastAsia="方正仿宋_GBK" w:cs="方正仿宋_GBK"/>
          <w:bCs/>
          <w:sz w:val="32"/>
          <w:szCs w:val="32"/>
          <w:u w:val="none"/>
          <w:lang w:bidi="ar"/>
        </w:rPr>
        <w:t>行政执法监督工作</w:t>
      </w:r>
      <w:r>
        <w:rPr>
          <w:rFonts w:hint="eastAsia" w:ascii="方正仿宋_GBK" w:hAnsi="方正仿宋_GBK" w:eastAsia="方正仿宋_GBK" w:cs="方正仿宋_GBK"/>
          <w:bCs/>
          <w:sz w:val="32"/>
          <w:szCs w:val="32"/>
          <w:u w:val="none"/>
          <w:lang w:eastAsia="zh-CN" w:bidi="ar"/>
        </w:rPr>
        <w:t>的</w:t>
      </w:r>
      <w:r>
        <w:rPr>
          <w:rFonts w:hint="eastAsia" w:ascii="方正仿宋_GBK" w:hAnsi="方正仿宋_GBK" w:eastAsia="方正仿宋_GBK" w:cs="方正仿宋_GBK"/>
          <w:bCs/>
          <w:sz w:val="32"/>
          <w:szCs w:val="32"/>
          <w:u w:val="none"/>
          <w:lang w:bidi="ar"/>
        </w:rPr>
        <w:t>意见建议。针对恶意侵犯民营企业合法权益、扰乱正常市场秩序行为，由各级公安、市场监管部门依法予以严厉打击。积极运用司法手段推动破解民营企业急难愁盼问题，</w:t>
      </w:r>
      <w:r>
        <w:rPr>
          <w:rFonts w:hint="eastAsia" w:ascii="方正仿宋_GBK" w:hAnsi="方正仿宋_GBK" w:eastAsia="方正仿宋_GBK" w:cs="方正仿宋_GBK"/>
          <w:bCs/>
          <w:color w:val="auto"/>
          <w:sz w:val="32"/>
          <w:szCs w:val="32"/>
          <w:u w:val="none"/>
          <w:lang w:bidi="ar"/>
        </w:rPr>
        <w:t>及时</w:t>
      </w:r>
      <w:r>
        <w:rPr>
          <w:rFonts w:hint="eastAsia" w:ascii="方正仿宋_GBK" w:hAnsi="方正仿宋_GBK" w:eastAsia="方正仿宋_GBK" w:cs="方正仿宋_GBK"/>
          <w:bCs/>
          <w:color w:val="auto"/>
          <w:sz w:val="32"/>
          <w:szCs w:val="32"/>
          <w:u w:val="none"/>
          <w:lang w:val="en-US" w:eastAsia="zh-CN" w:bidi="ar"/>
        </w:rPr>
        <w:t>满足</w:t>
      </w:r>
      <w:r>
        <w:rPr>
          <w:rFonts w:hint="eastAsia" w:ascii="方正仿宋_GBK" w:hAnsi="方正仿宋_GBK" w:eastAsia="方正仿宋_GBK" w:cs="方正仿宋_GBK"/>
          <w:bCs/>
          <w:color w:val="auto"/>
          <w:sz w:val="32"/>
          <w:szCs w:val="32"/>
          <w:u w:val="none"/>
          <w:lang w:bidi="ar"/>
        </w:rPr>
        <w:t>民营企业司法服务需求。</w:t>
      </w:r>
      <w:r>
        <w:rPr>
          <w:rFonts w:hint="eastAsia" w:ascii="方正仿宋_GBK" w:hAnsi="方正仿宋_GBK" w:eastAsia="方正仿宋_GBK" w:cs="方正仿宋_GBK"/>
          <w:bCs/>
          <w:color w:val="auto"/>
          <w:sz w:val="32"/>
          <w:szCs w:val="32"/>
          <w:u w:val="none"/>
          <w:lang w:val="en-US" w:eastAsia="zh-CN" w:bidi="ar"/>
        </w:rPr>
        <w:t>开展</w:t>
      </w:r>
      <w:r>
        <w:rPr>
          <w:rFonts w:hint="eastAsia" w:ascii="方正仿宋_GBK" w:hAnsi="方正仿宋_GBK" w:eastAsia="方正仿宋_GBK" w:cs="方正仿宋_GBK"/>
          <w:bCs/>
          <w:color w:val="auto"/>
          <w:sz w:val="32"/>
          <w:szCs w:val="32"/>
          <w:u w:val="none"/>
          <w:lang w:bidi="ar"/>
        </w:rPr>
        <w:t>法律服务民营企业经验交流研讨活动和专题业务培训。支</w:t>
      </w:r>
      <w:r>
        <w:rPr>
          <w:rFonts w:hint="eastAsia" w:ascii="方正仿宋_GBK" w:hAnsi="方正仿宋_GBK" w:eastAsia="方正仿宋_GBK" w:cs="方正仿宋_GBK"/>
          <w:bCs/>
          <w:sz w:val="32"/>
          <w:szCs w:val="32"/>
          <w:u w:val="none"/>
          <w:lang w:bidi="ar"/>
        </w:rPr>
        <w:t>持常态化开展涉企刑事诉讼“挂案”清理工作。</w:t>
      </w:r>
    </w:p>
    <w:p>
      <w:pPr>
        <w:pStyle w:val="12"/>
        <w:keepNext w:val="0"/>
        <w:keepLines w:val="0"/>
        <w:pageBreakBefore w:val="0"/>
        <w:widowControl w:val="0"/>
        <w:kinsoku/>
        <w:overflowPunct/>
        <w:topLinePunct/>
        <w:autoSpaceDE/>
        <w:autoSpaceDN/>
        <w:bidi w:val="0"/>
        <w:spacing w:before="0" w:beforeAutospacing="0" w:after="0" w:afterAutospacing="0" w:line="580" w:lineRule="exact"/>
        <w:ind w:firstLine="640" w:firstLineChars="200"/>
        <w:jc w:val="both"/>
        <w:textAlignment w:val="auto"/>
        <w:outlineLvl w:val="1"/>
        <w:rPr>
          <w:rFonts w:hint="eastAsia" w:ascii="方正楷体_GBK" w:hAnsi="方正楷体_GBK" w:eastAsia="方正楷体_GBK" w:cs="方正楷体_GBK"/>
          <w:bCs/>
          <w:kern w:val="2"/>
          <w:sz w:val="32"/>
          <w:szCs w:val="32"/>
          <w:u w:val="none"/>
        </w:rPr>
      </w:pPr>
      <w:r>
        <w:rPr>
          <w:rFonts w:hint="eastAsia" w:ascii="方正楷体_GBK" w:hAnsi="方正楷体_GBK" w:eastAsia="方正楷体_GBK" w:cs="方正楷体_GBK"/>
          <w:bCs/>
          <w:kern w:val="2"/>
          <w:sz w:val="32"/>
          <w:szCs w:val="32"/>
          <w:u w:val="none"/>
        </w:rPr>
        <w:t>（四）鼓励创新示范引领，优化创新创业环境。</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z w:val="32"/>
          <w:szCs w:val="32"/>
          <w:u w:val="none"/>
          <w:lang w:bidi="ar"/>
        </w:rPr>
      </w:pPr>
      <w:r>
        <w:rPr>
          <w:rFonts w:hint="eastAsia" w:ascii="方正仿宋_GBK" w:hAnsi="方正仿宋_GBK" w:eastAsia="方正仿宋_GBK" w:cs="方正仿宋_GBK"/>
          <w:b w:val="0"/>
          <w:bCs/>
          <w:sz w:val="32"/>
          <w:szCs w:val="32"/>
          <w:u w:val="none"/>
          <w:lang w:bidi="ar"/>
        </w:rPr>
        <w:t>27.营造企业创新发展环境。</w:t>
      </w:r>
      <w:r>
        <w:rPr>
          <w:rFonts w:hint="eastAsia" w:ascii="方正仿宋_GBK" w:hAnsi="方正仿宋_GBK" w:eastAsia="方正仿宋_GBK" w:cs="方正仿宋_GBK"/>
          <w:bCs/>
          <w:sz w:val="32"/>
          <w:szCs w:val="32"/>
          <w:u w:val="none"/>
          <w:lang w:bidi="ar"/>
        </w:rPr>
        <w:t>推进科技型中小企业评价入库工作，推动更多符合条件的中小微科技型企业“应评尽评，应入尽入”。围绕发展新质生产力，布局氢能、新型储能、稀土新材料</w:t>
      </w:r>
      <w:r>
        <w:rPr>
          <w:rFonts w:hint="eastAsia" w:ascii="方正仿宋_GBK" w:hAnsi="方正仿宋_GBK" w:eastAsia="方正仿宋_GBK" w:cs="方正仿宋_GBK"/>
          <w:bCs/>
          <w:spacing w:val="-6"/>
          <w:sz w:val="32"/>
          <w:szCs w:val="32"/>
          <w:u w:val="none"/>
          <w:lang w:bidi="ar"/>
        </w:rPr>
        <w:t>等重点产业链，建立“小升高、高变强”的企业梯次培育体系，鼓</w:t>
      </w:r>
      <w:r>
        <w:rPr>
          <w:rFonts w:hint="eastAsia" w:ascii="方正仿宋_GBK" w:hAnsi="方正仿宋_GBK" w:eastAsia="方正仿宋_GBK" w:cs="方正仿宋_GBK"/>
          <w:bCs/>
          <w:sz w:val="32"/>
          <w:szCs w:val="32"/>
          <w:u w:val="none"/>
          <w:lang w:bidi="ar"/>
        </w:rPr>
        <w:t>励各地区建立地方高新技术企业培育库。强化创新创业服务能力建</w:t>
      </w:r>
      <w:r>
        <w:rPr>
          <w:rFonts w:hint="eastAsia" w:ascii="方正仿宋_GBK" w:hAnsi="方正仿宋_GBK" w:eastAsia="方正仿宋_GBK" w:cs="方正仿宋_GBK"/>
          <w:bCs/>
          <w:spacing w:val="-6"/>
          <w:sz w:val="32"/>
          <w:szCs w:val="32"/>
          <w:u w:val="none"/>
          <w:lang w:bidi="ar"/>
        </w:rPr>
        <w:t>设，加强科技企业孵化器、众创空间和大学科技园等布局建设，促</w:t>
      </w:r>
      <w:r>
        <w:rPr>
          <w:rFonts w:hint="eastAsia" w:ascii="方正仿宋_GBK" w:hAnsi="方正仿宋_GBK" w:eastAsia="方正仿宋_GBK" w:cs="方正仿宋_GBK"/>
          <w:bCs/>
          <w:sz w:val="32"/>
          <w:szCs w:val="32"/>
          <w:u w:val="none"/>
          <w:lang w:bidi="ar"/>
        </w:rPr>
        <w:t>进成为中小企业创新</w:t>
      </w:r>
      <w:r>
        <w:rPr>
          <w:rFonts w:hint="eastAsia" w:ascii="方正仿宋_GBK" w:hAnsi="方正仿宋_GBK" w:eastAsia="方正仿宋_GBK" w:cs="方正仿宋_GBK"/>
          <w:bCs/>
          <w:sz w:val="32"/>
          <w:szCs w:val="32"/>
          <w:u w:val="none"/>
          <w:lang w:val="en-US" w:eastAsia="zh-CN" w:bidi="ar"/>
        </w:rPr>
        <w:t>的</w:t>
      </w:r>
      <w:r>
        <w:rPr>
          <w:rFonts w:hint="eastAsia" w:ascii="方正仿宋_GBK" w:hAnsi="方正仿宋_GBK" w:eastAsia="方正仿宋_GBK" w:cs="方正仿宋_GBK"/>
          <w:bCs/>
          <w:sz w:val="32"/>
          <w:szCs w:val="32"/>
          <w:u w:val="none"/>
          <w:lang w:bidi="ar"/>
        </w:rPr>
        <w:t>重要发源地。建立与国家战略科技力量联动机制，支持企业牵头建设国家和自治区级重点实验室、技术创</w:t>
      </w:r>
      <w:r>
        <w:rPr>
          <w:rFonts w:hint="eastAsia" w:ascii="方正仿宋_GBK" w:hAnsi="方正仿宋_GBK" w:eastAsia="方正仿宋_GBK" w:cs="方正仿宋_GBK"/>
          <w:bCs/>
          <w:spacing w:val="-6"/>
          <w:sz w:val="32"/>
          <w:szCs w:val="32"/>
          <w:u w:val="none"/>
          <w:lang w:bidi="ar"/>
        </w:rPr>
        <w:t>新中心等重大创新平台，积极引进全国乃至世界顶级专家团队，大</w:t>
      </w:r>
      <w:r>
        <w:rPr>
          <w:rFonts w:hint="eastAsia" w:ascii="方正仿宋_GBK" w:hAnsi="方正仿宋_GBK" w:eastAsia="方正仿宋_GBK" w:cs="方正仿宋_GBK"/>
          <w:bCs/>
          <w:sz w:val="32"/>
          <w:szCs w:val="32"/>
          <w:u w:val="none"/>
          <w:lang w:bidi="ar"/>
        </w:rPr>
        <w:t>力实</w:t>
      </w:r>
      <w:r>
        <w:rPr>
          <w:rFonts w:hint="eastAsia" w:ascii="方正仿宋_GBK" w:hAnsi="方正仿宋_GBK" w:eastAsia="方正仿宋_GBK" w:cs="方正仿宋_GBK"/>
          <w:b w:val="0"/>
          <w:bCs/>
          <w:sz w:val="32"/>
          <w:szCs w:val="32"/>
          <w:u w:val="none"/>
          <w:lang w:bidi="ar"/>
        </w:rPr>
        <w:t>施科技“突围”工程，构建科技成果转化服务体系。加快建设“蒙科聚”平台，围绕科技“突围”工程，强化运</w:t>
      </w:r>
      <w:r>
        <w:rPr>
          <w:rFonts w:hint="eastAsia" w:ascii="方正仿宋_GBK" w:hAnsi="方正仿宋_GBK" w:eastAsia="方正仿宋_GBK" w:cs="方正仿宋_GBK"/>
          <w:bCs/>
          <w:sz w:val="32"/>
          <w:szCs w:val="32"/>
          <w:u w:val="none"/>
          <w:lang w:bidi="ar"/>
        </w:rPr>
        <w:t>营主体建设和“一张网”聚合功能，加快完善科技服务体系。</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z w:val="32"/>
          <w:szCs w:val="32"/>
          <w:u w:val="none"/>
          <w:lang w:bidi="ar"/>
        </w:rPr>
      </w:pPr>
      <w:r>
        <w:rPr>
          <w:rFonts w:hint="eastAsia" w:ascii="方正仿宋_GBK" w:hAnsi="方正仿宋_GBK" w:eastAsia="方正仿宋_GBK" w:cs="方正仿宋_GBK"/>
          <w:b w:val="0"/>
          <w:bCs/>
          <w:sz w:val="32"/>
          <w:szCs w:val="32"/>
          <w:u w:val="none"/>
          <w:lang w:bidi="ar"/>
        </w:rPr>
        <w:t>28.加大知识产权促进和保护力度。</w:t>
      </w:r>
      <w:r>
        <w:rPr>
          <w:rFonts w:hint="eastAsia" w:ascii="方正仿宋_GBK" w:hAnsi="方正仿宋_GBK" w:eastAsia="方正仿宋_GBK" w:cs="方正仿宋_GBK"/>
          <w:bCs/>
          <w:sz w:val="32"/>
          <w:szCs w:val="32"/>
          <w:u w:val="none"/>
          <w:lang w:bidi="ar"/>
        </w:rPr>
        <w:t>引导专利权人实施专利技术免费或低成本“一对多”开放许可，促进供需对接，推动专利技术转化运用。</w:t>
      </w:r>
      <w:r>
        <w:rPr>
          <w:rFonts w:hint="eastAsia" w:ascii="方正仿宋_GBK" w:hAnsi="方正仿宋_GBK" w:eastAsia="方正仿宋_GBK" w:cs="方正仿宋_GBK"/>
          <w:bCs/>
          <w:sz w:val="32"/>
          <w:szCs w:val="32"/>
          <w:u w:val="none"/>
          <w:lang w:val="en-US" w:eastAsia="zh-CN" w:bidi="ar"/>
        </w:rPr>
        <w:t>推动</w:t>
      </w:r>
      <w:r>
        <w:rPr>
          <w:rFonts w:hint="eastAsia" w:ascii="方正仿宋_GBK" w:hAnsi="方正仿宋_GBK" w:eastAsia="方正仿宋_GBK" w:cs="方正仿宋_GBK"/>
          <w:bCs/>
          <w:sz w:val="32"/>
          <w:szCs w:val="32"/>
          <w:u w:val="none"/>
          <w:lang w:bidi="ar"/>
        </w:rPr>
        <w:t>知识产权保护“一件事”集成服务改革，建立跨部门的知识产权协作保护机制，建成知识产权综合数据库和集成服务平台，形成知识产权授权预判、侵权预判机制和知识产权协同保护体系，构建便捷高效的知识产权保护格局。强化商标品牌和地理标志工作</w:t>
      </w:r>
      <w:r>
        <w:rPr>
          <w:rFonts w:hint="eastAsia" w:ascii="方正仿宋_GBK" w:hAnsi="方正仿宋_GBK" w:eastAsia="方正仿宋_GBK" w:cs="方正仿宋_GBK"/>
          <w:bCs/>
          <w:sz w:val="32"/>
          <w:szCs w:val="32"/>
          <w:u w:val="none"/>
          <w:lang w:eastAsia="zh-CN" w:bidi="ar"/>
        </w:rPr>
        <w:t>。</w:t>
      </w:r>
      <w:r>
        <w:rPr>
          <w:rFonts w:hint="eastAsia" w:ascii="方正仿宋_GBK" w:hAnsi="方正仿宋_GBK" w:eastAsia="方正仿宋_GBK" w:cs="方正仿宋_GBK"/>
          <w:bCs/>
          <w:sz w:val="32"/>
          <w:szCs w:val="32"/>
          <w:u w:val="none"/>
          <w:lang w:bidi="ar"/>
        </w:rPr>
        <w:t>开展“千企百城”商标品牌价值提升行动，布局建设商标品牌指导站、地理标志展示体验中心，深入实施地理标志运用促进工程，充分释放商标和地理标志品牌效应。以“蒙”字标认证为牵引，全面推进自治区农畜产品品牌建设。</w:t>
      </w:r>
    </w:p>
    <w:p>
      <w:pPr>
        <w:keepNext w:val="0"/>
        <w:keepLines w:val="0"/>
        <w:pageBreakBefore w:val="0"/>
        <w:widowControl w:val="0"/>
        <w:tabs>
          <w:tab w:val="left" w:pos="312"/>
        </w:tabs>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z w:val="32"/>
          <w:szCs w:val="32"/>
          <w:u w:val="none"/>
          <w:lang w:bidi="ar"/>
        </w:rPr>
      </w:pPr>
      <w:r>
        <w:rPr>
          <w:rFonts w:hint="eastAsia" w:ascii="方正仿宋_GBK" w:hAnsi="方正仿宋_GBK" w:eastAsia="方正仿宋_GBK" w:cs="方正仿宋_GBK"/>
          <w:b w:val="0"/>
          <w:bCs/>
          <w:sz w:val="32"/>
          <w:szCs w:val="32"/>
          <w:u w:val="none"/>
          <w:lang w:bidi="ar"/>
        </w:rPr>
        <w:t>29.打造宜居生活环境。</w:t>
      </w:r>
      <w:r>
        <w:rPr>
          <w:rFonts w:hint="eastAsia" w:ascii="方正仿宋_GBK" w:hAnsi="方正仿宋_GBK" w:eastAsia="方正仿宋_GBK" w:cs="方正仿宋_GBK"/>
          <w:bCs/>
          <w:sz w:val="32"/>
          <w:szCs w:val="32"/>
          <w:u w:val="none"/>
          <w:lang w:bidi="ar"/>
        </w:rPr>
        <w:t>促进义务教育优质均衡发展，推动城乡基础教育一体化。推动职业教育产教深度融合，持续推进产教融合试点建设。积极培育打造具有地方特色的公共文化服务品牌，重点支持全域共享的公共文化服务，争创国家级示范荣誉。全面落实《国家基本养老服务清单（2023版）》，加快完善养老服务设施网络。建立健全养老服务质量综合评价机制，开展养老服务质量满意度测评，推动养老服务标准化、规范化发展。完善公共卫生服务体系，提升家庭医生签约覆盖面和服务质量。</w:t>
      </w:r>
      <w:r>
        <w:rPr>
          <w:rFonts w:hint="eastAsia" w:ascii="方正仿宋_GBK" w:hAnsi="方正仿宋_GBK" w:eastAsia="方正仿宋_GBK" w:cs="方正仿宋_GBK"/>
          <w:bCs/>
          <w:sz w:val="32"/>
          <w:szCs w:val="32"/>
          <w:u w:val="none"/>
          <w:lang w:val="en-US" w:eastAsia="zh-CN" w:bidi="ar"/>
        </w:rPr>
        <w:t>通过</w:t>
      </w:r>
      <w:r>
        <w:rPr>
          <w:rFonts w:hint="eastAsia" w:ascii="方正仿宋_GBK" w:hAnsi="方正仿宋_GBK" w:eastAsia="方正仿宋_GBK" w:cs="方正仿宋_GBK"/>
          <w:bCs/>
          <w:sz w:val="32"/>
          <w:szCs w:val="32"/>
          <w:u w:val="none"/>
          <w:lang w:bidi="ar"/>
        </w:rPr>
        <w:t>“区块链+医疗健康服务”模式，推动医疗卫生场景下的真实数据实现交互、存储、溯源和安全管理，为居民提供高效便捷的就医体验。建立互联网医疗服务平台，将互联网诊疗行为纳入日常监督</w:t>
      </w:r>
      <w:r>
        <w:rPr>
          <w:rFonts w:hint="eastAsia" w:ascii="方正仿宋_GBK" w:hAnsi="方正仿宋_GBK" w:eastAsia="方正仿宋_GBK" w:cs="方正仿宋_GBK"/>
          <w:bCs/>
          <w:spacing w:val="-6"/>
          <w:sz w:val="32"/>
          <w:szCs w:val="32"/>
          <w:u w:val="none"/>
          <w:lang w:bidi="ar"/>
        </w:rPr>
        <w:t>检查范围，开展线上线下一体化监管。强化生态环境分区管控，</w:t>
      </w:r>
      <w:r>
        <w:rPr>
          <w:rFonts w:hint="eastAsia" w:ascii="方正仿宋_GBK" w:hAnsi="方正仿宋_GBK" w:eastAsia="方正仿宋_GBK" w:cs="方正仿宋_GBK"/>
          <w:bCs/>
          <w:spacing w:val="-6"/>
          <w:sz w:val="32"/>
          <w:szCs w:val="32"/>
          <w:u w:val="none"/>
          <w:lang w:eastAsia="zh-CN" w:bidi="ar"/>
        </w:rPr>
        <w:t>推</w:t>
      </w:r>
      <w:r>
        <w:rPr>
          <w:rFonts w:hint="eastAsia" w:ascii="方正仿宋_GBK" w:hAnsi="方正仿宋_GBK" w:eastAsia="方正仿宋_GBK" w:cs="方正仿宋_GBK"/>
          <w:bCs/>
          <w:sz w:val="32"/>
          <w:szCs w:val="32"/>
          <w:u w:val="none"/>
          <w:lang w:eastAsia="zh-CN" w:bidi="ar"/>
        </w:rPr>
        <w:t>进工业、交通、城乡建设、农牧业、生态建设等重点领域协同增效</w:t>
      </w:r>
      <w:r>
        <w:rPr>
          <w:rFonts w:hint="eastAsia" w:ascii="方正仿宋_GBK" w:hAnsi="方正仿宋_GBK" w:eastAsia="方正仿宋_GBK" w:cs="方正仿宋_GBK"/>
          <w:bCs/>
          <w:sz w:val="32"/>
          <w:szCs w:val="32"/>
          <w:u w:val="none"/>
          <w:lang w:bidi="ar"/>
        </w:rPr>
        <w:t>。持续推进蓝天保卫战、碧水保卫战、净土保卫战。</w:t>
      </w:r>
      <w:r>
        <w:rPr>
          <w:rFonts w:hint="eastAsia" w:ascii="方正仿宋_GBK" w:hAnsi="方正仿宋_GBK" w:eastAsia="方正仿宋_GBK" w:cs="方正仿宋_GBK"/>
          <w:bCs/>
          <w:color w:val="auto"/>
          <w:sz w:val="32"/>
          <w:szCs w:val="32"/>
          <w:u w:val="none"/>
          <w:lang w:bidi="ar"/>
        </w:rPr>
        <w:t>加快</w:t>
      </w:r>
      <w:r>
        <w:rPr>
          <w:rFonts w:hint="eastAsia" w:ascii="方正仿宋_GBK" w:hAnsi="方正仿宋_GBK" w:eastAsia="方正仿宋_GBK" w:cs="方正仿宋_GBK"/>
          <w:bCs/>
          <w:color w:val="auto"/>
          <w:sz w:val="32"/>
          <w:szCs w:val="32"/>
          <w:u w:val="none"/>
          <w:lang w:val="en-US" w:eastAsia="zh-CN" w:bidi="ar"/>
        </w:rPr>
        <w:t>研究</w:t>
      </w:r>
      <w:r>
        <w:rPr>
          <w:rFonts w:hint="eastAsia" w:ascii="方正仿宋_GBK" w:hAnsi="方正仿宋_GBK" w:eastAsia="方正仿宋_GBK" w:cs="方正仿宋_GBK"/>
          <w:bCs/>
          <w:color w:val="auto"/>
          <w:sz w:val="32"/>
          <w:szCs w:val="32"/>
          <w:u w:val="none"/>
          <w:lang w:bidi="ar"/>
        </w:rPr>
        <w:t>呼包鄂乌减污降碳协同增效有效模式，积极建设减污降碳</w:t>
      </w:r>
      <w:r>
        <w:rPr>
          <w:rFonts w:hint="eastAsia" w:ascii="方正仿宋_GBK" w:hAnsi="方正仿宋_GBK" w:eastAsia="方正仿宋_GBK" w:cs="方正仿宋_GBK"/>
          <w:bCs/>
          <w:sz w:val="32"/>
          <w:szCs w:val="32"/>
          <w:u w:val="none"/>
          <w:lang w:bidi="ar"/>
        </w:rPr>
        <w:t>创新试点，推动包头市气候投融资试点和呼伦贝尔市、乌海市低碳城市建设。大力推行“一单制”联运服务，推进公路、铁路、航空等运输方式的高效衔接，推动大宗物资运输实现“公转铁”，促进智慧物流新技术和新模式充分发展。</w:t>
      </w:r>
    </w:p>
    <w:p>
      <w:pPr>
        <w:pStyle w:val="12"/>
        <w:keepNext w:val="0"/>
        <w:keepLines w:val="0"/>
        <w:pageBreakBefore w:val="0"/>
        <w:widowControl w:val="0"/>
        <w:kinsoku/>
        <w:overflowPunct/>
        <w:topLinePunct/>
        <w:autoSpaceDE/>
        <w:autoSpaceDN/>
        <w:bidi w:val="0"/>
        <w:spacing w:before="0" w:beforeAutospacing="0" w:after="0" w:afterAutospacing="0" w:line="580" w:lineRule="exact"/>
        <w:ind w:firstLine="640" w:firstLineChars="200"/>
        <w:jc w:val="both"/>
        <w:textAlignment w:val="auto"/>
        <w:outlineLvl w:val="1"/>
        <w:rPr>
          <w:rFonts w:hint="eastAsia" w:ascii="方正楷体_GBK" w:hAnsi="方正楷体_GBK" w:eastAsia="方正楷体_GBK" w:cs="方正楷体_GBK"/>
          <w:bCs/>
          <w:kern w:val="2"/>
          <w:sz w:val="32"/>
          <w:szCs w:val="32"/>
          <w:u w:val="none"/>
        </w:rPr>
      </w:pPr>
      <w:r>
        <w:rPr>
          <w:rFonts w:hint="eastAsia" w:ascii="方正楷体_GBK" w:hAnsi="方正楷体_GBK" w:eastAsia="方正楷体_GBK" w:cs="方正楷体_GBK"/>
          <w:bCs/>
          <w:kern w:val="2"/>
          <w:sz w:val="32"/>
          <w:szCs w:val="32"/>
          <w:u w:val="none"/>
        </w:rPr>
        <w:t>（五）强化重商安商亲商，构建亲清政商关系。</w:t>
      </w:r>
    </w:p>
    <w:p>
      <w:pPr>
        <w:keepNext w:val="0"/>
        <w:keepLines w:val="0"/>
        <w:pageBreakBefore w:val="0"/>
        <w:widowControl w:val="0"/>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z w:val="32"/>
          <w:szCs w:val="32"/>
          <w:u w:val="none"/>
          <w:lang w:bidi="ar"/>
        </w:rPr>
      </w:pPr>
      <w:r>
        <w:rPr>
          <w:rFonts w:hint="eastAsia" w:ascii="方正仿宋_GBK" w:hAnsi="方正仿宋_GBK" w:eastAsia="方正仿宋_GBK" w:cs="方正仿宋_GBK"/>
          <w:b w:val="0"/>
          <w:bCs/>
          <w:sz w:val="32"/>
          <w:szCs w:val="32"/>
          <w:u w:val="none"/>
          <w:lang w:bidi="ar"/>
        </w:rPr>
        <w:t>30.健全领导干部联系企业制度</w:t>
      </w:r>
      <w:r>
        <w:rPr>
          <w:rFonts w:hint="eastAsia" w:ascii="方正仿宋_GBK" w:hAnsi="方正仿宋_GBK" w:eastAsia="方正仿宋_GBK" w:cs="方正仿宋_GBK"/>
          <w:b w:val="0"/>
          <w:bCs/>
          <w:color w:val="auto"/>
          <w:sz w:val="32"/>
          <w:szCs w:val="32"/>
          <w:u w:val="none"/>
          <w:lang w:bidi="ar"/>
        </w:rPr>
        <w:t>。</w:t>
      </w:r>
      <w:r>
        <w:rPr>
          <w:rFonts w:hint="eastAsia" w:ascii="方正仿宋_GBK" w:hAnsi="方正仿宋_GBK" w:eastAsia="方正仿宋_GBK" w:cs="方正仿宋_GBK"/>
          <w:bCs/>
          <w:color w:val="auto"/>
          <w:sz w:val="32"/>
          <w:szCs w:val="32"/>
          <w:u w:val="none"/>
          <w:lang w:bidi="ar"/>
        </w:rPr>
        <w:t>完善领导干部联系走访民营企业和商（协）会制度，</w:t>
      </w:r>
      <w:r>
        <w:rPr>
          <w:rFonts w:hint="eastAsia" w:ascii="方正仿宋_GBK" w:hAnsi="方正仿宋_GBK" w:eastAsia="方正仿宋_GBK" w:cs="方正仿宋_GBK"/>
          <w:bCs/>
          <w:color w:val="auto"/>
          <w:sz w:val="32"/>
          <w:szCs w:val="32"/>
          <w:u w:val="none"/>
          <w:lang w:val="en-US" w:eastAsia="zh-CN" w:bidi="ar"/>
        </w:rPr>
        <w:t>领导干部</w:t>
      </w:r>
      <w:r>
        <w:rPr>
          <w:rFonts w:hint="eastAsia" w:ascii="方正仿宋_GBK" w:hAnsi="方正仿宋_GBK" w:eastAsia="方正仿宋_GBK" w:cs="方正仿宋_GBK"/>
          <w:bCs/>
          <w:color w:val="auto"/>
          <w:sz w:val="32"/>
          <w:szCs w:val="32"/>
          <w:u w:val="none"/>
          <w:lang w:bidi="ar"/>
        </w:rPr>
        <w:t>深入企业、商（协）会面对面了解经营情况，实打实帮助解决困难</w:t>
      </w:r>
      <w:r>
        <w:rPr>
          <w:rFonts w:hint="eastAsia" w:ascii="方正仿宋_GBK" w:hAnsi="方正仿宋_GBK" w:eastAsia="方正仿宋_GBK" w:cs="方正仿宋_GBK"/>
          <w:bCs/>
          <w:color w:val="auto"/>
          <w:sz w:val="32"/>
          <w:szCs w:val="32"/>
          <w:u w:val="none"/>
          <w:lang w:eastAsia="zh-CN" w:bidi="ar"/>
        </w:rPr>
        <w:t>。</w:t>
      </w:r>
      <w:r>
        <w:rPr>
          <w:rFonts w:hint="eastAsia" w:ascii="方正仿宋_GBK" w:hAnsi="方正仿宋_GBK" w:eastAsia="方正仿宋_GBK" w:cs="方正仿宋_GBK"/>
          <w:bCs/>
          <w:color w:val="auto"/>
          <w:sz w:val="32"/>
          <w:szCs w:val="32"/>
          <w:u w:val="none"/>
          <w:lang w:bidi="ar"/>
        </w:rPr>
        <w:t>畅通民营企业家直接向领导干部反映问题、提出建议的渠道。充分发挥工商联、商（协）会同民营企业联系密切的优势，形成高效便捷的民营企业家意见建议收集反映、办理落实、督查反馈工作机制。支持各地区</w:t>
      </w:r>
      <w:r>
        <w:rPr>
          <w:rFonts w:hint="eastAsia" w:ascii="方正仿宋_GBK" w:hAnsi="方正仿宋_GBK" w:eastAsia="方正仿宋_GBK" w:cs="方正仿宋_GBK"/>
          <w:bCs/>
          <w:color w:val="auto"/>
          <w:sz w:val="32"/>
          <w:szCs w:val="32"/>
          <w:u w:val="none"/>
          <w:lang w:eastAsia="zh-CN" w:bidi="ar"/>
        </w:rPr>
        <w:t>、</w:t>
      </w:r>
      <w:r>
        <w:rPr>
          <w:rFonts w:hint="eastAsia" w:ascii="方正仿宋_GBK" w:hAnsi="方正仿宋_GBK" w:eastAsia="方正仿宋_GBK" w:cs="方正仿宋_GBK"/>
          <w:bCs/>
          <w:color w:val="auto"/>
          <w:sz w:val="32"/>
          <w:szCs w:val="32"/>
          <w:u w:val="none"/>
          <w:lang w:bidi="ar"/>
        </w:rPr>
        <w:t>各有关部门聘请民营企业家担任营商环境监督员，对涉企政策落实</w:t>
      </w:r>
      <w:r>
        <w:rPr>
          <w:rFonts w:hint="eastAsia" w:ascii="方正仿宋_GBK" w:hAnsi="方正仿宋_GBK" w:eastAsia="方正仿宋_GBK" w:cs="方正仿宋_GBK"/>
          <w:bCs/>
          <w:sz w:val="32"/>
          <w:szCs w:val="32"/>
          <w:u w:val="none"/>
          <w:lang w:bidi="ar"/>
        </w:rPr>
        <w:t>和服务情况进行评议监督。</w:t>
      </w:r>
    </w:p>
    <w:p>
      <w:pPr>
        <w:keepNext w:val="0"/>
        <w:keepLines w:val="0"/>
        <w:pageBreakBefore w:val="0"/>
        <w:widowControl w:val="0"/>
        <w:kinsoku/>
        <w:overflowPunct/>
        <w:topLinePunct/>
        <w:autoSpaceDE/>
        <w:autoSpaceDN/>
        <w:bidi w:val="0"/>
        <w:spacing w:line="580" w:lineRule="exact"/>
        <w:ind w:firstLine="640" w:firstLineChars="200"/>
        <w:textAlignment w:val="auto"/>
        <w:rPr>
          <w:rFonts w:hint="eastAsia" w:ascii="方正仿宋_GBK" w:hAnsi="方正仿宋_GBK" w:eastAsia="方正仿宋_GBK" w:cs="方正仿宋_GBK"/>
          <w:bCs/>
          <w:sz w:val="32"/>
          <w:szCs w:val="32"/>
          <w:u w:val="none"/>
          <w:lang w:bidi="ar"/>
        </w:rPr>
      </w:pPr>
      <w:r>
        <w:rPr>
          <w:rFonts w:hint="eastAsia" w:ascii="方正仿宋_GBK" w:hAnsi="方正仿宋_GBK" w:eastAsia="方正仿宋_GBK" w:cs="方正仿宋_GBK"/>
          <w:b w:val="0"/>
          <w:bCs/>
          <w:sz w:val="32"/>
          <w:szCs w:val="32"/>
          <w:u w:val="none"/>
          <w:lang w:bidi="ar"/>
        </w:rPr>
        <w:t>31.积极推动惠企政策落实兑现。</w:t>
      </w:r>
      <w:r>
        <w:rPr>
          <w:rFonts w:hint="eastAsia" w:ascii="方正仿宋_GBK" w:hAnsi="方正仿宋_GBK" w:eastAsia="方正仿宋_GBK" w:cs="方正仿宋_GBK"/>
          <w:bCs/>
          <w:sz w:val="32"/>
          <w:szCs w:val="32"/>
          <w:u w:val="none"/>
          <w:lang w:bidi="ar"/>
        </w:rPr>
        <w:t>聚焦“政策落地工程”，用足用好国务院支持意见及各部委配套措施、部区合作协议</w:t>
      </w:r>
      <w:r>
        <w:rPr>
          <w:rFonts w:hint="eastAsia" w:ascii="方正仿宋_GBK" w:hAnsi="方正仿宋_GBK" w:eastAsia="方正仿宋_GBK" w:cs="方正仿宋_GBK"/>
          <w:bCs/>
          <w:color w:val="auto"/>
          <w:sz w:val="32"/>
          <w:szCs w:val="32"/>
          <w:u w:val="none"/>
          <w:lang w:bidi="ar"/>
        </w:rPr>
        <w:t>，用足用好我区享有的西部大开发、黄河流域生态保护和高质量发展、“三北”工程攻坚战等国家战略支持政策，</w:t>
      </w:r>
      <w:r>
        <w:rPr>
          <w:rFonts w:hint="eastAsia" w:ascii="方正仿宋_GBK" w:hAnsi="方正仿宋_GBK" w:eastAsia="方正仿宋_GBK" w:cs="方正仿宋_GBK"/>
          <w:bCs/>
          <w:color w:val="auto"/>
          <w:sz w:val="32"/>
          <w:szCs w:val="32"/>
          <w:u w:val="none"/>
          <w:lang w:val="en-US" w:eastAsia="zh-CN" w:bidi="ar"/>
        </w:rPr>
        <w:t>以及</w:t>
      </w:r>
      <w:r>
        <w:rPr>
          <w:rFonts w:hint="eastAsia" w:ascii="方正仿宋_GBK" w:hAnsi="方正仿宋_GBK" w:eastAsia="方正仿宋_GBK" w:cs="方正仿宋_GBK"/>
          <w:bCs/>
          <w:color w:val="auto"/>
          <w:sz w:val="32"/>
          <w:szCs w:val="32"/>
          <w:u w:val="none"/>
          <w:lang w:bidi="ar"/>
        </w:rPr>
        <w:t>国家对欠发达地区、资源型地区，边疆地区、民族地区的支持政策，切实把政策红利变成现实生产力。推动各地区</w:t>
      </w:r>
      <w:r>
        <w:rPr>
          <w:rFonts w:hint="eastAsia" w:ascii="方正仿宋_GBK" w:hAnsi="方正仿宋_GBK" w:eastAsia="方正仿宋_GBK" w:cs="方正仿宋_GBK"/>
          <w:bCs/>
          <w:color w:val="auto"/>
          <w:sz w:val="32"/>
          <w:szCs w:val="32"/>
          <w:u w:val="none"/>
          <w:lang w:eastAsia="zh-CN" w:bidi="ar"/>
        </w:rPr>
        <w:t>、</w:t>
      </w:r>
      <w:r>
        <w:rPr>
          <w:rFonts w:hint="eastAsia" w:ascii="方正仿宋_GBK" w:hAnsi="方正仿宋_GBK" w:eastAsia="方正仿宋_GBK" w:cs="方正仿宋_GBK"/>
          <w:bCs/>
          <w:color w:val="auto"/>
          <w:sz w:val="32"/>
          <w:szCs w:val="32"/>
          <w:u w:val="none"/>
          <w:lang w:bidi="ar"/>
        </w:rPr>
        <w:t>各</w:t>
      </w:r>
      <w:r>
        <w:rPr>
          <w:rFonts w:hint="eastAsia" w:ascii="方正仿宋_GBK" w:hAnsi="方正仿宋_GBK" w:eastAsia="方正仿宋_GBK" w:cs="方正仿宋_GBK"/>
          <w:bCs/>
          <w:color w:val="auto"/>
          <w:sz w:val="32"/>
          <w:szCs w:val="32"/>
          <w:u w:val="none"/>
          <w:lang w:val="en-US" w:eastAsia="zh-CN" w:bidi="ar"/>
        </w:rPr>
        <w:t>有关</w:t>
      </w:r>
      <w:r>
        <w:rPr>
          <w:rFonts w:hint="eastAsia" w:ascii="方正仿宋_GBK" w:hAnsi="方正仿宋_GBK" w:eastAsia="方正仿宋_GBK" w:cs="方正仿宋_GBK"/>
          <w:bCs/>
          <w:color w:val="auto"/>
          <w:sz w:val="32"/>
          <w:szCs w:val="32"/>
          <w:u w:val="none"/>
          <w:lang w:bidi="ar"/>
        </w:rPr>
        <w:t>部门开展惠企政</w:t>
      </w:r>
      <w:r>
        <w:rPr>
          <w:rFonts w:hint="eastAsia" w:ascii="方正仿宋_GBK" w:hAnsi="方正仿宋_GBK" w:eastAsia="方正仿宋_GBK" w:cs="方正仿宋_GBK"/>
          <w:bCs/>
          <w:sz w:val="32"/>
          <w:szCs w:val="32"/>
          <w:u w:val="none"/>
          <w:lang w:bidi="ar"/>
        </w:rPr>
        <w:t>策解读，推动政策精准匹配、快速直达。提高政策公开精准度，对便民惠企政策公开情况进行专项检查。</w:t>
      </w:r>
    </w:p>
    <w:p>
      <w:pPr>
        <w:keepNext w:val="0"/>
        <w:keepLines w:val="0"/>
        <w:pageBreakBefore w:val="0"/>
        <w:widowControl w:val="0"/>
        <w:kinsoku/>
        <w:overflowPunct/>
        <w:topLinePunct/>
        <w:autoSpaceDE/>
        <w:autoSpaceDN/>
        <w:bidi w:val="0"/>
        <w:spacing w:line="580" w:lineRule="exact"/>
        <w:ind w:firstLine="640" w:firstLineChars="200"/>
        <w:jc w:val="both"/>
        <w:textAlignment w:val="auto"/>
        <w:rPr>
          <w:rFonts w:hint="eastAsia" w:ascii="方正仿宋_GBK" w:hAnsi="方正仿宋_GBK" w:eastAsia="方正仿宋_GBK" w:cs="方正仿宋_GBK"/>
          <w:bCs/>
          <w:sz w:val="32"/>
          <w:szCs w:val="32"/>
          <w:u w:val="none"/>
        </w:rPr>
      </w:pPr>
      <w:r>
        <w:rPr>
          <w:rFonts w:hint="eastAsia" w:ascii="方正仿宋_GBK" w:hAnsi="方正仿宋_GBK" w:eastAsia="方正仿宋_GBK" w:cs="方正仿宋_GBK"/>
          <w:b w:val="0"/>
          <w:bCs/>
          <w:sz w:val="32"/>
          <w:szCs w:val="32"/>
          <w:u w:val="none"/>
          <w:lang w:bidi="ar"/>
        </w:rPr>
        <w:t>32.推进企业和群众诉求“一线应答”。</w:t>
      </w:r>
      <w:r>
        <w:rPr>
          <w:rFonts w:hint="eastAsia" w:ascii="方正仿宋_GBK" w:hAnsi="方正仿宋_GBK" w:eastAsia="方正仿宋_GBK" w:cs="方正仿宋_GBK"/>
          <w:bCs/>
          <w:sz w:val="32"/>
          <w:szCs w:val="32"/>
          <w:u w:val="none"/>
          <w:lang w:bidi="ar"/>
        </w:rPr>
        <w:t>依托12345政务服务便民热线，整合畅通投诉举报渠道，加强12345政务服务便民热线与96888民营企业服务热线、违约拖欠中小企业账款登记（投诉）平台、“蒙企通”平台等渠道的互联互通和数据共享，受理营商环境建设相关咨询、投诉、求助、建议。提升全区12345政务服务便民热线企业专席服务质效，高效联动“蒙速办·帮您办”窗口，为经营主体提供全流程帮办代办服务。在优惠政策制定、实施、监督、评价等方面，畅通12345政务服务便民热线政策建议渠道，广泛征集经营主体意见建议，全面、客观评价优惠政策落实成效，推动政策服务更好满足企业需求。</w:t>
      </w:r>
    </w:p>
    <w:p>
      <w:pPr>
        <w:keepNext w:val="0"/>
        <w:keepLines w:val="0"/>
        <w:pageBreakBefore w:val="0"/>
        <w:widowControl w:val="0"/>
        <w:suppressAutoHyphens/>
        <w:kinsoku/>
        <w:overflowPunct/>
        <w:topLinePunct/>
        <w:autoSpaceDE/>
        <w:autoSpaceDN/>
        <w:bidi w:val="0"/>
        <w:spacing w:line="580" w:lineRule="exact"/>
        <w:ind w:firstLine="640" w:firstLineChars="200"/>
        <w:textAlignment w:val="auto"/>
        <w:outlineLvl w:val="0"/>
        <w:rPr>
          <w:rFonts w:hint="eastAsia" w:ascii="方正黑体_GBK" w:hAnsi="方正黑体_GBK" w:eastAsia="方正黑体_GBK" w:cs="方正黑体_GBK"/>
          <w:bCs/>
          <w:sz w:val="32"/>
          <w:szCs w:val="32"/>
          <w:u w:val="none"/>
        </w:rPr>
      </w:pPr>
      <w:r>
        <w:rPr>
          <w:rFonts w:hint="eastAsia" w:ascii="方正黑体_GBK" w:hAnsi="方正黑体_GBK" w:eastAsia="方正黑体_GBK" w:cs="方正黑体_GBK"/>
          <w:bCs/>
          <w:sz w:val="32"/>
          <w:szCs w:val="32"/>
          <w:u w:val="none"/>
          <w:lang w:val="en-US" w:eastAsia="zh-CN"/>
        </w:rPr>
        <w:t>二</w:t>
      </w:r>
      <w:r>
        <w:rPr>
          <w:rFonts w:hint="eastAsia" w:ascii="方正黑体_GBK" w:hAnsi="方正黑体_GBK" w:eastAsia="方正黑体_GBK" w:cs="方正黑体_GBK"/>
          <w:bCs/>
          <w:sz w:val="32"/>
          <w:szCs w:val="32"/>
          <w:u w:val="none"/>
        </w:rPr>
        <w:t>、保障措施</w:t>
      </w:r>
    </w:p>
    <w:p>
      <w:pPr>
        <w:pStyle w:val="12"/>
        <w:keepNext w:val="0"/>
        <w:keepLines w:val="0"/>
        <w:pageBreakBefore w:val="0"/>
        <w:widowControl w:val="0"/>
        <w:kinsoku/>
        <w:overflowPunct/>
        <w:topLinePunct/>
        <w:autoSpaceDE/>
        <w:autoSpaceDN/>
        <w:bidi w:val="0"/>
        <w:spacing w:before="0" w:beforeAutospacing="0" w:after="0" w:afterAutospacing="0" w:line="580" w:lineRule="exact"/>
        <w:ind w:firstLine="640" w:firstLineChars="200"/>
        <w:jc w:val="both"/>
        <w:textAlignment w:val="auto"/>
        <w:outlineLvl w:val="1"/>
        <w:rPr>
          <w:rFonts w:hint="eastAsia" w:ascii="方正仿宋_GBK" w:hAnsi="方正仿宋_GBK" w:eastAsia="方正仿宋_GBK" w:cs="方正仿宋_GBK"/>
          <w:bCs/>
          <w:kern w:val="2"/>
          <w:sz w:val="32"/>
          <w:szCs w:val="32"/>
          <w:u w:val="none"/>
        </w:rPr>
      </w:pPr>
      <w:r>
        <w:rPr>
          <w:rFonts w:hint="eastAsia" w:ascii="方正楷体_GBK" w:hAnsi="方正楷体_GBK" w:eastAsia="方正楷体_GBK" w:cs="方正楷体_GBK"/>
          <w:bCs/>
          <w:sz w:val="32"/>
          <w:szCs w:val="32"/>
          <w:u w:val="none"/>
        </w:rPr>
        <w:t>（一）加强组织领导。</w:t>
      </w:r>
      <w:r>
        <w:rPr>
          <w:rFonts w:hint="eastAsia" w:ascii="方正仿宋_GBK" w:hAnsi="方正仿宋_GBK" w:eastAsia="方正仿宋_GBK" w:cs="方正仿宋_GBK"/>
          <w:bCs/>
          <w:color w:val="auto"/>
          <w:kern w:val="2"/>
          <w:sz w:val="32"/>
          <w:szCs w:val="32"/>
          <w:u w:val="none"/>
          <w:lang w:eastAsia="zh-CN"/>
        </w:rPr>
        <w:t>各</w:t>
      </w:r>
      <w:r>
        <w:rPr>
          <w:rFonts w:hint="eastAsia" w:ascii="方正仿宋_GBK" w:hAnsi="方正仿宋_GBK" w:eastAsia="方正仿宋_GBK" w:cs="方正仿宋_GBK"/>
          <w:bCs/>
          <w:color w:val="auto"/>
          <w:kern w:val="2"/>
          <w:sz w:val="32"/>
          <w:szCs w:val="32"/>
          <w:u w:val="none"/>
        </w:rPr>
        <w:t>级人民政府要把优化营商环境作为工作重点，加强政策措施衔接配套，监督指导改革举措的贯彻落实。自治区政府职能转变和数字政府建设领导小组优化营商环境组要加强统筹协调</w:t>
      </w:r>
      <w:r>
        <w:rPr>
          <w:rFonts w:hint="eastAsia" w:ascii="方正仿宋_GBK" w:hAnsi="方正仿宋_GBK" w:eastAsia="方正仿宋_GBK" w:cs="方正仿宋_GBK"/>
          <w:bCs/>
          <w:color w:val="auto"/>
          <w:kern w:val="2"/>
          <w:sz w:val="32"/>
          <w:szCs w:val="32"/>
          <w:u w:val="none"/>
          <w:lang w:eastAsia="zh-CN"/>
        </w:rPr>
        <w:t>。</w:t>
      </w:r>
      <w:r>
        <w:rPr>
          <w:rFonts w:hint="eastAsia" w:ascii="方正仿宋_GBK" w:hAnsi="方正仿宋_GBK" w:eastAsia="方正仿宋_GBK" w:cs="方正仿宋_GBK"/>
          <w:bCs/>
          <w:color w:val="auto"/>
          <w:kern w:val="2"/>
          <w:sz w:val="32"/>
          <w:szCs w:val="32"/>
          <w:u w:val="none"/>
        </w:rPr>
        <w:t>自治区各有关部门要围绕本方案确定的目标</w:t>
      </w:r>
      <w:r>
        <w:rPr>
          <w:rFonts w:hint="eastAsia" w:ascii="方正仿宋_GBK" w:hAnsi="方正仿宋_GBK" w:eastAsia="方正仿宋_GBK" w:cs="方正仿宋_GBK"/>
          <w:bCs/>
          <w:color w:val="auto"/>
          <w:spacing w:val="-6"/>
          <w:kern w:val="2"/>
          <w:sz w:val="32"/>
          <w:szCs w:val="32"/>
          <w:u w:val="none"/>
        </w:rPr>
        <w:t>和任务分工，实行项目化、清单化管理，明确责任部门和人员，层</w:t>
      </w:r>
      <w:r>
        <w:rPr>
          <w:rFonts w:hint="eastAsia" w:ascii="方正仿宋_GBK" w:hAnsi="方正仿宋_GBK" w:eastAsia="方正仿宋_GBK" w:cs="方正仿宋_GBK"/>
          <w:bCs/>
          <w:color w:val="auto"/>
          <w:kern w:val="2"/>
          <w:sz w:val="32"/>
          <w:szCs w:val="32"/>
          <w:u w:val="none"/>
        </w:rPr>
        <w:t>层压实责任。建</w:t>
      </w:r>
      <w:r>
        <w:rPr>
          <w:rFonts w:hint="eastAsia" w:ascii="方正仿宋_GBK" w:hAnsi="方正仿宋_GBK" w:eastAsia="方正仿宋_GBK" w:cs="方正仿宋_GBK"/>
          <w:bCs/>
          <w:color w:val="auto"/>
          <w:kern w:val="2"/>
          <w:sz w:val="32"/>
          <w:szCs w:val="32"/>
          <w:u w:val="none"/>
          <w:lang w:val="en-US" w:eastAsia="zh-CN"/>
        </w:rPr>
        <w:t>立工作情况和</w:t>
      </w:r>
      <w:r>
        <w:rPr>
          <w:rFonts w:hint="eastAsia" w:ascii="方正仿宋_GBK" w:hAnsi="方正仿宋_GBK" w:eastAsia="方正仿宋_GBK" w:cs="方正仿宋_GBK"/>
          <w:bCs/>
          <w:color w:val="auto"/>
          <w:kern w:val="2"/>
          <w:sz w:val="32"/>
          <w:szCs w:val="32"/>
          <w:u w:val="none"/>
        </w:rPr>
        <w:t>信息报送机制，</w:t>
      </w:r>
      <w:r>
        <w:rPr>
          <w:rFonts w:hint="eastAsia" w:ascii="方正仿宋_GBK" w:hAnsi="方正仿宋_GBK" w:eastAsia="方正仿宋_GBK" w:cs="方正仿宋_GBK"/>
          <w:bCs/>
          <w:color w:val="auto"/>
          <w:kern w:val="2"/>
          <w:sz w:val="32"/>
          <w:szCs w:val="32"/>
          <w:u w:val="none"/>
          <w:lang w:val="en-US" w:eastAsia="zh-CN"/>
        </w:rPr>
        <w:t>各地区、各有关部门要定期</w:t>
      </w:r>
      <w:r>
        <w:rPr>
          <w:rFonts w:hint="eastAsia" w:ascii="方正仿宋_GBK" w:hAnsi="方正仿宋_GBK" w:eastAsia="方正仿宋_GBK" w:cs="方正仿宋_GBK"/>
          <w:bCs/>
          <w:color w:val="auto"/>
          <w:kern w:val="2"/>
          <w:sz w:val="32"/>
          <w:szCs w:val="32"/>
          <w:u w:val="none"/>
        </w:rPr>
        <w:t>向自治区政府职能转变和数字政府建设领导小组</w:t>
      </w:r>
      <w:r>
        <w:rPr>
          <w:rFonts w:hint="eastAsia" w:ascii="方正仿宋_GBK" w:hAnsi="方正仿宋_GBK" w:eastAsia="方正仿宋_GBK" w:cs="方正仿宋_GBK"/>
          <w:bCs/>
          <w:color w:val="auto"/>
          <w:kern w:val="2"/>
          <w:sz w:val="32"/>
          <w:szCs w:val="32"/>
          <w:u w:val="none"/>
          <w:lang w:val="en-US" w:eastAsia="zh-CN"/>
        </w:rPr>
        <w:t>办公室</w:t>
      </w:r>
      <w:r>
        <w:rPr>
          <w:rFonts w:hint="eastAsia" w:ascii="方正仿宋_GBK" w:hAnsi="方正仿宋_GBK" w:eastAsia="方正仿宋_GBK" w:cs="方正仿宋_GBK"/>
          <w:bCs/>
          <w:color w:val="auto"/>
          <w:kern w:val="2"/>
          <w:sz w:val="32"/>
          <w:szCs w:val="32"/>
          <w:u w:val="none"/>
          <w:lang w:eastAsia="zh-CN"/>
        </w:rPr>
        <w:t>（</w:t>
      </w:r>
      <w:r>
        <w:rPr>
          <w:rFonts w:hint="eastAsia" w:ascii="方正仿宋_GBK" w:hAnsi="方正仿宋_GBK" w:eastAsia="方正仿宋_GBK" w:cs="方正仿宋_GBK"/>
          <w:bCs/>
          <w:color w:val="auto"/>
          <w:kern w:val="2"/>
          <w:sz w:val="32"/>
          <w:szCs w:val="32"/>
          <w:u w:val="none"/>
        </w:rPr>
        <w:t>设在自治区政务服务与数据管理局</w:t>
      </w:r>
      <w:r>
        <w:rPr>
          <w:rFonts w:hint="eastAsia" w:ascii="方正仿宋_GBK" w:hAnsi="方正仿宋_GBK" w:eastAsia="方正仿宋_GBK" w:cs="方正仿宋_GBK"/>
          <w:bCs/>
          <w:color w:val="auto"/>
          <w:kern w:val="2"/>
          <w:sz w:val="32"/>
          <w:szCs w:val="32"/>
          <w:u w:val="none"/>
          <w:lang w:eastAsia="zh-CN"/>
        </w:rPr>
        <w:t>）</w:t>
      </w:r>
      <w:r>
        <w:rPr>
          <w:rFonts w:hint="eastAsia" w:ascii="方正仿宋_GBK" w:hAnsi="方正仿宋_GBK" w:eastAsia="方正仿宋_GBK" w:cs="方正仿宋_GBK"/>
          <w:bCs/>
          <w:color w:val="auto"/>
          <w:kern w:val="2"/>
          <w:sz w:val="32"/>
          <w:szCs w:val="32"/>
          <w:u w:val="none"/>
        </w:rPr>
        <w:t>报送改革推进中的重</w:t>
      </w:r>
      <w:r>
        <w:rPr>
          <w:rFonts w:hint="eastAsia" w:ascii="方正仿宋_GBK" w:hAnsi="方正仿宋_GBK" w:eastAsia="方正仿宋_GBK" w:cs="方正仿宋_GBK"/>
          <w:bCs/>
          <w:kern w:val="2"/>
          <w:sz w:val="32"/>
          <w:szCs w:val="32"/>
          <w:u w:val="none"/>
        </w:rPr>
        <w:t>大情况、重大进展和存在问题。</w:t>
      </w:r>
    </w:p>
    <w:p>
      <w:pPr>
        <w:pStyle w:val="12"/>
        <w:keepNext w:val="0"/>
        <w:keepLines w:val="0"/>
        <w:pageBreakBefore w:val="0"/>
        <w:widowControl w:val="0"/>
        <w:kinsoku/>
        <w:overflowPunct/>
        <w:topLinePunct/>
        <w:autoSpaceDE/>
        <w:autoSpaceDN/>
        <w:bidi w:val="0"/>
        <w:spacing w:before="0" w:beforeAutospacing="0" w:after="0" w:afterAutospacing="0" w:line="580" w:lineRule="exact"/>
        <w:ind w:firstLine="640" w:firstLineChars="200"/>
        <w:jc w:val="both"/>
        <w:textAlignment w:val="auto"/>
        <w:outlineLvl w:val="1"/>
        <w:rPr>
          <w:rFonts w:hint="eastAsia" w:ascii="方正仿宋_GBK" w:hAnsi="方正仿宋_GBK" w:eastAsia="方正仿宋_GBK" w:cs="方正仿宋_GBK"/>
          <w:bCs/>
          <w:kern w:val="2"/>
          <w:sz w:val="32"/>
          <w:szCs w:val="32"/>
          <w:u w:val="none"/>
        </w:rPr>
      </w:pPr>
      <w:r>
        <w:rPr>
          <w:rFonts w:hint="eastAsia" w:ascii="方正楷体_GBK" w:hAnsi="方正楷体_GBK" w:eastAsia="方正楷体_GBK" w:cs="方正楷体_GBK"/>
          <w:bCs/>
          <w:sz w:val="32"/>
          <w:szCs w:val="32"/>
          <w:u w:val="none"/>
        </w:rPr>
        <w:t>（二）鼓励改革创新。</w:t>
      </w:r>
      <w:r>
        <w:rPr>
          <w:rFonts w:hint="eastAsia" w:ascii="方正仿宋_GBK" w:hAnsi="方正仿宋_GBK" w:eastAsia="方正仿宋_GBK" w:cs="方正仿宋_GBK"/>
          <w:bCs/>
          <w:kern w:val="2"/>
          <w:sz w:val="32"/>
          <w:szCs w:val="32"/>
          <w:u w:val="none"/>
        </w:rPr>
        <w:t>激发和调动</w:t>
      </w:r>
      <w:r>
        <w:rPr>
          <w:rFonts w:hint="eastAsia" w:ascii="方正仿宋_GBK" w:hAnsi="方正仿宋_GBK" w:eastAsia="方正仿宋_GBK" w:cs="方正仿宋_GBK"/>
          <w:bCs/>
          <w:color w:val="auto"/>
          <w:kern w:val="2"/>
          <w:sz w:val="32"/>
          <w:szCs w:val="32"/>
          <w:u w:val="none"/>
        </w:rPr>
        <w:t>各地区</w:t>
      </w:r>
      <w:r>
        <w:rPr>
          <w:rFonts w:hint="eastAsia" w:ascii="方正仿宋_GBK" w:hAnsi="方正仿宋_GBK" w:eastAsia="方正仿宋_GBK" w:cs="方正仿宋_GBK"/>
          <w:bCs/>
          <w:color w:val="auto"/>
          <w:kern w:val="2"/>
          <w:sz w:val="32"/>
          <w:szCs w:val="32"/>
          <w:u w:val="none"/>
          <w:lang w:eastAsia="zh-CN"/>
        </w:rPr>
        <w:t>、</w:t>
      </w:r>
      <w:r>
        <w:rPr>
          <w:rFonts w:hint="eastAsia" w:ascii="方正仿宋_GBK" w:hAnsi="方正仿宋_GBK" w:eastAsia="方正仿宋_GBK" w:cs="方正仿宋_GBK"/>
          <w:bCs/>
          <w:color w:val="auto"/>
          <w:kern w:val="2"/>
          <w:sz w:val="32"/>
          <w:szCs w:val="32"/>
          <w:u w:val="none"/>
        </w:rPr>
        <w:t>各</w:t>
      </w:r>
      <w:r>
        <w:rPr>
          <w:rFonts w:hint="eastAsia" w:ascii="方正仿宋_GBK" w:hAnsi="方正仿宋_GBK" w:eastAsia="方正仿宋_GBK" w:cs="方正仿宋_GBK"/>
          <w:bCs/>
          <w:color w:val="auto"/>
          <w:kern w:val="2"/>
          <w:sz w:val="32"/>
          <w:szCs w:val="32"/>
          <w:u w:val="none"/>
          <w:lang w:val="en-US" w:eastAsia="zh-CN"/>
        </w:rPr>
        <w:t>有关</w:t>
      </w:r>
      <w:r>
        <w:rPr>
          <w:rFonts w:hint="eastAsia" w:ascii="方正仿宋_GBK" w:hAnsi="方正仿宋_GBK" w:eastAsia="方正仿宋_GBK" w:cs="方正仿宋_GBK"/>
          <w:bCs/>
          <w:color w:val="auto"/>
          <w:kern w:val="2"/>
          <w:sz w:val="32"/>
          <w:szCs w:val="32"/>
          <w:u w:val="none"/>
        </w:rPr>
        <w:t>部门推动营商环境改革的积极性、主动性和创造性，鼓励大胆试、大胆闯</w:t>
      </w:r>
      <w:r>
        <w:rPr>
          <w:rFonts w:hint="eastAsia" w:ascii="方正仿宋_GBK" w:hAnsi="方正仿宋_GBK" w:eastAsia="方正仿宋_GBK" w:cs="方正仿宋_GBK"/>
          <w:bCs/>
          <w:kern w:val="2"/>
          <w:sz w:val="32"/>
          <w:szCs w:val="32"/>
          <w:u w:val="none"/>
        </w:rPr>
        <w:t>、自主改，在法治框架内积极探索原创性、差异化的改革措施。支持重点区域创新引领，通过场景应用重塑业务流程，推出更多系统性改革创新举措，形成一批原创性、差异化的典型经验做法，打造更多营商环境“单项冠军”。</w:t>
      </w:r>
    </w:p>
    <w:p>
      <w:pPr>
        <w:keepNext w:val="0"/>
        <w:keepLines w:val="0"/>
        <w:pageBreakBefore w:val="0"/>
        <w:widowControl w:val="0"/>
        <w:numPr>
          <w:ilvl w:val="0"/>
          <w:numId w:val="0"/>
        </w:numPr>
        <w:kinsoku/>
        <w:overflowPunct/>
        <w:topLinePunct/>
        <w:autoSpaceDE/>
        <w:autoSpaceDN/>
        <w:bidi w:val="0"/>
        <w:spacing w:before="0" w:beforeAutospacing="0" w:after="0" w:afterAutospacing="0" w:line="580" w:lineRule="exact"/>
        <w:ind w:firstLine="640" w:firstLineChars="200"/>
        <w:textAlignment w:val="auto"/>
        <w:outlineLvl w:val="1"/>
        <w:rPr>
          <w:rFonts w:hint="eastAsia" w:ascii="方正仿宋_GBK" w:hAnsi="方正仿宋_GBK" w:eastAsia="方正仿宋_GBK" w:cs="方正仿宋_GBK"/>
          <w:bCs/>
          <w:color w:val="auto"/>
          <w:kern w:val="2"/>
          <w:sz w:val="32"/>
          <w:szCs w:val="32"/>
          <w:u w:val="none"/>
        </w:rPr>
      </w:pPr>
      <w:r>
        <w:rPr>
          <w:rFonts w:hint="eastAsia" w:ascii="方正楷体_GBK" w:hAnsi="方正楷体_GBK" w:eastAsia="方正楷体_GBK" w:cs="方正楷体_GBK"/>
          <w:bCs/>
          <w:kern w:val="0"/>
          <w:sz w:val="32"/>
          <w:szCs w:val="32"/>
          <w:u w:val="none"/>
          <w:lang w:eastAsia="zh-CN" w:bidi="ar"/>
        </w:rPr>
        <w:t>（</w:t>
      </w:r>
      <w:r>
        <w:rPr>
          <w:rFonts w:hint="eastAsia" w:ascii="方正楷体_GBK" w:hAnsi="方正楷体_GBK" w:eastAsia="方正楷体_GBK" w:cs="方正楷体_GBK"/>
          <w:bCs/>
          <w:kern w:val="0"/>
          <w:sz w:val="32"/>
          <w:szCs w:val="32"/>
          <w:u w:val="none"/>
          <w:lang w:val="en-US" w:eastAsia="zh-CN" w:bidi="ar"/>
        </w:rPr>
        <w:t>三</w:t>
      </w:r>
      <w:r>
        <w:rPr>
          <w:rFonts w:hint="eastAsia" w:ascii="方正楷体_GBK" w:hAnsi="方正楷体_GBK" w:eastAsia="方正楷体_GBK" w:cs="方正楷体_GBK"/>
          <w:bCs/>
          <w:kern w:val="0"/>
          <w:sz w:val="32"/>
          <w:szCs w:val="32"/>
          <w:u w:val="none"/>
          <w:lang w:eastAsia="zh-CN" w:bidi="ar"/>
        </w:rPr>
        <w:t>）</w:t>
      </w:r>
      <w:r>
        <w:rPr>
          <w:rFonts w:hint="eastAsia" w:ascii="方正楷体_GBK" w:hAnsi="方正楷体_GBK" w:eastAsia="方正楷体_GBK" w:cs="方正楷体_GBK"/>
          <w:bCs/>
          <w:kern w:val="0"/>
          <w:sz w:val="32"/>
          <w:szCs w:val="32"/>
          <w:u w:val="none"/>
          <w:lang w:bidi="ar"/>
        </w:rPr>
        <w:t>实行约谈</w:t>
      </w:r>
      <w:r>
        <w:rPr>
          <w:rFonts w:hint="eastAsia" w:ascii="方正楷体_GBK" w:hAnsi="方正楷体_GBK" w:eastAsia="方正楷体_GBK" w:cs="方正楷体_GBK"/>
          <w:bCs/>
          <w:kern w:val="0"/>
          <w:sz w:val="32"/>
          <w:szCs w:val="32"/>
          <w:u w:val="none"/>
          <w:lang w:val="en-US" w:eastAsia="zh-CN" w:bidi="ar"/>
        </w:rPr>
        <w:t>通报</w:t>
      </w:r>
      <w:r>
        <w:rPr>
          <w:rFonts w:hint="eastAsia" w:ascii="方正楷体_GBK" w:hAnsi="方正楷体_GBK" w:eastAsia="方正楷体_GBK" w:cs="方正楷体_GBK"/>
          <w:bCs/>
          <w:kern w:val="0"/>
          <w:sz w:val="32"/>
          <w:szCs w:val="32"/>
          <w:u w:val="none"/>
          <w:lang w:bidi="ar"/>
        </w:rPr>
        <w:t>。</w:t>
      </w:r>
      <w:r>
        <w:rPr>
          <w:rFonts w:hint="eastAsia" w:ascii="方正仿宋_GBK" w:hAnsi="方正仿宋_GBK" w:eastAsia="方正仿宋_GBK" w:cs="方正仿宋_GBK"/>
          <w:bCs/>
          <w:sz w:val="32"/>
          <w:szCs w:val="32"/>
          <w:u w:val="none"/>
          <w:lang w:bidi="ar"/>
        </w:rPr>
        <w:t>建立完善</w:t>
      </w:r>
      <w:r>
        <w:rPr>
          <w:rFonts w:hint="eastAsia" w:ascii="方正仿宋_GBK" w:hAnsi="方正仿宋_GBK" w:eastAsia="方正仿宋_GBK" w:cs="方正仿宋_GBK"/>
          <w:bCs/>
          <w:sz w:val="32"/>
          <w:szCs w:val="32"/>
          <w:u w:val="none"/>
          <w:lang w:val="en-US" w:eastAsia="zh-CN" w:bidi="ar"/>
        </w:rPr>
        <w:t>推进方案落实的约谈、评估和通报机制，将</w:t>
      </w:r>
      <w:r>
        <w:rPr>
          <w:rFonts w:hint="eastAsia" w:ascii="方正仿宋_GBK" w:hAnsi="方正仿宋_GBK" w:eastAsia="方正仿宋_GBK" w:cs="方正仿宋_GBK"/>
          <w:bCs/>
          <w:sz w:val="32"/>
          <w:szCs w:val="32"/>
          <w:u w:val="none"/>
          <w:lang w:bidi="ar"/>
        </w:rPr>
        <w:t>160项重点任务推进落实情况</w:t>
      </w:r>
      <w:r>
        <w:rPr>
          <w:rFonts w:hint="eastAsia" w:ascii="方正仿宋_GBK" w:hAnsi="方正仿宋_GBK" w:eastAsia="方正仿宋_GBK" w:cs="方正仿宋_GBK"/>
          <w:bCs/>
          <w:sz w:val="32"/>
          <w:szCs w:val="32"/>
          <w:u w:val="none"/>
          <w:lang w:val="en-US" w:eastAsia="zh-CN" w:bidi="ar"/>
        </w:rPr>
        <w:t>作为评价</w:t>
      </w:r>
      <w:r>
        <w:rPr>
          <w:rFonts w:hint="eastAsia" w:ascii="方正仿宋_GBK" w:hAnsi="方正仿宋_GBK" w:eastAsia="方正仿宋_GBK" w:cs="方正仿宋_GBK"/>
          <w:bCs/>
          <w:sz w:val="32"/>
          <w:szCs w:val="32"/>
          <w:u w:val="none"/>
          <w:lang w:bidi="ar"/>
        </w:rPr>
        <w:t>营商环境</w:t>
      </w:r>
      <w:r>
        <w:rPr>
          <w:rFonts w:hint="eastAsia" w:ascii="方正仿宋_GBK" w:hAnsi="方正仿宋_GBK" w:eastAsia="方正仿宋_GBK" w:cs="方正仿宋_GBK"/>
          <w:bCs/>
          <w:sz w:val="32"/>
          <w:szCs w:val="32"/>
          <w:u w:val="none"/>
          <w:lang w:val="en-US" w:eastAsia="zh-CN" w:bidi="ar"/>
        </w:rPr>
        <w:t>工作的重要依据</w:t>
      </w:r>
      <w:r>
        <w:rPr>
          <w:rFonts w:hint="eastAsia" w:ascii="方正仿宋_GBK" w:hAnsi="方正仿宋_GBK" w:eastAsia="方正仿宋_GBK" w:cs="方正仿宋_GBK"/>
          <w:bCs/>
          <w:sz w:val="32"/>
          <w:szCs w:val="32"/>
          <w:u w:val="none"/>
          <w:lang w:bidi="ar"/>
        </w:rPr>
        <w:t>，开展</w:t>
      </w:r>
      <w:r>
        <w:rPr>
          <w:rFonts w:hint="eastAsia" w:ascii="方正仿宋_GBK" w:hAnsi="方正仿宋_GBK" w:eastAsia="方正仿宋_GBK" w:cs="方正仿宋_GBK"/>
          <w:bCs/>
          <w:sz w:val="32"/>
          <w:szCs w:val="32"/>
          <w:u w:val="none"/>
          <w:lang w:val="en-US" w:eastAsia="zh-CN" w:bidi="ar"/>
        </w:rPr>
        <w:t>跟踪</w:t>
      </w:r>
      <w:r>
        <w:rPr>
          <w:rFonts w:hint="eastAsia" w:ascii="方正仿宋_GBK" w:hAnsi="方正仿宋_GBK" w:eastAsia="方正仿宋_GBK" w:cs="方正仿宋_GBK"/>
          <w:bCs/>
          <w:sz w:val="32"/>
          <w:szCs w:val="32"/>
          <w:u w:val="none"/>
          <w:lang w:bidi="ar"/>
        </w:rPr>
        <w:t>问效</w:t>
      </w:r>
      <w:r>
        <w:rPr>
          <w:rFonts w:hint="eastAsia" w:ascii="方正仿宋_GBK" w:hAnsi="方正仿宋_GBK" w:eastAsia="方正仿宋_GBK" w:cs="方正仿宋_GBK"/>
          <w:bCs/>
          <w:sz w:val="32"/>
          <w:szCs w:val="32"/>
          <w:u w:val="none"/>
          <w:lang w:eastAsia="zh-CN" w:bidi="ar"/>
        </w:rPr>
        <w:t>、</w:t>
      </w:r>
      <w:r>
        <w:rPr>
          <w:rFonts w:hint="eastAsia" w:ascii="方正仿宋_GBK" w:hAnsi="方正仿宋_GBK" w:eastAsia="方正仿宋_GBK" w:cs="方正仿宋_GBK"/>
          <w:bCs/>
          <w:sz w:val="32"/>
          <w:szCs w:val="32"/>
          <w:u w:val="none"/>
          <w:lang w:val="en-US" w:eastAsia="zh-CN" w:bidi="ar"/>
        </w:rPr>
        <w:t>强力推动落实</w:t>
      </w:r>
      <w:r>
        <w:rPr>
          <w:rFonts w:hint="eastAsia" w:ascii="方正仿宋_GBK" w:hAnsi="方正仿宋_GBK" w:eastAsia="方正仿宋_GBK" w:cs="方正仿宋_GBK"/>
          <w:bCs/>
          <w:sz w:val="32"/>
          <w:szCs w:val="32"/>
          <w:u w:val="none"/>
          <w:lang w:bidi="ar"/>
        </w:rPr>
        <w:t>，</w:t>
      </w:r>
      <w:r>
        <w:rPr>
          <w:rFonts w:hint="eastAsia" w:ascii="方正仿宋_GBK" w:hAnsi="方正仿宋_GBK" w:eastAsia="方正仿宋_GBK" w:cs="方正仿宋_GBK"/>
          <w:bCs/>
          <w:color w:val="auto"/>
          <w:sz w:val="32"/>
          <w:szCs w:val="32"/>
          <w:u w:val="none"/>
          <w:lang w:bidi="ar"/>
        </w:rPr>
        <w:t>对</w:t>
      </w:r>
      <w:r>
        <w:rPr>
          <w:rFonts w:hint="eastAsia" w:ascii="方正仿宋_GBK" w:hAnsi="方正仿宋_GBK" w:eastAsia="方正仿宋_GBK" w:cs="方正仿宋_GBK"/>
          <w:bCs/>
          <w:color w:val="auto"/>
          <w:sz w:val="32"/>
          <w:szCs w:val="32"/>
          <w:u w:val="none"/>
          <w:lang w:val="en-US" w:eastAsia="zh-CN" w:bidi="ar"/>
        </w:rPr>
        <w:t>优化营商环境工作</w:t>
      </w:r>
      <w:r>
        <w:rPr>
          <w:rFonts w:hint="eastAsia" w:ascii="方正仿宋_GBK" w:hAnsi="方正仿宋_GBK" w:eastAsia="方正仿宋_GBK" w:cs="方正仿宋_GBK"/>
          <w:bCs/>
          <w:color w:val="auto"/>
          <w:sz w:val="32"/>
          <w:szCs w:val="32"/>
          <w:u w:val="none"/>
          <w:lang w:bidi="ar"/>
        </w:rPr>
        <w:t>任务推进缓慢、市场主体</w:t>
      </w:r>
      <w:r>
        <w:rPr>
          <w:rFonts w:hint="eastAsia" w:ascii="方正仿宋_GBK" w:hAnsi="方正仿宋_GBK" w:eastAsia="方正仿宋_GBK" w:cs="方正仿宋_GBK"/>
          <w:bCs/>
          <w:color w:val="auto"/>
          <w:sz w:val="32"/>
          <w:szCs w:val="32"/>
          <w:u w:val="none"/>
          <w:lang w:val="en-US" w:eastAsia="zh-CN" w:bidi="ar"/>
        </w:rPr>
        <w:t>和群众</w:t>
      </w:r>
      <w:r>
        <w:rPr>
          <w:rFonts w:hint="eastAsia" w:ascii="方正仿宋_GBK" w:hAnsi="方正仿宋_GBK" w:eastAsia="方正仿宋_GBK" w:cs="方正仿宋_GBK"/>
          <w:bCs/>
          <w:color w:val="auto"/>
          <w:sz w:val="32"/>
          <w:szCs w:val="32"/>
          <w:u w:val="none"/>
          <w:lang w:bidi="ar"/>
        </w:rPr>
        <w:t>满意度低、</w:t>
      </w:r>
      <w:r>
        <w:rPr>
          <w:rFonts w:hint="eastAsia" w:ascii="方正仿宋_GBK" w:hAnsi="方正仿宋_GBK" w:eastAsia="方正仿宋_GBK" w:cs="方正仿宋_GBK"/>
          <w:bCs/>
          <w:color w:val="auto"/>
          <w:sz w:val="32"/>
          <w:szCs w:val="32"/>
          <w:u w:val="none"/>
          <w:lang w:val="en-US" w:eastAsia="zh-CN" w:bidi="ar"/>
        </w:rPr>
        <w:t>反映问题强烈的</w:t>
      </w:r>
      <w:r>
        <w:rPr>
          <w:rFonts w:hint="eastAsia" w:ascii="方正仿宋_GBK" w:hAnsi="方正仿宋_GBK" w:eastAsia="方正仿宋_GBK" w:cs="方正仿宋_GBK"/>
          <w:bCs/>
          <w:color w:val="auto"/>
          <w:sz w:val="32"/>
          <w:szCs w:val="32"/>
          <w:u w:val="none"/>
          <w:lang w:bidi="ar"/>
        </w:rPr>
        <w:t>地区</w:t>
      </w:r>
      <w:r>
        <w:rPr>
          <w:rFonts w:hint="eastAsia" w:ascii="方正仿宋_GBK" w:hAnsi="方正仿宋_GBK" w:eastAsia="方正仿宋_GBK" w:cs="方正仿宋_GBK"/>
          <w:bCs/>
          <w:color w:val="auto"/>
          <w:sz w:val="32"/>
          <w:szCs w:val="32"/>
          <w:u w:val="none"/>
          <w:lang w:val="en-US" w:eastAsia="zh-CN" w:bidi="ar"/>
        </w:rPr>
        <w:t>和部门予以通报</w:t>
      </w:r>
      <w:r>
        <w:rPr>
          <w:rFonts w:hint="eastAsia" w:ascii="方正仿宋_GBK" w:hAnsi="方正仿宋_GBK" w:eastAsia="方正仿宋_GBK" w:cs="方正仿宋_GBK"/>
          <w:bCs/>
          <w:color w:val="auto"/>
          <w:sz w:val="32"/>
          <w:szCs w:val="32"/>
          <w:u w:val="none"/>
          <w:lang w:bidi="ar"/>
        </w:rPr>
        <w:t>，</w:t>
      </w:r>
      <w:r>
        <w:rPr>
          <w:rFonts w:hint="eastAsia" w:ascii="方正仿宋_GBK" w:hAnsi="方正仿宋_GBK" w:eastAsia="方正仿宋_GBK" w:cs="方正仿宋_GBK"/>
          <w:bCs/>
          <w:color w:val="auto"/>
          <w:sz w:val="32"/>
          <w:szCs w:val="32"/>
          <w:u w:val="none"/>
          <w:lang w:eastAsia="zh-CN" w:bidi="ar"/>
        </w:rPr>
        <w:t>并</w:t>
      </w:r>
      <w:r>
        <w:rPr>
          <w:rFonts w:hint="eastAsia" w:ascii="方正仿宋_GBK" w:hAnsi="方正仿宋_GBK" w:eastAsia="方正仿宋_GBK" w:cs="方正仿宋_GBK"/>
          <w:bCs/>
          <w:color w:val="auto"/>
          <w:sz w:val="32"/>
          <w:szCs w:val="32"/>
          <w:u w:val="none"/>
          <w:lang w:val="en-US" w:eastAsia="zh-CN" w:bidi="ar"/>
        </w:rPr>
        <w:t>根据需要约谈相关地区、部门</w:t>
      </w:r>
      <w:r>
        <w:rPr>
          <w:rFonts w:hint="eastAsia" w:ascii="方正仿宋_GBK" w:hAnsi="方正仿宋_GBK" w:eastAsia="方正仿宋_GBK" w:cs="方正仿宋_GBK"/>
          <w:bCs/>
          <w:color w:val="auto"/>
          <w:sz w:val="32"/>
          <w:szCs w:val="32"/>
          <w:u w:val="none"/>
          <w:lang w:bidi="ar"/>
        </w:rPr>
        <w:t>负责</w:t>
      </w:r>
      <w:r>
        <w:rPr>
          <w:rFonts w:hint="eastAsia" w:ascii="方正仿宋_GBK" w:hAnsi="方正仿宋_GBK" w:eastAsia="方正仿宋_GBK" w:cs="方正仿宋_GBK"/>
          <w:bCs/>
          <w:color w:val="auto"/>
          <w:sz w:val="32"/>
          <w:szCs w:val="32"/>
          <w:u w:val="none"/>
          <w:lang w:val="en-US" w:eastAsia="zh-CN" w:bidi="ar"/>
        </w:rPr>
        <w:t>人。</w:t>
      </w:r>
    </w:p>
    <w:p>
      <w:pPr>
        <w:pStyle w:val="12"/>
        <w:keepNext w:val="0"/>
        <w:keepLines w:val="0"/>
        <w:pageBreakBefore w:val="0"/>
        <w:widowControl w:val="0"/>
        <w:kinsoku/>
        <w:overflowPunct/>
        <w:topLinePunct/>
        <w:autoSpaceDE/>
        <w:autoSpaceDN/>
        <w:bidi w:val="0"/>
        <w:spacing w:before="0" w:beforeAutospacing="0" w:after="0" w:afterAutospacing="0" w:line="580" w:lineRule="exact"/>
        <w:ind w:firstLine="640" w:firstLineChars="200"/>
        <w:jc w:val="both"/>
        <w:textAlignment w:val="auto"/>
        <w:outlineLvl w:val="1"/>
        <w:rPr>
          <w:rFonts w:hint="eastAsia" w:ascii="方正仿宋_GBK" w:hAnsi="方正仿宋_GBK" w:eastAsia="方正仿宋_GBK" w:cs="方正仿宋_GBK"/>
          <w:bCs/>
          <w:kern w:val="2"/>
          <w:sz w:val="32"/>
          <w:szCs w:val="32"/>
          <w:u w:val="none"/>
          <w:lang w:eastAsia="zh-CN"/>
        </w:rPr>
      </w:pPr>
      <w:r>
        <w:rPr>
          <w:rFonts w:hint="eastAsia" w:ascii="方正楷体_GBK" w:hAnsi="方正楷体_GBK" w:eastAsia="方正楷体_GBK" w:cs="方正楷体_GBK"/>
          <w:bCs/>
          <w:kern w:val="2"/>
          <w:sz w:val="32"/>
          <w:szCs w:val="32"/>
          <w:u w:val="none"/>
        </w:rPr>
        <w:t>（</w:t>
      </w:r>
      <w:r>
        <w:rPr>
          <w:rFonts w:hint="eastAsia" w:ascii="方正楷体_GBK" w:hAnsi="方正楷体_GBK" w:eastAsia="方正楷体_GBK" w:cs="方正楷体_GBK"/>
          <w:bCs/>
          <w:kern w:val="2"/>
          <w:sz w:val="32"/>
          <w:szCs w:val="32"/>
          <w:u w:val="none"/>
          <w:lang w:val="en-US" w:eastAsia="zh-CN"/>
        </w:rPr>
        <w:t>四</w:t>
      </w:r>
      <w:r>
        <w:rPr>
          <w:rFonts w:hint="eastAsia" w:ascii="方正楷体_GBK" w:hAnsi="方正楷体_GBK" w:eastAsia="方正楷体_GBK" w:cs="方正楷体_GBK"/>
          <w:bCs/>
          <w:kern w:val="2"/>
          <w:sz w:val="32"/>
          <w:szCs w:val="32"/>
          <w:u w:val="none"/>
        </w:rPr>
        <w:t>）加强</w:t>
      </w:r>
      <w:r>
        <w:rPr>
          <w:rFonts w:hint="eastAsia" w:ascii="方正楷体_GBK" w:hAnsi="方正楷体_GBK" w:eastAsia="方正楷体_GBK" w:cs="方正楷体_GBK"/>
          <w:bCs/>
          <w:kern w:val="2"/>
          <w:sz w:val="32"/>
          <w:szCs w:val="32"/>
          <w:u w:val="none"/>
          <w:lang w:val="en-US" w:eastAsia="zh-CN"/>
        </w:rPr>
        <w:t>督促落实</w:t>
      </w:r>
      <w:r>
        <w:rPr>
          <w:rFonts w:hint="eastAsia" w:ascii="方正楷体_GBK" w:hAnsi="方正楷体_GBK" w:eastAsia="方正楷体_GBK" w:cs="方正楷体_GBK"/>
          <w:bCs/>
          <w:kern w:val="2"/>
          <w:sz w:val="32"/>
          <w:szCs w:val="32"/>
          <w:u w:val="none"/>
        </w:rPr>
        <w:t>。</w:t>
      </w:r>
      <w:r>
        <w:rPr>
          <w:rFonts w:hint="eastAsia" w:ascii="方正仿宋_GBK" w:hAnsi="方正仿宋_GBK" w:eastAsia="方正仿宋_GBK" w:cs="方正仿宋_GBK"/>
          <w:bCs/>
          <w:kern w:val="2"/>
          <w:sz w:val="32"/>
          <w:szCs w:val="32"/>
          <w:u w:val="none"/>
        </w:rPr>
        <w:t>兼顾指标水平和企业感受、政策落实和工作创新，优化营商环境评估指标，开展第三方评估，及时研究解决评估发现的问题。充分发挥营商环境体验官、监督员、联系点等沟通渠道作用，完善营商环境问题反馈和督办解决闭环机制，提高改革精准度和企业获得感。组织开展优化营商环境工作联合督查。对于损害营商环境背后的责任、腐败和作风问题，及时移交纪检监察机关</w:t>
      </w:r>
      <w:r>
        <w:rPr>
          <w:rFonts w:hint="eastAsia" w:ascii="方正仿宋_GBK" w:hAnsi="方正仿宋_GBK" w:eastAsia="方正仿宋_GBK" w:cs="方正仿宋_GBK"/>
          <w:bCs/>
          <w:kern w:val="2"/>
          <w:sz w:val="32"/>
          <w:szCs w:val="32"/>
          <w:u w:val="none"/>
          <w:lang w:eastAsia="zh-CN"/>
        </w:rPr>
        <w:t>。</w:t>
      </w:r>
    </w:p>
    <w:p>
      <w:pPr>
        <w:pStyle w:val="12"/>
        <w:keepNext w:val="0"/>
        <w:keepLines w:val="0"/>
        <w:pageBreakBefore w:val="0"/>
        <w:widowControl w:val="0"/>
        <w:kinsoku/>
        <w:overflowPunct/>
        <w:topLinePunct/>
        <w:autoSpaceDE/>
        <w:autoSpaceDN/>
        <w:bidi w:val="0"/>
        <w:spacing w:before="0" w:beforeAutospacing="0" w:after="0" w:afterAutospacing="0" w:line="580" w:lineRule="exact"/>
        <w:ind w:firstLine="640" w:firstLineChars="200"/>
        <w:jc w:val="both"/>
        <w:textAlignment w:val="auto"/>
        <w:outlineLvl w:val="1"/>
        <w:rPr>
          <w:rFonts w:hint="eastAsia" w:ascii="方正仿宋_GBK" w:hAnsi="方正仿宋_GBK" w:eastAsia="方正仿宋_GBK" w:cs="方正仿宋_GBK"/>
          <w:bCs/>
          <w:kern w:val="2"/>
          <w:sz w:val="32"/>
          <w:szCs w:val="32"/>
          <w:u w:val="none"/>
        </w:rPr>
      </w:pPr>
      <w:r>
        <w:rPr>
          <w:rFonts w:hint="eastAsia" w:ascii="方正楷体_GBK" w:hAnsi="方正楷体_GBK" w:eastAsia="方正楷体_GBK" w:cs="方正楷体_GBK"/>
          <w:bCs/>
          <w:kern w:val="2"/>
          <w:sz w:val="32"/>
          <w:szCs w:val="32"/>
          <w:u w:val="none"/>
        </w:rPr>
        <w:t>（</w:t>
      </w:r>
      <w:r>
        <w:rPr>
          <w:rFonts w:hint="eastAsia" w:ascii="方正楷体_GBK" w:hAnsi="方正楷体_GBK" w:eastAsia="方正楷体_GBK" w:cs="方正楷体_GBK"/>
          <w:bCs/>
          <w:kern w:val="2"/>
          <w:sz w:val="32"/>
          <w:szCs w:val="32"/>
          <w:u w:val="none"/>
          <w:lang w:val="en-US" w:eastAsia="zh-CN"/>
        </w:rPr>
        <w:t>五</w:t>
      </w:r>
      <w:r>
        <w:rPr>
          <w:rFonts w:hint="eastAsia" w:ascii="方正楷体_GBK" w:hAnsi="方正楷体_GBK" w:eastAsia="方正楷体_GBK" w:cs="方正楷体_GBK"/>
          <w:bCs/>
          <w:kern w:val="2"/>
          <w:sz w:val="32"/>
          <w:szCs w:val="32"/>
          <w:u w:val="none"/>
        </w:rPr>
        <w:t>）加强宣传推介。</w:t>
      </w:r>
      <w:r>
        <w:rPr>
          <w:rFonts w:hint="eastAsia" w:ascii="方正仿宋_GBK" w:hAnsi="方正仿宋_GBK" w:eastAsia="方正仿宋_GBK" w:cs="方正仿宋_GBK"/>
          <w:bCs/>
          <w:kern w:val="2"/>
          <w:sz w:val="32"/>
          <w:szCs w:val="32"/>
          <w:u w:val="none"/>
        </w:rPr>
        <w:t>开展政策进园区、进企业等精准宣传推广工作，</w:t>
      </w:r>
      <w:r>
        <w:rPr>
          <w:rFonts w:hint="eastAsia" w:ascii="方正仿宋_GBK" w:hAnsi="方正仿宋_GBK" w:eastAsia="方正仿宋_GBK" w:cs="方正仿宋_GBK"/>
          <w:bCs/>
          <w:color w:val="auto"/>
          <w:kern w:val="2"/>
          <w:sz w:val="32"/>
          <w:szCs w:val="32"/>
          <w:u w:val="none"/>
        </w:rPr>
        <w:t>提高</w:t>
      </w:r>
      <w:r>
        <w:rPr>
          <w:rFonts w:hint="eastAsia" w:ascii="方正仿宋_GBK" w:hAnsi="方正仿宋_GBK" w:eastAsia="方正仿宋_GBK" w:cs="方正仿宋_GBK"/>
          <w:bCs/>
          <w:color w:val="auto"/>
          <w:kern w:val="2"/>
          <w:sz w:val="32"/>
          <w:szCs w:val="32"/>
          <w:u w:val="none"/>
          <w:lang w:val="en-US" w:eastAsia="zh-CN"/>
        </w:rPr>
        <w:t>政策的</w:t>
      </w:r>
      <w:r>
        <w:rPr>
          <w:rFonts w:hint="eastAsia" w:ascii="方正仿宋_GBK" w:hAnsi="方正仿宋_GBK" w:eastAsia="方正仿宋_GBK" w:cs="方正仿宋_GBK"/>
          <w:bCs/>
          <w:color w:val="auto"/>
          <w:kern w:val="2"/>
          <w:sz w:val="32"/>
          <w:szCs w:val="32"/>
          <w:u w:val="none"/>
        </w:rPr>
        <w:t>覆盖面和可及性。结合营商环境改革重点，突出</w:t>
      </w:r>
      <w:r>
        <w:rPr>
          <w:rFonts w:hint="eastAsia" w:ascii="方正仿宋_GBK" w:hAnsi="方正仿宋_GBK" w:eastAsia="方正仿宋_GBK" w:cs="方正仿宋_GBK"/>
          <w:bCs/>
          <w:color w:val="auto"/>
          <w:kern w:val="2"/>
          <w:sz w:val="32"/>
          <w:szCs w:val="32"/>
          <w:u w:val="none"/>
          <w:lang w:val="en-US" w:eastAsia="zh-CN"/>
        </w:rPr>
        <w:t>开展</w:t>
      </w:r>
      <w:r>
        <w:rPr>
          <w:rFonts w:hint="eastAsia" w:ascii="方正仿宋_GBK" w:hAnsi="方正仿宋_GBK" w:eastAsia="方正仿宋_GBK" w:cs="方正仿宋_GBK"/>
          <w:bCs/>
          <w:color w:val="auto"/>
          <w:kern w:val="2"/>
          <w:sz w:val="32"/>
          <w:szCs w:val="32"/>
          <w:u w:val="none"/>
        </w:rPr>
        <w:t>政策解读、案例效果、典型事迹等主题宣传活动。各地区</w:t>
      </w:r>
      <w:r>
        <w:rPr>
          <w:rFonts w:hint="eastAsia" w:ascii="方正仿宋_GBK" w:hAnsi="方正仿宋_GBK" w:eastAsia="方正仿宋_GBK" w:cs="方正仿宋_GBK"/>
          <w:bCs/>
          <w:color w:val="auto"/>
          <w:kern w:val="2"/>
          <w:sz w:val="32"/>
          <w:szCs w:val="32"/>
          <w:u w:val="none"/>
          <w:lang w:eastAsia="zh-CN"/>
        </w:rPr>
        <w:t>、</w:t>
      </w:r>
      <w:r>
        <w:rPr>
          <w:rFonts w:hint="eastAsia" w:ascii="方正仿宋_GBK" w:hAnsi="方正仿宋_GBK" w:eastAsia="方正仿宋_GBK" w:cs="方正仿宋_GBK"/>
          <w:bCs/>
          <w:color w:val="auto"/>
          <w:kern w:val="2"/>
          <w:sz w:val="32"/>
          <w:szCs w:val="32"/>
          <w:u w:val="none"/>
        </w:rPr>
        <w:t>各</w:t>
      </w:r>
      <w:r>
        <w:rPr>
          <w:rFonts w:hint="eastAsia" w:ascii="方正仿宋_GBK" w:hAnsi="方正仿宋_GBK" w:eastAsia="方正仿宋_GBK" w:cs="方正仿宋_GBK"/>
          <w:bCs/>
          <w:color w:val="auto"/>
          <w:kern w:val="2"/>
          <w:sz w:val="32"/>
          <w:szCs w:val="32"/>
          <w:u w:val="none"/>
          <w:lang w:val="en-US" w:eastAsia="zh-CN"/>
        </w:rPr>
        <w:t>有关</w:t>
      </w:r>
      <w:r>
        <w:rPr>
          <w:rFonts w:hint="eastAsia" w:ascii="方正仿宋_GBK" w:hAnsi="方正仿宋_GBK" w:eastAsia="方正仿宋_GBK" w:cs="方正仿宋_GBK"/>
          <w:bCs/>
          <w:color w:val="auto"/>
          <w:kern w:val="2"/>
          <w:sz w:val="32"/>
          <w:szCs w:val="32"/>
          <w:u w:val="none"/>
        </w:rPr>
        <w:t>部门要大力选树优化营商环境工作中的先进典型，开</w:t>
      </w:r>
      <w:r>
        <w:rPr>
          <w:rFonts w:hint="eastAsia" w:ascii="方正仿宋_GBK" w:hAnsi="方正仿宋_GBK" w:eastAsia="方正仿宋_GBK" w:cs="方正仿宋_GBK"/>
          <w:bCs/>
          <w:kern w:val="2"/>
          <w:sz w:val="32"/>
          <w:szCs w:val="32"/>
          <w:u w:val="none"/>
        </w:rPr>
        <w:t>展优化营商环境优秀案例评选及典型案例宣传，做好典型经验做法复制推广借鉴，营造比学赶超氛围。</w:t>
      </w:r>
    </w:p>
    <w:p>
      <w:pPr>
        <w:pStyle w:val="12"/>
        <w:keepNext w:val="0"/>
        <w:keepLines w:val="0"/>
        <w:pageBreakBefore w:val="0"/>
        <w:widowControl w:val="0"/>
        <w:kinsoku/>
        <w:wordWrap/>
        <w:overflowPunct/>
        <w:topLinePunct/>
        <w:autoSpaceDE/>
        <w:autoSpaceDN/>
        <w:bidi w:val="0"/>
        <w:spacing w:before="0" w:beforeAutospacing="0" w:after="0" w:afterAutospacing="0" w:line="580" w:lineRule="exact"/>
        <w:ind w:firstLine="640" w:firstLineChars="200"/>
        <w:textAlignment w:val="auto"/>
        <w:outlineLvl w:val="1"/>
        <w:rPr>
          <w:rFonts w:hint="eastAsia" w:ascii="方正仿宋_GBK" w:hAnsi="方正仿宋_GBK" w:eastAsia="方正仿宋_GBK" w:cs="方正仿宋_GBK"/>
          <w:bCs/>
          <w:kern w:val="2"/>
          <w:sz w:val="32"/>
          <w:szCs w:val="32"/>
          <w:u w:val="none"/>
          <w:lang w:val="en-US" w:eastAsia="zh-CN" w:bidi="ar"/>
        </w:rPr>
      </w:pPr>
      <w:r>
        <w:rPr>
          <w:rFonts w:hint="eastAsia" w:ascii="方正仿宋_GBK" w:hAnsi="方正仿宋_GBK" w:eastAsia="方正仿宋_GBK" w:cs="方正仿宋_GBK"/>
          <w:bCs/>
          <w:kern w:val="2"/>
          <w:sz w:val="32"/>
          <w:szCs w:val="32"/>
          <w:u w:val="none"/>
          <w:lang w:val="en-US" w:eastAsia="zh-CN" w:bidi="ar"/>
        </w:rPr>
        <w:t>本方案自印发之日起施行，《内蒙古自治区人民政府关于印发自治区以更优营商环境服务市场主体行动方案的通知》（内政发〔2022〕4号）同时废止。</w:t>
      </w:r>
    </w:p>
    <w:p>
      <w:pPr>
        <w:pStyle w:val="12"/>
        <w:keepNext w:val="0"/>
        <w:keepLines w:val="0"/>
        <w:pageBreakBefore w:val="0"/>
        <w:widowControl w:val="0"/>
        <w:kinsoku/>
        <w:wordWrap/>
        <w:overflowPunct/>
        <w:topLinePunct/>
        <w:autoSpaceDE/>
        <w:autoSpaceDN/>
        <w:bidi w:val="0"/>
        <w:spacing w:before="0" w:beforeAutospacing="0" w:after="0" w:afterAutospacing="0" w:line="580" w:lineRule="exact"/>
        <w:ind w:firstLine="640" w:firstLineChars="200"/>
        <w:textAlignment w:val="auto"/>
        <w:outlineLvl w:val="1"/>
        <w:rPr>
          <w:rFonts w:hint="eastAsia" w:ascii="方正仿宋_GBK" w:hAnsi="方正仿宋_GBK" w:eastAsia="方正仿宋_GBK" w:cs="方正仿宋_GBK"/>
          <w:bCs/>
          <w:kern w:val="2"/>
          <w:sz w:val="32"/>
          <w:szCs w:val="32"/>
          <w:u w:val="none"/>
          <w:lang w:val="en-US" w:eastAsia="zh-CN" w:bidi="ar"/>
        </w:rPr>
      </w:pPr>
    </w:p>
    <w:p>
      <w:pPr>
        <w:pStyle w:val="12"/>
        <w:keepNext w:val="0"/>
        <w:keepLines w:val="0"/>
        <w:pageBreakBefore w:val="0"/>
        <w:widowControl w:val="0"/>
        <w:kinsoku/>
        <w:wordWrap/>
        <w:overflowPunct/>
        <w:topLinePunct/>
        <w:autoSpaceDE/>
        <w:autoSpaceDN/>
        <w:bidi w:val="0"/>
        <w:spacing w:before="0" w:beforeAutospacing="0" w:after="0" w:afterAutospacing="0" w:line="580" w:lineRule="exact"/>
        <w:ind w:firstLine="640" w:firstLineChars="200"/>
        <w:textAlignment w:val="auto"/>
        <w:outlineLvl w:val="1"/>
        <w:rPr>
          <w:rFonts w:hint="eastAsia" w:ascii="方正仿宋_GBK" w:hAnsi="方正仿宋_GBK" w:eastAsia="方正仿宋_GBK" w:cs="方正仿宋_GBK"/>
          <w:bCs/>
          <w:kern w:val="2"/>
          <w:sz w:val="32"/>
          <w:szCs w:val="32"/>
          <w:u w:val="none"/>
          <w:lang w:val="en-US" w:eastAsia="zh-CN" w:bidi="ar"/>
        </w:rPr>
      </w:pPr>
      <w:r>
        <w:rPr>
          <w:rFonts w:hint="eastAsia" w:ascii="方正仿宋_GBK" w:hAnsi="方正仿宋_GBK" w:eastAsia="方正仿宋_GBK" w:cs="方正仿宋_GBK"/>
          <w:bCs/>
          <w:kern w:val="2"/>
          <w:sz w:val="32"/>
          <w:szCs w:val="32"/>
          <w:u w:val="none"/>
          <w:lang w:val="en-US" w:eastAsia="zh-CN" w:bidi="ar"/>
        </w:rPr>
        <w:t>附件：内蒙古自治区持续优化营商环境任务清单（2024—</w:t>
      </w:r>
    </w:p>
    <w:p>
      <w:pPr>
        <w:pStyle w:val="12"/>
        <w:keepNext w:val="0"/>
        <w:keepLines w:val="0"/>
        <w:pageBreakBefore w:val="0"/>
        <w:widowControl w:val="0"/>
        <w:kinsoku/>
        <w:wordWrap/>
        <w:overflowPunct/>
        <w:topLinePunct/>
        <w:autoSpaceDE/>
        <w:autoSpaceDN/>
        <w:bidi w:val="0"/>
        <w:spacing w:before="0" w:beforeAutospacing="0" w:after="0" w:afterAutospacing="0" w:line="580" w:lineRule="exact"/>
        <w:ind w:left="0" w:leftChars="0" w:firstLine="1619" w:firstLineChars="506"/>
        <w:textAlignment w:val="auto"/>
        <w:outlineLvl w:val="1"/>
        <w:rPr>
          <w:rFonts w:hint="eastAsia" w:ascii="方正仿宋_GBK" w:hAnsi="方正仿宋_GBK" w:eastAsia="方正仿宋_GBK" w:cs="方正仿宋_GBK"/>
          <w:bCs/>
          <w:kern w:val="2"/>
          <w:sz w:val="32"/>
          <w:szCs w:val="32"/>
          <w:u w:val="none"/>
          <w:lang w:val="en-US" w:eastAsia="zh-CN" w:bidi="ar"/>
        </w:rPr>
      </w:pPr>
      <w:r>
        <w:rPr>
          <w:rFonts w:hint="eastAsia" w:ascii="方正仿宋_GBK" w:hAnsi="方正仿宋_GBK" w:eastAsia="方正仿宋_GBK" w:cs="方正仿宋_GBK"/>
          <w:bCs/>
          <w:kern w:val="2"/>
          <w:sz w:val="32"/>
          <w:szCs w:val="32"/>
          <w:u w:val="none"/>
          <w:lang w:val="en-US" w:eastAsia="zh-CN" w:bidi="ar"/>
        </w:rPr>
        <w:t>2025年）</w:t>
      </w:r>
    </w:p>
    <w:p>
      <w:pPr>
        <w:pStyle w:val="12"/>
        <w:keepNext w:val="0"/>
        <w:keepLines w:val="0"/>
        <w:pageBreakBefore w:val="0"/>
        <w:widowControl w:val="0"/>
        <w:kinsoku/>
        <w:overflowPunct/>
        <w:topLinePunct/>
        <w:autoSpaceDE/>
        <w:autoSpaceDN/>
        <w:bidi w:val="0"/>
        <w:spacing w:before="0" w:beforeAutospacing="0" w:after="0" w:afterAutospacing="0" w:line="580" w:lineRule="exact"/>
        <w:ind w:firstLine="640" w:firstLineChars="200"/>
        <w:textAlignment w:val="auto"/>
        <w:outlineLvl w:val="1"/>
        <w:rPr>
          <w:rFonts w:hint="eastAsia" w:ascii="方正仿宋_GBK" w:hAnsi="方正仿宋_GBK" w:eastAsia="方正仿宋_GBK" w:cs="方正仿宋_GBK"/>
          <w:bCs/>
          <w:kern w:val="2"/>
          <w:sz w:val="32"/>
          <w:szCs w:val="32"/>
          <w:u w:val="none"/>
          <w:lang w:val="en-US" w:eastAsia="zh-CN" w:bidi="ar"/>
        </w:rPr>
      </w:pPr>
    </w:p>
    <w:p>
      <w:pPr>
        <w:pStyle w:val="8"/>
        <w:keepNext w:val="0"/>
        <w:keepLines w:val="0"/>
        <w:pageBreakBefore w:val="0"/>
        <w:widowControl w:val="0"/>
        <w:tabs>
          <w:tab w:val="left" w:pos="7560"/>
        </w:tabs>
        <w:kinsoku/>
        <w:wordWrap w:val="0"/>
        <w:overflowPunct/>
        <w:topLinePunct/>
        <w:autoSpaceDE/>
        <w:autoSpaceDN/>
        <w:bidi w:val="0"/>
        <w:spacing w:line="580" w:lineRule="exact"/>
        <w:ind w:left="4322" w:leftChars="2058" w:firstLine="640" w:firstLineChars="200"/>
        <w:jc w:val="right"/>
        <w:textAlignment w:val="auto"/>
        <w:rPr>
          <w:rFonts w:hint="eastAsia" w:ascii="黑体" w:eastAsia="黑体"/>
        </w:rPr>
      </w:pPr>
    </w:p>
    <w:p>
      <w:pPr>
        <w:pStyle w:val="8"/>
        <w:keepNext w:val="0"/>
        <w:keepLines w:val="0"/>
        <w:pageBreakBefore w:val="0"/>
        <w:tabs>
          <w:tab w:val="left" w:pos="7560"/>
        </w:tabs>
        <w:kinsoku/>
        <w:wordWrap w:val="0"/>
        <w:overflowPunct/>
        <w:topLinePunct w:val="0"/>
        <w:autoSpaceDE/>
        <w:autoSpaceDN/>
        <w:bidi w:val="0"/>
        <w:spacing w:line="580" w:lineRule="exact"/>
        <w:ind w:left="4520" w:leftChars="2058" w:hanging="198" w:hangingChars="62"/>
        <w:jc w:val="right"/>
        <w:textAlignment w:val="auto"/>
        <w:rPr>
          <w:rFonts w:hint="eastAsia" w:ascii="黑体" w:eastAsia="黑体"/>
        </w:rPr>
      </w:pPr>
    </w:p>
    <w:p>
      <w:pPr>
        <w:pStyle w:val="8"/>
        <w:keepNext w:val="0"/>
        <w:keepLines w:val="0"/>
        <w:pageBreakBefore w:val="0"/>
        <w:tabs>
          <w:tab w:val="left" w:pos="7560"/>
        </w:tabs>
        <w:kinsoku/>
        <w:wordWrap w:val="0"/>
        <w:overflowPunct/>
        <w:topLinePunct w:val="0"/>
        <w:autoSpaceDE/>
        <w:autoSpaceDN/>
        <w:bidi w:val="0"/>
        <w:spacing w:line="580" w:lineRule="exact"/>
        <w:ind w:left="4520" w:leftChars="2058" w:hanging="198" w:hangingChars="62"/>
        <w:jc w:val="right"/>
        <w:textAlignment w:val="auto"/>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lang w:eastAsia="zh-CN"/>
        </w:rPr>
      </w:pPr>
      <w:r>
        <w:rPr>
          <w:rFonts w:hint="eastAsia" w:ascii="黑体" w:eastAsia="黑体"/>
          <w:lang w:eastAsia="zh-CN"/>
        </w:rPr>
        <w:drawing>
          <wp:inline distT="0" distB="0" distL="114300" distR="114300">
            <wp:extent cx="5686425" cy="8150225"/>
            <wp:effectExtent l="0" t="0" r="9525" b="3175"/>
            <wp:docPr id="2" name="图片 27" descr="内政发16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7" descr="内政发16_页面_01"/>
                    <pic:cNvPicPr>
                      <a:picLocks noChangeAspect="1"/>
                    </pic:cNvPicPr>
                  </pic:nvPicPr>
                  <pic:blipFill>
                    <a:blip r:embed="rId10"/>
                    <a:stretch>
                      <a:fillRect/>
                    </a:stretch>
                  </pic:blipFill>
                  <pic:spPr>
                    <a:xfrm>
                      <a:off x="0" y="0"/>
                      <a:ext cx="5686425" cy="8150225"/>
                    </a:xfrm>
                    <a:prstGeom prst="rect">
                      <a:avLst/>
                    </a:prstGeom>
                    <a:noFill/>
                    <a:ln>
                      <a:noFill/>
                    </a:ln>
                  </pic:spPr>
                </pic:pic>
              </a:graphicData>
            </a:graphic>
          </wp:inline>
        </w:drawing>
      </w:r>
      <w:r>
        <w:rPr>
          <w:rFonts w:hint="eastAsia" w:ascii="黑体" w:eastAsia="黑体"/>
          <w:lang w:eastAsia="zh-CN"/>
        </w:rPr>
        <w:drawing>
          <wp:inline distT="0" distB="0" distL="114300" distR="114300">
            <wp:extent cx="5686425" cy="8150225"/>
            <wp:effectExtent l="0" t="0" r="9525" b="3175"/>
            <wp:docPr id="3" name="图片 26" descr="内政发16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6" descr="内政发16_页面_02"/>
                    <pic:cNvPicPr>
                      <a:picLocks noChangeAspect="1"/>
                    </pic:cNvPicPr>
                  </pic:nvPicPr>
                  <pic:blipFill>
                    <a:blip r:embed="rId11"/>
                    <a:stretch>
                      <a:fillRect/>
                    </a:stretch>
                  </pic:blipFill>
                  <pic:spPr>
                    <a:xfrm>
                      <a:off x="0" y="0"/>
                      <a:ext cx="5686425" cy="8150225"/>
                    </a:xfrm>
                    <a:prstGeom prst="rect">
                      <a:avLst/>
                    </a:prstGeom>
                    <a:noFill/>
                    <a:ln>
                      <a:noFill/>
                    </a:ln>
                  </pic:spPr>
                </pic:pic>
              </a:graphicData>
            </a:graphic>
          </wp:inline>
        </w:drawing>
      </w:r>
      <w:r>
        <w:rPr>
          <w:rFonts w:hint="eastAsia" w:ascii="黑体" w:eastAsia="黑体"/>
          <w:lang w:eastAsia="zh-CN"/>
        </w:rPr>
        <w:drawing>
          <wp:inline distT="0" distB="0" distL="114300" distR="114300">
            <wp:extent cx="5686425" cy="8150225"/>
            <wp:effectExtent l="0" t="0" r="9525" b="3175"/>
            <wp:docPr id="4" name="图片 25" descr="内政发16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5" descr="内政发16_页面_03"/>
                    <pic:cNvPicPr>
                      <a:picLocks noChangeAspect="1"/>
                    </pic:cNvPicPr>
                  </pic:nvPicPr>
                  <pic:blipFill>
                    <a:blip r:embed="rId12"/>
                    <a:stretch>
                      <a:fillRect/>
                    </a:stretch>
                  </pic:blipFill>
                  <pic:spPr>
                    <a:xfrm>
                      <a:off x="0" y="0"/>
                      <a:ext cx="5686425" cy="8150225"/>
                    </a:xfrm>
                    <a:prstGeom prst="rect">
                      <a:avLst/>
                    </a:prstGeom>
                    <a:noFill/>
                    <a:ln>
                      <a:noFill/>
                    </a:ln>
                  </pic:spPr>
                </pic:pic>
              </a:graphicData>
            </a:graphic>
          </wp:inline>
        </w:drawing>
      </w:r>
      <w:r>
        <w:rPr>
          <w:rFonts w:hint="eastAsia" w:ascii="黑体" w:eastAsia="黑体"/>
          <w:lang w:eastAsia="zh-CN"/>
        </w:rPr>
        <w:drawing>
          <wp:inline distT="0" distB="0" distL="114300" distR="114300">
            <wp:extent cx="5686425" cy="8150225"/>
            <wp:effectExtent l="0" t="0" r="9525" b="3175"/>
            <wp:docPr id="5" name="图片 24" descr="内政发16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4" descr="内政发16_页面_04"/>
                    <pic:cNvPicPr>
                      <a:picLocks noChangeAspect="1"/>
                    </pic:cNvPicPr>
                  </pic:nvPicPr>
                  <pic:blipFill>
                    <a:blip r:embed="rId13"/>
                    <a:stretch>
                      <a:fillRect/>
                    </a:stretch>
                  </pic:blipFill>
                  <pic:spPr>
                    <a:xfrm>
                      <a:off x="0" y="0"/>
                      <a:ext cx="5686425" cy="8150225"/>
                    </a:xfrm>
                    <a:prstGeom prst="rect">
                      <a:avLst/>
                    </a:prstGeom>
                    <a:noFill/>
                    <a:ln>
                      <a:noFill/>
                    </a:ln>
                  </pic:spPr>
                </pic:pic>
              </a:graphicData>
            </a:graphic>
          </wp:inline>
        </w:drawing>
      </w:r>
      <w:r>
        <w:rPr>
          <w:rFonts w:hint="eastAsia" w:ascii="黑体" w:eastAsia="黑体"/>
          <w:lang w:eastAsia="zh-CN"/>
        </w:rPr>
        <w:drawing>
          <wp:inline distT="0" distB="0" distL="114300" distR="114300">
            <wp:extent cx="5686425" cy="8150225"/>
            <wp:effectExtent l="0" t="0" r="9525" b="3175"/>
            <wp:docPr id="6" name="图片 23" descr="内政发16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3" descr="内政发16_页面_05"/>
                    <pic:cNvPicPr>
                      <a:picLocks noChangeAspect="1"/>
                    </pic:cNvPicPr>
                  </pic:nvPicPr>
                  <pic:blipFill>
                    <a:blip r:embed="rId14"/>
                    <a:stretch>
                      <a:fillRect/>
                    </a:stretch>
                  </pic:blipFill>
                  <pic:spPr>
                    <a:xfrm>
                      <a:off x="0" y="0"/>
                      <a:ext cx="5686425" cy="8150225"/>
                    </a:xfrm>
                    <a:prstGeom prst="rect">
                      <a:avLst/>
                    </a:prstGeom>
                    <a:noFill/>
                    <a:ln>
                      <a:noFill/>
                    </a:ln>
                  </pic:spPr>
                </pic:pic>
              </a:graphicData>
            </a:graphic>
          </wp:inline>
        </w:drawing>
      </w:r>
      <w:r>
        <w:rPr>
          <w:rFonts w:hint="eastAsia" w:ascii="黑体" w:eastAsia="黑体"/>
          <w:lang w:eastAsia="zh-CN"/>
        </w:rPr>
        <w:drawing>
          <wp:inline distT="0" distB="0" distL="114300" distR="114300">
            <wp:extent cx="5686425" cy="8150225"/>
            <wp:effectExtent l="0" t="0" r="9525" b="3175"/>
            <wp:docPr id="7" name="图片 22" descr="内政发16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2" descr="内政发16_页面_06"/>
                    <pic:cNvPicPr>
                      <a:picLocks noChangeAspect="1"/>
                    </pic:cNvPicPr>
                  </pic:nvPicPr>
                  <pic:blipFill>
                    <a:blip r:embed="rId15"/>
                    <a:stretch>
                      <a:fillRect/>
                    </a:stretch>
                  </pic:blipFill>
                  <pic:spPr>
                    <a:xfrm>
                      <a:off x="0" y="0"/>
                      <a:ext cx="5686425" cy="8150225"/>
                    </a:xfrm>
                    <a:prstGeom prst="rect">
                      <a:avLst/>
                    </a:prstGeom>
                    <a:noFill/>
                    <a:ln>
                      <a:noFill/>
                    </a:ln>
                  </pic:spPr>
                </pic:pic>
              </a:graphicData>
            </a:graphic>
          </wp:inline>
        </w:drawing>
      </w:r>
      <w:r>
        <w:rPr>
          <w:rFonts w:hint="eastAsia" w:ascii="黑体" w:eastAsia="黑体"/>
          <w:lang w:eastAsia="zh-CN"/>
        </w:rPr>
        <w:drawing>
          <wp:inline distT="0" distB="0" distL="114300" distR="114300">
            <wp:extent cx="5686425" cy="8150225"/>
            <wp:effectExtent l="0" t="0" r="9525" b="3175"/>
            <wp:docPr id="8" name="图片 21" descr="内政发16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1" descr="内政发16_页面_07"/>
                    <pic:cNvPicPr>
                      <a:picLocks noChangeAspect="1"/>
                    </pic:cNvPicPr>
                  </pic:nvPicPr>
                  <pic:blipFill>
                    <a:blip r:embed="rId16"/>
                    <a:stretch>
                      <a:fillRect/>
                    </a:stretch>
                  </pic:blipFill>
                  <pic:spPr>
                    <a:xfrm>
                      <a:off x="0" y="0"/>
                      <a:ext cx="5686425" cy="8150225"/>
                    </a:xfrm>
                    <a:prstGeom prst="rect">
                      <a:avLst/>
                    </a:prstGeom>
                    <a:noFill/>
                    <a:ln>
                      <a:noFill/>
                    </a:ln>
                  </pic:spPr>
                </pic:pic>
              </a:graphicData>
            </a:graphic>
          </wp:inline>
        </w:drawing>
      </w:r>
      <w:r>
        <w:rPr>
          <w:rFonts w:hint="eastAsia" w:ascii="黑体" w:eastAsia="黑体"/>
          <w:lang w:eastAsia="zh-CN"/>
        </w:rPr>
        <w:drawing>
          <wp:inline distT="0" distB="0" distL="114300" distR="114300">
            <wp:extent cx="5686425" cy="8150225"/>
            <wp:effectExtent l="0" t="0" r="9525" b="3175"/>
            <wp:docPr id="9" name="图片 20" descr="内政发16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0" descr="内政发16_页面_08"/>
                    <pic:cNvPicPr>
                      <a:picLocks noChangeAspect="1"/>
                    </pic:cNvPicPr>
                  </pic:nvPicPr>
                  <pic:blipFill>
                    <a:blip r:embed="rId17"/>
                    <a:stretch>
                      <a:fillRect/>
                    </a:stretch>
                  </pic:blipFill>
                  <pic:spPr>
                    <a:xfrm>
                      <a:off x="0" y="0"/>
                      <a:ext cx="5686425" cy="8150225"/>
                    </a:xfrm>
                    <a:prstGeom prst="rect">
                      <a:avLst/>
                    </a:prstGeom>
                    <a:noFill/>
                    <a:ln>
                      <a:noFill/>
                    </a:ln>
                  </pic:spPr>
                </pic:pic>
              </a:graphicData>
            </a:graphic>
          </wp:inline>
        </w:drawing>
      </w:r>
      <w:r>
        <w:rPr>
          <w:rFonts w:hint="eastAsia" w:ascii="黑体" w:eastAsia="黑体"/>
          <w:lang w:eastAsia="zh-CN"/>
        </w:rPr>
        <w:drawing>
          <wp:inline distT="0" distB="0" distL="114300" distR="114300">
            <wp:extent cx="5686425" cy="8150225"/>
            <wp:effectExtent l="0" t="0" r="9525" b="3175"/>
            <wp:docPr id="10" name="图片 19" descr="内政发16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9" descr="内政发16_页面_09"/>
                    <pic:cNvPicPr>
                      <a:picLocks noChangeAspect="1"/>
                    </pic:cNvPicPr>
                  </pic:nvPicPr>
                  <pic:blipFill>
                    <a:blip r:embed="rId18"/>
                    <a:stretch>
                      <a:fillRect/>
                    </a:stretch>
                  </pic:blipFill>
                  <pic:spPr>
                    <a:xfrm>
                      <a:off x="0" y="0"/>
                      <a:ext cx="5686425" cy="8150225"/>
                    </a:xfrm>
                    <a:prstGeom prst="rect">
                      <a:avLst/>
                    </a:prstGeom>
                    <a:noFill/>
                    <a:ln>
                      <a:noFill/>
                    </a:ln>
                  </pic:spPr>
                </pic:pic>
              </a:graphicData>
            </a:graphic>
          </wp:inline>
        </w:drawing>
      </w:r>
      <w:r>
        <w:rPr>
          <w:rFonts w:hint="eastAsia" w:ascii="黑体" w:eastAsia="黑体"/>
          <w:lang w:eastAsia="zh-CN"/>
        </w:rPr>
        <w:drawing>
          <wp:inline distT="0" distB="0" distL="114300" distR="114300">
            <wp:extent cx="5686425" cy="8150225"/>
            <wp:effectExtent l="0" t="0" r="9525" b="3175"/>
            <wp:docPr id="11" name="图片 18" descr="内政发16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8" descr="内政发16_页面_10"/>
                    <pic:cNvPicPr>
                      <a:picLocks noChangeAspect="1"/>
                    </pic:cNvPicPr>
                  </pic:nvPicPr>
                  <pic:blipFill>
                    <a:blip r:embed="rId19"/>
                    <a:stretch>
                      <a:fillRect/>
                    </a:stretch>
                  </pic:blipFill>
                  <pic:spPr>
                    <a:xfrm>
                      <a:off x="0" y="0"/>
                      <a:ext cx="5686425" cy="8150225"/>
                    </a:xfrm>
                    <a:prstGeom prst="rect">
                      <a:avLst/>
                    </a:prstGeom>
                    <a:noFill/>
                    <a:ln>
                      <a:noFill/>
                    </a:ln>
                  </pic:spPr>
                </pic:pic>
              </a:graphicData>
            </a:graphic>
          </wp:inline>
        </w:drawing>
      </w:r>
      <w:r>
        <w:rPr>
          <w:rFonts w:hint="eastAsia" w:ascii="黑体" w:eastAsia="黑体"/>
          <w:lang w:eastAsia="zh-CN"/>
        </w:rPr>
        <w:drawing>
          <wp:inline distT="0" distB="0" distL="114300" distR="114300">
            <wp:extent cx="5686425" cy="8150225"/>
            <wp:effectExtent l="0" t="0" r="9525" b="3175"/>
            <wp:docPr id="12" name="图片 17" descr="内政发16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7" descr="内政发16_页面_11"/>
                    <pic:cNvPicPr>
                      <a:picLocks noChangeAspect="1"/>
                    </pic:cNvPicPr>
                  </pic:nvPicPr>
                  <pic:blipFill>
                    <a:blip r:embed="rId20"/>
                    <a:stretch>
                      <a:fillRect/>
                    </a:stretch>
                  </pic:blipFill>
                  <pic:spPr>
                    <a:xfrm>
                      <a:off x="0" y="0"/>
                      <a:ext cx="5686425" cy="8150225"/>
                    </a:xfrm>
                    <a:prstGeom prst="rect">
                      <a:avLst/>
                    </a:prstGeom>
                    <a:noFill/>
                    <a:ln>
                      <a:noFill/>
                    </a:ln>
                  </pic:spPr>
                </pic:pic>
              </a:graphicData>
            </a:graphic>
          </wp:inline>
        </w:drawing>
      </w:r>
      <w:r>
        <w:rPr>
          <w:rFonts w:hint="eastAsia" w:ascii="黑体" w:eastAsia="黑体"/>
          <w:lang w:eastAsia="zh-CN"/>
        </w:rPr>
        <w:drawing>
          <wp:inline distT="0" distB="0" distL="114300" distR="114300">
            <wp:extent cx="5686425" cy="8150225"/>
            <wp:effectExtent l="0" t="0" r="9525" b="3175"/>
            <wp:docPr id="13" name="图片 16" descr="内政发16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6" descr="内政发16_页面_12"/>
                    <pic:cNvPicPr>
                      <a:picLocks noChangeAspect="1"/>
                    </pic:cNvPicPr>
                  </pic:nvPicPr>
                  <pic:blipFill>
                    <a:blip r:embed="rId21"/>
                    <a:stretch>
                      <a:fillRect/>
                    </a:stretch>
                  </pic:blipFill>
                  <pic:spPr>
                    <a:xfrm>
                      <a:off x="0" y="0"/>
                      <a:ext cx="5686425" cy="8150225"/>
                    </a:xfrm>
                    <a:prstGeom prst="rect">
                      <a:avLst/>
                    </a:prstGeom>
                    <a:noFill/>
                    <a:ln>
                      <a:noFill/>
                    </a:ln>
                  </pic:spPr>
                </pic:pic>
              </a:graphicData>
            </a:graphic>
          </wp:inline>
        </w:drawing>
      </w:r>
      <w:r>
        <w:rPr>
          <w:rFonts w:hint="eastAsia" w:ascii="黑体" w:eastAsia="黑体"/>
          <w:lang w:eastAsia="zh-CN"/>
        </w:rPr>
        <w:drawing>
          <wp:inline distT="0" distB="0" distL="114300" distR="114300">
            <wp:extent cx="5686425" cy="8150225"/>
            <wp:effectExtent l="0" t="0" r="9525" b="3175"/>
            <wp:docPr id="14" name="图片 15" descr="内政发16_页面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5" descr="内政发16_页面_13"/>
                    <pic:cNvPicPr>
                      <a:picLocks noChangeAspect="1"/>
                    </pic:cNvPicPr>
                  </pic:nvPicPr>
                  <pic:blipFill>
                    <a:blip r:embed="rId22"/>
                    <a:stretch>
                      <a:fillRect/>
                    </a:stretch>
                  </pic:blipFill>
                  <pic:spPr>
                    <a:xfrm>
                      <a:off x="0" y="0"/>
                      <a:ext cx="5686425" cy="8150225"/>
                    </a:xfrm>
                    <a:prstGeom prst="rect">
                      <a:avLst/>
                    </a:prstGeom>
                    <a:noFill/>
                    <a:ln>
                      <a:noFill/>
                    </a:ln>
                  </pic:spPr>
                </pic:pic>
              </a:graphicData>
            </a:graphic>
          </wp:inline>
        </w:drawing>
      </w:r>
    </w:p>
    <w:p>
      <w:pPr>
        <w:wordWrap/>
        <w:rPr>
          <w:rFonts w:hint="eastAsia" w:ascii="黑体" w:eastAsia="黑体"/>
          <w:lang w:eastAsia="zh-CN"/>
        </w:rPr>
      </w:pPr>
      <w:r>
        <w:rPr>
          <w:rFonts w:hint="eastAsia" w:ascii="黑体" w:eastAsia="黑体"/>
          <w:lang w:eastAsia="zh-CN"/>
        </w:rPr>
        <w:drawing>
          <wp:inline distT="0" distB="0" distL="114300" distR="114300">
            <wp:extent cx="5686425" cy="8150225"/>
            <wp:effectExtent l="0" t="0" r="9525" b="3175"/>
            <wp:docPr id="15" name="图片 28"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8" descr="34"/>
                    <pic:cNvPicPr>
                      <a:picLocks noChangeAspect="1"/>
                    </pic:cNvPicPr>
                  </pic:nvPicPr>
                  <pic:blipFill>
                    <a:blip r:embed="rId23"/>
                    <a:stretch>
                      <a:fillRect/>
                    </a:stretch>
                  </pic:blipFill>
                  <pic:spPr>
                    <a:xfrm>
                      <a:off x="0" y="0"/>
                      <a:ext cx="5686425" cy="8150225"/>
                    </a:xfrm>
                    <a:prstGeom prst="rect">
                      <a:avLst/>
                    </a:prstGeom>
                    <a:noFill/>
                    <a:ln>
                      <a:noFill/>
                    </a:ln>
                  </pic:spPr>
                </pic:pic>
              </a:graphicData>
            </a:graphic>
          </wp:inline>
        </w:drawing>
      </w:r>
      <w:r>
        <w:rPr>
          <w:rFonts w:hint="eastAsia" w:ascii="黑体" w:eastAsia="黑体"/>
          <w:lang w:eastAsia="zh-CN"/>
        </w:rPr>
        <w:drawing>
          <wp:inline distT="0" distB="0" distL="114300" distR="114300">
            <wp:extent cx="5686425" cy="8150225"/>
            <wp:effectExtent l="0" t="0" r="9525" b="3175"/>
            <wp:docPr id="16" name="图片 14" descr="内政发16_页面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descr="内政发16_页面_15"/>
                    <pic:cNvPicPr>
                      <a:picLocks noChangeAspect="1"/>
                    </pic:cNvPicPr>
                  </pic:nvPicPr>
                  <pic:blipFill>
                    <a:blip r:embed="rId24"/>
                    <a:stretch>
                      <a:fillRect/>
                    </a:stretch>
                  </pic:blipFill>
                  <pic:spPr>
                    <a:xfrm>
                      <a:off x="0" y="0"/>
                      <a:ext cx="5686425" cy="8150225"/>
                    </a:xfrm>
                    <a:prstGeom prst="rect">
                      <a:avLst/>
                    </a:prstGeom>
                    <a:noFill/>
                    <a:ln>
                      <a:noFill/>
                    </a:ln>
                  </pic:spPr>
                </pic:pic>
              </a:graphicData>
            </a:graphic>
          </wp:inline>
        </w:drawing>
      </w:r>
      <w:r>
        <w:rPr>
          <w:rFonts w:hint="eastAsia" w:ascii="黑体" w:eastAsia="黑体"/>
          <w:lang w:eastAsia="zh-CN"/>
        </w:rPr>
        <w:drawing>
          <wp:inline distT="0" distB="0" distL="114300" distR="114300">
            <wp:extent cx="5686425" cy="8150225"/>
            <wp:effectExtent l="0" t="0" r="9525" b="3175"/>
            <wp:docPr id="17" name="图片 13" descr="内政发16_页面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descr="内政发16_页面_16"/>
                    <pic:cNvPicPr>
                      <a:picLocks noChangeAspect="1"/>
                    </pic:cNvPicPr>
                  </pic:nvPicPr>
                  <pic:blipFill>
                    <a:blip r:embed="rId25"/>
                    <a:stretch>
                      <a:fillRect/>
                    </a:stretch>
                  </pic:blipFill>
                  <pic:spPr>
                    <a:xfrm>
                      <a:off x="0" y="0"/>
                      <a:ext cx="5686425" cy="8150225"/>
                    </a:xfrm>
                    <a:prstGeom prst="rect">
                      <a:avLst/>
                    </a:prstGeom>
                    <a:noFill/>
                    <a:ln>
                      <a:noFill/>
                    </a:ln>
                  </pic:spPr>
                </pic:pic>
              </a:graphicData>
            </a:graphic>
          </wp:inline>
        </w:drawing>
      </w:r>
      <w:r>
        <w:rPr>
          <w:rFonts w:hint="eastAsia" w:ascii="黑体" w:eastAsia="黑体"/>
          <w:lang w:eastAsia="zh-CN"/>
        </w:rPr>
        <w:drawing>
          <wp:inline distT="0" distB="0" distL="114300" distR="114300">
            <wp:extent cx="5686425" cy="8150225"/>
            <wp:effectExtent l="0" t="0" r="9525" b="3175"/>
            <wp:docPr id="18" name="图片 12" descr="内政发16_页面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 descr="内政发16_页面_17"/>
                    <pic:cNvPicPr>
                      <a:picLocks noChangeAspect="1"/>
                    </pic:cNvPicPr>
                  </pic:nvPicPr>
                  <pic:blipFill>
                    <a:blip r:embed="rId26"/>
                    <a:stretch>
                      <a:fillRect/>
                    </a:stretch>
                  </pic:blipFill>
                  <pic:spPr>
                    <a:xfrm>
                      <a:off x="0" y="0"/>
                      <a:ext cx="5686425" cy="8150225"/>
                    </a:xfrm>
                    <a:prstGeom prst="rect">
                      <a:avLst/>
                    </a:prstGeom>
                    <a:noFill/>
                    <a:ln>
                      <a:noFill/>
                    </a:ln>
                  </pic:spPr>
                </pic:pic>
              </a:graphicData>
            </a:graphic>
          </wp:inline>
        </w:drawing>
      </w:r>
      <w:r>
        <w:rPr>
          <w:rFonts w:hint="eastAsia" w:ascii="黑体" w:eastAsia="黑体"/>
          <w:lang w:eastAsia="zh-CN"/>
        </w:rPr>
        <w:drawing>
          <wp:inline distT="0" distB="0" distL="114300" distR="114300">
            <wp:extent cx="5686425" cy="8150225"/>
            <wp:effectExtent l="0" t="0" r="9525" b="3175"/>
            <wp:docPr id="19" name="图片 11" descr="内政发16_页面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descr="内政发16_页面_18"/>
                    <pic:cNvPicPr>
                      <a:picLocks noChangeAspect="1"/>
                    </pic:cNvPicPr>
                  </pic:nvPicPr>
                  <pic:blipFill>
                    <a:blip r:embed="rId27"/>
                    <a:stretch>
                      <a:fillRect/>
                    </a:stretch>
                  </pic:blipFill>
                  <pic:spPr>
                    <a:xfrm>
                      <a:off x="0" y="0"/>
                      <a:ext cx="5686425" cy="8150225"/>
                    </a:xfrm>
                    <a:prstGeom prst="rect">
                      <a:avLst/>
                    </a:prstGeom>
                    <a:noFill/>
                    <a:ln>
                      <a:noFill/>
                    </a:ln>
                  </pic:spPr>
                </pic:pic>
              </a:graphicData>
            </a:graphic>
          </wp:inline>
        </w:drawing>
      </w:r>
      <w:r>
        <w:rPr>
          <w:rFonts w:hint="eastAsia" w:ascii="黑体" w:eastAsia="黑体"/>
          <w:lang w:eastAsia="zh-CN"/>
        </w:rPr>
        <w:drawing>
          <wp:inline distT="0" distB="0" distL="114300" distR="114300">
            <wp:extent cx="5686425" cy="8150225"/>
            <wp:effectExtent l="0" t="0" r="9525" b="3175"/>
            <wp:docPr id="20" name="图片 10" descr="内政发16_页面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 descr="内政发16_页面_19"/>
                    <pic:cNvPicPr>
                      <a:picLocks noChangeAspect="1"/>
                    </pic:cNvPicPr>
                  </pic:nvPicPr>
                  <pic:blipFill>
                    <a:blip r:embed="rId28"/>
                    <a:stretch>
                      <a:fillRect/>
                    </a:stretch>
                  </pic:blipFill>
                  <pic:spPr>
                    <a:xfrm>
                      <a:off x="0" y="0"/>
                      <a:ext cx="5686425" cy="8150225"/>
                    </a:xfrm>
                    <a:prstGeom prst="rect">
                      <a:avLst/>
                    </a:prstGeom>
                    <a:noFill/>
                    <a:ln>
                      <a:noFill/>
                    </a:ln>
                  </pic:spPr>
                </pic:pic>
              </a:graphicData>
            </a:graphic>
          </wp:inline>
        </w:drawing>
      </w:r>
      <w:r>
        <w:rPr>
          <w:rFonts w:hint="eastAsia" w:ascii="黑体" w:eastAsia="黑体"/>
          <w:lang w:eastAsia="zh-CN"/>
        </w:rPr>
        <w:drawing>
          <wp:inline distT="0" distB="0" distL="114300" distR="114300">
            <wp:extent cx="5686425" cy="8150225"/>
            <wp:effectExtent l="0" t="0" r="9525" b="3175"/>
            <wp:docPr id="21" name="图片 9" descr="内政发16_页面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descr="内政发16_页面_20"/>
                    <pic:cNvPicPr>
                      <a:picLocks noChangeAspect="1"/>
                    </pic:cNvPicPr>
                  </pic:nvPicPr>
                  <pic:blipFill>
                    <a:blip r:embed="rId29"/>
                    <a:stretch>
                      <a:fillRect/>
                    </a:stretch>
                  </pic:blipFill>
                  <pic:spPr>
                    <a:xfrm>
                      <a:off x="0" y="0"/>
                      <a:ext cx="5686425" cy="8150225"/>
                    </a:xfrm>
                    <a:prstGeom prst="rect">
                      <a:avLst/>
                    </a:prstGeom>
                    <a:noFill/>
                    <a:ln>
                      <a:noFill/>
                    </a:ln>
                  </pic:spPr>
                </pic:pic>
              </a:graphicData>
            </a:graphic>
          </wp:inline>
        </w:drawing>
      </w:r>
      <w:r>
        <w:rPr>
          <w:rFonts w:hint="eastAsia" w:ascii="黑体" w:eastAsia="黑体"/>
          <w:lang w:eastAsia="zh-CN"/>
        </w:rPr>
        <w:drawing>
          <wp:inline distT="0" distB="0" distL="114300" distR="114300">
            <wp:extent cx="5686425" cy="8150225"/>
            <wp:effectExtent l="0" t="0" r="9525" b="3175"/>
            <wp:docPr id="22" name="图片 8" descr="内政发16_页面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descr="内政发16_页面_21"/>
                    <pic:cNvPicPr>
                      <a:picLocks noChangeAspect="1"/>
                    </pic:cNvPicPr>
                  </pic:nvPicPr>
                  <pic:blipFill>
                    <a:blip r:embed="rId30"/>
                    <a:stretch>
                      <a:fillRect/>
                    </a:stretch>
                  </pic:blipFill>
                  <pic:spPr>
                    <a:xfrm>
                      <a:off x="0" y="0"/>
                      <a:ext cx="5686425" cy="8150225"/>
                    </a:xfrm>
                    <a:prstGeom prst="rect">
                      <a:avLst/>
                    </a:prstGeom>
                    <a:noFill/>
                    <a:ln>
                      <a:noFill/>
                    </a:ln>
                  </pic:spPr>
                </pic:pic>
              </a:graphicData>
            </a:graphic>
          </wp:inline>
        </w:drawing>
      </w:r>
      <w:r>
        <w:rPr>
          <w:rFonts w:hint="eastAsia" w:ascii="黑体" w:eastAsia="黑体"/>
          <w:lang w:eastAsia="zh-CN"/>
        </w:rPr>
        <w:drawing>
          <wp:inline distT="0" distB="0" distL="114300" distR="114300">
            <wp:extent cx="5686425" cy="8150225"/>
            <wp:effectExtent l="0" t="0" r="9525" b="3175"/>
            <wp:docPr id="23" name="图片 7" descr="内政发16_页面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descr="内政发16_页面_22"/>
                    <pic:cNvPicPr>
                      <a:picLocks noChangeAspect="1"/>
                    </pic:cNvPicPr>
                  </pic:nvPicPr>
                  <pic:blipFill>
                    <a:blip r:embed="rId31"/>
                    <a:stretch>
                      <a:fillRect/>
                    </a:stretch>
                  </pic:blipFill>
                  <pic:spPr>
                    <a:xfrm>
                      <a:off x="0" y="0"/>
                      <a:ext cx="5686425" cy="8150225"/>
                    </a:xfrm>
                    <a:prstGeom prst="rect">
                      <a:avLst/>
                    </a:prstGeom>
                    <a:noFill/>
                    <a:ln>
                      <a:noFill/>
                    </a:ln>
                  </pic:spPr>
                </pic:pic>
              </a:graphicData>
            </a:graphic>
          </wp:inline>
        </w:drawing>
      </w:r>
      <w:r>
        <w:rPr>
          <w:rFonts w:hint="eastAsia" w:ascii="黑体" w:eastAsia="黑体"/>
          <w:lang w:eastAsia="zh-CN"/>
        </w:rPr>
        <w:drawing>
          <wp:inline distT="0" distB="0" distL="114300" distR="114300">
            <wp:extent cx="5686425" cy="8150225"/>
            <wp:effectExtent l="0" t="0" r="9525" b="3175"/>
            <wp:docPr id="24" name="图片 6" descr="内政发16_页面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descr="内政发16_页面_23"/>
                    <pic:cNvPicPr>
                      <a:picLocks noChangeAspect="1"/>
                    </pic:cNvPicPr>
                  </pic:nvPicPr>
                  <pic:blipFill>
                    <a:blip r:embed="rId32"/>
                    <a:stretch>
                      <a:fillRect/>
                    </a:stretch>
                  </pic:blipFill>
                  <pic:spPr>
                    <a:xfrm>
                      <a:off x="0" y="0"/>
                      <a:ext cx="5686425" cy="8150225"/>
                    </a:xfrm>
                    <a:prstGeom prst="rect">
                      <a:avLst/>
                    </a:prstGeom>
                    <a:noFill/>
                    <a:ln>
                      <a:noFill/>
                    </a:ln>
                  </pic:spPr>
                </pic:pic>
              </a:graphicData>
            </a:graphic>
          </wp:inline>
        </w:drawing>
      </w:r>
      <w:r>
        <w:rPr>
          <w:rFonts w:hint="eastAsia" w:ascii="黑体" w:eastAsia="黑体"/>
          <w:lang w:eastAsia="zh-CN"/>
        </w:rPr>
        <w:drawing>
          <wp:inline distT="0" distB="0" distL="114300" distR="114300">
            <wp:extent cx="5686425" cy="8150225"/>
            <wp:effectExtent l="0" t="0" r="9525" b="3175"/>
            <wp:docPr id="25" name="图片 5" descr="内政发16_页面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 descr="内政发16_页面_24"/>
                    <pic:cNvPicPr>
                      <a:picLocks noChangeAspect="1"/>
                    </pic:cNvPicPr>
                  </pic:nvPicPr>
                  <pic:blipFill>
                    <a:blip r:embed="rId33"/>
                    <a:stretch>
                      <a:fillRect/>
                    </a:stretch>
                  </pic:blipFill>
                  <pic:spPr>
                    <a:xfrm>
                      <a:off x="0" y="0"/>
                      <a:ext cx="5686425" cy="8150225"/>
                    </a:xfrm>
                    <a:prstGeom prst="rect">
                      <a:avLst/>
                    </a:prstGeom>
                    <a:noFill/>
                    <a:ln>
                      <a:noFill/>
                    </a:ln>
                  </pic:spPr>
                </pic:pic>
              </a:graphicData>
            </a:graphic>
          </wp:inline>
        </w:drawing>
      </w:r>
      <w:r>
        <w:rPr>
          <w:rFonts w:hint="eastAsia" w:ascii="黑体" w:eastAsia="黑体"/>
          <w:lang w:eastAsia="zh-CN"/>
        </w:rPr>
        <w:drawing>
          <wp:inline distT="0" distB="0" distL="114300" distR="114300">
            <wp:extent cx="5686425" cy="8150225"/>
            <wp:effectExtent l="0" t="0" r="9525" b="3175"/>
            <wp:docPr id="26" name="图片 4" descr="内政发16_页面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descr="内政发16_页面_25"/>
                    <pic:cNvPicPr>
                      <a:picLocks noChangeAspect="1"/>
                    </pic:cNvPicPr>
                  </pic:nvPicPr>
                  <pic:blipFill>
                    <a:blip r:embed="rId34"/>
                    <a:stretch>
                      <a:fillRect/>
                    </a:stretch>
                  </pic:blipFill>
                  <pic:spPr>
                    <a:xfrm>
                      <a:off x="0" y="0"/>
                      <a:ext cx="5686425" cy="8150225"/>
                    </a:xfrm>
                    <a:prstGeom prst="rect">
                      <a:avLst/>
                    </a:prstGeom>
                    <a:noFill/>
                    <a:ln>
                      <a:noFill/>
                    </a:ln>
                  </pic:spPr>
                </pic:pic>
              </a:graphicData>
            </a:graphic>
          </wp:inline>
        </w:drawing>
      </w:r>
      <w:r>
        <w:rPr>
          <w:rFonts w:hint="eastAsia" w:ascii="黑体" w:eastAsia="黑体"/>
          <w:lang w:eastAsia="zh-CN"/>
        </w:rPr>
        <w:drawing>
          <wp:inline distT="0" distB="0" distL="114300" distR="114300">
            <wp:extent cx="5686425" cy="8150225"/>
            <wp:effectExtent l="0" t="0" r="9525" b="3175"/>
            <wp:docPr id="27" name="图片 3" descr="内政发16_页面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descr="内政发16_页面_26"/>
                    <pic:cNvPicPr>
                      <a:picLocks noChangeAspect="1"/>
                    </pic:cNvPicPr>
                  </pic:nvPicPr>
                  <pic:blipFill>
                    <a:blip r:embed="rId35"/>
                    <a:stretch>
                      <a:fillRect/>
                    </a:stretch>
                  </pic:blipFill>
                  <pic:spPr>
                    <a:xfrm>
                      <a:off x="0" y="0"/>
                      <a:ext cx="5686425" cy="8150225"/>
                    </a:xfrm>
                    <a:prstGeom prst="rect">
                      <a:avLst/>
                    </a:prstGeom>
                    <a:noFill/>
                    <a:ln>
                      <a:noFill/>
                    </a:ln>
                  </pic:spPr>
                </pic:pic>
              </a:graphicData>
            </a:graphic>
          </wp:inline>
        </w:drawing>
      </w:r>
    </w:p>
    <w:p>
      <w:pPr>
        <w:wordWrap/>
        <w:rPr>
          <w:rFonts w:hint="eastAsia" w:ascii="黑体" w:eastAsia="黑体"/>
        </w:rPr>
        <w:sectPr>
          <w:headerReference r:id="rId3" w:type="default"/>
          <w:footerReference r:id="rId5" w:type="default"/>
          <w:headerReference r:id="rId4" w:type="even"/>
          <w:footerReference r:id="rId6" w:type="even"/>
          <w:pgSz w:w="11906" w:h="16838"/>
          <w:pgMar w:top="2098" w:right="1474" w:bottom="1701" w:left="1474" w:header="851" w:footer="1304" w:gutter="0"/>
          <w:paperSrc/>
          <w:pgNumType w:fmt="numberInDash"/>
          <w:cols w:space="720" w:num="1"/>
          <w:rtlGutter w:val="0"/>
          <w:docGrid w:type="lines" w:linePitch="312" w:charSpace="0"/>
        </w:sect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wordWrap/>
        <w:rPr>
          <w:rFonts w:hint="eastAsia" w:ascii="黑体" w:eastAsia="黑体"/>
        </w:rPr>
      </w:pPr>
    </w:p>
    <w:p>
      <w:pPr>
        <w:pStyle w:val="8"/>
        <w:keepNext w:val="0"/>
        <w:keepLines w:val="0"/>
        <w:pageBreakBefore w:val="0"/>
        <w:tabs>
          <w:tab w:val="left" w:pos="7560"/>
        </w:tabs>
        <w:kinsoku/>
        <w:wordWrap w:val="0"/>
        <w:overflowPunct/>
        <w:topLinePunct w:val="0"/>
        <w:autoSpaceDE/>
        <w:autoSpaceDN/>
        <w:bidi w:val="0"/>
        <w:spacing w:line="580" w:lineRule="exact"/>
        <w:ind w:left="4520" w:leftChars="2058" w:hanging="198" w:hangingChars="62"/>
        <w:jc w:val="right"/>
        <w:textAlignment w:val="auto"/>
        <w:rPr>
          <w:rFonts w:hint="eastAsia" w:ascii="黑体" w:eastAsia="黑体"/>
        </w:rPr>
      </w:pPr>
    </w:p>
    <w:p>
      <w:pPr>
        <w:pStyle w:val="8"/>
        <w:keepNext w:val="0"/>
        <w:keepLines w:val="0"/>
        <w:pageBreakBefore w:val="0"/>
        <w:tabs>
          <w:tab w:val="left" w:pos="7560"/>
        </w:tabs>
        <w:kinsoku/>
        <w:wordWrap w:val="0"/>
        <w:overflowPunct/>
        <w:topLinePunct w:val="0"/>
        <w:autoSpaceDE/>
        <w:autoSpaceDN/>
        <w:bidi w:val="0"/>
        <w:spacing w:line="580" w:lineRule="exact"/>
        <w:ind w:left="4520" w:leftChars="2058" w:hanging="198" w:hangingChars="62"/>
        <w:jc w:val="right"/>
        <w:textAlignment w:val="auto"/>
        <w:rPr>
          <w:rFonts w:hint="eastAsia" w:ascii="黑体" w:eastAsia="黑体"/>
        </w:rPr>
      </w:pPr>
    </w:p>
    <w:p>
      <w:pPr>
        <w:pStyle w:val="8"/>
        <w:keepNext w:val="0"/>
        <w:keepLines w:val="0"/>
        <w:pageBreakBefore w:val="0"/>
        <w:tabs>
          <w:tab w:val="left" w:pos="7560"/>
        </w:tabs>
        <w:kinsoku/>
        <w:wordWrap w:val="0"/>
        <w:overflowPunct/>
        <w:topLinePunct w:val="0"/>
        <w:autoSpaceDE/>
        <w:autoSpaceDN/>
        <w:bidi w:val="0"/>
        <w:spacing w:line="580" w:lineRule="exact"/>
        <w:ind w:left="4520" w:leftChars="2058" w:hanging="198" w:hangingChars="62"/>
        <w:jc w:val="right"/>
        <w:textAlignment w:val="auto"/>
        <w:rPr>
          <w:rFonts w:hint="eastAsia" w:ascii="黑体" w:eastAsia="黑体"/>
        </w:rPr>
      </w:pPr>
    </w:p>
    <w:p>
      <w:pPr>
        <w:pStyle w:val="8"/>
        <w:keepNext w:val="0"/>
        <w:keepLines w:val="0"/>
        <w:pageBreakBefore w:val="0"/>
        <w:tabs>
          <w:tab w:val="left" w:pos="7560"/>
        </w:tabs>
        <w:kinsoku/>
        <w:wordWrap w:val="0"/>
        <w:overflowPunct/>
        <w:topLinePunct w:val="0"/>
        <w:autoSpaceDE/>
        <w:autoSpaceDN/>
        <w:bidi w:val="0"/>
        <w:spacing w:line="580" w:lineRule="exact"/>
        <w:ind w:left="4520" w:leftChars="2058" w:hanging="198" w:hangingChars="62"/>
        <w:jc w:val="right"/>
        <w:textAlignment w:val="auto"/>
        <w:rPr>
          <w:rFonts w:hint="eastAsia" w:ascii="黑体" w:eastAsia="黑体"/>
          <w:lang w:eastAsia="zh-CN"/>
        </w:rPr>
      </w:pPr>
    </w:p>
    <w:p>
      <w:pPr>
        <w:pStyle w:val="8"/>
        <w:keepNext w:val="0"/>
        <w:keepLines w:val="0"/>
        <w:pageBreakBefore w:val="0"/>
        <w:tabs>
          <w:tab w:val="left" w:pos="7560"/>
        </w:tabs>
        <w:kinsoku/>
        <w:wordWrap w:val="0"/>
        <w:overflowPunct/>
        <w:topLinePunct w:val="0"/>
        <w:autoSpaceDE/>
        <w:autoSpaceDN/>
        <w:bidi w:val="0"/>
        <w:spacing w:line="580" w:lineRule="exact"/>
        <w:ind w:left="4520" w:leftChars="2058" w:hanging="198" w:hangingChars="62"/>
        <w:jc w:val="right"/>
        <w:textAlignment w:val="auto"/>
        <w:rPr>
          <w:rFonts w:hint="eastAsia" w:ascii="黑体" w:eastAsia="黑体"/>
        </w:rPr>
      </w:pPr>
    </w:p>
    <w:p>
      <w:pPr>
        <w:pStyle w:val="8"/>
        <w:keepNext w:val="0"/>
        <w:keepLines w:val="0"/>
        <w:pageBreakBefore w:val="0"/>
        <w:tabs>
          <w:tab w:val="left" w:pos="7560"/>
        </w:tabs>
        <w:kinsoku/>
        <w:wordWrap w:val="0"/>
        <w:overflowPunct/>
        <w:topLinePunct w:val="0"/>
        <w:autoSpaceDE/>
        <w:autoSpaceDN/>
        <w:bidi w:val="0"/>
        <w:spacing w:line="580" w:lineRule="exact"/>
        <w:ind w:left="4520" w:leftChars="2058" w:hanging="198" w:hangingChars="62"/>
        <w:jc w:val="right"/>
        <w:textAlignment w:val="auto"/>
        <w:rPr>
          <w:rFonts w:hint="eastAsia" w:ascii="黑体" w:eastAsia="黑体"/>
        </w:rPr>
      </w:pPr>
    </w:p>
    <w:p>
      <w:pPr>
        <w:pStyle w:val="8"/>
        <w:tabs>
          <w:tab w:val="left" w:pos="7560"/>
        </w:tabs>
        <w:wordWrap w:val="0"/>
        <w:ind w:left="4520" w:leftChars="2058" w:hanging="198" w:hangingChars="62"/>
        <w:jc w:val="right"/>
        <w:rPr>
          <w:rFonts w:hint="eastAsia" w:ascii="黑体" w:eastAsia="黑体"/>
        </w:rPr>
      </w:pPr>
      <w:r>
        <w:rPr>
          <w:rFonts w:hint="eastAsia" w:ascii="黑体" w:eastAsia="黑体"/>
        </w:rPr>
        <w:t xml:space="preserve">        </w:t>
      </w:r>
    </w:p>
    <w:tbl>
      <w:tblPr>
        <w:tblStyle w:val="14"/>
        <w:tblW w:w="8962" w:type="dxa"/>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62"/>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PrEx>
        <w:tc>
          <w:tcPr>
            <w:tcW w:w="8962" w:type="dxa"/>
            <w:noWrap w:val="0"/>
            <w:vAlign w:val="top"/>
          </w:tcPr>
          <w:p>
            <w:pPr>
              <w:keepNext w:val="0"/>
              <w:keepLines w:val="0"/>
              <w:pageBreakBefore w:val="0"/>
              <w:widowControl w:val="0"/>
              <w:kinsoku/>
              <w:wordWrap/>
              <w:overflowPunct/>
              <w:topLinePunct w:val="0"/>
              <w:autoSpaceDE/>
              <w:autoSpaceDN/>
              <w:bidi w:val="0"/>
              <w:adjustRightInd/>
              <w:snapToGrid/>
              <w:spacing w:line="400" w:lineRule="exact"/>
              <w:ind w:right="210" w:rightChars="100" w:firstLine="280" w:firstLineChars="100"/>
              <w:textAlignment w:val="auto"/>
              <w:rPr>
                <w:rFonts w:ascii="仿宋_GB2312" w:eastAsia="仿宋_GB2312"/>
                <w:sz w:val="28"/>
              </w:rPr>
            </w:pPr>
            <w:r>
              <w:rPr>
                <w:rFonts w:hint="eastAsia" w:ascii="仿宋_GB2312" w:eastAsia="仿宋_GB2312"/>
                <w:sz w:val="28"/>
              </w:rPr>
              <w:t>抄送：自治区党委各部门，内蒙古军区，武警内蒙古总队。</w:t>
            </w:r>
          </w:p>
          <w:p>
            <w:pPr>
              <w:keepNext w:val="0"/>
              <w:keepLines w:val="0"/>
              <w:pageBreakBefore w:val="0"/>
              <w:widowControl w:val="0"/>
              <w:kinsoku/>
              <w:wordWrap/>
              <w:overflowPunct/>
              <w:topLinePunct w:val="0"/>
              <w:autoSpaceDE/>
              <w:autoSpaceDN/>
              <w:bidi w:val="0"/>
              <w:adjustRightInd/>
              <w:snapToGrid/>
              <w:spacing w:line="400" w:lineRule="exact"/>
              <w:ind w:right="210" w:rightChars="100" w:firstLine="1072" w:firstLineChars="400"/>
              <w:textAlignment w:val="auto"/>
              <w:rPr>
                <w:rFonts w:hint="eastAsia" w:ascii="仿宋_GB2312" w:eastAsia="仿宋_GB2312"/>
                <w:spacing w:val="-6"/>
                <w:sz w:val="28"/>
                <w:lang w:eastAsia="zh-CN"/>
              </w:rPr>
            </w:pPr>
            <w:r>
              <w:rPr>
                <w:rFonts w:hint="eastAsia" w:ascii="仿宋_GB2312" w:eastAsia="仿宋_GB2312"/>
                <w:spacing w:val="-6"/>
                <w:sz w:val="28"/>
              </w:rPr>
              <w:t>自治区人大常委会办公厅、政协办公厅，</w:t>
            </w:r>
            <w:r>
              <w:rPr>
                <w:rFonts w:hint="eastAsia" w:ascii="仿宋_GB2312" w:eastAsia="仿宋_GB2312"/>
                <w:spacing w:val="-6"/>
                <w:sz w:val="28"/>
                <w:lang w:eastAsia="zh-CN"/>
              </w:rPr>
              <w:t>自治区监委，自治区</w:t>
            </w:r>
          </w:p>
          <w:p>
            <w:pPr>
              <w:keepNext w:val="0"/>
              <w:keepLines w:val="0"/>
              <w:pageBreakBefore w:val="0"/>
              <w:widowControl w:val="0"/>
              <w:kinsoku/>
              <w:wordWrap/>
              <w:overflowPunct/>
              <w:topLinePunct w:val="0"/>
              <w:autoSpaceDE/>
              <w:autoSpaceDN/>
              <w:bidi w:val="0"/>
              <w:adjustRightInd/>
              <w:snapToGrid/>
              <w:spacing w:line="400" w:lineRule="exact"/>
              <w:ind w:right="210" w:rightChars="100" w:firstLine="1120" w:firstLineChars="400"/>
              <w:textAlignment w:val="auto"/>
              <w:rPr>
                <w:rFonts w:ascii="仿宋_GB2312" w:eastAsia="仿宋_GB2312"/>
                <w:sz w:val="28"/>
              </w:rPr>
            </w:pPr>
            <w:r>
              <w:rPr>
                <w:rFonts w:hint="eastAsia" w:ascii="仿宋_GB2312" w:eastAsia="仿宋_GB2312"/>
                <w:sz w:val="28"/>
              </w:rPr>
              <w:t>高级人民法院，检察院。</w:t>
            </w:r>
          </w:p>
          <w:p>
            <w:pPr>
              <w:keepNext w:val="0"/>
              <w:keepLines w:val="0"/>
              <w:pageBreakBefore w:val="0"/>
              <w:widowControl w:val="0"/>
              <w:kinsoku/>
              <w:wordWrap/>
              <w:overflowPunct/>
              <w:topLinePunct w:val="0"/>
              <w:autoSpaceDE/>
              <w:autoSpaceDN/>
              <w:bidi w:val="0"/>
              <w:adjustRightInd/>
              <w:snapToGrid/>
              <w:spacing w:line="400" w:lineRule="exact"/>
              <w:ind w:right="210" w:rightChars="100" w:firstLine="1120" w:firstLineChars="400"/>
              <w:textAlignment w:val="auto"/>
              <w:rPr>
                <w:rFonts w:ascii="仿宋_GB2312" w:eastAsia="仿宋_GB2312"/>
                <w:sz w:val="28"/>
              </w:rPr>
            </w:pPr>
            <w:r>
              <w:rPr>
                <w:rFonts w:hint="eastAsia" w:ascii="仿宋_GB2312" w:eastAsia="仿宋_GB2312"/>
                <w:sz w:val="28"/>
              </w:rPr>
              <w:t>各人民团体，新闻单位。</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8962" w:type="dxa"/>
            <w:noWrap w:val="0"/>
            <w:vAlign w:val="top"/>
          </w:tcPr>
          <w:p>
            <w:pPr>
              <w:keepNext w:val="0"/>
              <w:keepLines w:val="0"/>
              <w:pageBreakBefore w:val="0"/>
              <w:widowControl w:val="0"/>
              <w:kinsoku/>
              <w:wordWrap/>
              <w:overflowPunct/>
              <w:topLinePunct w:val="0"/>
              <w:autoSpaceDE/>
              <w:autoSpaceDN/>
              <w:bidi w:val="0"/>
              <w:adjustRightInd/>
              <w:snapToGrid/>
              <w:ind w:right="210" w:rightChars="100" w:firstLine="280" w:firstLineChars="100"/>
              <w:textAlignment w:val="auto"/>
              <w:rPr>
                <w:rFonts w:ascii="仿宋_GB2312" w:eastAsia="仿宋_GB2312"/>
                <w:sz w:val="28"/>
              </w:rPr>
            </w:pPr>
            <w:r>
              <w:rPr>
                <w:rFonts w:hint="eastAsia" w:ascii="仿宋_GB2312" w:eastAsia="仿宋_GB2312"/>
                <w:sz w:val="28"/>
              </w:rPr>
              <w:t xml:space="preserve">内蒙古自治区人民政府办公厅文电处     </w:t>
            </w:r>
            <w:r>
              <w:rPr>
                <w:rFonts w:hint="eastAsia" w:ascii="仿宋_GB2312" w:eastAsia="仿宋_GB2312"/>
                <w:sz w:val="28"/>
                <w:lang w:val="en-US" w:eastAsia="zh-CN"/>
              </w:rPr>
              <w:t xml:space="preserve"> </w:t>
            </w:r>
            <w:r>
              <w:rPr>
                <w:rFonts w:hint="eastAsia" w:ascii="仿宋_GB2312" w:eastAsia="仿宋_GB2312"/>
                <w:sz w:val="28"/>
              </w:rPr>
              <w:t xml:space="preserve"> 202</w:t>
            </w:r>
            <w:r>
              <w:rPr>
                <w:rFonts w:hint="eastAsia" w:ascii="仿宋_GB2312" w:eastAsia="仿宋_GB2312"/>
                <w:sz w:val="28"/>
                <w:lang w:val="en-US" w:eastAsia="zh-CN"/>
              </w:rPr>
              <w:t>4</w:t>
            </w:r>
            <w:r>
              <w:rPr>
                <w:rFonts w:hint="eastAsia" w:ascii="仿宋_GB2312" w:eastAsia="仿宋_GB2312"/>
                <w:sz w:val="28"/>
              </w:rPr>
              <w:t>年</w:t>
            </w:r>
            <w:r>
              <w:rPr>
                <w:rFonts w:hint="eastAsia" w:ascii="仿宋_GB2312" w:eastAsia="仿宋_GB2312"/>
                <w:sz w:val="28"/>
                <w:lang w:val="en-US" w:eastAsia="zh-CN"/>
              </w:rPr>
              <w:t>5</w:t>
            </w:r>
            <w:r>
              <w:rPr>
                <w:rFonts w:hint="eastAsia" w:ascii="仿宋_GB2312" w:eastAsia="仿宋_GB2312"/>
                <w:sz w:val="28"/>
              </w:rPr>
              <w:t>月</w:t>
            </w:r>
            <w:r>
              <w:rPr>
                <w:rFonts w:hint="eastAsia" w:ascii="仿宋_GB2312" w:eastAsia="仿宋_GB2312"/>
                <w:sz w:val="28"/>
                <w:lang w:val="en-US" w:eastAsia="zh-CN"/>
              </w:rPr>
              <w:t>8</w:t>
            </w:r>
            <w:r>
              <w:rPr>
                <w:rFonts w:hint="eastAsia" w:ascii="仿宋_GB2312" w:eastAsia="仿宋_GB2312"/>
                <w:sz w:val="28"/>
              </w:rPr>
              <w:t>日印发</w:t>
            </w:r>
          </w:p>
        </w:tc>
      </w:tr>
    </w:tbl>
    <w:p>
      <w:pPr>
        <w:spacing w:line="20" w:lineRule="exact"/>
        <w:rPr>
          <w:rFonts w:hint="eastAsia"/>
        </w:rPr>
      </w:pPr>
      <w:r>
        <w:rPr>
          <w:rFonts w:hint="eastAsia" w:ascii="黑体" w:eastAsia="黑体"/>
          <w:lang w:eastAsia="zh-CN"/>
        </w:rPr>
        <w:drawing>
          <wp:anchor distT="0" distB="0" distL="114300" distR="114300" simplePos="0" relativeHeight="251658240" behindDoc="0" locked="0" layoutInCell="1" allowOverlap="1">
            <wp:simplePos x="0" y="0"/>
            <wp:positionH relativeFrom="column">
              <wp:posOffset>3775075</wp:posOffset>
            </wp:positionH>
            <wp:positionV relativeFrom="paragraph">
              <wp:posOffset>114935</wp:posOffset>
            </wp:positionV>
            <wp:extent cx="1630680" cy="452120"/>
            <wp:effectExtent l="0" t="0" r="7620" b="5080"/>
            <wp:wrapSquare wrapText="bothSides"/>
            <wp:docPr id="1" name="图片 4" descr="NZF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descr="NZF16"/>
                    <pic:cNvPicPr>
                      <a:picLocks noChangeAspect="1"/>
                    </pic:cNvPicPr>
                  </pic:nvPicPr>
                  <pic:blipFill>
                    <a:blip r:embed="rId36"/>
                    <a:stretch>
                      <a:fillRect/>
                    </a:stretch>
                  </pic:blipFill>
                  <pic:spPr>
                    <a:xfrm>
                      <a:off x="0" y="0"/>
                      <a:ext cx="1630680" cy="452120"/>
                    </a:xfrm>
                    <a:prstGeom prst="rect">
                      <a:avLst/>
                    </a:prstGeom>
                    <a:noFill/>
                    <a:ln>
                      <a:noFill/>
                    </a:ln>
                  </pic:spPr>
                </pic:pic>
              </a:graphicData>
            </a:graphic>
          </wp:anchor>
        </w:drawing>
      </w:r>
    </w:p>
    <w:sectPr>
      <w:footerReference r:id="rId7" w:type="default"/>
      <w:footerReference r:id="rId8" w:type="even"/>
      <w:pgSz w:w="11906" w:h="16838"/>
      <w:pgMar w:top="2098" w:right="1474" w:bottom="1701" w:left="1474" w:header="851" w:footer="1304" w:gutter="0"/>
      <w:paperSrc/>
      <w:pgNumType w:fmt="numberInDash"/>
      <w:cols w:space="72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Mongolian Baiti">
    <w:panose1 w:val="03000500000000000000"/>
    <w:charset w:val="00"/>
    <w:family w:val="script"/>
    <w:pitch w:val="default"/>
    <w:sig w:usb0="80000023" w:usb1="00000000" w:usb2="00020000" w:usb3="00000000" w:csb0="00000001" w:csb1="00000000"/>
  </w:font>
  <w:font w:name="华文仿宋">
    <w:altName w:val="方正仿宋_GBK"/>
    <w:panose1 w:val="02010600040101010101"/>
    <w:charset w:val="00"/>
    <w:family w:val="auto"/>
    <w:pitch w:val="default"/>
    <w:sig w:usb0="00000287" w:usb1="080F0000" w:usb2="00000000" w:usb3="00000000" w:csb0="0004009F" w:csb1="DFD70000"/>
  </w:font>
  <w:font w:name="楷体_GB2312">
    <w:panose1 w:val="02010609030101010101"/>
    <w:charset w:val="86"/>
    <w:family w:val="modern"/>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方正小标宋简体">
    <w:panose1 w:val="03000509000000000000"/>
    <w:charset w:val="86"/>
    <w:family w:val="script"/>
    <w:pitch w:val="default"/>
    <w:sig w:usb0="00000001" w:usb1="080E0000" w:usb2="00000000" w:usb3="00000000" w:csb0="00040000" w:csb1="00000000"/>
  </w:font>
  <w:font w:name="方正楷体_GBK">
    <w:panose1 w:val="03000509000000000000"/>
    <w:charset w:val="86"/>
    <w:family w:val="auto"/>
    <w:pitch w:val="default"/>
    <w:sig w:usb0="00000001" w:usb1="080E0000" w:usb2="00000000" w:usb3="00000000" w:csb0="00040000" w:csb1="00000000"/>
  </w:font>
  <w:font w:name="方正仿宋_GBK">
    <w:panose1 w:val="03000509000000000000"/>
    <w:charset w:val="86"/>
    <w:family w:val="auto"/>
    <w:pitch w:val="default"/>
    <w:sig w:usb0="00000001" w:usb1="080E0000" w:usb2="00000000" w:usb3="00000000" w:csb0="00040000" w:csb1="00000000"/>
  </w:font>
  <w:font w:name="方正黑体_GBK">
    <w:altName w:val="微软雅黑"/>
    <w:panose1 w:val="02000000000000000000"/>
    <w:charset w:val="86"/>
    <w:family w:val="auto"/>
    <w:pitch w:val="default"/>
    <w:sig w:usb0="A00002BF" w:usb1="38CF7CFA" w:usb2="00082016" w:usb3="00000000" w:csb0="00040001"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framePr w:wrap="around" w:vAnchor="text" w:hAnchor="page" w:x="9452" w:y="-23"/>
      <w:rPr>
        <w:rStyle w:val="17"/>
        <w:rFonts w:hint="eastAsia" w:ascii="宋体" w:hAnsi="宋体"/>
        <w:sz w:val="28"/>
        <w:szCs w:val="28"/>
      </w:rPr>
    </w:pPr>
    <w:r>
      <w:rPr>
        <w:rFonts w:hint="eastAsia" w:ascii="宋体" w:hAnsi="宋体"/>
        <w:sz w:val="28"/>
        <w:szCs w:val="28"/>
      </w:rPr>
      <w:fldChar w:fldCharType="begin"/>
    </w:r>
    <w:r>
      <w:rPr>
        <w:rStyle w:val="17"/>
        <w:rFonts w:hint="eastAsia" w:ascii="宋体" w:hAnsi="宋体"/>
        <w:sz w:val="28"/>
        <w:szCs w:val="28"/>
      </w:rPr>
      <w:instrText xml:space="preserve">PAGE  </w:instrText>
    </w:r>
    <w:r>
      <w:rPr>
        <w:rFonts w:hint="eastAsia" w:ascii="宋体" w:hAnsi="宋体"/>
        <w:sz w:val="28"/>
        <w:szCs w:val="28"/>
      </w:rPr>
      <w:fldChar w:fldCharType="separate"/>
    </w:r>
    <w:r>
      <w:rPr>
        <w:rStyle w:val="17"/>
        <w:rFonts w:ascii="宋体" w:hAnsi="宋体"/>
        <w:sz w:val="28"/>
        <w:szCs w:val="28"/>
        <w:lang/>
      </w:rPr>
      <w:t>- 1 -</w:t>
    </w:r>
    <w:r>
      <w:rPr>
        <w:rFonts w:hint="eastAsia" w:ascii="宋体" w:hAnsi="宋体"/>
        <w:sz w:val="28"/>
        <w:szCs w:val="28"/>
      </w:rPr>
      <w:fldChar w:fldCharType="end"/>
    </w:r>
  </w:p>
  <w:p>
    <w:pPr>
      <w:pStyle w:val="10"/>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framePr w:wrap="around" w:vAnchor="text" w:hAnchor="page" w:x="1892" w:y="-23"/>
      <w:rPr>
        <w:rStyle w:val="17"/>
        <w:rFonts w:ascii="宋体" w:hAnsi="宋体"/>
        <w:sz w:val="28"/>
        <w:szCs w:val="28"/>
      </w:rPr>
    </w:pPr>
    <w:r>
      <w:rPr>
        <w:rFonts w:ascii="宋体" w:hAnsi="宋体"/>
        <w:sz w:val="28"/>
        <w:szCs w:val="28"/>
      </w:rPr>
      <w:fldChar w:fldCharType="begin"/>
    </w:r>
    <w:r>
      <w:rPr>
        <w:rStyle w:val="17"/>
        <w:rFonts w:ascii="宋体" w:hAnsi="宋体"/>
        <w:sz w:val="28"/>
        <w:szCs w:val="28"/>
      </w:rPr>
      <w:instrText xml:space="preserve">PAGE  </w:instrText>
    </w:r>
    <w:r>
      <w:rPr>
        <w:rFonts w:ascii="宋体" w:hAnsi="宋体"/>
        <w:sz w:val="28"/>
        <w:szCs w:val="28"/>
      </w:rPr>
      <w:fldChar w:fldCharType="separate"/>
    </w:r>
    <w:r>
      <w:rPr>
        <w:rStyle w:val="17"/>
        <w:rFonts w:ascii="宋体" w:hAnsi="宋体"/>
        <w:sz w:val="28"/>
        <w:szCs w:val="28"/>
        <w:lang/>
      </w:rPr>
      <w:t>- 2 -</w:t>
    </w:r>
    <w:r>
      <w:rPr>
        <w:rFonts w:ascii="宋体" w:hAnsi="宋体"/>
        <w:sz w:val="28"/>
        <w:szCs w:val="28"/>
      </w:rPr>
      <w:fldChar w:fldCharType="end"/>
    </w:r>
  </w:p>
  <w:p>
    <w:pPr>
      <w:pStyle w:val="10"/>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right="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6461871"/>
    <w:multiLevelType w:val="singleLevel"/>
    <w:tmpl w:val="56461871"/>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revisionView w:markup="0"/>
  <w:documentProtection w:edit="trackedChanges" w:enforcement="0"/>
  <w:defaultTabStop w:val="420"/>
  <w:hyphenationZone w:val="360"/>
  <w:evenAndOddHeaders w:val="1"/>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A154C"/>
    <w:rsid w:val="0000053B"/>
    <w:rsid w:val="00000BC8"/>
    <w:rsid w:val="00000D35"/>
    <w:rsid w:val="00000E8A"/>
    <w:rsid w:val="00001A5E"/>
    <w:rsid w:val="00006746"/>
    <w:rsid w:val="0001025F"/>
    <w:rsid w:val="00010E72"/>
    <w:rsid w:val="00010FBD"/>
    <w:rsid w:val="000134B5"/>
    <w:rsid w:val="0001572E"/>
    <w:rsid w:val="0001671F"/>
    <w:rsid w:val="0001751F"/>
    <w:rsid w:val="00017973"/>
    <w:rsid w:val="00017C56"/>
    <w:rsid w:val="00017C8E"/>
    <w:rsid w:val="00021290"/>
    <w:rsid w:val="000228A4"/>
    <w:rsid w:val="00024FC9"/>
    <w:rsid w:val="00025291"/>
    <w:rsid w:val="0003004C"/>
    <w:rsid w:val="000305B6"/>
    <w:rsid w:val="00031020"/>
    <w:rsid w:val="0003284C"/>
    <w:rsid w:val="00036CC9"/>
    <w:rsid w:val="00037A1D"/>
    <w:rsid w:val="0004119F"/>
    <w:rsid w:val="00041495"/>
    <w:rsid w:val="00043109"/>
    <w:rsid w:val="00043BA4"/>
    <w:rsid w:val="00045126"/>
    <w:rsid w:val="00047737"/>
    <w:rsid w:val="0005120B"/>
    <w:rsid w:val="00053149"/>
    <w:rsid w:val="00055C21"/>
    <w:rsid w:val="00056556"/>
    <w:rsid w:val="00060597"/>
    <w:rsid w:val="00060CE0"/>
    <w:rsid w:val="000615CF"/>
    <w:rsid w:val="0006347A"/>
    <w:rsid w:val="000671EE"/>
    <w:rsid w:val="00070196"/>
    <w:rsid w:val="000701C3"/>
    <w:rsid w:val="00071DE3"/>
    <w:rsid w:val="00071E83"/>
    <w:rsid w:val="0007324B"/>
    <w:rsid w:val="00074623"/>
    <w:rsid w:val="00076F96"/>
    <w:rsid w:val="00082970"/>
    <w:rsid w:val="0008397E"/>
    <w:rsid w:val="00085643"/>
    <w:rsid w:val="00090E87"/>
    <w:rsid w:val="00090EB2"/>
    <w:rsid w:val="00097E64"/>
    <w:rsid w:val="000A1E68"/>
    <w:rsid w:val="000A2307"/>
    <w:rsid w:val="000A26F8"/>
    <w:rsid w:val="000A3DA4"/>
    <w:rsid w:val="000A51DB"/>
    <w:rsid w:val="000A7F88"/>
    <w:rsid w:val="000B0241"/>
    <w:rsid w:val="000B182B"/>
    <w:rsid w:val="000B2C2B"/>
    <w:rsid w:val="000B318D"/>
    <w:rsid w:val="000B483E"/>
    <w:rsid w:val="000B76CD"/>
    <w:rsid w:val="000D1918"/>
    <w:rsid w:val="000D2276"/>
    <w:rsid w:val="000D46E6"/>
    <w:rsid w:val="000D4B7C"/>
    <w:rsid w:val="000E189F"/>
    <w:rsid w:val="000E242A"/>
    <w:rsid w:val="000E2DE0"/>
    <w:rsid w:val="000E4A4D"/>
    <w:rsid w:val="000E5531"/>
    <w:rsid w:val="000E6931"/>
    <w:rsid w:val="000F0166"/>
    <w:rsid w:val="000F12FB"/>
    <w:rsid w:val="000F1D11"/>
    <w:rsid w:val="000F3390"/>
    <w:rsid w:val="000F3786"/>
    <w:rsid w:val="000F3C60"/>
    <w:rsid w:val="000F7B4B"/>
    <w:rsid w:val="00100F1E"/>
    <w:rsid w:val="00104732"/>
    <w:rsid w:val="00104FB1"/>
    <w:rsid w:val="0010515D"/>
    <w:rsid w:val="001106F2"/>
    <w:rsid w:val="00110B09"/>
    <w:rsid w:val="001116CA"/>
    <w:rsid w:val="0011191E"/>
    <w:rsid w:val="001147E4"/>
    <w:rsid w:val="00114AC4"/>
    <w:rsid w:val="00114FD2"/>
    <w:rsid w:val="001166E7"/>
    <w:rsid w:val="00117691"/>
    <w:rsid w:val="0012067D"/>
    <w:rsid w:val="00120FA6"/>
    <w:rsid w:val="00121523"/>
    <w:rsid w:val="00121A80"/>
    <w:rsid w:val="0012298D"/>
    <w:rsid w:val="00124296"/>
    <w:rsid w:val="001243C4"/>
    <w:rsid w:val="0012798F"/>
    <w:rsid w:val="00127B89"/>
    <w:rsid w:val="00127D04"/>
    <w:rsid w:val="001303D3"/>
    <w:rsid w:val="001316F8"/>
    <w:rsid w:val="001332BC"/>
    <w:rsid w:val="001340AD"/>
    <w:rsid w:val="0013461A"/>
    <w:rsid w:val="00137385"/>
    <w:rsid w:val="00140625"/>
    <w:rsid w:val="00142107"/>
    <w:rsid w:val="00145C0B"/>
    <w:rsid w:val="00145D2E"/>
    <w:rsid w:val="00146D53"/>
    <w:rsid w:val="00147907"/>
    <w:rsid w:val="00147A06"/>
    <w:rsid w:val="00151F28"/>
    <w:rsid w:val="00153017"/>
    <w:rsid w:val="00155A0E"/>
    <w:rsid w:val="001602EE"/>
    <w:rsid w:val="001608F4"/>
    <w:rsid w:val="0016554C"/>
    <w:rsid w:val="00166461"/>
    <w:rsid w:val="0016715A"/>
    <w:rsid w:val="001679C2"/>
    <w:rsid w:val="00170824"/>
    <w:rsid w:val="0017273F"/>
    <w:rsid w:val="00172ABF"/>
    <w:rsid w:val="00173AA9"/>
    <w:rsid w:val="00177B68"/>
    <w:rsid w:val="00180CF8"/>
    <w:rsid w:val="00182DBF"/>
    <w:rsid w:val="00183AA6"/>
    <w:rsid w:val="001844AF"/>
    <w:rsid w:val="00184638"/>
    <w:rsid w:val="00187037"/>
    <w:rsid w:val="00194319"/>
    <w:rsid w:val="001948D4"/>
    <w:rsid w:val="00197198"/>
    <w:rsid w:val="001A0A30"/>
    <w:rsid w:val="001A102B"/>
    <w:rsid w:val="001A2BD2"/>
    <w:rsid w:val="001A3639"/>
    <w:rsid w:val="001A72B0"/>
    <w:rsid w:val="001B2E25"/>
    <w:rsid w:val="001B36FF"/>
    <w:rsid w:val="001B6A85"/>
    <w:rsid w:val="001C21AB"/>
    <w:rsid w:val="001C291D"/>
    <w:rsid w:val="001C2E2C"/>
    <w:rsid w:val="001C2FB0"/>
    <w:rsid w:val="001C3230"/>
    <w:rsid w:val="001C4131"/>
    <w:rsid w:val="001C472D"/>
    <w:rsid w:val="001D0ADB"/>
    <w:rsid w:val="001D2A39"/>
    <w:rsid w:val="001D3381"/>
    <w:rsid w:val="001D38D9"/>
    <w:rsid w:val="001D42FD"/>
    <w:rsid w:val="001D50C7"/>
    <w:rsid w:val="001D62F3"/>
    <w:rsid w:val="001E1712"/>
    <w:rsid w:val="001E3AE1"/>
    <w:rsid w:val="001E4564"/>
    <w:rsid w:val="001E463E"/>
    <w:rsid w:val="001E48FC"/>
    <w:rsid w:val="001E51E8"/>
    <w:rsid w:val="001E5A4A"/>
    <w:rsid w:val="001F077E"/>
    <w:rsid w:val="001F275C"/>
    <w:rsid w:val="001F4B62"/>
    <w:rsid w:val="001F53DE"/>
    <w:rsid w:val="00200626"/>
    <w:rsid w:val="002014F1"/>
    <w:rsid w:val="002016DC"/>
    <w:rsid w:val="00202305"/>
    <w:rsid w:val="002037DD"/>
    <w:rsid w:val="00203FE2"/>
    <w:rsid w:val="00205C6F"/>
    <w:rsid w:val="002112BA"/>
    <w:rsid w:val="00211B40"/>
    <w:rsid w:val="0021430F"/>
    <w:rsid w:val="0022010B"/>
    <w:rsid w:val="00222BE8"/>
    <w:rsid w:val="00225BC5"/>
    <w:rsid w:val="00226765"/>
    <w:rsid w:val="002301CC"/>
    <w:rsid w:val="00230DF7"/>
    <w:rsid w:val="00233CA4"/>
    <w:rsid w:val="00237083"/>
    <w:rsid w:val="00237D8D"/>
    <w:rsid w:val="002438BD"/>
    <w:rsid w:val="00244F58"/>
    <w:rsid w:val="002502FA"/>
    <w:rsid w:val="002508F6"/>
    <w:rsid w:val="00253497"/>
    <w:rsid w:val="00253505"/>
    <w:rsid w:val="002537D8"/>
    <w:rsid w:val="00253D8D"/>
    <w:rsid w:val="00254C91"/>
    <w:rsid w:val="0026009A"/>
    <w:rsid w:val="00260B18"/>
    <w:rsid w:val="00261C1B"/>
    <w:rsid w:val="00264B5A"/>
    <w:rsid w:val="00265F33"/>
    <w:rsid w:val="002677B9"/>
    <w:rsid w:val="002701FE"/>
    <w:rsid w:val="00271599"/>
    <w:rsid w:val="00273094"/>
    <w:rsid w:val="002750B4"/>
    <w:rsid w:val="002755E6"/>
    <w:rsid w:val="00277086"/>
    <w:rsid w:val="0027732C"/>
    <w:rsid w:val="00284880"/>
    <w:rsid w:val="00286092"/>
    <w:rsid w:val="00290135"/>
    <w:rsid w:val="00295857"/>
    <w:rsid w:val="0029606D"/>
    <w:rsid w:val="002973C7"/>
    <w:rsid w:val="002A0CAD"/>
    <w:rsid w:val="002A32E1"/>
    <w:rsid w:val="002A3E00"/>
    <w:rsid w:val="002A5246"/>
    <w:rsid w:val="002A64B4"/>
    <w:rsid w:val="002A67EB"/>
    <w:rsid w:val="002A7BF8"/>
    <w:rsid w:val="002B0F91"/>
    <w:rsid w:val="002B4292"/>
    <w:rsid w:val="002B4C83"/>
    <w:rsid w:val="002C0358"/>
    <w:rsid w:val="002C048B"/>
    <w:rsid w:val="002C1222"/>
    <w:rsid w:val="002C2F22"/>
    <w:rsid w:val="002C409D"/>
    <w:rsid w:val="002C41C0"/>
    <w:rsid w:val="002C4FC3"/>
    <w:rsid w:val="002C5B09"/>
    <w:rsid w:val="002D063C"/>
    <w:rsid w:val="002D2CF6"/>
    <w:rsid w:val="002D31DC"/>
    <w:rsid w:val="002D3F3C"/>
    <w:rsid w:val="002D4032"/>
    <w:rsid w:val="002D5A5E"/>
    <w:rsid w:val="002D7462"/>
    <w:rsid w:val="002E0919"/>
    <w:rsid w:val="002E2A33"/>
    <w:rsid w:val="002E2F22"/>
    <w:rsid w:val="002E3CC3"/>
    <w:rsid w:val="002F5BA9"/>
    <w:rsid w:val="00301AC3"/>
    <w:rsid w:val="00302690"/>
    <w:rsid w:val="00302982"/>
    <w:rsid w:val="00303418"/>
    <w:rsid w:val="00316104"/>
    <w:rsid w:val="00317237"/>
    <w:rsid w:val="003204F2"/>
    <w:rsid w:val="00321960"/>
    <w:rsid w:val="00322E30"/>
    <w:rsid w:val="00324C04"/>
    <w:rsid w:val="003340DF"/>
    <w:rsid w:val="00334343"/>
    <w:rsid w:val="003347A0"/>
    <w:rsid w:val="00336F88"/>
    <w:rsid w:val="00340FF0"/>
    <w:rsid w:val="00341A6E"/>
    <w:rsid w:val="00342CC3"/>
    <w:rsid w:val="00343141"/>
    <w:rsid w:val="00343E0C"/>
    <w:rsid w:val="00344DA3"/>
    <w:rsid w:val="00350F9A"/>
    <w:rsid w:val="00351987"/>
    <w:rsid w:val="00351F4C"/>
    <w:rsid w:val="00352A64"/>
    <w:rsid w:val="0035334E"/>
    <w:rsid w:val="003557E4"/>
    <w:rsid w:val="003605E8"/>
    <w:rsid w:val="00361A29"/>
    <w:rsid w:val="0036715B"/>
    <w:rsid w:val="00367E4A"/>
    <w:rsid w:val="003707DE"/>
    <w:rsid w:val="00371465"/>
    <w:rsid w:val="0037414E"/>
    <w:rsid w:val="0037427E"/>
    <w:rsid w:val="00375606"/>
    <w:rsid w:val="00381A7A"/>
    <w:rsid w:val="00385438"/>
    <w:rsid w:val="003878A5"/>
    <w:rsid w:val="00390619"/>
    <w:rsid w:val="00390C49"/>
    <w:rsid w:val="0039202C"/>
    <w:rsid w:val="00392B94"/>
    <w:rsid w:val="00393F4B"/>
    <w:rsid w:val="00394377"/>
    <w:rsid w:val="003948FC"/>
    <w:rsid w:val="003978C8"/>
    <w:rsid w:val="003A0463"/>
    <w:rsid w:val="003A0C24"/>
    <w:rsid w:val="003A2485"/>
    <w:rsid w:val="003A264D"/>
    <w:rsid w:val="003A3121"/>
    <w:rsid w:val="003A31A0"/>
    <w:rsid w:val="003A326C"/>
    <w:rsid w:val="003A3696"/>
    <w:rsid w:val="003A42FA"/>
    <w:rsid w:val="003A5841"/>
    <w:rsid w:val="003B1AA3"/>
    <w:rsid w:val="003B32B0"/>
    <w:rsid w:val="003B59D9"/>
    <w:rsid w:val="003C1EB9"/>
    <w:rsid w:val="003C3249"/>
    <w:rsid w:val="003C3EA0"/>
    <w:rsid w:val="003C419C"/>
    <w:rsid w:val="003C41EC"/>
    <w:rsid w:val="003C4942"/>
    <w:rsid w:val="003D01EF"/>
    <w:rsid w:val="003D14CC"/>
    <w:rsid w:val="003D3B34"/>
    <w:rsid w:val="003D46AE"/>
    <w:rsid w:val="003E323B"/>
    <w:rsid w:val="003E39D4"/>
    <w:rsid w:val="003E549A"/>
    <w:rsid w:val="003E5A89"/>
    <w:rsid w:val="003F1F24"/>
    <w:rsid w:val="003F595E"/>
    <w:rsid w:val="003F6574"/>
    <w:rsid w:val="003F6E09"/>
    <w:rsid w:val="003F728E"/>
    <w:rsid w:val="00402EDB"/>
    <w:rsid w:val="004100FD"/>
    <w:rsid w:val="0041232A"/>
    <w:rsid w:val="004125FC"/>
    <w:rsid w:val="00412AD9"/>
    <w:rsid w:val="00415492"/>
    <w:rsid w:val="004178C8"/>
    <w:rsid w:val="00423C35"/>
    <w:rsid w:val="004278D4"/>
    <w:rsid w:val="00430D45"/>
    <w:rsid w:val="00431DA3"/>
    <w:rsid w:val="00432A0C"/>
    <w:rsid w:val="00433DE5"/>
    <w:rsid w:val="00437A54"/>
    <w:rsid w:val="00442031"/>
    <w:rsid w:val="004443C8"/>
    <w:rsid w:val="0044481F"/>
    <w:rsid w:val="004454F7"/>
    <w:rsid w:val="00450079"/>
    <w:rsid w:val="004504E7"/>
    <w:rsid w:val="0045373C"/>
    <w:rsid w:val="00453C0B"/>
    <w:rsid w:val="00456071"/>
    <w:rsid w:val="00456737"/>
    <w:rsid w:val="00456A79"/>
    <w:rsid w:val="00461EDE"/>
    <w:rsid w:val="004638A8"/>
    <w:rsid w:val="00470220"/>
    <w:rsid w:val="00471E78"/>
    <w:rsid w:val="0047252B"/>
    <w:rsid w:val="00472C32"/>
    <w:rsid w:val="00472D58"/>
    <w:rsid w:val="00473996"/>
    <w:rsid w:val="0047592F"/>
    <w:rsid w:val="004767E9"/>
    <w:rsid w:val="00476AF1"/>
    <w:rsid w:val="00477EF4"/>
    <w:rsid w:val="004823A5"/>
    <w:rsid w:val="00484559"/>
    <w:rsid w:val="004847F6"/>
    <w:rsid w:val="004852B6"/>
    <w:rsid w:val="004854B1"/>
    <w:rsid w:val="004876D3"/>
    <w:rsid w:val="004909BB"/>
    <w:rsid w:val="0049197F"/>
    <w:rsid w:val="00493DD9"/>
    <w:rsid w:val="00496CF3"/>
    <w:rsid w:val="00496D57"/>
    <w:rsid w:val="004A135E"/>
    <w:rsid w:val="004A373F"/>
    <w:rsid w:val="004A464E"/>
    <w:rsid w:val="004A468A"/>
    <w:rsid w:val="004A4859"/>
    <w:rsid w:val="004B0832"/>
    <w:rsid w:val="004B1D23"/>
    <w:rsid w:val="004B5CC9"/>
    <w:rsid w:val="004B72BC"/>
    <w:rsid w:val="004C0FC4"/>
    <w:rsid w:val="004C1246"/>
    <w:rsid w:val="004C1EC2"/>
    <w:rsid w:val="004C4F15"/>
    <w:rsid w:val="004C61B8"/>
    <w:rsid w:val="004C7700"/>
    <w:rsid w:val="004D313F"/>
    <w:rsid w:val="004D3D71"/>
    <w:rsid w:val="004D4FBD"/>
    <w:rsid w:val="004E1031"/>
    <w:rsid w:val="004E16F4"/>
    <w:rsid w:val="004E2788"/>
    <w:rsid w:val="004E28A4"/>
    <w:rsid w:val="004E3E2A"/>
    <w:rsid w:val="004E441F"/>
    <w:rsid w:val="004F0E59"/>
    <w:rsid w:val="004F1A93"/>
    <w:rsid w:val="004F27DA"/>
    <w:rsid w:val="004F29A2"/>
    <w:rsid w:val="004F2EAE"/>
    <w:rsid w:val="004F2FDA"/>
    <w:rsid w:val="004F49DE"/>
    <w:rsid w:val="004F4C83"/>
    <w:rsid w:val="004F564A"/>
    <w:rsid w:val="004F6088"/>
    <w:rsid w:val="0050055F"/>
    <w:rsid w:val="00501A8E"/>
    <w:rsid w:val="00502983"/>
    <w:rsid w:val="005045F2"/>
    <w:rsid w:val="00507B16"/>
    <w:rsid w:val="0051102B"/>
    <w:rsid w:val="0051110B"/>
    <w:rsid w:val="00513E02"/>
    <w:rsid w:val="005141F0"/>
    <w:rsid w:val="00514727"/>
    <w:rsid w:val="0051691A"/>
    <w:rsid w:val="005216DB"/>
    <w:rsid w:val="00522BE1"/>
    <w:rsid w:val="00525134"/>
    <w:rsid w:val="00527055"/>
    <w:rsid w:val="00527860"/>
    <w:rsid w:val="005302E8"/>
    <w:rsid w:val="00537C60"/>
    <w:rsid w:val="005403BB"/>
    <w:rsid w:val="00540508"/>
    <w:rsid w:val="00541462"/>
    <w:rsid w:val="00545692"/>
    <w:rsid w:val="00547939"/>
    <w:rsid w:val="0055006E"/>
    <w:rsid w:val="005528A4"/>
    <w:rsid w:val="0055343F"/>
    <w:rsid w:val="005538B1"/>
    <w:rsid w:val="005570A3"/>
    <w:rsid w:val="00557BB6"/>
    <w:rsid w:val="005617E0"/>
    <w:rsid w:val="005623D2"/>
    <w:rsid w:val="0056793D"/>
    <w:rsid w:val="00570476"/>
    <w:rsid w:val="005758B0"/>
    <w:rsid w:val="0057593B"/>
    <w:rsid w:val="005761DA"/>
    <w:rsid w:val="00576B9B"/>
    <w:rsid w:val="005775A5"/>
    <w:rsid w:val="00577A94"/>
    <w:rsid w:val="00577CD6"/>
    <w:rsid w:val="00581C4B"/>
    <w:rsid w:val="005820C9"/>
    <w:rsid w:val="005847C1"/>
    <w:rsid w:val="005903E6"/>
    <w:rsid w:val="005906A6"/>
    <w:rsid w:val="0059090D"/>
    <w:rsid w:val="00590E74"/>
    <w:rsid w:val="00593B63"/>
    <w:rsid w:val="005A1F8D"/>
    <w:rsid w:val="005A67BB"/>
    <w:rsid w:val="005A740E"/>
    <w:rsid w:val="005B0120"/>
    <w:rsid w:val="005B0BCC"/>
    <w:rsid w:val="005B2090"/>
    <w:rsid w:val="005B2A3B"/>
    <w:rsid w:val="005B2AFE"/>
    <w:rsid w:val="005B39F8"/>
    <w:rsid w:val="005B3F4F"/>
    <w:rsid w:val="005C2B4E"/>
    <w:rsid w:val="005C663F"/>
    <w:rsid w:val="005C79E2"/>
    <w:rsid w:val="005D07B3"/>
    <w:rsid w:val="005D1611"/>
    <w:rsid w:val="005E5234"/>
    <w:rsid w:val="005E7F3F"/>
    <w:rsid w:val="005F6CAA"/>
    <w:rsid w:val="00602DE5"/>
    <w:rsid w:val="0060451F"/>
    <w:rsid w:val="006049B5"/>
    <w:rsid w:val="006054BF"/>
    <w:rsid w:val="0060556C"/>
    <w:rsid w:val="00605FB9"/>
    <w:rsid w:val="006077DA"/>
    <w:rsid w:val="00613495"/>
    <w:rsid w:val="006138A9"/>
    <w:rsid w:val="00616699"/>
    <w:rsid w:val="006217C9"/>
    <w:rsid w:val="006217CD"/>
    <w:rsid w:val="00622118"/>
    <w:rsid w:val="00622A7A"/>
    <w:rsid w:val="00623F3E"/>
    <w:rsid w:val="00626C25"/>
    <w:rsid w:val="006302E7"/>
    <w:rsid w:val="0063404D"/>
    <w:rsid w:val="00637C57"/>
    <w:rsid w:val="00640710"/>
    <w:rsid w:val="00642967"/>
    <w:rsid w:val="00643C82"/>
    <w:rsid w:val="00650291"/>
    <w:rsid w:val="006504F8"/>
    <w:rsid w:val="00655583"/>
    <w:rsid w:val="00657A43"/>
    <w:rsid w:val="00660860"/>
    <w:rsid w:val="00660BC7"/>
    <w:rsid w:val="0066177F"/>
    <w:rsid w:val="00661FD1"/>
    <w:rsid w:val="006631A6"/>
    <w:rsid w:val="006635EA"/>
    <w:rsid w:val="0066581C"/>
    <w:rsid w:val="00670F37"/>
    <w:rsid w:val="00674510"/>
    <w:rsid w:val="0067548C"/>
    <w:rsid w:val="0068029A"/>
    <w:rsid w:val="006840E0"/>
    <w:rsid w:val="00684358"/>
    <w:rsid w:val="00685B7E"/>
    <w:rsid w:val="00686D4F"/>
    <w:rsid w:val="00687BC5"/>
    <w:rsid w:val="00691763"/>
    <w:rsid w:val="0069233D"/>
    <w:rsid w:val="006A28D5"/>
    <w:rsid w:val="006A3076"/>
    <w:rsid w:val="006A31DB"/>
    <w:rsid w:val="006A3B57"/>
    <w:rsid w:val="006A4BE5"/>
    <w:rsid w:val="006A55AD"/>
    <w:rsid w:val="006A65EF"/>
    <w:rsid w:val="006C492D"/>
    <w:rsid w:val="006C6369"/>
    <w:rsid w:val="006D2826"/>
    <w:rsid w:val="006D44DF"/>
    <w:rsid w:val="006D582C"/>
    <w:rsid w:val="006D6106"/>
    <w:rsid w:val="006E16EF"/>
    <w:rsid w:val="006E58B8"/>
    <w:rsid w:val="006E628F"/>
    <w:rsid w:val="006E7D08"/>
    <w:rsid w:val="006F0642"/>
    <w:rsid w:val="006F069F"/>
    <w:rsid w:val="006F0977"/>
    <w:rsid w:val="006F19A2"/>
    <w:rsid w:val="006F320A"/>
    <w:rsid w:val="006F405C"/>
    <w:rsid w:val="006F4AF1"/>
    <w:rsid w:val="006F6C03"/>
    <w:rsid w:val="006F793B"/>
    <w:rsid w:val="006F7A1E"/>
    <w:rsid w:val="007014BE"/>
    <w:rsid w:val="00704458"/>
    <w:rsid w:val="00705A3B"/>
    <w:rsid w:val="0070677A"/>
    <w:rsid w:val="00707093"/>
    <w:rsid w:val="00707748"/>
    <w:rsid w:val="00707A12"/>
    <w:rsid w:val="007103AB"/>
    <w:rsid w:val="007107BA"/>
    <w:rsid w:val="00710CE7"/>
    <w:rsid w:val="007227D3"/>
    <w:rsid w:val="00730BED"/>
    <w:rsid w:val="007327B6"/>
    <w:rsid w:val="00737112"/>
    <w:rsid w:val="007375F9"/>
    <w:rsid w:val="007377CC"/>
    <w:rsid w:val="007418CF"/>
    <w:rsid w:val="007443AD"/>
    <w:rsid w:val="00745BA7"/>
    <w:rsid w:val="00745F2F"/>
    <w:rsid w:val="007469D2"/>
    <w:rsid w:val="0075198B"/>
    <w:rsid w:val="007543DE"/>
    <w:rsid w:val="007562BD"/>
    <w:rsid w:val="007566F0"/>
    <w:rsid w:val="00756F77"/>
    <w:rsid w:val="00760780"/>
    <w:rsid w:val="00763624"/>
    <w:rsid w:val="0076441E"/>
    <w:rsid w:val="0076657F"/>
    <w:rsid w:val="00774B22"/>
    <w:rsid w:val="00777A09"/>
    <w:rsid w:val="007837F3"/>
    <w:rsid w:val="007904A7"/>
    <w:rsid w:val="00794C4E"/>
    <w:rsid w:val="007963A2"/>
    <w:rsid w:val="007A6F05"/>
    <w:rsid w:val="007B6642"/>
    <w:rsid w:val="007C5CDC"/>
    <w:rsid w:val="007C6DEF"/>
    <w:rsid w:val="007C7C36"/>
    <w:rsid w:val="007D1C46"/>
    <w:rsid w:val="007D340E"/>
    <w:rsid w:val="007D5A8A"/>
    <w:rsid w:val="007D62CA"/>
    <w:rsid w:val="007D66C2"/>
    <w:rsid w:val="007D765B"/>
    <w:rsid w:val="007E0BFD"/>
    <w:rsid w:val="007E20CA"/>
    <w:rsid w:val="007F042D"/>
    <w:rsid w:val="007F0737"/>
    <w:rsid w:val="007F0940"/>
    <w:rsid w:val="007F19AC"/>
    <w:rsid w:val="007F1E62"/>
    <w:rsid w:val="007F24F6"/>
    <w:rsid w:val="007F2A0D"/>
    <w:rsid w:val="007F2A7E"/>
    <w:rsid w:val="007F552B"/>
    <w:rsid w:val="007F63EC"/>
    <w:rsid w:val="00800C47"/>
    <w:rsid w:val="00803F1B"/>
    <w:rsid w:val="008056A7"/>
    <w:rsid w:val="00805852"/>
    <w:rsid w:val="00805B22"/>
    <w:rsid w:val="00810805"/>
    <w:rsid w:val="00810F55"/>
    <w:rsid w:val="00811A91"/>
    <w:rsid w:val="00814958"/>
    <w:rsid w:val="008149CF"/>
    <w:rsid w:val="00816CA5"/>
    <w:rsid w:val="00817FC3"/>
    <w:rsid w:val="00823E54"/>
    <w:rsid w:val="00824A4E"/>
    <w:rsid w:val="008254E7"/>
    <w:rsid w:val="0083477F"/>
    <w:rsid w:val="00837152"/>
    <w:rsid w:val="00837596"/>
    <w:rsid w:val="00840886"/>
    <w:rsid w:val="008408A0"/>
    <w:rsid w:val="00846E88"/>
    <w:rsid w:val="008501A5"/>
    <w:rsid w:val="00854ADE"/>
    <w:rsid w:val="008576F0"/>
    <w:rsid w:val="00857C89"/>
    <w:rsid w:val="00857FE1"/>
    <w:rsid w:val="008611F2"/>
    <w:rsid w:val="00861E1F"/>
    <w:rsid w:val="00861EE2"/>
    <w:rsid w:val="00862598"/>
    <w:rsid w:val="00864151"/>
    <w:rsid w:val="00865C0D"/>
    <w:rsid w:val="00867F1E"/>
    <w:rsid w:val="008707CA"/>
    <w:rsid w:val="00871650"/>
    <w:rsid w:val="00872A55"/>
    <w:rsid w:val="00873542"/>
    <w:rsid w:val="00880C71"/>
    <w:rsid w:val="0088117B"/>
    <w:rsid w:val="00882531"/>
    <w:rsid w:val="0088714E"/>
    <w:rsid w:val="00887FA5"/>
    <w:rsid w:val="008926B7"/>
    <w:rsid w:val="0089561E"/>
    <w:rsid w:val="008A0590"/>
    <w:rsid w:val="008A66F7"/>
    <w:rsid w:val="008B063A"/>
    <w:rsid w:val="008B2878"/>
    <w:rsid w:val="008B2A80"/>
    <w:rsid w:val="008B4122"/>
    <w:rsid w:val="008B534E"/>
    <w:rsid w:val="008B536E"/>
    <w:rsid w:val="008B5F79"/>
    <w:rsid w:val="008B617C"/>
    <w:rsid w:val="008B61CE"/>
    <w:rsid w:val="008B7209"/>
    <w:rsid w:val="008C1DE3"/>
    <w:rsid w:val="008C2242"/>
    <w:rsid w:val="008C2FFC"/>
    <w:rsid w:val="008C3D85"/>
    <w:rsid w:val="008D2512"/>
    <w:rsid w:val="008D3423"/>
    <w:rsid w:val="008D416F"/>
    <w:rsid w:val="008D6580"/>
    <w:rsid w:val="008E1E2A"/>
    <w:rsid w:val="008E277B"/>
    <w:rsid w:val="008E3748"/>
    <w:rsid w:val="008E45DE"/>
    <w:rsid w:val="008E765D"/>
    <w:rsid w:val="008F733C"/>
    <w:rsid w:val="00901BE0"/>
    <w:rsid w:val="00904292"/>
    <w:rsid w:val="00910626"/>
    <w:rsid w:val="00910AC9"/>
    <w:rsid w:val="0091236B"/>
    <w:rsid w:val="009135EF"/>
    <w:rsid w:val="00913DB1"/>
    <w:rsid w:val="009150AA"/>
    <w:rsid w:val="009167EA"/>
    <w:rsid w:val="00916E26"/>
    <w:rsid w:val="00917CF5"/>
    <w:rsid w:val="009203AD"/>
    <w:rsid w:val="00920BA7"/>
    <w:rsid w:val="00921D50"/>
    <w:rsid w:val="00923ABF"/>
    <w:rsid w:val="009257CF"/>
    <w:rsid w:val="00926D34"/>
    <w:rsid w:val="00926E93"/>
    <w:rsid w:val="00927FAF"/>
    <w:rsid w:val="00930C66"/>
    <w:rsid w:val="00933AD4"/>
    <w:rsid w:val="00935D37"/>
    <w:rsid w:val="00936389"/>
    <w:rsid w:val="00940633"/>
    <w:rsid w:val="009413D6"/>
    <w:rsid w:val="009418C7"/>
    <w:rsid w:val="00942DC2"/>
    <w:rsid w:val="009433EF"/>
    <w:rsid w:val="00943770"/>
    <w:rsid w:val="0094465F"/>
    <w:rsid w:val="00947975"/>
    <w:rsid w:val="00956CA1"/>
    <w:rsid w:val="00957FC8"/>
    <w:rsid w:val="0096020A"/>
    <w:rsid w:val="00960DBD"/>
    <w:rsid w:val="00960E8B"/>
    <w:rsid w:val="009618C6"/>
    <w:rsid w:val="0096652B"/>
    <w:rsid w:val="00967743"/>
    <w:rsid w:val="009700AC"/>
    <w:rsid w:val="00970E4B"/>
    <w:rsid w:val="0097162D"/>
    <w:rsid w:val="0097473C"/>
    <w:rsid w:val="00974D3A"/>
    <w:rsid w:val="0097594A"/>
    <w:rsid w:val="00976806"/>
    <w:rsid w:val="00977B8C"/>
    <w:rsid w:val="00980419"/>
    <w:rsid w:val="00980D23"/>
    <w:rsid w:val="00983562"/>
    <w:rsid w:val="00985E2D"/>
    <w:rsid w:val="00990379"/>
    <w:rsid w:val="0099164F"/>
    <w:rsid w:val="00994467"/>
    <w:rsid w:val="00994538"/>
    <w:rsid w:val="00995057"/>
    <w:rsid w:val="0099782D"/>
    <w:rsid w:val="00997D7A"/>
    <w:rsid w:val="009A323D"/>
    <w:rsid w:val="009A4D6E"/>
    <w:rsid w:val="009A54A9"/>
    <w:rsid w:val="009B0F62"/>
    <w:rsid w:val="009B4126"/>
    <w:rsid w:val="009B4573"/>
    <w:rsid w:val="009B5ABF"/>
    <w:rsid w:val="009B6906"/>
    <w:rsid w:val="009B7AF2"/>
    <w:rsid w:val="009B7E26"/>
    <w:rsid w:val="009C0CFE"/>
    <w:rsid w:val="009C323E"/>
    <w:rsid w:val="009C3D15"/>
    <w:rsid w:val="009D16DF"/>
    <w:rsid w:val="009D1830"/>
    <w:rsid w:val="009D1AC9"/>
    <w:rsid w:val="009D1DF7"/>
    <w:rsid w:val="009D3B7A"/>
    <w:rsid w:val="009D417C"/>
    <w:rsid w:val="009D455E"/>
    <w:rsid w:val="009E41F1"/>
    <w:rsid w:val="009E6969"/>
    <w:rsid w:val="009F13D4"/>
    <w:rsid w:val="009F14F1"/>
    <w:rsid w:val="009F1CFB"/>
    <w:rsid w:val="009F1DFF"/>
    <w:rsid w:val="009F35D0"/>
    <w:rsid w:val="009F3B9B"/>
    <w:rsid w:val="009F5A1E"/>
    <w:rsid w:val="009F69BD"/>
    <w:rsid w:val="009F69DB"/>
    <w:rsid w:val="009F6E0B"/>
    <w:rsid w:val="00A0130C"/>
    <w:rsid w:val="00A013CD"/>
    <w:rsid w:val="00A027F4"/>
    <w:rsid w:val="00A03192"/>
    <w:rsid w:val="00A03333"/>
    <w:rsid w:val="00A0337F"/>
    <w:rsid w:val="00A055DB"/>
    <w:rsid w:val="00A0595F"/>
    <w:rsid w:val="00A12557"/>
    <w:rsid w:val="00A12B15"/>
    <w:rsid w:val="00A1338D"/>
    <w:rsid w:val="00A156FF"/>
    <w:rsid w:val="00A15728"/>
    <w:rsid w:val="00A15F73"/>
    <w:rsid w:val="00A1646A"/>
    <w:rsid w:val="00A17257"/>
    <w:rsid w:val="00A1771F"/>
    <w:rsid w:val="00A17737"/>
    <w:rsid w:val="00A206AD"/>
    <w:rsid w:val="00A21826"/>
    <w:rsid w:val="00A223A7"/>
    <w:rsid w:val="00A22CDE"/>
    <w:rsid w:val="00A22ED2"/>
    <w:rsid w:val="00A23026"/>
    <w:rsid w:val="00A23044"/>
    <w:rsid w:val="00A26DD8"/>
    <w:rsid w:val="00A30018"/>
    <w:rsid w:val="00A3282B"/>
    <w:rsid w:val="00A3667B"/>
    <w:rsid w:val="00A41CDE"/>
    <w:rsid w:val="00A422ED"/>
    <w:rsid w:val="00A42363"/>
    <w:rsid w:val="00A42678"/>
    <w:rsid w:val="00A44782"/>
    <w:rsid w:val="00A51056"/>
    <w:rsid w:val="00A52ADA"/>
    <w:rsid w:val="00A54A96"/>
    <w:rsid w:val="00A55F01"/>
    <w:rsid w:val="00A56966"/>
    <w:rsid w:val="00A5779D"/>
    <w:rsid w:val="00A57AB0"/>
    <w:rsid w:val="00A609E2"/>
    <w:rsid w:val="00A62053"/>
    <w:rsid w:val="00A66B95"/>
    <w:rsid w:val="00A67E61"/>
    <w:rsid w:val="00A746B2"/>
    <w:rsid w:val="00A74FC4"/>
    <w:rsid w:val="00A8034A"/>
    <w:rsid w:val="00A81344"/>
    <w:rsid w:val="00A8144C"/>
    <w:rsid w:val="00A82198"/>
    <w:rsid w:val="00A85729"/>
    <w:rsid w:val="00A85F2C"/>
    <w:rsid w:val="00A869B9"/>
    <w:rsid w:val="00A86E70"/>
    <w:rsid w:val="00A871E1"/>
    <w:rsid w:val="00A872AA"/>
    <w:rsid w:val="00A87303"/>
    <w:rsid w:val="00A925C8"/>
    <w:rsid w:val="00A93C26"/>
    <w:rsid w:val="00A9486C"/>
    <w:rsid w:val="00A94FB8"/>
    <w:rsid w:val="00A954A5"/>
    <w:rsid w:val="00A96790"/>
    <w:rsid w:val="00AA07BD"/>
    <w:rsid w:val="00AA3212"/>
    <w:rsid w:val="00AA3545"/>
    <w:rsid w:val="00AA4BD1"/>
    <w:rsid w:val="00AB27A7"/>
    <w:rsid w:val="00AB38D9"/>
    <w:rsid w:val="00AB7DAC"/>
    <w:rsid w:val="00AC1974"/>
    <w:rsid w:val="00AC2132"/>
    <w:rsid w:val="00AC4D0F"/>
    <w:rsid w:val="00AC6193"/>
    <w:rsid w:val="00AC685E"/>
    <w:rsid w:val="00AD04B0"/>
    <w:rsid w:val="00AD0907"/>
    <w:rsid w:val="00AD29ED"/>
    <w:rsid w:val="00AD5212"/>
    <w:rsid w:val="00AD57D5"/>
    <w:rsid w:val="00AE14C5"/>
    <w:rsid w:val="00AE36EC"/>
    <w:rsid w:val="00AE43B0"/>
    <w:rsid w:val="00AE4C6F"/>
    <w:rsid w:val="00AE5AAD"/>
    <w:rsid w:val="00AE5CC0"/>
    <w:rsid w:val="00AE688F"/>
    <w:rsid w:val="00AF0A6F"/>
    <w:rsid w:val="00AF2682"/>
    <w:rsid w:val="00AF31FA"/>
    <w:rsid w:val="00AF375F"/>
    <w:rsid w:val="00AF400E"/>
    <w:rsid w:val="00AF4411"/>
    <w:rsid w:val="00AF51A3"/>
    <w:rsid w:val="00AF53DE"/>
    <w:rsid w:val="00AF6933"/>
    <w:rsid w:val="00AF7027"/>
    <w:rsid w:val="00B00D15"/>
    <w:rsid w:val="00B041F1"/>
    <w:rsid w:val="00B05A19"/>
    <w:rsid w:val="00B05C1E"/>
    <w:rsid w:val="00B0602B"/>
    <w:rsid w:val="00B065B9"/>
    <w:rsid w:val="00B07A9F"/>
    <w:rsid w:val="00B12051"/>
    <w:rsid w:val="00B1350C"/>
    <w:rsid w:val="00B13789"/>
    <w:rsid w:val="00B15D33"/>
    <w:rsid w:val="00B162C3"/>
    <w:rsid w:val="00B22EA7"/>
    <w:rsid w:val="00B246E2"/>
    <w:rsid w:val="00B269DB"/>
    <w:rsid w:val="00B3342A"/>
    <w:rsid w:val="00B37486"/>
    <w:rsid w:val="00B40DCF"/>
    <w:rsid w:val="00B41574"/>
    <w:rsid w:val="00B43C7B"/>
    <w:rsid w:val="00B4489A"/>
    <w:rsid w:val="00B4656E"/>
    <w:rsid w:val="00B47AB4"/>
    <w:rsid w:val="00B509ED"/>
    <w:rsid w:val="00B54162"/>
    <w:rsid w:val="00B542D3"/>
    <w:rsid w:val="00B560B0"/>
    <w:rsid w:val="00B56A1E"/>
    <w:rsid w:val="00B57284"/>
    <w:rsid w:val="00B6035B"/>
    <w:rsid w:val="00B64E58"/>
    <w:rsid w:val="00B666ED"/>
    <w:rsid w:val="00B70DED"/>
    <w:rsid w:val="00B7317D"/>
    <w:rsid w:val="00B76556"/>
    <w:rsid w:val="00B836D5"/>
    <w:rsid w:val="00B840AB"/>
    <w:rsid w:val="00B84FE0"/>
    <w:rsid w:val="00B90C4D"/>
    <w:rsid w:val="00B92C79"/>
    <w:rsid w:val="00B952EB"/>
    <w:rsid w:val="00B96270"/>
    <w:rsid w:val="00B97680"/>
    <w:rsid w:val="00BA069E"/>
    <w:rsid w:val="00BA0EAF"/>
    <w:rsid w:val="00BA12FD"/>
    <w:rsid w:val="00BA5DE0"/>
    <w:rsid w:val="00BA69BB"/>
    <w:rsid w:val="00BA7956"/>
    <w:rsid w:val="00BA7B67"/>
    <w:rsid w:val="00BB143A"/>
    <w:rsid w:val="00BB62CF"/>
    <w:rsid w:val="00BB77ED"/>
    <w:rsid w:val="00BC07D9"/>
    <w:rsid w:val="00BC0F68"/>
    <w:rsid w:val="00BC5ACB"/>
    <w:rsid w:val="00BD0A62"/>
    <w:rsid w:val="00BD0B0A"/>
    <w:rsid w:val="00BD156F"/>
    <w:rsid w:val="00BD1AAA"/>
    <w:rsid w:val="00BD3403"/>
    <w:rsid w:val="00BD3778"/>
    <w:rsid w:val="00BD384E"/>
    <w:rsid w:val="00BD6CB8"/>
    <w:rsid w:val="00BE03FB"/>
    <w:rsid w:val="00BE1A66"/>
    <w:rsid w:val="00BE25B8"/>
    <w:rsid w:val="00BE5150"/>
    <w:rsid w:val="00BE5638"/>
    <w:rsid w:val="00BF04ED"/>
    <w:rsid w:val="00BF37DC"/>
    <w:rsid w:val="00BF467E"/>
    <w:rsid w:val="00BF60EE"/>
    <w:rsid w:val="00BF7550"/>
    <w:rsid w:val="00C0138E"/>
    <w:rsid w:val="00C023A4"/>
    <w:rsid w:val="00C03B39"/>
    <w:rsid w:val="00C03DAB"/>
    <w:rsid w:val="00C0403E"/>
    <w:rsid w:val="00C058DD"/>
    <w:rsid w:val="00C05D5F"/>
    <w:rsid w:val="00C062CC"/>
    <w:rsid w:val="00C06C13"/>
    <w:rsid w:val="00C076E1"/>
    <w:rsid w:val="00C10609"/>
    <w:rsid w:val="00C1296E"/>
    <w:rsid w:val="00C168B8"/>
    <w:rsid w:val="00C16B94"/>
    <w:rsid w:val="00C2004B"/>
    <w:rsid w:val="00C22AFA"/>
    <w:rsid w:val="00C23D1C"/>
    <w:rsid w:val="00C24A34"/>
    <w:rsid w:val="00C260D3"/>
    <w:rsid w:val="00C275DE"/>
    <w:rsid w:val="00C344E7"/>
    <w:rsid w:val="00C34C2B"/>
    <w:rsid w:val="00C43335"/>
    <w:rsid w:val="00C471EE"/>
    <w:rsid w:val="00C5090D"/>
    <w:rsid w:val="00C516A1"/>
    <w:rsid w:val="00C531FF"/>
    <w:rsid w:val="00C53663"/>
    <w:rsid w:val="00C543E3"/>
    <w:rsid w:val="00C54463"/>
    <w:rsid w:val="00C625FA"/>
    <w:rsid w:val="00C644C7"/>
    <w:rsid w:val="00C659D0"/>
    <w:rsid w:val="00C65F9B"/>
    <w:rsid w:val="00C66A8C"/>
    <w:rsid w:val="00C70168"/>
    <w:rsid w:val="00C70F21"/>
    <w:rsid w:val="00C71935"/>
    <w:rsid w:val="00C72875"/>
    <w:rsid w:val="00C72993"/>
    <w:rsid w:val="00C757DA"/>
    <w:rsid w:val="00C77A95"/>
    <w:rsid w:val="00C80569"/>
    <w:rsid w:val="00C81A60"/>
    <w:rsid w:val="00C82864"/>
    <w:rsid w:val="00C86D95"/>
    <w:rsid w:val="00C903C3"/>
    <w:rsid w:val="00C9086C"/>
    <w:rsid w:val="00C91FF9"/>
    <w:rsid w:val="00C92F43"/>
    <w:rsid w:val="00C944E5"/>
    <w:rsid w:val="00C96FC0"/>
    <w:rsid w:val="00CA30D7"/>
    <w:rsid w:val="00CA4F90"/>
    <w:rsid w:val="00CB25E7"/>
    <w:rsid w:val="00CB3AE8"/>
    <w:rsid w:val="00CB3EA3"/>
    <w:rsid w:val="00CB5D2C"/>
    <w:rsid w:val="00CC14E4"/>
    <w:rsid w:val="00CC2443"/>
    <w:rsid w:val="00CD1675"/>
    <w:rsid w:val="00CD399D"/>
    <w:rsid w:val="00CD4642"/>
    <w:rsid w:val="00CD5308"/>
    <w:rsid w:val="00CE2266"/>
    <w:rsid w:val="00CE4348"/>
    <w:rsid w:val="00CE5E6E"/>
    <w:rsid w:val="00CE618F"/>
    <w:rsid w:val="00CE6508"/>
    <w:rsid w:val="00CF51A5"/>
    <w:rsid w:val="00CF77E7"/>
    <w:rsid w:val="00CF7E4F"/>
    <w:rsid w:val="00D023FE"/>
    <w:rsid w:val="00D0487F"/>
    <w:rsid w:val="00D101F0"/>
    <w:rsid w:val="00D1209D"/>
    <w:rsid w:val="00D122FC"/>
    <w:rsid w:val="00D13AEB"/>
    <w:rsid w:val="00D14674"/>
    <w:rsid w:val="00D14BFB"/>
    <w:rsid w:val="00D16690"/>
    <w:rsid w:val="00D178DE"/>
    <w:rsid w:val="00D202DB"/>
    <w:rsid w:val="00D21A57"/>
    <w:rsid w:val="00D2210B"/>
    <w:rsid w:val="00D222CE"/>
    <w:rsid w:val="00D22802"/>
    <w:rsid w:val="00D23E75"/>
    <w:rsid w:val="00D252DC"/>
    <w:rsid w:val="00D3737D"/>
    <w:rsid w:val="00D37406"/>
    <w:rsid w:val="00D377BF"/>
    <w:rsid w:val="00D4207E"/>
    <w:rsid w:val="00D44386"/>
    <w:rsid w:val="00D444F3"/>
    <w:rsid w:val="00D4554B"/>
    <w:rsid w:val="00D530AF"/>
    <w:rsid w:val="00D54B07"/>
    <w:rsid w:val="00D55776"/>
    <w:rsid w:val="00D60772"/>
    <w:rsid w:val="00D60B47"/>
    <w:rsid w:val="00D616FD"/>
    <w:rsid w:val="00D6281A"/>
    <w:rsid w:val="00D719F3"/>
    <w:rsid w:val="00D721B4"/>
    <w:rsid w:val="00D74F18"/>
    <w:rsid w:val="00D81C3D"/>
    <w:rsid w:val="00D82CD2"/>
    <w:rsid w:val="00D83463"/>
    <w:rsid w:val="00D83650"/>
    <w:rsid w:val="00D87EE7"/>
    <w:rsid w:val="00D91482"/>
    <w:rsid w:val="00D9267E"/>
    <w:rsid w:val="00D92D78"/>
    <w:rsid w:val="00D932EE"/>
    <w:rsid w:val="00D94B63"/>
    <w:rsid w:val="00D94EA0"/>
    <w:rsid w:val="00D96622"/>
    <w:rsid w:val="00D9708A"/>
    <w:rsid w:val="00DA154C"/>
    <w:rsid w:val="00DA1925"/>
    <w:rsid w:val="00DA35CA"/>
    <w:rsid w:val="00DA70FF"/>
    <w:rsid w:val="00DB0CCF"/>
    <w:rsid w:val="00DB4518"/>
    <w:rsid w:val="00DB6B93"/>
    <w:rsid w:val="00DB6C2C"/>
    <w:rsid w:val="00DC0A4B"/>
    <w:rsid w:val="00DC0E9B"/>
    <w:rsid w:val="00DC21CC"/>
    <w:rsid w:val="00DC73F9"/>
    <w:rsid w:val="00DC7CCD"/>
    <w:rsid w:val="00DD19B7"/>
    <w:rsid w:val="00DD22BC"/>
    <w:rsid w:val="00DE279C"/>
    <w:rsid w:val="00DE52B4"/>
    <w:rsid w:val="00DF14B1"/>
    <w:rsid w:val="00DF1A59"/>
    <w:rsid w:val="00DF35B5"/>
    <w:rsid w:val="00DF5F69"/>
    <w:rsid w:val="00DF6480"/>
    <w:rsid w:val="00DF761C"/>
    <w:rsid w:val="00E0152C"/>
    <w:rsid w:val="00E05300"/>
    <w:rsid w:val="00E06B2D"/>
    <w:rsid w:val="00E06E06"/>
    <w:rsid w:val="00E108C6"/>
    <w:rsid w:val="00E12664"/>
    <w:rsid w:val="00E1274D"/>
    <w:rsid w:val="00E13203"/>
    <w:rsid w:val="00E135BE"/>
    <w:rsid w:val="00E13CA2"/>
    <w:rsid w:val="00E14202"/>
    <w:rsid w:val="00E14D5C"/>
    <w:rsid w:val="00E15AF3"/>
    <w:rsid w:val="00E161D1"/>
    <w:rsid w:val="00E1689F"/>
    <w:rsid w:val="00E17254"/>
    <w:rsid w:val="00E212BE"/>
    <w:rsid w:val="00E21FA4"/>
    <w:rsid w:val="00E22D24"/>
    <w:rsid w:val="00E22F24"/>
    <w:rsid w:val="00E2382F"/>
    <w:rsid w:val="00E24E5D"/>
    <w:rsid w:val="00E3217C"/>
    <w:rsid w:val="00E34F43"/>
    <w:rsid w:val="00E36741"/>
    <w:rsid w:val="00E373AE"/>
    <w:rsid w:val="00E41597"/>
    <w:rsid w:val="00E4172D"/>
    <w:rsid w:val="00E4182E"/>
    <w:rsid w:val="00E50413"/>
    <w:rsid w:val="00E55935"/>
    <w:rsid w:val="00E57237"/>
    <w:rsid w:val="00E62B6D"/>
    <w:rsid w:val="00E63F89"/>
    <w:rsid w:val="00E64BFD"/>
    <w:rsid w:val="00E64C4D"/>
    <w:rsid w:val="00E64EBF"/>
    <w:rsid w:val="00E70383"/>
    <w:rsid w:val="00E709DB"/>
    <w:rsid w:val="00E70F83"/>
    <w:rsid w:val="00E75B4B"/>
    <w:rsid w:val="00E8016B"/>
    <w:rsid w:val="00E80617"/>
    <w:rsid w:val="00E8163D"/>
    <w:rsid w:val="00E85B61"/>
    <w:rsid w:val="00E86481"/>
    <w:rsid w:val="00E87088"/>
    <w:rsid w:val="00E95E66"/>
    <w:rsid w:val="00E966C3"/>
    <w:rsid w:val="00E97D6F"/>
    <w:rsid w:val="00E97EB0"/>
    <w:rsid w:val="00EA42FC"/>
    <w:rsid w:val="00EA5D2D"/>
    <w:rsid w:val="00EA7412"/>
    <w:rsid w:val="00EB67DA"/>
    <w:rsid w:val="00EC29B6"/>
    <w:rsid w:val="00EC6399"/>
    <w:rsid w:val="00EC7B6C"/>
    <w:rsid w:val="00ED00C1"/>
    <w:rsid w:val="00ED059D"/>
    <w:rsid w:val="00ED11DD"/>
    <w:rsid w:val="00ED3579"/>
    <w:rsid w:val="00ED36C0"/>
    <w:rsid w:val="00ED6EE5"/>
    <w:rsid w:val="00ED7646"/>
    <w:rsid w:val="00ED7EF1"/>
    <w:rsid w:val="00EE610D"/>
    <w:rsid w:val="00EE6A58"/>
    <w:rsid w:val="00EF5668"/>
    <w:rsid w:val="00EF59D3"/>
    <w:rsid w:val="00EF7BA0"/>
    <w:rsid w:val="00F00288"/>
    <w:rsid w:val="00F017E0"/>
    <w:rsid w:val="00F02012"/>
    <w:rsid w:val="00F03745"/>
    <w:rsid w:val="00F03899"/>
    <w:rsid w:val="00F10329"/>
    <w:rsid w:val="00F12718"/>
    <w:rsid w:val="00F12B22"/>
    <w:rsid w:val="00F13C9F"/>
    <w:rsid w:val="00F14EF6"/>
    <w:rsid w:val="00F16E43"/>
    <w:rsid w:val="00F16FED"/>
    <w:rsid w:val="00F17570"/>
    <w:rsid w:val="00F20D57"/>
    <w:rsid w:val="00F22550"/>
    <w:rsid w:val="00F23334"/>
    <w:rsid w:val="00F2738E"/>
    <w:rsid w:val="00F3016E"/>
    <w:rsid w:val="00F379AA"/>
    <w:rsid w:val="00F44761"/>
    <w:rsid w:val="00F46AB3"/>
    <w:rsid w:val="00F474B2"/>
    <w:rsid w:val="00F50369"/>
    <w:rsid w:val="00F50692"/>
    <w:rsid w:val="00F5173D"/>
    <w:rsid w:val="00F52276"/>
    <w:rsid w:val="00F565B8"/>
    <w:rsid w:val="00F575A7"/>
    <w:rsid w:val="00F60831"/>
    <w:rsid w:val="00F65AD3"/>
    <w:rsid w:val="00F70531"/>
    <w:rsid w:val="00F71128"/>
    <w:rsid w:val="00F71A07"/>
    <w:rsid w:val="00F71E53"/>
    <w:rsid w:val="00F72EFC"/>
    <w:rsid w:val="00F76045"/>
    <w:rsid w:val="00F768AB"/>
    <w:rsid w:val="00F76A08"/>
    <w:rsid w:val="00F81D9A"/>
    <w:rsid w:val="00F85DCD"/>
    <w:rsid w:val="00F875D2"/>
    <w:rsid w:val="00F90490"/>
    <w:rsid w:val="00F93577"/>
    <w:rsid w:val="00F94AE4"/>
    <w:rsid w:val="00F97389"/>
    <w:rsid w:val="00F976AC"/>
    <w:rsid w:val="00F97B09"/>
    <w:rsid w:val="00FA0481"/>
    <w:rsid w:val="00FA12AD"/>
    <w:rsid w:val="00FA19A7"/>
    <w:rsid w:val="00FA1C85"/>
    <w:rsid w:val="00FA3864"/>
    <w:rsid w:val="00FA43C3"/>
    <w:rsid w:val="00FA48E5"/>
    <w:rsid w:val="00FA6964"/>
    <w:rsid w:val="00FA6D1C"/>
    <w:rsid w:val="00FB19A9"/>
    <w:rsid w:val="00FC097D"/>
    <w:rsid w:val="00FC0A54"/>
    <w:rsid w:val="00FC2F2E"/>
    <w:rsid w:val="00FC3A41"/>
    <w:rsid w:val="00FD314F"/>
    <w:rsid w:val="00FD3F68"/>
    <w:rsid w:val="00FD6099"/>
    <w:rsid w:val="00FD668C"/>
    <w:rsid w:val="00FD6BBF"/>
    <w:rsid w:val="00FD707C"/>
    <w:rsid w:val="00FE51BD"/>
    <w:rsid w:val="00FE5DC3"/>
    <w:rsid w:val="00FF1779"/>
    <w:rsid w:val="00FF1915"/>
    <w:rsid w:val="00FF2340"/>
    <w:rsid w:val="00FF60C7"/>
    <w:rsid w:val="00FF7392"/>
    <w:rsid w:val="02851CCF"/>
    <w:rsid w:val="0773254F"/>
    <w:rsid w:val="0A4B1D54"/>
    <w:rsid w:val="0B4B2DDC"/>
    <w:rsid w:val="0F6E701B"/>
    <w:rsid w:val="106F0F9A"/>
    <w:rsid w:val="1138766A"/>
    <w:rsid w:val="128C6D1F"/>
    <w:rsid w:val="13E95431"/>
    <w:rsid w:val="15780D7A"/>
    <w:rsid w:val="1A3A4DBC"/>
    <w:rsid w:val="1DD11934"/>
    <w:rsid w:val="1ED24BFE"/>
    <w:rsid w:val="1F48029C"/>
    <w:rsid w:val="224E32F9"/>
    <w:rsid w:val="22A04192"/>
    <w:rsid w:val="25973B4C"/>
    <w:rsid w:val="26B73A27"/>
    <w:rsid w:val="28B640A0"/>
    <w:rsid w:val="291F6028"/>
    <w:rsid w:val="2C1C1232"/>
    <w:rsid w:val="2E84799A"/>
    <w:rsid w:val="2F3D30DB"/>
    <w:rsid w:val="3086629C"/>
    <w:rsid w:val="338A1A32"/>
    <w:rsid w:val="345D5F28"/>
    <w:rsid w:val="363C012A"/>
    <w:rsid w:val="36A3562E"/>
    <w:rsid w:val="370A6D13"/>
    <w:rsid w:val="37CB04B9"/>
    <w:rsid w:val="39D6687D"/>
    <w:rsid w:val="3AEF048E"/>
    <w:rsid w:val="3B6719EA"/>
    <w:rsid w:val="3D1222E1"/>
    <w:rsid w:val="3F6BF692"/>
    <w:rsid w:val="3FDD5EB3"/>
    <w:rsid w:val="3FFB37DC"/>
    <w:rsid w:val="409E431A"/>
    <w:rsid w:val="422209AC"/>
    <w:rsid w:val="42AF2AE6"/>
    <w:rsid w:val="44E06825"/>
    <w:rsid w:val="459BEFD2"/>
    <w:rsid w:val="46464A85"/>
    <w:rsid w:val="49030CBA"/>
    <w:rsid w:val="499F0266"/>
    <w:rsid w:val="4C134A8D"/>
    <w:rsid w:val="4C992CC8"/>
    <w:rsid w:val="4EA87EDB"/>
    <w:rsid w:val="50E67BAC"/>
    <w:rsid w:val="523F295D"/>
    <w:rsid w:val="54C66AE8"/>
    <w:rsid w:val="56673915"/>
    <w:rsid w:val="58872E48"/>
    <w:rsid w:val="5AF85E72"/>
    <w:rsid w:val="5DD01EB2"/>
    <w:rsid w:val="60CC2C53"/>
    <w:rsid w:val="6140023B"/>
    <w:rsid w:val="63995B20"/>
    <w:rsid w:val="65B649F8"/>
    <w:rsid w:val="6680644E"/>
    <w:rsid w:val="66BA3EC2"/>
    <w:rsid w:val="68FE409D"/>
    <w:rsid w:val="6A1C2667"/>
    <w:rsid w:val="6C00649B"/>
    <w:rsid w:val="6DFA1037"/>
    <w:rsid w:val="6ECF23D3"/>
    <w:rsid w:val="6EDF00AB"/>
    <w:rsid w:val="6EF83D3F"/>
    <w:rsid w:val="6F332B54"/>
    <w:rsid w:val="6F6DA631"/>
    <w:rsid w:val="75765346"/>
    <w:rsid w:val="76291A66"/>
    <w:rsid w:val="7A315709"/>
    <w:rsid w:val="7A894A9B"/>
    <w:rsid w:val="7AB030A7"/>
    <w:rsid w:val="7CEC4469"/>
    <w:rsid w:val="7D6C0A97"/>
    <w:rsid w:val="7EEF1379"/>
    <w:rsid w:val="7F5F2E08"/>
    <w:rsid w:val="7F97D984"/>
    <w:rsid w:val="7FDD567A"/>
    <w:rsid w:val="7FEFAE2F"/>
    <w:rsid w:val="7FF432AC"/>
    <w:rsid w:val="7FFF3E78"/>
    <w:rsid w:val="97FF25EA"/>
    <w:rsid w:val="9F72B5D3"/>
    <w:rsid w:val="A6EE8493"/>
    <w:rsid w:val="A7FBFB19"/>
    <w:rsid w:val="B0BFAC8D"/>
    <w:rsid w:val="BBEFC450"/>
    <w:rsid w:val="CF9B4D6A"/>
    <w:rsid w:val="EF7B222B"/>
    <w:rsid w:val="FEB783CD"/>
    <w:rsid w:val="FFAF2592"/>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99"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rFonts w:ascii="Calibri" w:hAnsi="Calibri" w:eastAsia="宋体" w:cs="Times New Roman"/>
      <w:b/>
      <w:kern w:val="44"/>
      <w:sz w:val="44"/>
      <w:szCs w:val="24"/>
      <w:lang w:bidi="ar-SA"/>
    </w:rPr>
  </w:style>
  <w:style w:type="character" w:default="1" w:styleId="16">
    <w:name w:val="Default Paragraph Font"/>
    <w:semiHidden/>
    <w:uiPriority w:val="0"/>
  </w:style>
  <w:style w:type="table" w:default="1" w:styleId="14">
    <w:name w:val="Normal Table"/>
    <w:semiHidden/>
    <w:uiPriority w:val="0"/>
    <w:tblPr>
      <w:tblStyle w:val="14"/>
      <w:tblLayout w:type="fixed"/>
      <w:tblCellMar>
        <w:top w:w="0" w:type="dxa"/>
        <w:left w:w="108" w:type="dxa"/>
        <w:bottom w:w="0" w:type="dxa"/>
        <w:right w:w="108" w:type="dxa"/>
      </w:tblCellMar>
    </w:tblPr>
  </w:style>
  <w:style w:type="paragraph" w:styleId="3">
    <w:name w:val="Normal Indent"/>
    <w:basedOn w:val="1"/>
    <w:next w:val="1"/>
    <w:qFormat/>
    <w:uiPriority w:val="0"/>
    <w:pPr>
      <w:wordWrap w:val="0"/>
      <w:spacing w:line="240" w:lineRule="auto"/>
      <w:ind w:left="1096"/>
    </w:pPr>
    <w:rPr>
      <w:rFonts w:ascii="Calibri" w:hAnsi="Calibri" w:eastAsia="宋体" w:cs="Times New Roman"/>
      <w:spacing w:val="0"/>
      <w:sz w:val="21"/>
      <w:szCs w:val="24"/>
      <w:lang w:bidi="ar-SA"/>
    </w:rPr>
  </w:style>
  <w:style w:type="paragraph" w:styleId="4">
    <w:name w:val="Document Map"/>
    <w:basedOn w:val="1"/>
    <w:semiHidden/>
    <w:uiPriority w:val="0"/>
    <w:pPr>
      <w:shd w:val="clear" w:color="auto" w:fill="000080"/>
    </w:pPr>
  </w:style>
  <w:style w:type="paragraph" w:styleId="5">
    <w:name w:val="Body Text"/>
    <w:basedOn w:val="1"/>
    <w:next w:val="6"/>
    <w:qFormat/>
    <w:uiPriority w:val="0"/>
    <w:pPr>
      <w:spacing w:after="120"/>
    </w:pPr>
    <w:rPr>
      <w:rFonts w:ascii="Times New Roman" w:hAnsi="Times New Roman" w:eastAsia="仿宋_GB2312" w:cs="Times New Roman"/>
      <w:sz w:val="32"/>
      <w:szCs w:val="24"/>
      <w:lang w:bidi="ar-SA"/>
    </w:rPr>
  </w:style>
  <w:style w:type="paragraph" w:styleId="6">
    <w:name w:val="Body Text 2"/>
    <w:basedOn w:val="1"/>
    <w:qFormat/>
    <w:uiPriority w:val="0"/>
    <w:pPr>
      <w:widowControl/>
      <w:spacing w:after="120" w:line="480" w:lineRule="auto"/>
      <w:jc w:val="left"/>
    </w:pPr>
    <w:rPr>
      <w:rFonts w:ascii="Calibri" w:hAnsi="Calibri" w:eastAsia="宋体" w:cs="宋体"/>
      <w:sz w:val="21"/>
      <w:szCs w:val="24"/>
      <w:lang w:bidi="ar-SA"/>
    </w:rPr>
  </w:style>
  <w:style w:type="paragraph" w:styleId="7">
    <w:name w:val="Body Text Indent"/>
    <w:basedOn w:val="1"/>
    <w:qFormat/>
    <w:uiPriority w:val="99"/>
    <w:pPr>
      <w:spacing w:after="120" w:line="240" w:lineRule="auto"/>
      <w:ind w:left="420" w:leftChars="200" w:firstLine="0" w:firstLineChars="0"/>
    </w:pPr>
    <w:rPr>
      <w:rFonts w:ascii="Times New Roman" w:hAnsi="Times New Roman" w:eastAsia="宋体" w:cs="Times New Roman"/>
      <w:sz w:val="21"/>
      <w:szCs w:val="24"/>
      <w:lang w:bidi="ar-SA"/>
    </w:rPr>
  </w:style>
  <w:style w:type="paragraph" w:styleId="8">
    <w:name w:val="Date"/>
    <w:basedOn w:val="1"/>
    <w:next w:val="1"/>
    <w:link w:val="18"/>
    <w:uiPriority w:val="0"/>
    <w:pPr>
      <w:ind w:left="100" w:leftChars="2500"/>
    </w:pPr>
    <w:rPr>
      <w:rFonts w:ascii="仿宋_GB2312" w:eastAsia="仿宋_GB2312"/>
      <w:sz w:val="32"/>
    </w:rPr>
  </w:style>
  <w:style w:type="paragraph" w:styleId="9">
    <w:name w:val="Balloon Text"/>
    <w:basedOn w:val="1"/>
    <w:semiHidden/>
    <w:uiPriority w:val="0"/>
    <w:rPr>
      <w:sz w:val="18"/>
      <w:szCs w:val="18"/>
    </w:rPr>
  </w:style>
  <w:style w:type="paragraph" w:styleId="10">
    <w:name w:val="footer"/>
    <w:basedOn w:val="1"/>
    <w:link w:val="19"/>
    <w:uiPriority w:val="0"/>
    <w:pPr>
      <w:tabs>
        <w:tab w:val="center" w:pos="4153"/>
        <w:tab w:val="right" w:pos="8306"/>
      </w:tabs>
      <w:snapToGrid w:val="0"/>
      <w:jc w:val="left"/>
    </w:pPr>
    <w:rPr>
      <w:sz w:val="18"/>
      <w:szCs w:val="18"/>
    </w:rPr>
  </w:style>
  <w:style w:type="paragraph" w:styleId="11">
    <w:name w:val="header"/>
    <w:basedOn w:val="1"/>
    <w:link w:val="20"/>
    <w:uiPriority w:val="0"/>
    <w:pPr>
      <w:pBdr>
        <w:bottom w:val="single" w:color="auto" w:sz="6" w:space="1"/>
      </w:pBdr>
      <w:tabs>
        <w:tab w:val="center" w:pos="4153"/>
        <w:tab w:val="right" w:pos="8306"/>
      </w:tabs>
      <w:snapToGrid w:val="0"/>
      <w:jc w:val="center"/>
    </w:pPr>
    <w:rPr>
      <w:sz w:val="18"/>
      <w:szCs w:val="18"/>
    </w:rPr>
  </w:style>
  <w:style w:type="paragraph" w:styleId="12">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lang w:bidi="ar-SA"/>
    </w:rPr>
  </w:style>
  <w:style w:type="paragraph" w:styleId="13">
    <w:name w:val="Body Text First Indent 2"/>
    <w:basedOn w:val="7"/>
    <w:qFormat/>
    <w:uiPriority w:val="99"/>
    <w:pPr>
      <w:ind w:firstLine="420" w:firstLineChars="200"/>
    </w:pPr>
    <w:rPr>
      <w:rFonts w:ascii="Calibri" w:hAnsi="Calibri" w:eastAsia="宋体"/>
    </w:rPr>
  </w:style>
  <w:style w:type="table" w:styleId="15">
    <w:name w:val="Table Grid"/>
    <w:basedOn w:val="14"/>
    <w:uiPriority w:val="0"/>
    <w:pPr>
      <w:widowControl w:val="0"/>
      <w:jc w:val="both"/>
    </w:pPr>
    <w:tblPr>
      <w:tblStyle w:val="14"/>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styleId="17">
    <w:name w:val="page number"/>
    <w:basedOn w:val="16"/>
    <w:uiPriority w:val="0"/>
  </w:style>
  <w:style w:type="character" w:customStyle="1" w:styleId="18">
    <w:name w:val=" Char Char1"/>
    <w:basedOn w:val="16"/>
    <w:link w:val="8"/>
    <w:uiPriority w:val="0"/>
    <w:rPr>
      <w:rFonts w:ascii="仿宋_GB2312" w:hAnsi="Times New Roman" w:eastAsia="仿宋_GB2312" w:cs="Times New Roman"/>
      <w:kern w:val="2"/>
      <w:sz w:val="32"/>
      <w:szCs w:val="24"/>
      <w:lang w:bidi="ar-SA"/>
    </w:rPr>
  </w:style>
  <w:style w:type="character" w:customStyle="1" w:styleId="19">
    <w:name w:val="页脚 Char"/>
    <w:link w:val="10"/>
    <w:uiPriority w:val="99"/>
    <w:rPr>
      <w:rFonts w:ascii="Times New Roman" w:hAnsi="Times New Roman" w:eastAsia="宋体" w:cs="Times New Roman"/>
      <w:kern w:val="2"/>
      <w:sz w:val="18"/>
      <w:szCs w:val="22"/>
    </w:rPr>
  </w:style>
  <w:style w:type="character" w:customStyle="1" w:styleId="20">
    <w:name w:val="页眉 Char"/>
    <w:link w:val="11"/>
    <w:uiPriority w:val="99"/>
    <w:rPr>
      <w:rFonts w:ascii="Times New Roman" w:hAnsi="Times New Roman" w:eastAsia="宋体" w:cs="Times New Roman"/>
      <w:kern w:val="2"/>
      <w:sz w:val="18"/>
      <w:szCs w:val="22"/>
    </w:rPr>
  </w:style>
  <w:style w:type="character" w:customStyle="1" w:styleId="21">
    <w:name w:val=" Char Char2"/>
    <w:basedOn w:val="16"/>
    <w:semiHidden/>
    <w:uiPriority w:val="99"/>
    <w:rPr>
      <w:rFonts w:ascii="Calibri" w:hAnsi="Calibri" w:eastAsia="宋体" w:cs="Mongolian Baiti"/>
      <w:kern w:val="2"/>
      <w:sz w:val="18"/>
      <w:szCs w:val="22"/>
    </w:rPr>
  </w:style>
  <w:style w:type="character" w:customStyle="1" w:styleId="22">
    <w:name w:val=" Char Char"/>
    <w:basedOn w:val="16"/>
    <w:semiHidden/>
    <w:uiPriority w:val="99"/>
    <w:rPr>
      <w:rFonts w:ascii="Calibri" w:hAnsi="Calibri" w:eastAsia="宋体" w:cs="Mongolian Baiti"/>
      <w:kern w:val="2"/>
      <w:sz w:val="18"/>
      <w:szCs w:val="22"/>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9" Type="http://schemas.openxmlformats.org/officeDocument/2006/relationships/fontTable" Target="fontTable.xml"/><Relationship Id="rId38" Type="http://schemas.openxmlformats.org/officeDocument/2006/relationships/numbering" Target="numbering.xml"/><Relationship Id="rId37" Type="http://schemas.openxmlformats.org/officeDocument/2006/relationships/customXml" Target="../customXml/item1.xml"/><Relationship Id="rId36" Type="http://schemas.openxmlformats.org/officeDocument/2006/relationships/image" Target="media/image1.tiff"/><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Lenovo (Beijing) Limited</Company>
  <Pages>2</Pages>
  <Words>13</Words>
  <Characters>79</Characters>
  <Lines>1</Lines>
  <Paragraphs>1</Paragraphs>
  <TotalTime>6</TotalTime>
  <ScaleCrop>false</ScaleCrop>
  <LinksUpToDate>false</LinksUpToDate>
  <CharactersWithSpaces>91</CharactersWithSpaces>
  <Application>WPS Office_11.8.2.8621_F1E327BC-269C-435d-A152-05C5408002CA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2012-09-19T13:07:00Z</dcterms:created>
  <dc:creator>王蕾:打印</dc:creator>
  <cp:lastModifiedBy>哈斯高娃</cp:lastModifiedBy>
  <dcterms:modified xsi:type="dcterms:W3CDTF">2024-05-17T03:16:18Z</dcterms:modified>
  <dc:title>_x0001_</dc:title>
  <cp:revision>28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2052-11.8.2.8621</vt:lpwstr>
  </property>
</Properties>
</file>