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乌拉特中旗交通运输局2023年政府信息公开工作年度报告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报告根据《中华人民共和国政府信息公开条例》《国务院办公厅政府信息与政务公开办公室关于印发&lt;中华人民共和国政府信息公开工作年度报告格式&gt;的通知》（国办公开办函〔2021〕30号）要求制作。报告内容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乌拉特中旗交通运输局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年政府信息公开总体情况，主动公开政府信息情况，收到和处理政府信息公开申请情况，政府信息公开行政复议、行政诉讼情况，存在的问题及改进情况，其他需要报告的事项。所列数据统计期限为202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年12月31日。本年度报告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乌拉特中旗人民政府网站上公布（http://www.wltzq.gov.cn/）。如对本年度报告有疑问，请与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乌拉特中旗交通运输局办公室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联系（电话：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0478-7977058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总体情况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旗委、旗政府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的坚强领导下，我局结合工作实际，坚持“以公开为常态、不公开为例外”原则，进一步加强主动公开力度，做好依申请公开工作，不断推进信息公开工作向纵深发展，切实保障公民、法人和其他组织依法获取政务信息的权利，不断增强信息公开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年，主动公开政务信息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203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条，其中，在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巴彦淖尔市政务公开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上发布信息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条，在“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掌上乌拉特中旗交通运输局</w:t>
      </w:r>
      <w:r>
        <w:rPr>
          <w:rFonts w:hint="eastAsia" w:ascii="仿宋_GB2312" w:hAnsi="仿宋_GB2312" w:eastAsia="仿宋_GB2312" w:cs="仿宋_GB2312"/>
          <w:sz w:val="32"/>
          <w:szCs w:val="32"/>
        </w:rPr>
        <w:t>”微信公众号上发布信息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条。发布信息涵盖政策法规、行业动态、部门文件、人事信息等内容。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依申请公开情况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我局根据国务院办公厅印发的《政府信息公开信息处理费管理办法》进一步规范依申请公开，从申请的登记、审核、办理、答复、归档等环节对政府信息公开申请办理工作进行规范。截止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月底，我局未有依申请公开情况。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坚持严格发布，按照“谁制作、谁发布、谁负责”实行“先审查、后公开”和“一事一审”原则。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严格信息类型，明确禁止公开类信息、可不予公开类信息、主动公开类信息与依申请公开类信息分类。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严格审核审查，严格内容审核、时效性审核、同一性审核和保密审查。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严格发布程序，按照整理草拟、审核审查、录入发布、页面检查，确保发布信息质量。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年，我局充分利用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巴彦淖尔市政务公开网站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常规稳定和微信公众号灵活便捷的优势，加大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巴彦淖尔市政务公开网站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和“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掌上乌拉特中旗交通运输局</w:t>
      </w:r>
      <w:r>
        <w:rPr>
          <w:rFonts w:hint="eastAsia" w:ascii="仿宋_GB2312" w:hAnsi="仿宋_GB2312" w:eastAsia="仿宋_GB2312" w:cs="仿宋_GB2312"/>
          <w:sz w:val="32"/>
          <w:szCs w:val="32"/>
        </w:rPr>
        <w:t>”微信公众号建设和运维力度，及时发布中央、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自治区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、市有关交通运输发展政策和交通运输事业发展最新动态，进一步增强公开实效，提升服务水平。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强化组织领导，及时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安排部署关于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政务公开重点工作任务，精心谋划，合理安排，定期组织工作推进会，确保高质量完成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任务。加大内容安全监测力度，重点加强涉密、个人隐私、表述问题排查，杜绝网络信息安全隐患。规范征集活动开展，落实互动开展制度，确保活动持续时间，定期反馈征集结果。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二、主动公开信息情况</w:t>
      </w:r>
    </w:p>
    <w:tbl>
      <w:tblPr>
        <w:tblStyle w:val="4"/>
        <w:tblW w:w="9645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95"/>
        <w:gridCol w:w="2130"/>
        <w:gridCol w:w="2131"/>
        <w:gridCol w:w="2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645" w:type="dxa"/>
            <w:gridSpan w:val="5"/>
            <w:shd w:val="clear" w:color="auto" w:fill="A8E9E3" w:themeFill="accent5" w:themeFillTint="6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91ACE0" w:themeColor="accent1" w:themeTint="99"/>
                <w:sz w:val="28"/>
                <w:szCs w:val="28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信息内容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本年制发件数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本年废止件数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规章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行政规范性文件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5" w:type="dxa"/>
            <w:gridSpan w:val="5"/>
            <w:shd w:val="clear" w:color="auto" w:fill="A8E9E3" w:themeFill="accent5" w:themeFillTint="6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信息内容</w:t>
            </w:r>
          </w:p>
        </w:tc>
        <w:tc>
          <w:tcPr>
            <w:tcW w:w="693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行政许可</w:t>
            </w:r>
          </w:p>
        </w:tc>
        <w:tc>
          <w:tcPr>
            <w:tcW w:w="69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5" w:type="dxa"/>
            <w:gridSpan w:val="5"/>
            <w:shd w:val="clear" w:color="auto" w:fill="A8E9E3" w:themeFill="accent5" w:themeFillTint="6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信息内容</w:t>
            </w:r>
          </w:p>
        </w:tc>
        <w:tc>
          <w:tcPr>
            <w:tcW w:w="693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行政处罚</w:t>
            </w:r>
          </w:p>
        </w:tc>
        <w:tc>
          <w:tcPr>
            <w:tcW w:w="69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行政强制</w:t>
            </w:r>
          </w:p>
        </w:tc>
        <w:tc>
          <w:tcPr>
            <w:tcW w:w="693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5" w:type="dxa"/>
            <w:gridSpan w:val="5"/>
            <w:shd w:val="clear" w:color="auto" w:fill="A8E9E3" w:themeFill="accent5" w:themeFillTint="6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信息内容</w:t>
            </w:r>
          </w:p>
        </w:tc>
        <w:tc>
          <w:tcPr>
            <w:tcW w:w="723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行政事业性收费</w:t>
            </w:r>
          </w:p>
        </w:tc>
        <w:tc>
          <w:tcPr>
            <w:tcW w:w="723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4"/>
        <w:tblW w:w="9619" w:type="dxa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11"/>
        <w:gridCol w:w="3154"/>
        <w:gridCol w:w="660"/>
        <w:gridCol w:w="645"/>
        <w:gridCol w:w="606"/>
        <w:gridCol w:w="617"/>
        <w:gridCol w:w="633"/>
        <w:gridCol w:w="617"/>
        <w:gridCol w:w="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0" w:type="dxa"/>
            <w:gridSpan w:val="3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（本列数据的勾稽关系为：第一项加第二项之和，等于第三项加第四项之和）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399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0" w:type="dxa"/>
            <w:gridSpan w:val="3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自然人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法人或其他组织</w:t>
            </w:r>
          </w:p>
        </w:tc>
        <w:tc>
          <w:tcPr>
            <w:tcW w:w="62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5220" w:type="dxa"/>
            <w:gridSpan w:val="3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商业企业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科研机构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社会公益组织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法律服务机构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62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220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一、本年新收政府信息公开申请数量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0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二、上年结转政府信息公开申请数量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55" w:type="dxa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三、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度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办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理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结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果</w:t>
            </w:r>
          </w:p>
        </w:tc>
        <w:tc>
          <w:tcPr>
            <w:tcW w:w="4365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（一）予以公开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1" w:type="dxa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不予公开</w:t>
            </w:r>
          </w:p>
        </w:tc>
        <w:tc>
          <w:tcPr>
            <w:tcW w:w="315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1.属于国家秘密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5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2.其他法律行政法规禁止公开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5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3.危及“三安全一稳定”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5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4.保护第三方合法权益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5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5.属于三类内部事务信息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5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6.属于四类过程性信息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5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7.属于行政执法案卷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5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8.属于行政查询事项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1" w:type="dxa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无法提供</w:t>
            </w:r>
          </w:p>
        </w:tc>
        <w:tc>
          <w:tcPr>
            <w:tcW w:w="315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1.本机关不掌握相关政府信息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5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2.没有现成信息需要另行制作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5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3.补正后申请内容任不明确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1" w:type="dxa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不予处理</w:t>
            </w:r>
          </w:p>
        </w:tc>
        <w:tc>
          <w:tcPr>
            <w:tcW w:w="315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1.信访举报投诉类申请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5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2.重复申请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5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3.要求提供公开出版物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5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4.无正当理由大量反复申请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5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5.要求行政机关确认或重新出具已获取信息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1" w:type="dxa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其他处理</w:t>
            </w:r>
          </w:p>
        </w:tc>
        <w:tc>
          <w:tcPr>
            <w:tcW w:w="315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5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5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3.其他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365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0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四、结转下年度继续办理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四、政府信息公开行政复议、行政诉讼情况</w:t>
      </w:r>
    </w:p>
    <w:tbl>
      <w:tblPr>
        <w:tblStyle w:val="4"/>
        <w:tblW w:w="9660" w:type="dxa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20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6440" w:type="dxa"/>
            <w:gridSpan w:val="1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4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44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44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44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4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总计</w:t>
            </w:r>
          </w:p>
        </w:tc>
        <w:tc>
          <w:tcPr>
            <w:tcW w:w="3220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3220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总计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五、存在的主要问题及改进措施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政府信息公开形式的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便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民性与公众的需求还存在差距，公开形式不够丰富， 需要进一步丰富政府信息公开的形式和内容；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工作人员对政府信息公开工作认识不到位、理论知识学习不够、业务水平不高，造成政府信息公开质量不够高、公开不够及时。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下一步，我们将紧紧围绕经济和社会发展的中心，进一步加大政府信息公开工作的力度，切实发挥政府信息公开对改善民生、促进经济社会发展等方面的作用，着力做好以下两个方面的工作：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狠抓制度促规范。进一步健全和完善政府信息公开制度，紧紧围绕深化改革、经济发展、民生改善、政府建设等重点领域，规范公开内容，提高公开质量、公开实效和公开形式多样化，健全主动公开制度、评议和考核制度、政务公开责任追究制度，以制度规范促政府信息和政务公开工作落到实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抓公开点促深化。贯彻落实《中华人民共和国政府信息公开条例》，坚持“以公开为常态、不公开为例外”原则，深化公开内容，加强平台建设，健全制度保障，强化监督指导，充分利用好县政府门户网站，及时、准确、全面公开公众普遍关心、涉及群众切身利益的政府信息，积极回应社会关切，增强政府信息公开实效，提高行政透明度，扎实做好政府信息公开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我局根据《政府信息公开信息处理费管理办法》的规定，本年度未收取任何信息处理费。无其他报告事项。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乌拉特中旗交通运输局</w:t>
      </w: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2024年1月10日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WI5ZTZiM2I1YmRlMDUzMmFhODQyYzEwYmYzODIifQ=="/>
  </w:docVars>
  <w:rsids>
    <w:rsidRoot w:val="00000000"/>
    <w:rsid w:val="26775B6F"/>
    <w:rsid w:val="2FD32B17"/>
    <w:rsid w:val="413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2024-01-10T03:02:00Z</dcterms:created>
  <dc:creator>Administrator</dc:creator>
  <cp:lastModifiedBy>演示人</cp:lastModifiedBy>
  <cp:lastPrinted>2024-01-10T09:38:00Z</cp:lastPrinted>
  <dcterms:modified xsi:type="dcterms:W3CDTF">2024-01-11T08:00:32Z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8C1ECE7C62D94B169D675AE1472FF537_12</vt:lpwstr>
  </property>
</Properties>
</file>