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3" w:firstLine="5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3" w:firstLine="54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乌拉特中旗教育局202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年政府信息公开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3" w:firstLine="540"/>
        <w:jc w:val="center"/>
        <w:textAlignment w:val="auto"/>
        <w:rPr>
          <w:rFonts w:hint="eastAsia" w:ascii="宋体" w:hAnsi="宋体" w:eastAsia="宋体" w:cs="宋体"/>
          <w:b/>
          <w:bCs/>
          <w:spacing w:val="4"/>
          <w:position w:val="24"/>
          <w:sz w:val="48"/>
          <w:szCs w:val="48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sz w:val="48"/>
          <w:szCs w:val="48"/>
          <w:shd w:val="clear" w:fill="FFFFFF"/>
        </w:rPr>
        <w:t>工作年度报告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3" w:firstLine="54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</w:pP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3" w:firstLine="540"/>
        <w:jc w:val="left"/>
        <w:textAlignment w:val="auto"/>
        <w:rPr>
          <w:rFonts w:hint="eastAsia" w:ascii="微软雅黑" w:hAnsi="微软雅黑" w:eastAsia="仿宋" w:cs="微软雅黑"/>
          <w:i w:val="0"/>
          <w:iCs w:val="0"/>
          <w:caps w:val="0"/>
          <w:color w:val="000000"/>
          <w:spacing w:val="0"/>
          <w:sz w:val="27"/>
          <w:szCs w:val="27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根据《中华人民共和国政府信息公开条例》（以下简称《条例》）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,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《内蒙古自治区政府信息公开工作年度报告制度》和《巴彦淖尔市政府信息公开工作年度报告制度》的规定，结合我局实际，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积极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通过强基础、优服务、聚合力，加强政府信息管理，对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年度政府信息公开工作进行了梳理、统计和总结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不断提升教育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政府信息公开工作水平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报告统计期限为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日起至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202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12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31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日止。该报告在乌拉特中旗人民政府网站上公布。（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val="en-US"/>
        </w:rPr>
        <w:t>http://www.wltzq.gov.cn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）</w:t>
      </w:r>
      <w:r>
        <w:rPr>
          <w:rFonts w:hint="eastAsia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，</w:t>
      </w: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如对本年度报告有疑问，请与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乌拉特中旗教育局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联系（电话：0478-7678686）。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2"/>
          <w:szCs w:val="32"/>
          <w:shd w:val="clear" w:fill="FFFFFF"/>
        </w:rPr>
        <w:t>　　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53" w:firstLine="54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pacing w:val="4"/>
          <w:sz w:val="32"/>
          <w:szCs w:val="32"/>
        </w:rPr>
        <w:t>一、总体情况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940"/>
        <w:textAlignment w:val="auto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(一) 主动公开情况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年通过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政府网站、微信公众号等多种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渠道主动公开“双减”政策规定、疫情防控要求、招生入学管理工作等热点信息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1500条，积极做到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及时回应社会关切。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5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依申请公开情况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我局根据国务院办公厅印发的《政府信息公开信息处理费管理办法》进一步规范依申请公开，从申请的登记、审核、办理、答复、归档等环节对政府信息公开申请办理工作进行规范。截止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目前，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未有依申请公开情况。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5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政府信息管理情况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推行政务公开标准化建设。细化梳理审批服务事项，开展权责清单动态调整，严格落实网络意识形态责任制，制定信息发布保密审查制度，规范政府网站和微信公众号信息发布审批程序。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5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平台建设情况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充分发挥政府网站和政务新媒体在信息公开中的重要作用。强化网站内容建设和信息发布审核，确保发布内容准确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对涉及政务活动的重要舆情和公众关注的社会热点问题,以数字化、图表、音频、视频等方式予以展现,使政府信息传播更加可视、可读、可感。教育局切实做好教育领域政府公开信息的查阅工作。202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3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年相关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教育局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政府信息纸质文件已保存在教育局档案室。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35" w:firstLineChars="200"/>
        <w:jc w:val="left"/>
        <w:textAlignment w:val="auto"/>
        <w:rPr>
          <w:rFonts w:hint="eastAsia" w:ascii="楷体" w:hAnsi="楷体" w:eastAsia="楷体" w:cs="楷体"/>
          <w:b/>
          <w:bCs/>
          <w:spacing w:val="-2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pacing w:val="-2"/>
          <w:sz w:val="32"/>
          <w:szCs w:val="32"/>
        </w:rPr>
        <w:t>监督保障情况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积极组织人员参加政府信息公开培训，推进和规范政府信息公开工作。强化对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旗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教育局政务网站和政务新媒体平台的日常监管，健全公开工作领导机制，加强组织领导，做好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政务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en-US" w:bidi="ar-SA"/>
        </w:rPr>
        <w:t>公开工作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  <w:t>。</w:t>
      </w:r>
    </w:p>
    <w:p>
      <w:pPr>
        <w:pStyle w:val="4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right="0" w:rightChars="0"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二、主动公开政府信息情况</w:t>
      </w:r>
    </w:p>
    <w:tbl>
      <w:tblPr>
        <w:tblStyle w:val="5"/>
        <w:tblpPr w:leftFromText="180" w:rightFromText="180" w:vertAnchor="text" w:horzAnchor="page" w:tblpX="1218" w:tblpY="52"/>
        <w:tblOverlap w:val="never"/>
        <w:tblW w:w="97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现行有效件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　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32"/>
          <w:szCs w:val="32"/>
        </w:rPr>
        <w:t>三、收到和处理政府信息公开申请情况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8"/>
        <w:gridCol w:w="1074"/>
        <w:gridCol w:w="3144"/>
        <w:gridCol w:w="680"/>
        <w:gridCol w:w="680"/>
        <w:gridCol w:w="680"/>
        <w:gridCol w:w="680"/>
        <w:gridCol w:w="686"/>
        <w:gridCol w:w="674"/>
        <w:gridCol w:w="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（本列数据的勾稽关系为：第一项加第二项之和，等于第三项加第四项之和）</w:t>
            </w:r>
          </w:p>
        </w:tc>
        <w:tc>
          <w:tcPr>
            <w:tcW w:w="4762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自然人</w:t>
            </w:r>
          </w:p>
        </w:tc>
        <w:tc>
          <w:tcPr>
            <w:tcW w:w="340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法人或其他组织</w:t>
            </w:r>
          </w:p>
        </w:tc>
        <w:tc>
          <w:tcPr>
            <w:tcW w:w="682" w:type="dxa"/>
            <w:vMerge w:val="restart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商业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企业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科研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机构</w:t>
            </w:r>
          </w:p>
        </w:tc>
        <w:tc>
          <w:tcPr>
            <w:tcW w:w="68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社会公益组织</w:t>
            </w:r>
          </w:p>
        </w:tc>
        <w:tc>
          <w:tcPr>
            <w:tcW w:w="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法律服务机构</w:t>
            </w:r>
          </w:p>
        </w:tc>
        <w:tc>
          <w:tcPr>
            <w:tcW w:w="67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</w:tc>
        <w:tc>
          <w:tcPr>
            <w:tcW w:w="682" w:type="dxa"/>
            <w:vMerge w:val="continue"/>
            <w:tcBorders>
              <w:top w:val="single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一、本年新收政府信息公开申请数量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二、上年结转政府信息公开申请数量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restart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三、本年度办理结果</w:t>
            </w: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（一）予以公开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（二）部分公开（区分处理的，只计这一情形，不计其他情形）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（三）不予公开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1.属于国家秘密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2.其他法律行政法规禁止公开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3.危及“三安全一稳定”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4.保护第三方合法权益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5.属于三类内部事务信息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6.属于四类过程性信息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7.属于行政执法案卷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8.属于行政查询事项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（四）无法提供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1.本机关不掌握相关政府信息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2.没有现成信息需要另行制作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3.补正后申请内容仍不明确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（五）不予处理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1.信访举报投诉类申请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3.要求提供公开出版物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4.无正当理由大量反复申请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5.要求行政机关确认或重新出具已获取信息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restart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（六）其他处理</w:t>
            </w: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1.申请人无正当理由逾期不补正、行政机关不再处理其政府信息公开申请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both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2.申请人逾期未按收费通知要求缴纳费用、行政机关不再处理其政府信息公开申请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1074" w:type="dxa"/>
            <w:vMerge w:val="continue"/>
            <w:tcBorders>
              <w:top w:val="outset" w:color="auto" w:sz="8" w:space="0"/>
              <w:left w:val="nil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314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3.其他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8" w:type="dxa"/>
            <w:vMerge w:val="continue"/>
            <w:tcBorders>
              <w:top w:val="nil"/>
              <w:left w:val="single" w:color="auto" w:sz="8" w:space="0"/>
              <w:bottom w:val="outset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421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（七）总计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86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/>
              <w:jc w:val="lef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四、结转下年度继续办理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7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  <w:tc>
          <w:tcPr>
            <w:tcW w:w="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0</w:t>
            </w:r>
          </w:p>
        </w:tc>
      </w:tr>
    </w:tbl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四、政府信息公开行政复议、行政诉讼情况</w:t>
      </w:r>
    </w:p>
    <w:tbl>
      <w:tblPr>
        <w:tblStyle w:val="5"/>
        <w:tblW w:w="974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1"/>
        <w:gridCol w:w="651"/>
        <w:gridCol w:w="651"/>
        <w:gridCol w:w="651"/>
        <w:gridCol w:w="651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行政复议</w:t>
            </w:r>
          </w:p>
        </w:tc>
        <w:tc>
          <w:tcPr>
            <w:tcW w:w="6503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未经复议直接起诉</w:t>
            </w:r>
          </w:p>
        </w:tc>
        <w:tc>
          <w:tcPr>
            <w:tcW w:w="325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11" w:hRule="atLeast"/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维持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结果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纠正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结果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尚未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/>
              </w:rPr>
              <w:t>审结</w:t>
            </w:r>
          </w:p>
        </w:tc>
        <w:tc>
          <w:tcPr>
            <w:tcW w:w="65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right="0" w:firstLine="0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32"/>
                <w:szCs w:val="32"/>
                <w:lang w:val="en-US" w:eastAsia="zh-CN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  <w:tc>
          <w:tcPr>
            <w:tcW w:w="65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60" w:lineRule="exact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0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F2F2F"/>
          <w:spacing w:val="0"/>
          <w:sz w:val="32"/>
          <w:szCs w:val="32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2F2F2F"/>
          <w:spacing w:val="0"/>
          <w:kern w:val="0"/>
          <w:sz w:val="24"/>
          <w:szCs w:val="24"/>
          <w:shd w:val="clear" w:fill="FFFFFF"/>
          <w:lang w:val="en-US" w:eastAsia="zh-CN" w:bidi="ar"/>
        </w:rPr>
        <w:t>　 　</w:t>
      </w: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  <w:t>2023年，教育局在政务公开工作方面取得了一定成效，但也存在一些问题和不足。一是政务公开工作缺乏创新，整体亮点不多、创新较少。二是政策解读与政民互动质量还需加强，网站个别栏目设置还需优化。为此，我们将积极整改，对原有的教育领域政府信息公开目录进行补充完善，保证公开信息的系统性、准确性；进一步扩大公开内容，梳理信息，畅通渠道，持续做好重点工作事项公开；在政策解读、决策公开、回应关切、基层政务公开等方面探索政务公开创新经验；加强政策解读相关工作；积极参加并组织信息工作相关培训，提高信息公开工作人员素质能力。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left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0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  <w:t>　　我局根据《政府信息公开信息处理费管理办法》的规定，本年度未收取任何信息处理费。无其他报告事项。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60" w:lineRule="exact"/>
        <w:ind w:left="0" w:right="0" w:firstLine="0"/>
        <w:jc w:val="both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2F2F2F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乌拉特中旗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教育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                                   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日 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31" w:right="1069" w:bottom="1654" w:left="1069" w:header="0" w:footer="1374" w:gutter="0"/>
          <w:cols w:space="720" w:num="1"/>
        </w:sect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2"/>
          <w:sz w:val="32"/>
          <w:szCs w:val="32"/>
          <w:shd w:val="clear" w:fill="FFFFFF"/>
          <w:lang w:val="en-US" w:eastAsia="zh-CN" w:bidi="ar-SA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4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ind w:left="847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1"/>
        <w:sz w:val="28"/>
        <w:szCs w:val="28"/>
      </w:rPr>
      <w:t>-</w:t>
    </w:r>
    <w:r>
      <w:rPr>
        <w:rFonts w:ascii="宋体" w:hAnsi="宋体" w:eastAsia="宋体" w:cs="宋体"/>
        <w:spacing w:val="34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13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1"/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796D48F"/>
    <w:multiLevelType w:val="singleLevel"/>
    <w:tmpl w:val="9796D48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jOWI5ZTZiM2I1YmRlMDUzMmFhODQyYzEwYmYzODIifQ=="/>
  </w:docVars>
  <w:rsids>
    <w:rsidRoot w:val="348E517D"/>
    <w:rsid w:val="0ACA3213"/>
    <w:rsid w:val="23042EFF"/>
    <w:rsid w:val="331869FA"/>
    <w:rsid w:val="348E517D"/>
    <w:rsid w:val="3EAE3246"/>
    <w:rsid w:val="408737EE"/>
    <w:rsid w:val="4E2669EA"/>
    <w:rsid w:val="68D3156D"/>
    <w:rsid w:val="6DC40EE5"/>
    <w:rsid w:val="6E4A6E84"/>
    <w:rsid w:val="73A925B8"/>
    <w:rsid w:val="7E9D7881"/>
    <w:rsid w:val="7F25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9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unhideWhenUsed/>
    <w:qFormat/>
    <w:uiPriority w:val="99"/>
    <w:rPr>
      <w:rFonts w:ascii="Calibri" w:hAnsi="Calibri" w:eastAsia="宋体" w:cs="Times New Roman"/>
      <w:szCs w:val="21"/>
    </w:rPr>
  </w:style>
  <w:style w:type="paragraph" w:styleId="3">
    <w:name w:val="Body Text"/>
    <w:basedOn w:val="1"/>
    <w:autoRedefine/>
    <w:semiHidden/>
    <w:qFormat/>
    <w:uiPriority w:val="0"/>
    <w:rPr>
      <w:rFonts w:ascii="仿宋" w:hAnsi="仿宋" w:eastAsia="仿宋" w:cs="仿宋"/>
      <w:sz w:val="33"/>
      <w:szCs w:val="33"/>
      <w:lang w:val="en-US" w:eastAsia="en-US" w:bidi="ar-SA"/>
    </w:rPr>
  </w:style>
  <w:style w:type="paragraph" w:styleId="4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7">
    <w:name w:val="Table Text"/>
    <w:basedOn w:val="1"/>
    <w:autoRedefine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1819</Words>
  <Characters>1886</Characters>
  <Lines>0</Lines>
  <Paragraphs>0</Paragraphs>
  <TotalTime>1</TotalTime>
  <ScaleCrop>false</ScaleCrop>
  <LinksUpToDate>false</LinksUpToDate>
  <CharactersWithSpaces>1968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2024-01-11T09:48:00Z</dcterms:created>
  <dc:creator>   赵小佳</dc:creator>
  <cp:lastModifiedBy>演示人</cp:lastModifiedBy>
  <dcterms:modified xsi:type="dcterms:W3CDTF">2024-01-15T03:51:28Z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30309270B819439C99D851113FB76C0B_11</vt:lpwstr>
  </property>
</Properties>
</file>