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乌拉特中旗林业和草原局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根据《中华人民共和国政府信息公开条例》（以下简称《条例》）,《内蒙古自治区政府信息公开工作年度报告制度》和《巴彦淖尔市政府信息公开工作年度报告制度》的规定，结合我局实际，对202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年度政府信息公开工作进行了梳理、统计和总结，并向全社会公开。报告统计期限为202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年12月31日止。该报告在乌拉特中旗人民政府网站上公布。</w:t>
      </w:r>
      <w:r>
        <w:rPr>
          <w:rFonts w:hint="eastAsia" w:ascii="仿宋_GB2312" w:hAnsi="仿宋_GB2312" w:eastAsia="仿宋_GB2312" w:cs="仿宋_GB2312"/>
          <w:sz w:val="32"/>
          <w:szCs w:val="40"/>
        </w:rPr>
        <w:t>网址：</w: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</w:rPr>
        <w:instrText xml:space="preserve"> HYPERLINK "http://www.wltzq.gov.cn/" </w:instrTex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</w:rPr>
        <w:t>http://www.wltzq.gov.cn/</w: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end"/>
      </w:r>
      <w:r>
        <w:rPr>
          <w:rFonts w:hint="eastAsia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如对本年度报告有疑问，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请与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乌拉特中旗林业和草原局联系（电话：0478-5912624）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4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4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年，我局认真贯彻落实《中华人民共和国政府信息公开条例》，严格按照信息公开的相关制度要求，安排专人负责信息的发布和上报工作，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我局结合林草生态实际工作，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强化组织领导、加强平台建设、狠抓制度落实、加强监督考核，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深入学习贯彻习近平新时代中国特色社会主义思想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贯彻落实习近平总书记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巴彦淖尔重要讲话精神，统筹推进“五大任务”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和全方位建设“模范自治区”工作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，围绕“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三四五”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旗域经济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，狠抓全旗生态保护，科学开展国土绿化。各项工作任务全面完成，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林草高质量发展取得新进展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信息公开等工作取得显著成效。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主动公开情况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我局始终坚持以公开为常态、不公开为例外，积极做好政府信息主动公开工作。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林草局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办公室负责政府信息的收集、整理、分类和发布等工作，经严格审核，认真研究，确定政府信息主动公开的内容。截至202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40"/>
        </w:rPr>
        <w:t>微信公众号发布我局相关信息总计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289</w:t>
      </w:r>
      <w:r>
        <w:rPr>
          <w:rFonts w:hint="eastAsia" w:ascii="仿宋_GB2312" w:hAnsi="仿宋_GB2312" w:eastAsia="仿宋_GB2312" w:cs="仿宋_GB2312"/>
          <w:sz w:val="32"/>
          <w:szCs w:val="40"/>
        </w:rPr>
        <w:t>条，进一步推进我局政府信息公开宣传工作，提高人民群众的知情权和监督权。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深化依申请公开工作,统一依申请公开答复格式。出台统一的依申请公开答复格式,规范依申请公开办理工作,建立健全受理办理流程。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年我局未收到政府信息公开申请。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人民政府办公厅政府信息公开指南》和有关法律法规，结合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林草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实际，进一步建立健全政府信息主动公开制度、依申请公开制度、政府信息公开保密审查制度等各类制度。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通过制度严格执行三级审核制度，先审后发、授权发布，三级联动，确保信息安全、内容准确、表述规范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，切实保障我局政府信息公开工作顺利开展，推进我局政务公开工作。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（四）平台建设情况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我局以政务公开网站、微信公众号、等宣传平台为依托，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打造全面、权威、安全的信息公开平台。“谁主管、谁负责”原则，严格执行内容发布“三审三校”制度，压实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信息内容管理主体责任，严把政治关、法律关、政策关、保密关、文字关。健全“日常监督、季度通报、年度考评、按需培训”的工作保障机制，及时发现异常情况，迅速整改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不断增强传播力、引导力、影响力、公信力。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工作要求，全面做好各项督查整改工作，对发现的问题清单式反馈，针对性地提出工作建议，并指导、督促整改，未发生责任追究情况。围绕政务公开工作建立和完善政府信息公开监督制度，主动公布咨询、监督投诉电话，接受有关部门、新闻媒体、广大群众的监督检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二、主动公开政府信息情况</w:t>
      </w:r>
    </w:p>
    <w:tbl>
      <w:tblPr>
        <w:tblStyle w:val="4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t>　</w:t>
      </w:r>
      <w:r>
        <w:rPr>
          <w:rFonts w:hint="eastAsia" w:ascii="黑体" w:hAnsi="黑体" w:eastAsia="黑体" w:cs="黑体"/>
          <w:sz w:val="32"/>
          <w:szCs w:val="32"/>
        </w:rPr>
        <w:t>　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年，我局的信息公开还存在一定问题。主要表现在：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一是双随机—公开不及时；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是政策解读形式有待丰富；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是部分栏目信息发布不及时。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信息公开不够全面，需要进一步完善信息公开内容。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下一年工作打算。一是进一步加强专业学习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提升政务公开专业能力；二是及时发布相关信息；三是规范依申请公开内容格式。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根据《政府信息公开信息处理费管理办法》的规定，本年度未收取任何信息处理费。无其他报告事项。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乌拉特中旗林业和草原局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2023年1月12日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6D711"/>
    <w:multiLevelType w:val="singleLevel"/>
    <w:tmpl w:val="1AE6D7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jYwNTI1ODc4ZDY0ZGE5MDA1NzdkYjA5Y2UwYWIifQ=="/>
  </w:docVars>
  <w:rsids>
    <w:rsidRoot w:val="30472FE4"/>
    <w:rsid w:val="03710E99"/>
    <w:rsid w:val="052D075E"/>
    <w:rsid w:val="0C965D3A"/>
    <w:rsid w:val="0D5D20E6"/>
    <w:rsid w:val="0DF04D08"/>
    <w:rsid w:val="0E8C4A31"/>
    <w:rsid w:val="0EF32DBE"/>
    <w:rsid w:val="0EFB1BB6"/>
    <w:rsid w:val="0FE65238"/>
    <w:rsid w:val="15C438B4"/>
    <w:rsid w:val="17A24F9C"/>
    <w:rsid w:val="192F2B88"/>
    <w:rsid w:val="1A291892"/>
    <w:rsid w:val="1B11750F"/>
    <w:rsid w:val="20605D1D"/>
    <w:rsid w:val="26E07179"/>
    <w:rsid w:val="2862715C"/>
    <w:rsid w:val="288E5979"/>
    <w:rsid w:val="28903BCB"/>
    <w:rsid w:val="2A401618"/>
    <w:rsid w:val="2AC6733E"/>
    <w:rsid w:val="2C6E6B56"/>
    <w:rsid w:val="2CC5293D"/>
    <w:rsid w:val="2D681A7C"/>
    <w:rsid w:val="2F6057C2"/>
    <w:rsid w:val="30472FE4"/>
    <w:rsid w:val="32C8375A"/>
    <w:rsid w:val="33631954"/>
    <w:rsid w:val="35937FBA"/>
    <w:rsid w:val="35AB1606"/>
    <w:rsid w:val="381F01AD"/>
    <w:rsid w:val="3AD849D6"/>
    <w:rsid w:val="3E1B63BB"/>
    <w:rsid w:val="3F2072D2"/>
    <w:rsid w:val="46A65A05"/>
    <w:rsid w:val="4747604A"/>
    <w:rsid w:val="47D0142E"/>
    <w:rsid w:val="4CC4300C"/>
    <w:rsid w:val="50BC6278"/>
    <w:rsid w:val="50C65427"/>
    <w:rsid w:val="5DBD342A"/>
    <w:rsid w:val="5EAF5E52"/>
    <w:rsid w:val="5F3D1A0A"/>
    <w:rsid w:val="62141EE8"/>
    <w:rsid w:val="658155F9"/>
    <w:rsid w:val="6C750C83"/>
    <w:rsid w:val="6DE5298B"/>
    <w:rsid w:val="6F1A768F"/>
    <w:rsid w:val="712B2DAA"/>
    <w:rsid w:val="748922C2"/>
    <w:rsid w:val="74933140"/>
    <w:rsid w:val="7564688B"/>
    <w:rsid w:val="79982FA7"/>
    <w:rsid w:val="7A213FE0"/>
    <w:rsid w:val="7B986EAC"/>
    <w:rsid w:val="7DAD1F01"/>
    <w:rsid w:val="7E6D2CB1"/>
    <w:rsid w:val="7F7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2490</Words>
  <Characters>2573</Characters>
  <Lines>0</Lines>
  <Paragraphs>0</Paragraphs>
  <TotalTime>1</TotalTime>
  <ScaleCrop>false</ScaleCrop>
  <LinksUpToDate>false</LinksUpToDate>
  <CharactersWithSpaces>2648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2023-01-09T09:47:00Z</dcterms:created>
  <dc:creator>泰勒的羊仔</dc:creator>
  <cp:lastModifiedBy>O_o  陶</cp:lastModifiedBy>
  <cp:lastPrinted>2023-01-19T02:43:00Z</cp:lastPrinted>
  <dcterms:modified xsi:type="dcterms:W3CDTF">2024-01-17T09:51:32Z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9F2C24F30DD2468293F450E65CA234C8_13</vt:lpwstr>
  </property>
</Properties>
</file>