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 w:bidi="ar"/>
        </w:rPr>
        <w:t>乌拉特中旗民族事务委员会2023年政府信息公开工作年度报告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按照《中华人民共和国政府信息公开条例》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国务院办公厅政府信息与政务公开办公室关于印发〈中华人民共和国政府信息公开工作年度报告格式〉的通知》（国办公开办函〔2021〕30号）的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要求，</w:t>
      </w:r>
      <w:r>
        <w:rPr>
          <w:rFonts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根据本单位工作实际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，对202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年度政府信息公开工作</w:t>
      </w:r>
      <w:r>
        <w:rPr>
          <w:rFonts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情况进行总结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并向全社会公开。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报告统计期限为2023年1月1日起至2023年12月31日止。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该报告在乌拉特中旗人民政府网站上公布。网址：http://www.wltzq.gov.cn/,如对本年度报告有疑问，请联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系：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0478-5913800。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乌拉特中旗民族事务委员会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严格按照旗委、政府的工作部署，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认真贯彻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落实《中华人民共和国政府信息公开条例》有关规定及自治区、市有关政务公开的一系列重要指示精神，加强组织领导，健全工作机制，认真落实各项要求，及时、规范公开本部门政务信息，不断促进政务公开工作向制度化、规范化发展，政务公开工作得到有效推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</w:rPr>
        <w:t>（一）主动公开情况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年，通过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巴彦淖尔市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政府信息公开平台发布各类政务信息共计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</w:rPr>
        <w:t>（二）依申请公开情况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年未收到政府信息公开申请事项。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</w:rPr>
        <w:t>（三）政府信息管理情况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我委高度重视政府信息公开工作，成立了政府信息公开领导小组，遇有人事变动及时调整小组成员，确保工作的连续性和有效性。领导小组下设办公室负责政务公开日常工作，确定了具体工作人员负责公开信息的采集、报送、审批，做到领导、机构、人员“三到位”，使各项公开工作落到实处。同时明确了信息公开工作保密责任，明确由主要负责人把关，一切对外公开的信息在公开之前，必须经过领导小组审核，确保政府信息公开不出现泄密事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</w:rPr>
        <w:t>（四）政府信息公开平台建设情况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本年度我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委</w:t>
      </w:r>
      <w:r>
        <w:rPr>
          <w:rFonts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进一步强化平台建设，优化服务功能，高效维护信息公开平台，及时更新动态信息。充分发挥政府信息公开平台宣传导向作用，全面提升平台权威性和影响力。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同时，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积极利用乌拉特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中旗民族事务委员会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微信公众号，广泛宣传工作动态，使广大群体能够及时了解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我委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民族工作动态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</w:rPr>
        <w:t>（五）监督保障方面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依据《条例》，按照“以公开为原则，不公开为例外”的要求，建立完善主动公开、审核制度，明确职责、程序、公开方式和时限要求，健全完善信息发布规范、公文及信息报送审核制度、保密审查机制等，进一步规范政府信息公开办理流程，确保公开信息不涉及国家秘密和工作秘密，持续提升工作质量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同时强化信息公开监督考核，压实压紧工作责任，将信息公开工作纳入单位年度目标考核体系，各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股室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落实分工、责任到人，形成常抓不懈的工作格局。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主动公开政府信息情况</w:t>
      </w:r>
    </w:p>
    <w:tbl>
      <w:tblPr>
        <w:tblStyle w:val="4"/>
        <w:tblW w:w="844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1875"/>
        <w:gridCol w:w="1275"/>
        <w:gridCol w:w="21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441" w:type="dxa"/>
            <w:gridSpan w:val="4"/>
            <w:shd w:val="clear" w:color="auto" w:fill="D6DCE4" w:themeFill="text2" w:themeFillTint="3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本年制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发件数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本年废止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数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现行有效件数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规章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规范性文件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441" w:type="dxa"/>
            <w:gridSpan w:val="4"/>
            <w:shd w:val="clear" w:color="auto" w:fill="D6DCE4" w:themeFill="text2" w:themeFillTint="3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5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5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441" w:type="dxa"/>
            <w:gridSpan w:val="4"/>
            <w:shd w:val="clear" w:color="auto" w:fill="D6DCE4" w:themeFill="text2" w:themeFillTint="3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5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5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5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441" w:type="dxa"/>
            <w:gridSpan w:val="4"/>
            <w:shd w:val="clear" w:color="auto" w:fill="D6DCE4" w:themeFill="text2" w:themeFillTint="3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5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本年收费金额（单位：万元）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5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074"/>
        <w:gridCol w:w="3225"/>
        <w:gridCol w:w="599"/>
        <w:gridCol w:w="680"/>
        <w:gridCol w:w="680"/>
        <w:gridCol w:w="680"/>
        <w:gridCol w:w="680"/>
        <w:gridCol w:w="680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68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自然人</w:t>
            </w:r>
          </w:p>
        </w:tc>
        <w:tc>
          <w:tcPr>
            <w:tcW w:w="34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法人或其他组织</w:t>
            </w:r>
          </w:p>
        </w:tc>
        <w:tc>
          <w:tcPr>
            <w:tcW w:w="68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企业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机构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社会公益组织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法律服务机构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</w:t>
            </w:r>
          </w:p>
        </w:tc>
        <w:tc>
          <w:tcPr>
            <w:tcW w:w="68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三、本年度办理结果</w:t>
            </w:r>
          </w:p>
        </w:tc>
        <w:tc>
          <w:tcPr>
            <w:tcW w:w="4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（一）予以公开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（三）不予公开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1.属于国家秘密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3.危及“三安全一稳定”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4.保护第三方合法权益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5.属于三类内部事务信息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6.属于四类过程性信息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7.属于行政执法案卷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8.属于行政查询事项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（四）无法提供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3.补正后申请内容仍不明确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（五）不予处理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1.信访举报投诉类申请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2.重复申请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3.要求提供公开出版物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4.无正当理由大量反复申请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5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（六）其他处理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3.其他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（七）总计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四、结转下年度继续办理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（一）存在问题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一是相关人员对政务信息公开工作重要性的认识还需进一步提高。二是信息公开的内部工作机制有待完善和加强。三是公开的信息数量相对较少且形式单一。 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（二）整改措施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是继续贯彻落实《条例》，切实加强政务信息公开业务的学习和培训，提高相关人员做好政务公开工作的能力和水平。二是进一步加强信息公开工作的监督考核，逐步完善相关工作制度，建立健全长效机制，把工作落到实处，确保我委信息公开工作扎实、有序推进。三是我委将根据新形势、新要求，结合工作实际把握重点，及时调整公开内容，进一步规范信息发布的质量和数量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根据《政府信息公开信息处理费管理办法》，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乌拉特中旗民族事务委员会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本年度未发生需要收取信息处理费的情况，特此报告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乌拉特中旗民族事务委员会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645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9F11C"/>
    <w:multiLevelType w:val="singleLevel"/>
    <w:tmpl w:val="1B69F11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E1AE7E5"/>
    <w:multiLevelType w:val="singleLevel"/>
    <w:tmpl w:val="2E1AE7E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846A74"/>
    <w:multiLevelType w:val="singleLevel"/>
    <w:tmpl w:val="79846A7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NWQxZmQ1YjlmNjE5MDg2ZTJlM2Q4OTA5MDJlMDUifQ=="/>
  </w:docVars>
  <w:rsids>
    <w:rsidRoot w:val="66631863"/>
    <w:rsid w:val="01545A05"/>
    <w:rsid w:val="0AE230E9"/>
    <w:rsid w:val="5F7F2DC3"/>
    <w:rsid w:val="66631863"/>
    <w:rsid w:val="7B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2024-01-16T02:35:00Z</dcterms:created>
  <dc:creator>阿楠</dc:creator>
  <cp:lastModifiedBy>阿楠</cp:lastModifiedBy>
  <dcterms:modified xsi:type="dcterms:W3CDTF">2024-01-16T08:11:54Z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6385ACBBD9B5439481411EA52A343EC2_11</vt:lpwstr>
  </property>
</Properties>
</file>