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"http://www.wltzq.gov.cn/wltzqzf/xxgknb/202005/t20200519_361927.html" \t "http://www.wltzq.gov.cn/wltzqzf/xxgknb/_blank"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石哈河镇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人民政府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3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年政府信息公开年度报告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根据《中华人民共和国政府信息公开条例》（以下简称《条例》）,《内蒙古自治区政府信息公开工作年度报告制度》和《巴彦淖尔市政府信息公开工作年度报告制度》的规定，结合我镇实际，对2023年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度政务公开工作进行了梳理、统计和总结，并向全社会公开。报告全文由总体情况，主动公开政府信息情况，收到和处理政府信息公开申请情况，政府信息公开行政复议、行政诉讼情况，政府信息公开工作存在的主要问题及改进情况，其他需要报告的事项等部分组成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报告统计期限为2023年1月1日起至2023年12月31日止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。如对本年度报告有任何疑问，请与乌拉特中旗石哈河镇人民政府办公室联系（地址：乌拉特中旗石哈河镇，电话：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2641230)。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该报告在乌拉特中旗人民政府网站上公布（网址：http://www.wltzq.gov.cn）。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rPr>
          <w:rFonts w:hint="default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ascii="黑体" w:hAnsi="宋体" w:eastAsia="黑体" w:cs="黑体"/>
          <w:color w:val="000000"/>
          <w:sz w:val="32"/>
          <w:szCs w:val="32"/>
        </w:rPr>
        <w:t>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石哈河镇严格</w:t>
      </w:r>
      <w:r>
        <w:rPr>
          <w:rFonts w:ascii="仿宋_GB2312" w:eastAsia="仿宋_GB2312" w:cs="仿宋_GB2312"/>
          <w:color w:val="000000"/>
          <w:sz w:val="31"/>
          <w:szCs w:val="31"/>
        </w:rPr>
        <w:t>按照《中华人民共和国政府信息公开条例》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全面贯彻</w:t>
      </w:r>
      <w:r>
        <w:rPr>
          <w:rFonts w:ascii="仿宋_GB2312" w:eastAsia="仿宋_GB2312" w:cs="仿宋_GB2312"/>
          <w:color w:val="000000"/>
          <w:sz w:val="31"/>
          <w:szCs w:val="31"/>
        </w:rPr>
        <w:t>《国务院办公厅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政府信息与政务公开办公室关于印发&lt;中华人民共和国政府信息公开工作年度报告格式&gt;的通知》(国办公开办函(2021)30号)的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规定，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</w:rPr>
        <w:t>全面贯彻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内蒙古自治区政务公开领导小组关于印发2022年政务公开工作要点的通知》内</w:t>
      </w:r>
      <w:r>
        <w:rPr>
          <w:rFonts w:ascii="仿宋_GB2312" w:eastAsia="仿宋_GB2312" w:cs="仿宋_GB2312"/>
          <w:color w:val="000000"/>
          <w:sz w:val="31"/>
          <w:szCs w:val="31"/>
        </w:rPr>
        <w:t>乌中政办发〔202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2</w:t>
      </w:r>
      <w:r>
        <w:rPr>
          <w:rFonts w:ascii="仿宋_GB2312" w:eastAsia="仿宋_GB2312" w:cs="仿宋_GB2312"/>
          <w:color w:val="000000"/>
          <w:sz w:val="31"/>
          <w:szCs w:val="31"/>
        </w:rPr>
        <w:t>〕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57</w:t>
      </w:r>
      <w:r>
        <w:rPr>
          <w:rFonts w:ascii="仿宋_GB2312" w:eastAsia="仿宋_GB2312" w:cs="仿宋_GB2312"/>
          <w:color w:val="000000"/>
          <w:sz w:val="31"/>
          <w:szCs w:val="31"/>
        </w:rPr>
        <w:t xml:space="preserve"> 号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文件，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在旗委、政府的正确领导下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ascii="仿宋_GB2312" w:eastAsia="仿宋_GB2312" w:cs="仿宋_GB2312"/>
          <w:color w:val="000000"/>
          <w:sz w:val="31"/>
          <w:szCs w:val="31"/>
        </w:rPr>
        <w:t>深入学习习近平总书记关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于政务公开工作的重要指示批示精神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ascii="仿宋_GB2312" w:eastAsia="仿宋_GB2312" w:cs="仿宋_GB2312"/>
          <w:color w:val="000000"/>
          <w:sz w:val="31"/>
          <w:szCs w:val="31"/>
        </w:rPr>
        <w:t>深化政务公开的决策部署。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坚持以人民为中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心推进政务公开，保障人民群众知情权、参与权、表达权、监督权。充分发挥政务公开在建设法治政府、服务型政府方面的作用，把准政务公开方向，优化政务公开职能，推动政府决策和管理服务更加透明规范，促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我镇政务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公开工作更加标准化、规范化运行。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2023年通过巴彦淖尔市政府政务公开平台公开信息41条，其中：政策性文件1条，政务信息公开指南1条，公开制度3条、政府信息公开年报1条、基层政务公开4条，数据发布1条，政策解读3条，决策公开5条，政务新媒体入口1条，重点业务信息5条，重大会议信息4条，政府公报1条，转载及发布国家、地方各类政策解读信息11条;通过“五彩石哈河”微信公众号发布信息530条；信息公开栏公开59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根据国务院办公厅印发的《政府信息公开信息处理费管理办法》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进一步规范依申请公开，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从申请的登记、审核、办理、答复、归档等环节对政府信息公开申请办理工作。全面客观反映政府信息公开申请接收和办理情况，便于政府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信息公开工作主管部门全面掌握工作动态，使社会各界了解政府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公开透明进程。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截止12月底，我镇未有依申请公开情况。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始终注重加强和完善政府信息公开工作的保密措施。严格按照《中华人民共和国保守国家秘密法》，对政府信息公开内容进行审核，确保公开信息不涉密，涉密信息不公开。同时，结合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石哈河镇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人民政府办公室工作实际，建立健全政府信息管理工作机制，明确专人负责信息归集和审核，及时公开相关信息，确保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石哈河镇人民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政府信息公开工作的及时性、科学性和准确性。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我镇以政务公开网站、“五彩石哈河”微信公众号、政府信息查阅点、电子屏幕为依托，及时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通过强化内容管理、优化信息员队伍、完善发布审核机制等方式，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不断拓宽政府信息发布和查阅渠道，提高网站信息容量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，确保发布内容优质可靠，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使社会各界查阅更加方便。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同时充分发挥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三务公开便民服务平台和微信公众号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作用，在完善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建设的同时确保服务完善周到，更新及时准确，满足人民群众对公共信息资源的需求。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在严格执行信息发布程序基础上，努力提高信息公开质量和效率，并进一步规范、完善信息公开的渠道、内容、方式等，将政府信息报送与职能工作紧密联系起来，不断提高信息公开工作质量。严格按照《政府信息保密审查办法》的规定要求，对公开的信息进行保密审查，履行相关审核程序，确保政府信息公开工作质量和安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主动公开政府信息的情况</w:t>
      </w:r>
    </w:p>
    <w:tbl>
      <w:tblPr>
        <w:tblStyle w:val="5"/>
        <w:tblW w:w="8525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9"/>
        <w:gridCol w:w="2559"/>
        <w:gridCol w:w="1271"/>
        <w:gridCol w:w="226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　　第二十条第（一）项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信息内容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本年制发件数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本年废止件数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现行有效件数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规章</w:t>
            </w:r>
          </w:p>
        </w:tc>
        <w:tc>
          <w:tcPr>
            <w:tcW w:w="2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规范性文件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5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第二十条第（五）项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信息内容</w:t>
            </w:r>
          </w:p>
        </w:tc>
        <w:tc>
          <w:tcPr>
            <w:tcW w:w="60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处理决定数量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行政许可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5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第二十条第（六）项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信息内容</w:t>
            </w:r>
          </w:p>
        </w:tc>
        <w:tc>
          <w:tcPr>
            <w:tcW w:w="60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处理决定数量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行政处罚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行政强制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85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第二十条第（八）项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信息内容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本年收费金额（单位：万元）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2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/>
              </w:rPr>
              <w:t>行政事业性收费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5"/>
        <w:tblW w:w="104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915"/>
        <w:gridCol w:w="3385"/>
        <w:gridCol w:w="405"/>
        <w:gridCol w:w="735"/>
        <w:gridCol w:w="759"/>
        <w:gridCol w:w="870"/>
        <w:gridCol w:w="696"/>
        <w:gridCol w:w="714"/>
        <w:gridCol w:w="7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5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95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自然人</w:t>
            </w:r>
          </w:p>
        </w:tc>
        <w:tc>
          <w:tcPr>
            <w:tcW w:w="377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法人或其他组织</w:t>
            </w:r>
          </w:p>
        </w:tc>
        <w:tc>
          <w:tcPr>
            <w:tcW w:w="7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5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商业企业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科研机构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社会公益组织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三、本年度办理结果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（三）不予公开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（四）无法提供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（五）不予处理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（六）其他处理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54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Spec="center" w:tblpY="622"/>
        <w:tblOverlap w:val="never"/>
        <w:tblW w:w="1137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795"/>
        <w:gridCol w:w="709"/>
        <w:gridCol w:w="766"/>
        <w:gridCol w:w="679"/>
        <w:gridCol w:w="769"/>
        <w:gridCol w:w="841"/>
        <w:gridCol w:w="764"/>
        <w:gridCol w:w="764"/>
        <w:gridCol w:w="568"/>
        <w:gridCol w:w="794"/>
        <w:gridCol w:w="929"/>
        <w:gridCol w:w="764"/>
        <w:gridCol w:w="76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行政复议</w:t>
            </w:r>
          </w:p>
        </w:tc>
        <w:tc>
          <w:tcPr>
            <w:tcW w:w="76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7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7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370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未经复议直接起诉</w:t>
            </w:r>
          </w:p>
        </w:tc>
        <w:tc>
          <w:tcPr>
            <w:tcW w:w="393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结果维持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结果纠正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其他结果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尚未审结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FF"/>
          <w:spacing w:val="0"/>
          <w:sz w:val="32"/>
          <w:szCs w:val="32"/>
          <w:shd w:val="clear" w:color="auto" w:fill="FFFFFF"/>
          <w:lang w:val="en-US" w:eastAsia="zh-CN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从政府信息公开工作来看，202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年，我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信息公开工作取得了积极进展，但仍存在公开内容有待进一步深化、公开形式的便民性有待进一步提高。主要表现在：一是政府信息公开深度不够。信息发布时效性不强，深度不够、质量不高等问题仍然存在。二是信息公开的载体和形式还需要进一步丰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针对存在的问题，202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年我镇将按照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级的统一要求，准备从三个方面深化政府信息公开工作：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是大力开展干部职工政务信息公开工作的学习和培训活动，增强干部对政务信息公开工作的责任意识，不断提高我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信息公开工作的水平和质量。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是规范政府信息公开的编制和发布，丰富政府信息公开内容，重点对党的建设、三农政策、重大建设项目、财政预算决算等信息进行及时更新，不断提高我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信息公开工作的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时效性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是进一步丰富信息公开形式。要继续加强对政府门户网站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及政府信息公开专栏的建设，充分发挥其第一平台的作用；进一步完善新闻媒体以及信息公开栏、电子显示屏、公告公示栏等载体建设。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根据《政府信息公开信息处理费管理办法》的规定，本年度未收取任何信息处理费。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both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无其他报告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事项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right"/>
        <w:rPr>
          <w:rFonts w:hint="default" w:asci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石哈河镇人民政府</w:t>
      </w:r>
    </w:p>
    <w:p>
      <w:pPr>
        <w:pStyle w:val="3"/>
        <w:keepNext w:val="0"/>
        <w:keepLines w:val="0"/>
        <w:widowControl/>
        <w:suppressLineNumbers w:val="0"/>
        <w:jc w:val="right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2024年1月11日</w:t>
      </w:r>
    </w:p>
    <w:p>
      <w:pPr>
        <w:pStyle w:val="3"/>
        <w:keepNext w:val="0"/>
        <w:keepLines w:val="0"/>
        <w:widowControl/>
        <w:suppressLineNumbers w:val="0"/>
        <w:ind w:firstLine="480" w:firstLineChars="200"/>
        <w:rPr>
          <w:rFonts w:hint="eastAsia" w:eastAsia="仿宋_GB231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ind w:left="0" w:firstLine="640"/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ind w:left="0" w:firstLine="640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ind w:left="0" w:firstLine="640"/>
        <w:rPr>
          <w:rFonts w:ascii="黑体" w:hAnsi="宋体" w:eastAsia="黑体" w:cs="黑体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ind w:left="0" w:firstLine="640"/>
        <w:rPr>
          <w:rFonts w:ascii="黑体" w:hAnsi="宋体" w:eastAsia="黑体" w:cs="黑体"/>
          <w:color w:val="00000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MTA4YTg2MWU1Y2QyNGQxZGI0ZTRjYmVlZTUzOTEifQ=="/>
  </w:docVars>
  <w:rsids>
    <w:rsidRoot w:val="3D797F3B"/>
    <w:rsid w:val="0D3F0A86"/>
    <w:rsid w:val="18B3040D"/>
    <w:rsid w:val="1A735252"/>
    <w:rsid w:val="1EA27958"/>
    <w:rsid w:val="227C7EA5"/>
    <w:rsid w:val="26991969"/>
    <w:rsid w:val="2AE72188"/>
    <w:rsid w:val="31B93FCE"/>
    <w:rsid w:val="3D797F3B"/>
    <w:rsid w:val="403563CA"/>
    <w:rsid w:val="74F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  <w:ind w:firstLine="0" w:firstLineChars="0"/>
    </w:pPr>
    <w:rPr>
      <w:rFonts w:ascii="Calibri" w:hAnsi="Calibri" w:eastAsia="宋体" w:cs="Times New Roman"/>
      <w:szCs w:val="24"/>
    </w:rPr>
  </w:style>
  <w:style w:type="paragraph" w:styleId="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2024-01-10T09:54:00Z</dcterms:created>
  <dc:creator>Administrator</dc:creator>
  <cp:lastModifiedBy>Administrator</cp:lastModifiedBy>
  <dcterms:modified xsi:type="dcterms:W3CDTF">2024-01-15T03:36:26Z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86C91E17F07544F9948D89A084C6E217_13</vt:lpwstr>
  </property>
</Properties>
</file>