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 w:lineRule="atLeast"/>
        <w:ind w:left="0" w:right="0"/>
        <w:jc w:val="center"/>
        <w:rPr>
          <w:rFonts w:hint="eastAsia" w:ascii="宋体" w:hAnsi="宋体" w:eastAsia="宋体" w:cs="宋体"/>
          <w:b/>
          <w:bCs/>
          <w:sz w:val="44"/>
          <w:szCs w:val="44"/>
        </w:rPr>
      </w:pPr>
      <w:r>
        <w:rPr>
          <w:rFonts w:hint="eastAsia" w:ascii="宋体" w:hAnsi="宋体" w:eastAsia="宋体" w:cs="宋体"/>
          <w:b/>
          <w:bCs/>
          <w:i w:val="0"/>
          <w:iCs w:val="0"/>
          <w:caps w:val="0"/>
          <w:color w:val="000000"/>
          <w:spacing w:val="0"/>
          <w:sz w:val="44"/>
          <w:szCs w:val="44"/>
          <w:shd w:val="clear" w:fill="FFFFFF"/>
        </w:rPr>
        <w:t>关于印发内蒙古自治区高龄津贴补助资金管理办法的通知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center"/>
        <w:rPr>
          <w:rFonts w:hint="eastAsia" w:ascii="宋体" w:hAnsi="宋体" w:eastAsia="宋体" w:cs="宋体"/>
          <w:b/>
          <w:bCs/>
          <w:sz w:val="44"/>
          <w:szCs w:val="44"/>
        </w:rPr>
      </w:pPr>
      <w:r>
        <w:rPr>
          <w:rFonts w:hint="eastAsia" w:ascii="宋体" w:hAnsi="宋体" w:eastAsia="宋体" w:cs="宋体"/>
          <w:b/>
          <w:bCs/>
          <w:i w:val="0"/>
          <w:iCs w:val="0"/>
          <w:caps w:val="0"/>
          <w:color w:val="000000"/>
          <w:spacing w:val="0"/>
          <w:sz w:val="44"/>
          <w:szCs w:val="4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各盟市财政局、民政局，满洲里、二连浩特市财政局、民政局：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firstLine="640" w:firstLineChars="20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为进一步规范和加强专项资金管理，根据《预算法》及国家和自治区有关规定，结合工作实际，我们制定了《内蒙古自治区高龄津贴补助资金管理办法》，现予印发，请遵照执行。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300" w:afterAutospacing="0" w:line="40" w:lineRule="atLeast"/>
        <w:ind w:left="0" w:right="0"/>
        <w:jc w:val="both"/>
        <w:textAlignment w:val="auto"/>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                                                                                                       </w:t>
      </w:r>
      <w:r>
        <w:rPr>
          <w:rFonts w:hint="eastAsia" w:ascii="宋体" w:hAnsi="宋体" w:eastAsia="宋体" w:cs="宋体"/>
          <w:i w:val="0"/>
          <w:iCs w:val="0"/>
          <w:caps w:val="0"/>
          <w:color w:val="000000"/>
          <w:spacing w:val="0"/>
          <w:sz w:val="32"/>
          <w:szCs w:val="32"/>
          <w:shd w:val="clear" w:fill="FFFFFF"/>
          <w:lang w:val="en-US" w:eastAsia="zh-CN"/>
        </w:rPr>
        <w:t xml:space="preserve">                      </w:t>
      </w:r>
      <w:r>
        <w:rPr>
          <w:rFonts w:hint="eastAsia" w:ascii="宋体" w:hAnsi="宋体" w:eastAsia="宋体" w:cs="宋体"/>
          <w:i w:val="0"/>
          <w:iCs w:val="0"/>
          <w:caps w:val="0"/>
          <w:color w:val="000000"/>
          <w:spacing w:val="0"/>
          <w:sz w:val="32"/>
          <w:szCs w:val="32"/>
          <w:shd w:val="clear" w:fill="FFFFFF"/>
        </w:rPr>
        <w:t>内蒙古自治区财政厅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300" w:afterAutospacing="0" w:line="40" w:lineRule="atLeast"/>
        <w:ind w:right="0" w:firstLine="3840" w:firstLineChars="1200"/>
        <w:jc w:val="both"/>
        <w:textAlignment w:val="auto"/>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内蒙古自治区民政厅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300" w:afterAutospacing="0" w:line="40" w:lineRule="atLeast"/>
        <w:ind w:left="0" w:right="0"/>
        <w:jc w:val="both"/>
        <w:textAlignment w:val="auto"/>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 xml:space="preserve">                </w:t>
      </w:r>
      <w:r>
        <w:rPr>
          <w:rFonts w:hint="eastAsia" w:ascii="宋体" w:hAnsi="宋体" w:eastAsia="宋体" w:cs="宋体"/>
          <w:i w:val="0"/>
          <w:iCs w:val="0"/>
          <w:caps w:val="0"/>
          <w:color w:val="000000"/>
          <w:spacing w:val="0"/>
          <w:sz w:val="32"/>
          <w:szCs w:val="32"/>
          <w:shd w:val="clear" w:fill="FFFFFF"/>
          <w:lang w:val="en-US" w:eastAsia="zh-CN"/>
        </w:rPr>
        <w:t xml:space="preserve"> </w:t>
      </w:r>
      <w:r>
        <w:rPr>
          <w:rFonts w:hint="eastAsia" w:ascii="宋体" w:hAnsi="宋体" w:eastAsia="宋体" w:cs="宋体"/>
          <w:i w:val="0"/>
          <w:iCs w:val="0"/>
          <w:caps w:val="0"/>
          <w:color w:val="000000"/>
          <w:spacing w:val="0"/>
          <w:sz w:val="32"/>
          <w:szCs w:val="32"/>
          <w:shd w:val="clear" w:fill="FFFFFF"/>
          <w:lang w:val="en-US"/>
        </w:rPr>
        <w:t>2019</w:t>
      </w:r>
      <w:r>
        <w:rPr>
          <w:rFonts w:hint="eastAsia" w:ascii="宋体" w:hAnsi="宋体" w:eastAsia="宋体" w:cs="宋体"/>
          <w:i w:val="0"/>
          <w:iCs w:val="0"/>
          <w:caps w:val="0"/>
          <w:color w:val="000000"/>
          <w:spacing w:val="0"/>
          <w:sz w:val="32"/>
          <w:szCs w:val="32"/>
          <w:shd w:val="clear" w:fill="FFFFFF"/>
        </w:rPr>
        <w:t>年</w:t>
      </w:r>
      <w:r>
        <w:rPr>
          <w:rFonts w:hint="eastAsia" w:ascii="宋体" w:hAnsi="宋体" w:eastAsia="宋体" w:cs="宋体"/>
          <w:i w:val="0"/>
          <w:iCs w:val="0"/>
          <w:caps w:val="0"/>
          <w:color w:val="000000"/>
          <w:spacing w:val="0"/>
          <w:sz w:val="32"/>
          <w:szCs w:val="32"/>
          <w:shd w:val="clear" w:fill="FFFFFF"/>
          <w:lang w:val="en-US"/>
        </w:rPr>
        <w:t>4</w:t>
      </w:r>
      <w:r>
        <w:rPr>
          <w:rFonts w:hint="eastAsia" w:ascii="宋体" w:hAnsi="宋体" w:eastAsia="宋体" w:cs="宋体"/>
          <w:i w:val="0"/>
          <w:iCs w:val="0"/>
          <w:caps w:val="0"/>
          <w:color w:val="000000"/>
          <w:spacing w:val="0"/>
          <w:sz w:val="32"/>
          <w:szCs w:val="32"/>
          <w:shd w:val="clear" w:fill="FFFFFF"/>
        </w:rPr>
        <w:t>月</w:t>
      </w:r>
      <w:r>
        <w:rPr>
          <w:rFonts w:hint="eastAsia" w:ascii="宋体" w:hAnsi="宋体" w:eastAsia="宋体" w:cs="宋体"/>
          <w:i w:val="0"/>
          <w:iCs w:val="0"/>
          <w:caps w:val="0"/>
          <w:color w:val="000000"/>
          <w:spacing w:val="0"/>
          <w:sz w:val="32"/>
          <w:szCs w:val="32"/>
          <w:shd w:val="clear" w:fill="FFFFFF"/>
          <w:lang w:val="en-US"/>
        </w:rPr>
        <w:t>29</w:t>
      </w:r>
      <w:r>
        <w:rPr>
          <w:rFonts w:hint="eastAsia" w:ascii="宋体" w:hAnsi="宋体" w:eastAsia="宋体" w:cs="宋体"/>
          <w:i w:val="0"/>
          <w:iCs w:val="0"/>
          <w:caps w:val="0"/>
          <w:color w:val="000000"/>
          <w:spacing w:val="0"/>
          <w:sz w:val="32"/>
          <w:szCs w:val="32"/>
          <w:shd w:val="clear" w:fill="FFFFFF"/>
        </w:rPr>
        <w:t>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center"/>
        <w:rPr>
          <w:rFonts w:hint="eastAsia" w:ascii="宋体" w:hAnsi="宋体" w:eastAsia="宋体" w:cs="宋体"/>
          <w:b/>
          <w:bCs/>
          <w:i w:val="0"/>
          <w:iCs w:val="0"/>
          <w:caps w:val="0"/>
          <w:color w:val="000000"/>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center"/>
        <w:rPr>
          <w:rFonts w:hint="eastAsia" w:ascii="宋体" w:hAnsi="宋体" w:eastAsia="宋体" w:cs="宋体"/>
          <w:b/>
          <w:bCs/>
          <w:i w:val="0"/>
          <w:iCs w:val="0"/>
          <w:caps w:val="0"/>
          <w:color w:val="000000"/>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center"/>
        <w:rPr>
          <w:rFonts w:hint="eastAsia" w:ascii="宋体" w:hAnsi="宋体" w:eastAsia="宋体" w:cs="宋体"/>
          <w:b/>
          <w:bCs/>
          <w:i w:val="0"/>
          <w:iCs w:val="0"/>
          <w:caps w:val="0"/>
          <w:color w:val="000000"/>
          <w:spacing w:val="0"/>
          <w:sz w:val="32"/>
          <w:szCs w:val="32"/>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center"/>
        <w:rPr>
          <w:rFonts w:hint="eastAsia" w:ascii="宋体" w:hAnsi="宋体" w:eastAsia="宋体" w:cs="宋体"/>
          <w:sz w:val="32"/>
          <w:szCs w:val="32"/>
        </w:rPr>
      </w:pPr>
      <w:bookmarkStart w:id="0" w:name="_GoBack"/>
      <w:bookmarkEnd w:id="0"/>
      <w:r>
        <w:rPr>
          <w:rFonts w:hint="eastAsia" w:ascii="宋体" w:hAnsi="宋体" w:eastAsia="宋体" w:cs="宋体"/>
          <w:b/>
          <w:bCs/>
          <w:i w:val="0"/>
          <w:iCs w:val="0"/>
          <w:caps w:val="0"/>
          <w:color w:val="000000"/>
          <w:spacing w:val="0"/>
          <w:sz w:val="32"/>
          <w:szCs w:val="32"/>
          <w:shd w:val="clear" w:fill="FFFFFF"/>
        </w:rPr>
        <w:t>内蒙古自治区高龄津贴补助资金管理办法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第一条</w:t>
      </w:r>
      <w:r>
        <w:rPr>
          <w:rFonts w:hint="eastAsia" w:ascii="宋体" w:hAnsi="宋体" w:eastAsia="宋体" w:cs="宋体"/>
          <w:i w:val="0"/>
          <w:iCs w:val="0"/>
          <w:caps w:val="0"/>
          <w:color w:val="000000"/>
          <w:spacing w:val="0"/>
          <w:sz w:val="32"/>
          <w:szCs w:val="32"/>
          <w:shd w:val="clear" w:fill="FFFFFF"/>
        </w:rPr>
        <w:t>为规范和加强高龄津贴补助资金</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以下简称“高龄津贴”</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管理，切实提高补助资金的使用效益，确保符合条件的高龄老人真正受益，根据《预算法》、《老年人权益保障法》、《内蒙古自治区老年人权益保障条例》等法律法规及《内蒙古自治区党委办公厅自治区人民政府办公厅关于做好迎接重阳节关爱老年人工作的通知》</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内党办发电﹝</w:t>
      </w:r>
      <w:r>
        <w:rPr>
          <w:rFonts w:hint="eastAsia" w:ascii="宋体" w:hAnsi="宋体" w:eastAsia="宋体" w:cs="宋体"/>
          <w:i w:val="0"/>
          <w:iCs w:val="0"/>
          <w:caps w:val="0"/>
          <w:color w:val="000000"/>
          <w:spacing w:val="0"/>
          <w:sz w:val="32"/>
          <w:szCs w:val="32"/>
          <w:shd w:val="clear" w:fill="FFFFFF"/>
          <w:lang w:val="en-US"/>
        </w:rPr>
        <w:t>2016</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lang w:val="en-US"/>
        </w:rPr>
        <w:t> 20</w:t>
      </w:r>
      <w:r>
        <w:rPr>
          <w:rFonts w:hint="eastAsia" w:ascii="宋体" w:hAnsi="宋体" w:eastAsia="宋体" w:cs="宋体"/>
          <w:i w:val="0"/>
          <w:iCs w:val="0"/>
          <w:caps w:val="0"/>
          <w:color w:val="000000"/>
          <w:spacing w:val="0"/>
          <w:sz w:val="32"/>
          <w:szCs w:val="32"/>
          <w:shd w:val="clear" w:fill="FFFFFF"/>
        </w:rPr>
        <w:t>号</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、《内蒙古自治区人民政府关于增加城乡居民收入几项惠民政策的通知》</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内政发﹝</w:t>
      </w:r>
      <w:r>
        <w:rPr>
          <w:rFonts w:hint="eastAsia" w:ascii="宋体" w:hAnsi="宋体" w:eastAsia="宋体" w:cs="宋体"/>
          <w:i w:val="0"/>
          <w:iCs w:val="0"/>
          <w:caps w:val="0"/>
          <w:color w:val="000000"/>
          <w:spacing w:val="0"/>
          <w:sz w:val="32"/>
          <w:szCs w:val="32"/>
          <w:shd w:val="clear" w:fill="FFFFFF"/>
          <w:lang w:val="en-US"/>
        </w:rPr>
        <w:t>2017</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lang w:val="en-US"/>
        </w:rPr>
        <w:t> 53</w:t>
      </w:r>
      <w:r>
        <w:rPr>
          <w:rFonts w:hint="eastAsia" w:ascii="宋体" w:hAnsi="宋体" w:eastAsia="宋体" w:cs="宋体"/>
          <w:i w:val="0"/>
          <w:iCs w:val="0"/>
          <w:caps w:val="0"/>
          <w:color w:val="000000"/>
          <w:spacing w:val="0"/>
          <w:sz w:val="32"/>
          <w:szCs w:val="32"/>
          <w:shd w:val="clear" w:fill="FFFFFF"/>
        </w:rPr>
        <w:t>号</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和《内蒙古自治区对下专项转移支付管理办法》</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内政办发﹝</w:t>
      </w:r>
      <w:r>
        <w:rPr>
          <w:rFonts w:hint="eastAsia" w:ascii="宋体" w:hAnsi="宋体" w:eastAsia="宋体" w:cs="宋体"/>
          <w:i w:val="0"/>
          <w:iCs w:val="0"/>
          <w:caps w:val="0"/>
          <w:color w:val="000000"/>
          <w:spacing w:val="0"/>
          <w:sz w:val="32"/>
          <w:szCs w:val="32"/>
          <w:shd w:val="clear" w:fill="FFFFFF"/>
          <w:lang w:val="en-US"/>
        </w:rPr>
        <w:t>2016</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lang w:val="en-US"/>
        </w:rPr>
        <w:t>134</w:t>
      </w:r>
      <w:r>
        <w:rPr>
          <w:rFonts w:hint="eastAsia" w:ascii="宋体" w:hAnsi="宋体" w:eastAsia="宋体" w:cs="宋体"/>
          <w:i w:val="0"/>
          <w:iCs w:val="0"/>
          <w:caps w:val="0"/>
          <w:color w:val="000000"/>
          <w:spacing w:val="0"/>
          <w:sz w:val="32"/>
          <w:szCs w:val="32"/>
          <w:shd w:val="clear" w:fill="FFFFFF"/>
        </w:rPr>
        <w:t>号</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等有关规定，制定本办法。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第二条</w:t>
      </w:r>
      <w:r>
        <w:rPr>
          <w:rFonts w:hint="eastAsia" w:ascii="宋体" w:hAnsi="宋体" w:eastAsia="宋体" w:cs="宋体"/>
          <w:i w:val="0"/>
          <w:iCs w:val="0"/>
          <w:caps w:val="0"/>
          <w:color w:val="000000"/>
          <w:spacing w:val="0"/>
          <w:sz w:val="32"/>
          <w:szCs w:val="32"/>
          <w:shd w:val="clear" w:fill="FFFFFF"/>
        </w:rPr>
        <w:t>本办法所称高龄津贴补助资金，是指自治区各级财政安排，用于为具有内蒙古自治区户籍、年龄在</w:t>
      </w:r>
      <w:r>
        <w:rPr>
          <w:rFonts w:hint="eastAsia" w:ascii="宋体" w:hAnsi="宋体" w:eastAsia="宋体" w:cs="宋体"/>
          <w:i w:val="0"/>
          <w:iCs w:val="0"/>
          <w:caps w:val="0"/>
          <w:color w:val="000000"/>
          <w:spacing w:val="0"/>
          <w:sz w:val="32"/>
          <w:szCs w:val="32"/>
          <w:shd w:val="clear" w:fill="FFFFFF"/>
          <w:lang w:val="en-US"/>
        </w:rPr>
        <w:t>80</w:t>
      </w:r>
      <w:r>
        <w:rPr>
          <w:rFonts w:hint="eastAsia" w:ascii="宋体" w:hAnsi="宋体" w:eastAsia="宋体" w:cs="宋体"/>
          <w:i w:val="0"/>
          <w:iCs w:val="0"/>
          <w:caps w:val="0"/>
          <w:color w:val="000000"/>
          <w:spacing w:val="0"/>
          <w:sz w:val="32"/>
          <w:szCs w:val="32"/>
          <w:shd w:val="clear" w:fill="FFFFFF"/>
        </w:rPr>
        <w:t>周岁</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含</w:t>
      </w:r>
      <w:r>
        <w:rPr>
          <w:rFonts w:hint="eastAsia" w:ascii="宋体" w:hAnsi="宋体" w:eastAsia="宋体" w:cs="宋体"/>
          <w:i w:val="0"/>
          <w:iCs w:val="0"/>
          <w:caps w:val="0"/>
          <w:color w:val="000000"/>
          <w:spacing w:val="0"/>
          <w:sz w:val="32"/>
          <w:szCs w:val="32"/>
          <w:shd w:val="clear" w:fill="FFFFFF"/>
          <w:lang w:val="en-US"/>
        </w:rPr>
        <w:t>80</w:t>
      </w:r>
      <w:r>
        <w:rPr>
          <w:rFonts w:hint="eastAsia" w:ascii="宋体" w:hAnsi="宋体" w:eastAsia="宋体" w:cs="宋体"/>
          <w:i w:val="0"/>
          <w:iCs w:val="0"/>
          <w:caps w:val="0"/>
          <w:color w:val="000000"/>
          <w:spacing w:val="0"/>
          <w:sz w:val="32"/>
          <w:szCs w:val="32"/>
          <w:shd w:val="clear" w:fill="FFFFFF"/>
        </w:rPr>
        <w:t>周岁</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以上的老年人发放高龄津贴的资金。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第三条</w:t>
      </w:r>
      <w:r>
        <w:rPr>
          <w:rFonts w:hint="eastAsia" w:ascii="宋体" w:hAnsi="宋体" w:eastAsia="宋体" w:cs="宋体"/>
          <w:i w:val="0"/>
          <w:iCs w:val="0"/>
          <w:caps w:val="0"/>
          <w:color w:val="000000"/>
          <w:spacing w:val="0"/>
          <w:sz w:val="32"/>
          <w:szCs w:val="32"/>
          <w:shd w:val="clear" w:fill="FFFFFF"/>
        </w:rPr>
        <w:t>高龄津贴的使用和管理要坚持公开、公平、公正、为老、爱老、敬老的原则。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第四条</w:t>
      </w:r>
      <w:r>
        <w:rPr>
          <w:rFonts w:hint="eastAsia" w:ascii="宋体" w:hAnsi="宋体" w:eastAsia="宋体" w:cs="宋体"/>
          <w:i w:val="0"/>
          <w:iCs w:val="0"/>
          <w:caps w:val="0"/>
          <w:color w:val="000000"/>
          <w:spacing w:val="0"/>
          <w:sz w:val="32"/>
          <w:szCs w:val="32"/>
          <w:shd w:val="clear" w:fill="FFFFFF"/>
        </w:rPr>
        <w:t>高龄津贴资金按照相关规定，由各级财政共同承担。各级财政部门与同级民政部门按照职责分工，对此项资金进行监督管理。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第五条</w:t>
      </w:r>
      <w:r>
        <w:rPr>
          <w:rFonts w:hint="eastAsia" w:ascii="宋体" w:hAnsi="宋体" w:eastAsia="宋体" w:cs="宋体"/>
          <w:i w:val="0"/>
          <w:iCs w:val="0"/>
          <w:caps w:val="0"/>
          <w:color w:val="000000"/>
          <w:spacing w:val="0"/>
          <w:sz w:val="32"/>
          <w:szCs w:val="32"/>
          <w:shd w:val="clear" w:fill="FFFFFF"/>
        </w:rPr>
        <w:t>凡具有内蒙古自治区户籍、年龄在</w:t>
      </w:r>
      <w:r>
        <w:rPr>
          <w:rFonts w:hint="eastAsia" w:ascii="宋体" w:hAnsi="宋体" w:eastAsia="宋体" w:cs="宋体"/>
          <w:i w:val="0"/>
          <w:iCs w:val="0"/>
          <w:caps w:val="0"/>
          <w:color w:val="000000"/>
          <w:spacing w:val="0"/>
          <w:sz w:val="32"/>
          <w:szCs w:val="32"/>
          <w:shd w:val="clear" w:fill="FFFFFF"/>
          <w:lang w:val="en-US"/>
        </w:rPr>
        <w:t>80</w:t>
      </w:r>
      <w:r>
        <w:rPr>
          <w:rFonts w:hint="eastAsia" w:ascii="宋体" w:hAnsi="宋体" w:eastAsia="宋体" w:cs="宋体"/>
          <w:i w:val="0"/>
          <w:iCs w:val="0"/>
          <w:caps w:val="0"/>
          <w:color w:val="000000"/>
          <w:spacing w:val="0"/>
          <w:sz w:val="32"/>
          <w:szCs w:val="32"/>
          <w:shd w:val="clear" w:fill="FFFFFF"/>
        </w:rPr>
        <w:t>周岁</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含</w:t>
      </w:r>
      <w:r>
        <w:rPr>
          <w:rFonts w:hint="eastAsia" w:ascii="宋体" w:hAnsi="宋体" w:eastAsia="宋体" w:cs="宋体"/>
          <w:i w:val="0"/>
          <w:iCs w:val="0"/>
          <w:caps w:val="0"/>
          <w:color w:val="000000"/>
          <w:spacing w:val="0"/>
          <w:sz w:val="32"/>
          <w:szCs w:val="32"/>
          <w:shd w:val="clear" w:fill="FFFFFF"/>
          <w:lang w:val="en-US"/>
        </w:rPr>
        <w:t>80</w:t>
      </w:r>
      <w:r>
        <w:rPr>
          <w:rFonts w:hint="eastAsia" w:ascii="宋体" w:hAnsi="宋体" w:eastAsia="宋体" w:cs="宋体"/>
          <w:i w:val="0"/>
          <w:iCs w:val="0"/>
          <w:caps w:val="0"/>
          <w:color w:val="000000"/>
          <w:spacing w:val="0"/>
          <w:sz w:val="32"/>
          <w:szCs w:val="32"/>
          <w:shd w:val="clear" w:fill="FFFFFF"/>
        </w:rPr>
        <w:t>周岁</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至</w:t>
      </w:r>
      <w:r>
        <w:rPr>
          <w:rFonts w:hint="eastAsia" w:ascii="宋体" w:hAnsi="宋体" w:eastAsia="宋体" w:cs="宋体"/>
          <w:i w:val="0"/>
          <w:iCs w:val="0"/>
          <w:caps w:val="0"/>
          <w:color w:val="000000"/>
          <w:spacing w:val="0"/>
          <w:sz w:val="32"/>
          <w:szCs w:val="32"/>
          <w:shd w:val="clear" w:fill="FFFFFF"/>
          <w:lang w:val="en-US"/>
        </w:rPr>
        <w:t>99</w:t>
      </w:r>
      <w:r>
        <w:rPr>
          <w:rFonts w:hint="eastAsia" w:ascii="宋体" w:hAnsi="宋体" w:eastAsia="宋体" w:cs="宋体"/>
          <w:i w:val="0"/>
          <w:iCs w:val="0"/>
          <w:caps w:val="0"/>
          <w:color w:val="000000"/>
          <w:spacing w:val="0"/>
          <w:sz w:val="32"/>
          <w:szCs w:val="32"/>
          <w:shd w:val="clear" w:fill="FFFFFF"/>
        </w:rPr>
        <w:t>周岁的老年人，均可按规定每人每月领取</w:t>
      </w:r>
      <w:r>
        <w:rPr>
          <w:rFonts w:hint="eastAsia" w:ascii="宋体" w:hAnsi="宋体" w:eastAsia="宋体" w:cs="宋体"/>
          <w:i w:val="0"/>
          <w:iCs w:val="0"/>
          <w:caps w:val="0"/>
          <w:color w:val="000000"/>
          <w:spacing w:val="0"/>
          <w:sz w:val="32"/>
          <w:szCs w:val="32"/>
          <w:shd w:val="clear" w:fill="FFFFFF"/>
          <w:lang w:val="en-US"/>
        </w:rPr>
        <w:t>100</w:t>
      </w:r>
      <w:r>
        <w:rPr>
          <w:rFonts w:hint="eastAsia" w:ascii="宋体" w:hAnsi="宋体" w:eastAsia="宋体" w:cs="宋体"/>
          <w:i w:val="0"/>
          <w:iCs w:val="0"/>
          <w:caps w:val="0"/>
          <w:color w:val="000000"/>
          <w:spacing w:val="0"/>
          <w:sz w:val="32"/>
          <w:szCs w:val="32"/>
          <w:shd w:val="clear" w:fill="FFFFFF"/>
        </w:rPr>
        <w:t>元高龄津贴。自治区财政根据各地人均财力水平，按照</w:t>
      </w:r>
      <w:r>
        <w:rPr>
          <w:rFonts w:hint="eastAsia" w:ascii="宋体" w:hAnsi="宋体" w:eastAsia="宋体" w:cs="宋体"/>
          <w:i w:val="0"/>
          <w:iCs w:val="0"/>
          <w:caps w:val="0"/>
          <w:color w:val="000000"/>
          <w:spacing w:val="0"/>
          <w:sz w:val="32"/>
          <w:szCs w:val="32"/>
          <w:shd w:val="clear" w:fill="FFFFFF"/>
          <w:lang w:val="en-US"/>
        </w:rPr>
        <w:t>30%</w:t>
      </w:r>
      <w:r>
        <w:rPr>
          <w:rFonts w:hint="eastAsia" w:ascii="宋体" w:hAnsi="宋体" w:eastAsia="宋体" w:cs="宋体"/>
          <w:i w:val="0"/>
          <w:iCs w:val="0"/>
          <w:caps w:val="0"/>
          <w:color w:val="000000"/>
          <w:spacing w:val="0"/>
          <w:sz w:val="32"/>
          <w:szCs w:val="32"/>
          <w:shd w:val="clear" w:fill="FFFFFF"/>
        </w:rPr>
        <w:t>、</w:t>
      </w:r>
      <w:r>
        <w:rPr>
          <w:rFonts w:hint="eastAsia" w:ascii="宋体" w:hAnsi="宋体" w:eastAsia="宋体" w:cs="宋体"/>
          <w:i w:val="0"/>
          <w:iCs w:val="0"/>
          <w:caps w:val="0"/>
          <w:color w:val="000000"/>
          <w:spacing w:val="0"/>
          <w:sz w:val="32"/>
          <w:szCs w:val="32"/>
          <w:shd w:val="clear" w:fill="FFFFFF"/>
          <w:lang w:val="en-US"/>
        </w:rPr>
        <w:t> 50%</w:t>
      </w:r>
      <w:r>
        <w:rPr>
          <w:rFonts w:hint="eastAsia" w:ascii="宋体" w:hAnsi="宋体" w:eastAsia="宋体" w:cs="宋体"/>
          <w:i w:val="0"/>
          <w:iCs w:val="0"/>
          <w:caps w:val="0"/>
          <w:color w:val="000000"/>
          <w:spacing w:val="0"/>
          <w:sz w:val="32"/>
          <w:szCs w:val="32"/>
          <w:shd w:val="clear" w:fill="FFFFFF"/>
        </w:rPr>
        <w:t>和</w:t>
      </w:r>
      <w:r>
        <w:rPr>
          <w:rFonts w:hint="eastAsia" w:ascii="宋体" w:hAnsi="宋体" w:eastAsia="宋体" w:cs="宋体"/>
          <w:i w:val="0"/>
          <w:iCs w:val="0"/>
          <w:caps w:val="0"/>
          <w:color w:val="000000"/>
          <w:spacing w:val="0"/>
          <w:sz w:val="32"/>
          <w:szCs w:val="32"/>
          <w:shd w:val="clear" w:fill="FFFFFF"/>
          <w:lang w:val="en-US"/>
        </w:rPr>
        <w:t>70%</w:t>
      </w:r>
      <w:r>
        <w:rPr>
          <w:rFonts w:hint="eastAsia" w:ascii="宋体" w:hAnsi="宋体" w:eastAsia="宋体" w:cs="宋体"/>
          <w:i w:val="0"/>
          <w:iCs w:val="0"/>
          <w:caps w:val="0"/>
          <w:color w:val="000000"/>
          <w:spacing w:val="0"/>
          <w:sz w:val="32"/>
          <w:szCs w:val="32"/>
          <w:shd w:val="clear" w:fill="FFFFFF"/>
        </w:rPr>
        <w:t>的比例对一、二、三类地区予以补助。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全区</w:t>
      </w:r>
      <w:r>
        <w:rPr>
          <w:rFonts w:hint="eastAsia" w:ascii="宋体" w:hAnsi="宋体" w:eastAsia="宋体" w:cs="宋体"/>
          <w:i w:val="0"/>
          <w:iCs w:val="0"/>
          <w:caps w:val="0"/>
          <w:color w:val="000000"/>
          <w:spacing w:val="0"/>
          <w:sz w:val="32"/>
          <w:szCs w:val="32"/>
          <w:shd w:val="clear" w:fill="FFFFFF"/>
          <w:lang w:val="en-US"/>
        </w:rPr>
        <w:t>100</w:t>
      </w:r>
      <w:r>
        <w:rPr>
          <w:rFonts w:hint="eastAsia" w:ascii="宋体" w:hAnsi="宋体" w:eastAsia="宋体" w:cs="宋体"/>
          <w:i w:val="0"/>
          <w:iCs w:val="0"/>
          <w:caps w:val="0"/>
          <w:color w:val="000000"/>
          <w:spacing w:val="0"/>
          <w:sz w:val="32"/>
          <w:szCs w:val="32"/>
          <w:shd w:val="clear" w:fill="FFFFFF"/>
        </w:rPr>
        <w:t>周岁</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含</w:t>
      </w:r>
      <w:r>
        <w:rPr>
          <w:rFonts w:hint="eastAsia" w:ascii="宋体" w:hAnsi="宋体" w:eastAsia="宋体" w:cs="宋体"/>
          <w:i w:val="0"/>
          <w:iCs w:val="0"/>
          <w:caps w:val="0"/>
          <w:color w:val="000000"/>
          <w:spacing w:val="0"/>
          <w:sz w:val="32"/>
          <w:szCs w:val="32"/>
          <w:shd w:val="clear" w:fill="FFFFFF"/>
          <w:lang w:val="en-US"/>
        </w:rPr>
        <w:t>100</w:t>
      </w:r>
      <w:r>
        <w:rPr>
          <w:rFonts w:hint="eastAsia" w:ascii="宋体" w:hAnsi="宋体" w:eastAsia="宋体" w:cs="宋体"/>
          <w:i w:val="0"/>
          <w:iCs w:val="0"/>
          <w:caps w:val="0"/>
          <w:color w:val="000000"/>
          <w:spacing w:val="0"/>
          <w:sz w:val="32"/>
          <w:szCs w:val="32"/>
          <w:shd w:val="clear" w:fill="FFFFFF"/>
        </w:rPr>
        <w:t>周岁</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以上老年人高龄津贴的发放标准为每人每月</w:t>
      </w:r>
      <w:r>
        <w:rPr>
          <w:rFonts w:hint="eastAsia" w:ascii="宋体" w:hAnsi="宋体" w:eastAsia="宋体" w:cs="宋体"/>
          <w:i w:val="0"/>
          <w:iCs w:val="0"/>
          <w:caps w:val="0"/>
          <w:color w:val="000000"/>
          <w:spacing w:val="0"/>
          <w:sz w:val="32"/>
          <w:szCs w:val="32"/>
          <w:shd w:val="clear" w:fill="FFFFFF"/>
          <w:lang w:val="en-US"/>
        </w:rPr>
        <w:t>600</w:t>
      </w:r>
      <w:r>
        <w:rPr>
          <w:rFonts w:hint="eastAsia" w:ascii="宋体" w:hAnsi="宋体" w:eastAsia="宋体" w:cs="宋体"/>
          <w:i w:val="0"/>
          <w:iCs w:val="0"/>
          <w:caps w:val="0"/>
          <w:color w:val="000000"/>
          <w:spacing w:val="0"/>
          <w:sz w:val="32"/>
          <w:szCs w:val="32"/>
          <w:shd w:val="clear" w:fill="FFFFFF"/>
        </w:rPr>
        <w:t>元，所需资金由自治区本级财政全额承担。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本办法有效期之内，若自治区调整高龄津贴发放标准，本办法所列相关内容按规定自动调整，无特殊情况不再另行发文。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第六条</w:t>
      </w:r>
      <w:r>
        <w:rPr>
          <w:rFonts w:hint="eastAsia" w:ascii="宋体" w:hAnsi="宋体" w:eastAsia="宋体" w:cs="宋体"/>
          <w:i w:val="0"/>
          <w:iCs w:val="0"/>
          <w:caps w:val="0"/>
          <w:color w:val="000000"/>
          <w:spacing w:val="0"/>
          <w:sz w:val="32"/>
          <w:szCs w:val="32"/>
          <w:shd w:val="clear" w:fill="FFFFFF"/>
        </w:rPr>
        <w:t>自治区民政厅按照相关规定，依法及时提出自治区本级预算安排资金的分配方案，商财政厅确认后下达资金。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第七条</w:t>
      </w:r>
      <w:r>
        <w:rPr>
          <w:rFonts w:hint="eastAsia" w:ascii="宋体" w:hAnsi="宋体" w:eastAsia="宋体" w:cs="宋体"/>
          <w:i w:val="0"/>
          <w:iCs w:val="0"/>
          <w:caps w:val="0"/>
          <w:color w:val="000000"/>
          <w:spacing w:val="0"/>
          <w:sz w:val="32"/>
          <w:szCs w:val="32"/>
          <w:shd w:val="clear" w:fill="FFFFFF"/>
        </w:rPr>
        <w:t>符合条件的老年人应自愿申请领取高龄津贴。老年人提交申请表后，由户籍所在地嘎查村委会</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社区居委会</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、苏木乡镇人民政府</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街道办事处</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和各旗县</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市、区</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民政部门自下而上进行逐级审核。旗县级民政部门审核通过后，应当自老年人提交申请表当月开始，为其计算发放高龄津贴。首次为新审核通过的老年人发放高龄津贴时，应将此前审核过程中未发放的部分一次性补发到位。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基层民政部门应当建立健全主动发现机制，积极协助高龄老人申领相应补贴</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力争确保高龄津贴制度惠及所有符合条件的老年人。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各盟市应建立健全高龄津贴跨档自动受理机制。已享受高龄津贴的老年人，跨年龄段需调整高龄津贴标准的，由原受理机构通过信息化手段核实后，自动审核调整，无需本人再行申报。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第八条</w:t>
      </w:r>
      <w:r>
        <w:rPr>
          <w:rFonts w:hint="eastAsia" w:ascii="宋体" w:hAnsi="宋体" w:eastAsia="宋体" w:cs="宋体"/>
          <w:i w:val="0"/>
          <w:iCs w:val="0"/>
          <w:caps w:val="0"/>
          <w:color w:val="000000"/>
          <w:spacing w:val="0"/>
          <w:sz w:val="32"/>
          <w:szCs w:val="32"/>
          <w:shd w:val="clear" w:fill="FFFFFF"/>
        </w:rPr>
        <w:t>旗县</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市、区</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民政部门应于每年</w:t>
      </w:r>
      <w:r>
        <w:rPr>
          <w:rFonts w:hint="eastAsia" w:ascii="宋体" w:hAnsi="宋体" w:eastAsia="宋体" w:cs="宋体"/>
          <w:i w:val="0"/>
          <w:iCs w:val="0"/>
          <w:caps w:val="0"/>
          <w:color w:val="000000"/>
          <w:spacing w:val="0"/>
          <w:sz w:val="32"/>
          <w:szCs w:val="32"/>
          <w:shd w:val="clear" w:fill="FFFFFF"/>
          <w:lang w:val="en-US"/>
        </w:rPr>
        <w:t>10</w:t>
      </w:r>
      <w:r>
        <w:rPr>
          <w:rFonts w:hint="eastAsia" w:ascii="宋体" w:hAnsi="宋体" w:eastAsia="宋体" w:cs="宋体"/>
          <w:i w:val="0"/>
          <w:iCs w:val="0"/>
          <w:caps w:val="0"/>
          <w:color w:val="000000"/>
          <w:spacing w:val="0"/>
          <w:sz w:val="32"/>
          <w:szCs w:val="32"/>
          <w:shd w:val="clear" w:fill="FFFFFF"/>
        </w:rPr>
        <w:t>月底前，详细统计</w:t>
      </w:r>
      <w:r>
        <w:rPr>
          <w:rFonts w:hint="eastAsia" w:ascii="宋体" w:hAnsi="宋体" w:eastAsia="宋体" w:cs="宋体"/>
          <w:i w:val="0"/>
          <w:iCs w:val="0"/>
          <w:caps w:val="0"/>
          <w:color w:val="000000"/>
          <w:spacing w:val="0"/>
          <w:sz w:val="32"/>
          <w:szCs w:val="32"/>
          <w:shd w:val="clear" w:fill="FFFFFF"/>
          <w:lang w:val="en-US"/>
        </w:rPr>
        <w:t>9</w:t>
      </w:r>
      <w:r>
        <w:rPr>
          <w:rFonts w:hint="eastAsia" w:ascii="宋体" w:hAnsi="宋体" w:eastAsia="宋体" w:cs="宋体"/>
          <w:i w:val="0"/>
          <w:iCs w:val="0"/>
          <w:caps w:val="0"/>
          <w:color w:val="000000"/>
          <w:spacing w:val="0"/>
          <w:sz w:val="32"/>
          <w:szCs w:val="32"/>
          <w:shd w:val="clear" w:fill="FFFFFF"/>
        </w:rPr>
        <w:t>月</w:t>
      </w:r>
      <w:r>
        <w:rPr>
          <w:rFonts w:hint="eastAsia" w:ascii="宋体" w:hAnsi="宋体" w:eastAsia="宋体" w:cs="宋体"/>
          <w:i w:val="0"/>
          <w:iCs w:val="0"/>
          <w:caps w:val="0"/>
          <w:color w:val="000000"/>
          <w:spacing w:val="0"/>
          <w:sz w:val="32"/>
          <w:szCs w:val="32"/>
          <w:shd w:val="clear" w:fill="FFFFFF"/>
          <w:lang w:val="en-US"/>
        </w:rPr>
        <w:t>30</w:t>
      </w:r>
      <w:r>
        <w:rPr>
          <w:rFonts w:hint="eastAsia" w:ascii="宋体" w:hAnsi="宋体" w:eastAsia="宋体" w:cs="宋体"/>
          <w:i w:val="0"/>
          <w:iCs w:val="0"/>
          <w:caps w:val="0"/>
          <w:color w:val="000000"/>
          <w:spacing w:val="0"/>
          <w:sz w:val="32"/>
          <w:szCs w:val="32"/>
          <w:shd w:val="clear" w:fill="FFFFFF"/>
        </w:rPr>
        <w:t>日本地区符合自治区规定条件、享受高龄津贴的实有人数，并逐级正式上报自治区民政厅。自治区民政厅审核各地上报的实有保障人数信息后，商自治区财政厅安排下年度预算。自治区财政预算额度确定后，根据上年度</w:t>
      </w:r>
      <w:r>
        <w:rPr>
          <w:rFonts w:hint="eastAsia" w:ascii="宋体" w:hAnsi="宋体" w:eastAsia="宋体" w:cs="宋体"/>
          <w:i w:val="0"/>
          <w:iCs w:val="0"/>
          <w:caps w:val="0"/>
          <w:color w:val="000000"/>
          <w:spacing w:val="0"/>
          <w:sz w:val="32"/>
          <w:szCs w:val="32"/>
          <w:shd w:val="clear" w:fill="FFFFFF"/>
          <w:lang w:val="en-US"/>
        </w:rPr>
        <w:t>9</w:t>
      </w:r>
      <w:r>
        <w:rPr>
          <w:rFonts w:hint="eastAsia" w:ascii="宋体" w:hAnsi="宋体" w:eastAsia="宋体" w:cs="宋体"/>
          <w:i w:val="0"/>
          <w:iCs w:val="0"/>
          <w:caps w:val="0"/>
          <w:color w:val="000000"/>
          <w:spacing w:val="0"/>
          <w:sz w:val="32"/>
          <w:szCs w:val="32"/>
          <w:shd w:val="clear" w:fill="FFFFFF"/>
        </w:rPr>
        <w:t>月</w:t>
      </w:r>
      <w:r>
        <w:rPr>
          <w:rFonts w:hint="eastAsia" w:ascii="宋体" w:hAnsi="宋体" w:eastAsia="宋体" w:cs="宋体"/>
          <w:i w:val="0"/>
          <w:iCs w:val="0"/>
          <w:caps w:val="0"/>
          <w:color w:val="000000"/>
          <w:spacing w:val="0"/>
          <w:sz w:val="32"/>
          <w:szCs w:val="32"/>
          <w:shd w:val="clear" w:fill="FFFFFF"/>
          <w:lang w:val="en-US"/>
        </w:rPr>
        <w:t>30</w:t>
      </w:r>
      <w:r>
        <w:rPr>
          <w:rFonts w:hint="eastAsia" w:ascii="宋体" w:hAnsi="宋体" w:eastAsia="宋体" w:cs="宋体"/>
          <w:i w:val="0"/>
          <w:iCs w:val="0"/>
          <w:caps w:val="0"/>
          <w:color w:val="000000"/>
          <w:spacing w:val="0"/>
          <w:sz w:val="32"/>
          <w:szCs w:val="32"/>
          <w:shd w:val="clear" w:fill="FFFFFF"/>
        </w:rPr>
        <w:t>日各盟市实有人数和既定分担比例测算分配相关资金，并依次按年度滚动计算保障人数等信息。自治区财政原则</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上不因当年各盟市保障人数实时变化而调整本年度预算。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第九条</w:t>
      </w:r>
      <w:r>
        <w:rPr>
          <w:rFonts w:hint="eastAsia" w:ascii="宋体" w:hAnsi="宋体" w:eastAsia="宋体" w:cs="宋体"/>
          <w:i w:val="0"/>
          <w:iCs w:val="0"/>
          <w:caps w:val="0"/>
          <w:color w:val="000000"/>
          <w:spacing w:val="0"/>
          <w:sz w:val="32"/>
          <w:szCs w:val="32"/>
          <w:shd w:val="clear" w:fill="FFFFFF"/>
        </w:rPr>
        <w:t>各地应确保</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上报的保障人数等信息真实准确，并自行承担相应责任。严禁通过虚报、多报人数等方式违规套取</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上级补助资金。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自治区将适时通过户籍信息比对、大数据分析、专项审计等方式，对各盟市上报的信息进行核对。一经发现虚报、多报保障人数的，自治区将按其多报人数拟套取资金额度</w:t>
      </w:r>
      <w:r>
        <w:rPr>
          <w:rFonts w:hint="eastAsia" w:ascii="宋体" w:hAnsi="宋体" w:eastAsia="宋体" w:cs="宋体"/>
          <w:i w:val="0"/>
          <w:iCs w:val="0"/>
          <w:caps w:val="0"/>
          <w:color w:val="000000"/>
          <w:spacing w:val="0"/>
          <w:sz w:val="32"/>
          <w:szCs w:val="32"/>
          <w:shd w:val="clear" w:fill="FFFFFF"/>
          <w:lang w:val="en-US"/>
        </w:rPr>
        <w:t>50%</w:t>
      </w:r>
      <w:r>
        <w:rPr>
          <w:rFonts w:hint="eastAsia" w:ascii="宋体" w:hAnsi="宋体" w:eastAsia="宋体" w:cs="宋体"/>
          <w:i w:val="0"/>
          <w:iCs w:val="0"/>
          <w:caps w:val="0"/>
          <w:color w:val="000000"/>
          <w:spacing w:val="0"/>
          <w:sz w:val="32"/>
          <w:szCs w:val="32"/>
          <w:shd w:val="clear" w:fill="FFFFFF"/>
        </w:rPr>
        <w:t>的比例，在其应得补助资金总额度内进行扣减。扣减后出现的资金缺口，由报送相关信息的地区自行解决。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第十条</w:t>
      </w:r>
      <w:r>
        <w:rPr>
          <w:rFonts w:hint="eastAsia" w:ascii="宋体" w:hAnsi="宋体" w:eastAsia="宋体" w:cs="宋体"/>
          <w:i w:val="0"/>
          <w:iCs w:val="0"/>
          <w:caps w:val="0"/>
          <w:color w:val="000000"/>
          <w:spacing w:val="0"/>
          <w:sz w:val="32"/>
          <w:szCs w:val="32"/>
          <w:shd w:val="clear" w:fill="FFFFFF"/>
        </w:rPr>
        <w:t>各盟市财政部门收到上级补助资金后，应将其与盟市本级财政安排的资金统筹使用，商同级民政部门尽快制定资金分配方案</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确保在规定时限内正式分解下达至所辖旗县</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市、区</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第十一条</w:t>
      </w:r>
      <w:r>
        <w:rPr>
          <w:rFonts w:hint="eastAsia" w:ascii="宋体" w:hAnsi="宋体" w:eastAsia="宋体" w:cs="宋体"/>
          <w:i w:val="0"/>
          <w:iCs w:val="0"/>
          <w:caps w:val="0"/>
          <w:color w:val="000000"/>
          <w:spacing w:val="0"/>
          <w:sz w:val="32"/>
          <w:szCs w:val="32"/>
          <w:shd w:val="clear" w:fill="FFFFFF"/>
        </w:rPr>
        <w:t>自治区财政按照预算管理规定，于每年年底前，按当年补助资金实际下达数的一定比例，将下一年度补助资金预计数提前下达各盟市。各盟市也应当建立相应的预算指标提前下达制度。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第十二条</w:t>
      </w:r>
      <w:r>
        <w:rPr>
          <w:rFonts w:hint="eastAsia" w:ascii="宋体" w:hAnsi="宋体" w:eastAsia="宋体" w:cs="宋体"/>
          <w:i w:val="0"/>
          <w:iCs w:val="0"/>
          <w:caps w:val="0"/>
          <w:color w:val="000000"/>
          <w:spacing w:val="0"/>
          <w:sz w:val="32"/>
          <w:szCs w:val="32"/>
          <w:shd w:val="clear" w:fill="FFFFFF"/>
        </w:rPr>
        <w:t>自治区财政厅会同民政厅对补助资金实施全程预算绩效管理。民政厅应当结合实际，及时提出当年全区整体绩效目标和分区域绩效目标，商财政厅核对、确认。相关绩效目标确定后，应随同补助资金一并下达各盟市。各盟市也应参照自治区的做法，将本盟市绩效目标及时对下分解。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年度执行中，民政厅会同财政厅指导各盟市对照绩效目标开展运行监控工作，及时发现并纠正预算执行中存在的问题，确保优质高效地完成既定目标任务。同时，自治区将适时组织开展补助资金的绩效评价，主要内容包括业务管理情况、资金管理情况及使用效益等。评价结果将作为调整政策、督促指导盟市改进工作的重要依据。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第十三条</w:t>
      </w:r>
      <w:r>
        <w:rPr>
          <w:rFonts w:hint="eastAsia" w:ascii="宋体" w:hAnsi="宋体" w:eastAsia="宋体" w:cs="宋体"/>
          <w:i w:val="0"/>
          <w:iCs w:val="0"/>
          <w:caps w:val="0"/>
          <w:color w:val="000000"/>
          <w:spacing w:val="0"/>
          <w:sz w:val="32"/>
          <w:szCs w:val="32"/>
          <w:shd w:val="clear" w:fill="FFFFFF"/>
        </w:rPr>
        <w:t>各级财政部门要会同民政部门优化资金支出结构，科学合理编制预算，加强补助资金统筹使用，积极盘活财政存量资金，加大结余结转资金消化力度，提升资金的使用效益。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第十四条</w:t>
      </w:r>
      <w:r>
        <w:rPr>
          <w:rFonts w:hint="eastAsia" w:ascii="宋体" w:hAnsi="宋体" w:eastAsia="宋体" w:cs="宋体"/>
          <w:i w:val="0"/>
          <w:iCs w:val="0"/>
          <w:caps w:val="0"/>
          <w:color w:val="000000"/>
          <w:spacing w:val="0"/>
          <w:sz w:val="32"/>
          <w:szCs w:val="32"/>
          <w:shd w:val="clear" w:fill="FFFFFF"/>
        </w:rPr>
        <w:t>补助资金应通过社会化方式支付到高龄老人本人或其监护人的个人账户。旗县</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市、区</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民政部门应当协助高龄老人在代理金融机构办理接受补助资金的账户</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也可依托社会保障卡、财政补贴资金“一卡通”等渠道发放补助资金，相关代理金融机构应当为保障对象提供优质高效的金融服务。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补助资金应当按月发放，发放时间为每月</w:t>
      </w:r>
      <w:r>
        <w:rPr>
          <w:rFonts w:hint="eastAsia" w:ascii="宋体" w:hAnsi="宋体" w:eastAsia="宋体" w:cs="宋体"/>
          <w:i w:val="0"/>
          <w:iCs w:val="0"/>
          <w:caps w:val="0"/>
          <w:color w:val="000000"/>
          <w:spacing w:val="0"/>
          <w:sz w:val="32"/>
          <w:szCs w:val="32"/>
          <w:shd w:val="clear" w:fill="FFFFFF"/>
          <w:lang w:val="en-US"/>
        </w:rPr>
        <w:t>10</w:t>
      </w:r>
      <w:r>
        <w:rPr>
          <w:rFonts w:hint="eastAsia" w:ascii="宋体" w:hAnsi="宋体" w:eastAsia="宋体" w:cs="宋体"/>
          <w:i w:val="0"/>
          <w:iCs w:val="0"/>
          <w:caps w:val="0"/>
          <w:color w:val="000000"/>
          <w:spacing w:val="0"/>
          <w:sz w:val="32"/>
          <w:szCs w:val="32"/>
          <w:shd w:val="clear" w:fill="FFFFFF"/>
        </w:rPr>
        <w:t>日前。个别金融不发达的地区，在无法实现按月发放或按月发放人力、物力成本过高的特殊情况下，可以按季度发放高龄津贴，发放时间为每季度第一个月的</w:t>
      </w:r>
      <w:r>
        <w:rPr>
          <w:rFonts w:hint="eastAsia" w:ascii="宋体" w:hAnsi="宋体" w:eastAsia="宋体" w:cs="宋体"/>
          <w:i w:val="0"/>
          <w:iCs w:val="0"/>
          <w:caps w:val="0"/>
          <w:color w:val="000000"/>
          <w:spacing w:val="0"/>
          <w:sz w:val="32"/>
          <w:szCs w:val="32"/>
          <w:shd w:val="clear" w:fill="FFFFFF"/>
          <w:lang w:val="en-US"/>
        </w:rPr>
        <w:t>10</w:t>
      </w:r>
      <w:r>
        <w:rPr>
          <w:rFonts w:hint="eastAsia" w:ascii="宋体" w:hAnsi="宋体" w:eastAsia="宋体" w:cs="宋体"/>
          <w:i w:val="0"/>
          <w:iCs w:val="0"/>
          <w:caps w:val="0"/>
          <w:color w:val="000000"/>
          <w:spacing w:val="0"/>
          <w:sz w:val="32"/>
          <w:szCs w:val="32"/>
          <w:shd w:val="clear" w:fill="FFFFFF"/>
        </w:rPr>
        <w:t>日前。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第十五条</w:t>
      </w:r>
      <w:r>
        <w:rPr>
          <w:rFonts w:hint="eastAsia" w:ascii="宋体" w:hAnsi="宋体" w:eastAsia="宋体" w:cs="宋体"/>
          <w:i w:val="0"/>
          <w:iCs w:val="0"/>
          <w:caps w:val="0"/>
          <w:color w:val="000000"/>
          <w:spacing w:val="0"/>
          <w:sz w:val="32"/>
          <w:szCs w:val="32"/>
          <w:shd w:val="clear" w:fill="FFFFFF"/>
        </w:rPr>
        <w:t>享受高龄津贴待遇的人员户籍变动的，其本人或亲属必须及时申请办理相关转移手续</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资金由户籍所在地负责发放</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未办理转移手续造成资金重复领取的，要主动退回，拒不退回的，纳入个人失信记录</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享受高龄津贴待遇人员去世的，亲属要主动申告报停</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出现亲属冒领的</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纳入领取人的个人失信记录，并应采取必要手段追回相关资金。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第十六条</w:t>
      </w:r>
      <w:r>
        <w:rPr>
          <w:rFonts w:hint="eastAsia" w:ascii="宋体" w:hAnsi="宋体" w:eastAsia="宋体" w:cs="宋体"/>
          <w:i w:val="0"/>
          <w:iCs w:val="0"/>
          <w:caps w:val="0"/>
          <w:color w:val="000000"/>
          <w:spacing w:val="0"/>
          <w:sz w:val="32"/>
          <w:szCs w:val="32"/>
          <w:shd w:val="clear" w:fill="FFFFFF"/>
        </w:rPr>
        <w:t>补助资金应当按照下达预算的科目和项目执行，不得截留、挤占、挪用或擅自调整。各级财政、民政等部门应严格按规定使用相关资金</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不得向高龄老人或其家庭收取任何管理费用。补助资金不得用于工作经费，不得用于机构运转、大型设备购置和基础设施维修改造等支出。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第十七条</w:t>
      </w:r>
      <w:r>
        <w:rPr>
          <w:rFonts w:hint="eastAsia" w:ascii="宋体" w:hAnsi="宋体" w:eastAsia="宋体" w:cs="宋体"/>
          <w:i w:val="0"/>
          <w:iCs w:val="0"/>
          <w:caps w:val="0"/>
          <w:color w:val="000000"/>
          <w:spacing w:val="0"/>
          <w:sz w:val="32"/>
          <w:szCs w:val="32"/>
          <w:shd w:val="clear" w:fill="FFFFFF"/>
        </w:rPr>
        <w:t>各级财政、民政部门应当自觉接受审计、监察等部门和社会的监督。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自治区财政厅、民政厅将适时对各盟市高龄津贴发放情况进行专项检查。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i w:val="0"/>
          <w:iCs w:val="0"/>
          <w:caps w:val="0"/>
          <w:color w:val="000000"/>
          <w:spacing w:val="0"/>
          <w:sz w:val="32"/>
          <w:szCs w:val="32"/>
          <w:shd w:val="clear" w:fill="FFFFFF"/>
        </w:rPr>
        <w:t>盟市级财政、民政部门要建立健全资金监管机制，定期或不定期地对补助资金的使用管理情况进行检查</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及时发现和纠正有关问题。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第十八条</w:t>
      </w:r>
      <w:r>
        <w:rPr>
          <w:rFonts w:hint="eastAsia" w:ascii="宋体" w:hAnsi="宋体" w:eastAsia="宋体" w:cs="宋体"/>
          <w:i w:val="0"/>
          <w:iCs w:val="0"/>
          <w:caps w:val="0"/>
          <w:color w:val="000000"/>
          <w:spacing w:val="0"/>
          <w:sz w:val="32"/>
          <w:szCs w:val="32"/>
          <w:shd w:val="clear" w:fill="FFFFFF"/>
        </w:rPr>
        <w:t>各级财政、民政部门及其工作人员在补助资金的分配审核、使用管理等工作中，存在违反本办法规定的行为，以及其他滥用职权、玩忽职守、徇私舞弊等违法违纪行为的，按照《财政违法行为处罚处分条例》</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国务院令第</w:t>
      </w:r>
      <w:r>
        <w:rPr>
          <w:rFonts w:hint="eastAsia" w:ascii="宋体" w:hAnsi="宋体" w:eastAsia="宋体" w:cs="宋体"/>
          <w:i w:val="0"/>
          <w:iCs w:val="0"/>
          <w:caps w:val="0"/>
          <w:color w:val="000000"/>
          <w:spacing w:val="0"/>
          <w:sz w:val="32"/>
          <w:szCs w:val="32"/>
          <w:shd w:val="clear" w:fill="FFFFFF"/>
          <w:lang w:val="en-US"/>
        </w:rPr>
        <w:t>427</w:t>
      </w:r>
      <w:r>
        <w:rPr>
          <w:rFonts w:hint="eastAsia" w:ascii="宋体" w:hAnsi="宋体" w:eastAsia="宋体" w:cs="宋体"/>
          <w:i w:val="0"/>
          <w:iCs w:val="0"/>
          <w:caps w:val="0"/>
          <w:color w:val="000000"/>
          <w:spacing w:val="0"/>
          <w:sz w:val="32"/>
          <w:szCs w:val="32"/>
          <w:shd w:val="clear" w:fill="FFFFFF"/>
        </w:rPr>
        <w:t>号</w:t>
      </w:r>
      <w:r>
        <w:rPr>
          <w:rFonts w:hint="eastAsia" w:ascii="宋体" w:hAnsi="宋体" w:eastAsia="宋体" w:cs="宋体"/>
          <w:i w:val="0"/>
          <w:iCs w:val="0"/>
          <w:caps w:val="0"/>
          <w:color w:val="000000"/>
          <w:spacing w:val="0"/>
          <w:sz w:val="32"/>
          <w:szCs w:val="32"/>
          <w:shd w:val="clear" w:fill="FFFFFF"/>
          <w:lang w:val="en-US"/>
        </w:rPr>
        <w:t>)</w:t>
      </w:r>
      <w:r>
        <w:rPr>
          <w:rFonts w:hint="eastAsia" w:ascii="宋体" w:hAnsi="宋体" w:eastAsia="宋体" w:cs="宋体"/>
          <w:i w:val="0"/>
          <w:iCs w:val="0"/>
          <w:caps w:val="0"/>
          <w:color w:val="000000"/>
          <w:spacing w:val="0"/>
          <w:sz w:val="32"/>
          <w:szCs w:val="32"/>
          <w:shd w:val="clear" w:fill="FFFFFF"/>
        </w:rPr>
        <w:t>等有关规定追究相应责任。涉嫌犯罪的，依法移送司法机关严肃处理。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第十九条</w:t>
      </w:r>
      <w:r>
        <w:rPr>
          <w:rFonts w:hint="eastAsia" w:ascii="宋体" w:hAnsi="宋体" w:eastAsia="宋体" w:cs="宋体"/>
          <w:i w:val="0"/>
          <w:iCs w:val="0"/>
          <w:caps w:val="0"/>
          <w:color w:val="000000"/>
          <w:spacing w:val="0"/>
          <w:sz w:val="32"/>
          <w:szCs w:val="32"/>
          <w:shd w:val="clear" w:fill="FFFFFF"/>
        </w:rPr>
        <w:t>各盟市财政、民政部门可参照本办法，结合当地实际，制定补助资金管理的具体办法。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第二十条</w:t>
      </w:r>
      <w:r>
        <w:rPr>
          <w:rFonts w:hint="eastAsia" w:ascii="宋体" w:hAnsi="宋体" w:eastAsia="宋体" w:cs="宋体"/>
          <w:i w:val="0"/>
          <w:iCs w:val="0"/>
          <w:caps w:val="0"/>
          <w:color w:val="000000"/>
          <w:spacing w:val="0"/>
          <w:sz w:val="32"/>
          <w:szCs w:val="32"/>
          <w:shd w:val="clear" w:fill="FFFFFF"/>
        </w:rPr>
        <w:t>本办法由自治区财政厅会同自治区民政厅按照部门职责分工负责解释。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jc w:val="both"/>
        <w:rPr>
          <w:rFonts w:hint="eastAsia" w:ascii="宋体" w:hAnsi="宋体" w:eastAsia="宋体" w:cs="宋体"/>
          <w:sz w:val="32"/>
          <w:szCs w:val="32"/>
        </w:rPr>
      </w:pPr>
      <w:r>
        <w:rPr>
          <w:rFonts w:hint="eastAsia" w:ascii="宋体" w:hAnsi="宋体" w:eastAsia="宋体" w:cs="宋体"/>
          <w:b/>
          <w:bCs/>
          <w:i w:val="0"/>
          <w:iCs w:val="0"/>
          <w:caps w:val="0"/>
          <w:color w:val="000000"/>
          <w:spacing w:val="0"/>
          <w:sz w:val="32"/>
          <w:szCs w:val="32"/>
          <w:shd w:val="clear" w:fill="FFFFFF"/>
        </w:rPr>
        <w:t>第二十一条</w:t>
      </w:r>
      <w:r>
        <w:rPr>
          <w:rFonts w:hint="eastAsia" w:ascii="宋体" w:hAnsi="宋体" w:eastAsia="宋体" w:cs="宋体"/>
          <w:i w:val="0"/>
          <w:iCs w:val="0"/>
          <w:caps w:val="0"/>
          <w:color w:val="000000"/>
          <w:spacing w:val="0"/>
          <w:sz w:val="32"/>
          <w:szCs w:val="32"/>
          <w:shd w:val="clear" w:fill="FFFFFF"/>
        </w:rPr>
        <w:t>本办法自印发之日起三十日后施行。以往政策规定与本办法不一致的，按照本办法的规定执行。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B23037"/>
    <w:rsid w:val="25EB19BD"/>
    <w:rsid w:val="3FB23037"/>
    <w:rsid w:val="40C266DA"/>
    <w:rsid w:val="7D264C87"/>
    <w:rsid w:val="7E3E6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2021-11-10T08:56:00Z</dcterms:created>
  <dc:creator>兆清</dc:creator>
  <cp:lastModifiedBy>Administrator</cp:lastModifiedBy>
  <dcterms:modified xsi:type="dcterms:W3CDTF">2021-11-16T01:52:49Z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CFBC6C27974045BC99CE0363CC87574B</vt:lpwstr>
  </property>
</Properties>
</file>