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黑体" w:cs="Times New Roman"/>
          <w:b w:val="0"/>
          <w:bCs w:val="0"/>
          <w:color w:val="auto"/>
          <w:spacing w:val="0"/>
          <w:kern w:val="2"/>
          <w:sz w:val="28"/>
          <w:szCs w:val="28"/>
          <w:lang w:val="en-US" w:eastAsia="zh-CN"/>
        </w:rPr>
      </w:pPr>
      <w:bookmarkStart w:id="0" w:name="_GoBack"/>
      <w:bookmarkEnd w:id="0"/>
      <w:r>
        <w:rPr>
          <w:rFonts w:hint="default" w:ascii="Times New Roman" w:hAnsi="Times New Roman" w:eastAsia="黑体" w:cs="Times New Roman"/>
          <w:b w:val="0"/>
          <w:bCs w:val="0"/>
          <w:color w:val="auto"/>
          <w:spacing w:val="0"/>
          <w:kern w:val="2"/>
          <w:sz w:val="28"/>
          <w:szCs w:val="28"/>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方正小标宋简体" w:cs="Times New Roman"/>
          <w:b w:val="0"/>
          <w:bCs w:val="0"/>
          <w:color w:val="auto"/>
          <w:spacing w:val="0"/>
          <w:kern w:val="2"/>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简体" w:cs="Times New Roman"/>
          <w:b w:val="0"/>
          <w:bCs w:val="0"/>
          <w:color w:val="auto"/>
          <w:spacing w:val="0"/>
          <w:kern w:val="2"/>
          <w:sz w:val="40"/>
          <w:szCs w:val="40"/>
          <w:lang w:val="en-US" w:eastAsia="zh-CN"/>
        </w:rPr>
      </w:pPr>
      <w:r>
        <w:rPr>
          <w:rFonts w:hint="default" w:ascii="Times New Roman" w:hAnsi="Times New Roman" w:eastAsia="方正小标宋简体" w:cs="Times New Roman"/>
          <w:b w:val="0"/>
          <w:bCs w:val="0"/>
          <w:color w:val="auto"/>
          <w:spacing w:val="0"/>
          <w:kern w:val="2"/>
          <w:sz w:val="40"/>
          <w:szCs w:val="40"/>
        </w:rPr>
        <w:t>政务诚信建设</w:t>
      </w:r>
      <w:r>
        <w:rPr>
          <w:rFonts w:hint="default" w:ascii="Times New Roman" w:hAnsi="Times New Roman" w:eastAsia="方正小标宋简体" w:cs="Times New Roman"/>
          <w:b w:val="0"/>
          <w:bCs w:val="0"/>
          <w:color w:val="auto"/>
          <w:spacing w:val="0"/>
          <w:kern w:val="2"/>
          <w:sz w:val="40"/>
          <w:szCs w:val="40"/>
          <w:lang w:val="en-US" w:eastAsia="zh-CN"/>
        </w:rPr>
        <w:t>任务落实</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简体" w:cs="Times New Roman"/>
          <w:b w:val="0"/>
          <w:bCs w:val="0"/>
          <w:color w:val="auto"/>
          <w:spacing w:val="0"/>
          <w:kern w:val="2"/>
          <w:sz w:val="40"/>
          <w:szCs w:val="40"/>
        </w:rPr>
      </w:pPr>
      <w:r>
        <w:rPr>
          <w:rFonts w:hint="default" w:ascii="Times New Roman" w:hAnsi="Times New Roman" w:eastAsia="方正小标宋简体" w:cs="Times New Roman"/>
          <w:b w:val="0"/>
          <w:bCs w:val="0"/>
          <w:color w:val="auto"/>
          <w:spacing w:val="0"/>
          <w:kern w:val="2"/>
          <w:sz w:val="40"/>
          <w:szCs w:val="40"/>
        </w:rPr>
        <w:t>举措</w:t>
      </w:r>
    </w:p>
    <w:p>
      <w:pPr>
        <w:keepNext w:val="0"/>
        <w:keepLines w:val="0"/>
        <w:pageBreakBefore w:val="0"/>
        <w:kinsoku/>
        <w:wordWrap/>
        <w:topLinePunct w:val="0"/>
        <w:autoSpaceDE/>
        <w:autoSpaceDN/>
        <w:bidi w:val="0"/>
        <w:spacing w:line="560" w:lineRule="exact"/>
        <w:jc w:val="both"/>
        <w:rPr>
          <w:rFonts w:hint="default" w:ascii="Times New Roman" w:hAnsi="Times New Roman" w:cs="Times New Roman"/>
          <w:spacing w:val="0"/>
          <w:sz w:val="20"/>
          <w:szCs w:val="21"/>
          <w:lang w:eastAsia="zh-CN"/>
        </w:rPr>
      </w:pPr>
    </w:p>
    <w:p>
      <w:pPr>
        <w:keepNext w:val="0"/>
        <w:keepLines w:val="0"/>
        <w:pageBreakBefore w:val="0"/>
        <w:kinsoku/>
        <w:wordWrap/>
        <w:topLinePunct w:val="0"/>
        <w:autoSpaceDE/>
        <w:autoSpaceDN/>
        <w:bidi w:val="0"/>
        <w:spacing w:line="560" w:lineRule="exact"/>
        <w:ind w:firstLine="560" w:firstLineChars="200"/>
        <w:jc w:val="both"/>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一、</w:t>
      </w:r>
      <w:r>
        <w:rPr>
          <w:rFonts w:hint="default" w:ascii="Times New Roman" w:hAnsi="Times New Roman" w:eastAsia="黑体" w:cs="Times New Roman"/>
          <w:b w:val="0"/>
          <w:bCs w:val="0"/>
          <w:spacing w:val="0"/>
          <w:sz w:val="28"/>
          <w:szCs w:val="28"/>
        </w:rPr>
        <w:t>严格依法行政</w:t>
      </w:r>
      <w:r>
        <w:rPr>
          <w:rFonts w:hint="default" w:ascii="Times New Roman" w:hAnsi="Times New Roman" w:eastAsia="黑体" w:cs="Times New Roman"/>
          <w:b w:val="0"/>
          <w:bCs w:val="0"/>
          <w:spacing w:val="0"/>
          <w:sz w:val="28"/>
          <w:szCs w:val="28"/>
          <w:lang w:eastAsia="zh-CN"/>
        </w:rPr>
        <w:t>。</w:t>
      </w:r>
      <w:r>
        <w:rPr>
          <w:rFonts w:hint="default" w:ascii="Times New Roman" w:hAnsi="Times New Roman" w:eastAsia="仿宋" w:cs="Times New Roman"/>
          <w:color w:val="000000"/>
          <w:sz w:val="28"/>
          <w:szCs w:val="28"/>
          <w:lang w:val="en-US" w:eastAsia="zh-CN"/>
        </w:rPr>
        <w:t>深入推进依法行政，打造公正公开、守法诚信的法治政府，将依法行政作为建设诚信政府的基础，贯穿于决策、执行、监督、服务全过程。加强政策出台前的合法合规性审核和公平竞争审查。在全旗开展提升行政执法质量三年行动，全面推进严格规范公正文明执法。加强市旗苏木镇三级行政执法协调监督体系建设，持续完善监督制度机制和工作指引。协调推进行政执法体制改革，督促指导各级行政执法部门制定行政执法事项目录。开展行政执法案卷评查，重点针对行政复议被纠错、行政败诉案件进行监督，切实提升行政执法水平。持续改进执法监管方式，全面推行包容审慎监管“四张清单”即不予处罚事项、从轻处罚事项、减轻处罚事项、不予实施行政强制措施事项清单制度，进一步量化细化行政处罚裁量基准，让执法更有温度。严格执行过错责任追究制度和执法行为考评制度，开展重点执法领域专项监督，推进严格依法履职。全面落实权责清单。</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二、建立“高效办成一件事”主题套餐服务。</w:t>
      </w:r>
      <w:r>
        <w:rPr>
          <w:rFonts w:hint="default" w:ascii="Times New Roman" w:hAnsi="Times New Roman" w:eastAsia="仿宋" w:cs="Times New Roman"/>
          <w:color w:val="000000"/>
          <w:sz w:val="28"/>
          <w:szCs w:val="28"/>
          <w:lang w:val="en-US" w:eastAsia="zh-CN"/>
        </w:rPr>
        <w:t>聚焦企业和个人全生命周期，以“高效办成一件事”为目标，进一步整合优化办事流程，提升协同服务能力，持续扩大和细化“一件事一次办”事项受理服务，健全完善重点事项清单管理机制，提升“一件事一次办”服务效率，实现更多“一件事一次办”事项自助办、网上办、掌上办，持续提升企业群众办事服务便利度。</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三、定期公布政府失信情况。</w:t>
      </w:r>
      <w:r>
        <w:rPr>
          <w:rFonts w:hint="default" w:ascii="Times New Roman" w:hAnsi="Times New Roman" w:eastAsia="仿宋" w:cs="Times New Roman"/>
          <w:color w:val="000000"/>
          <w:sz w:val="28"/>
          <w:szCs w:val="28"/>
          <w:lang w:val="en-US" w:eastAsia="zh-CN"/>
        </w:rPr>
        <w:t>建立健全行政承诺考核制度，把政府依法作出的政策承诺、签订的各类合同协议的兑现和履约情况纳入政府绩效考评指标体系，依法依规保护投资企业及投资者权益。落实府院联动机制，定期通报生效裁判执行情况，各部门要严格执行人民法院生效裁判</w:t>
      </w:r>
      <w:r>
        <w:rPr>
          <w:rFonts w:hint="default" w:ascii="Times New Roman" w:hAnsi="Times New Roman" w:eastAsia="仿宋" w:cs="Times New Roman"/>
          <w:color w:val="000000"/>
          <w:sz w:val="28"/>
          <w:szCs w:val="28"/>
          <w:lang w:val="en" w:eastAsia="zh-CN"/>
        </w:rPr>
        <w:t>，</w:t>
      </w:r>
      <w:r>
        <w:rPr>
          <w:rFonts w:hint="default" w:ascii="Times New Roman" w:hAnsi="Times New Roman" w:eastAsia="仿宋" w:cs="Times New Roman"/>
          <w:color w:val="000000"/>
          <w:sz w:val="28"/>
          <w:szCs w:val="28"/>
          <w:lang w:val="en-US" w:eastAsia="zh-CN"/>
        </w:rPr>
        <w:t>将拒不履行人民法院生效裁判的行政机关负责人按相关程序移交有关部门处理</w:t>
      </w:r>
      <w:r>
        <w:rPr>
          <w:rFonts w:hint="default" w:ascii="Times New Roman" w:hAnsi="Times New Roman" w:eastAsia="仿宋" w:cs="Times New Roman"/>
          <w:color w:val="000000"/>
          <w:sz w:val="28"/>
          <w:szCs w:val="28"/>
          <w:lang w:val="en" w:eastAsia="zh-CN"/>
        </w:rPr>
        <w:t>，同时纳入失信被执行人名单</w:t>
      </w:r>
      <w:r>
        <w:rPr>
          <w:rFonts w:hint="default" w:ascii="Times New Roman" w:hAnsi="Times New Roman" w:eastAsia="仿宋" w:cs="Times New Roman"/>
          <w:color w:val="000000"/>
          <w:sz w:val="28"/>
          <w:szCs w:val="28"/>
          <w:lang w:val="en-US" w:eastAsia="zh-CN"/>
        </w:rPr>
        <w:t>。定期向社会公布严重失信政府机构名单。主动接受人大、政协对政府守信践诺的监督，加强审计监督、群众监督和舆论监督，全面提升政府公信力。</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四、推进阳光政务，提高政务公开精准度。</w:t>
      </w:r>
      <w:r>
        <w:rPr>
          <w:rFonts w:hint="default" w:ascii="Times New Roman" w:hAnsi="Times New Roman" w:eastAsia="仿宋" w:cs="Times New Roman"/>
          <w:color w:val="000000"/>
          <w:sz w:val="28"/>
          <w:szCs w:val="28"/>
          <w:lang w:val="en-US" w:eastAsia="zh-CN"/>
        </w:rPr>
        <w:t>坚持应公开尽公开，推进行政许可、行政处罚信息“双公示”数据及时率、合规率、上报率达到100%，进一步扩大公示范围，将“双公示”全面拓展至行政许可、行政处罚、行政强制、行政确认、行政征收、行政给付、行政裁决、行政补偿、行政奖励、行政监督检查等“十公示”，保障群众知情权，接受社会监督。各有关部门严格依法依规出台优惠政策并及时依法公开，提高政策的透明度、精准度、识别度、协同性、稳定性。对便民惠企政策公开情况进行专项检查，检查结果作为月点评、月通报的依据。</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五、推广应用自治区政务诚信信息管理平台。</w:t>
      </w:r>
      <w:r>
        <w:rPr>
          <w:rFonts w:hint="default" w:ascii="Times New Roman" w:hAnsi="Times New Roman" w:eastAsia="仿宋" w:cs="Times New Roman"/>
          <w:color w:val="000000"/>
          <w:sz w:val="28"/>
          <w:szCs w:val="28"/>
          <w:lang w:val="en-US" w:eastAsia="zh-CN"/>
        </w:rPr>
        <w:t>积极融入自治区政务诚信信息管理平台建设，严格按照系统部署应用要求，落实旗县工作任务，充分发挥自治区政务诚信信息管理平台作用，做好政府失信行为的信息归集、甄别研判、数据分析、任务派发、督促督办、延时提醒、办结销号等工作。</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六、整合各类投诉举报平台。</w:t>
      </w:r>
      <w:r>
        <w:rPr>
          <w:rFonts w:hint="default" w:ascii="Times New Roman" w:hAnsi="Times New Roman" w:eastAsia="仿宋" w:cs="Times New Roman"/>
          <w:color w:val="000000"/>
          <w:sz w:val="28"/>
          <w:szCs w:val="28"/>
          <w:lang w:val="en-US" w:eastAsia="zh-CN"/>
        </w:rPr>
        <w:t>做好12345政务服务热线运行，积极宣传12345政务服务热线与96888民营企业服务热线、蒙企通等平台和网站、公众号等联动事宜，畅通联系群众渠道，做好相关工单转办和督办，提高服务群众效率。</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七、开展政府失信行为大排查、大起底。</w:t>
      </w:r>
      <w:r>
        <w:rPr>
          <w:rFonts w:hint="default" w:ascii="Times New Roman" w:hAnsi="Times New Roman" w:eastAsia="仿宋" w:cs="Times New Roman"/>
          <w:color w:val="000000"/>
          <w:sz w:val="28"/>
          <w:szCs w:val="28"/>
          <w:lang w:val="en-US" w:eastAsia="zh-CN"/>
        </w:rPr>
        <w:t>各有关部门要在招商引资、政府债务清偿、公共资源交易、工程建设等重点领域，组织开展政府不兑现承诺、新官不理旧账、轻诺寡信、宰商骗商、违约毁约等失信行为大排查、大起底，全面梳理公共政策未兑现、协议合同未履行、政府和国企拖欠民营企业和中小企业账款情况，开展集中整治行动。建立问题清单，纳入政务诚信信息管理平台，推动整改落实。对严重破坏经济社会秩序、影响民营企业发展信心、群众反映集中的突出问题，列出清单、挂牌督办、逐项销号。选取失信情形恶劣的典型案例在主流媒体上曝光。</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八、建立月点评、月通报机制。</w:t>
      </w:r>
      <w:r>
        <w:rPr>
          <w:rFonts w:hint="default" w:ascii="Times New Roman" w:hAnsi="Times New Roman" w:eastAsia="仿宋" w:cs="Times New Roman"/>
          <w:color w:val="000000"/>
          <w:sz w:val="28"/>
          <w:szCs w:val="28"/>
          <w:lang w:val="en-US" w:eastAsia="zh-CN"/>
        </w:rPr>
        <w:t>按照问题发生率、解决率、满意率等，对各地区各部门政府失信行为整改情况每月进行总结梳理、分析评价，对积极履约践诺的先进典型进行表扬宣传，对落后地区和单位进行批评约谈。</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九、建立共性疑难问题会商解决机制。</w:t>
      </w:r>
      <w:r>
        <w:rPr>
          <w:rFonts w:hint="default" w:ascii="Times New Roman" w:hAnsi="Times New Roman" w:eastAsia="仿宋" w:cs="Times New Roman"/>
          <w:color w:val="000000"/>
          <w:sz w:val="28"/>
          <w:szCs w:val="28"/>
          <w:lang w:val="en-US" w:eastAsia="zh-CN"/>
        </w:rPr>
        <w:t>组建政策服务专班，建立共性疑难问题会商解决机制，定期对公共政策兑现和政府履约践诺疑难复杂问题进行分析诊断，推动问题解决。</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十、建立健全守信激励和失信惩戒机制。</w:t>
      </w:r>
      <w:r>
        <w:rPr>
          <w:rFonts w:hint="default" w:ascii="Times New Roman" w:hAnsi="Times New Roman" w:eastAsia="仿宋" w:cs="Times New Roman"/>
          <w:color w:val="000000"/>
          <w:sz w:val="28"/>
          <w:szCs w:val="28"/>
          <w:lang w:val="en-US" w:eastAsia="zh-CN"/>
        </w:rPr>
        <w:t>实行失信行为报告制度，制定失信责任追究具体办法。组织、人力资源社会保障部门每年定期收集政府部门和公职人员的诚信信息，作为部门年度考核和领导干部考核、任用、奖惩、职务职级晋升的重要参考。各部门存在政务失信行为的，实施包括但不限于限制预算内资金支持、地方政府专项债券申请、融资项目推荐，取消相关评优评先和试点示范资格等惩戒措施。开展地区政务诚信状况评价，推动评价结果在改革试点、项目投资、社会管理等政策领域和绩效考核中广泛应用。强化公职人员守信激励和失信惩戒，开展各类评优评先表彰奖励活动时，将诚信记录和相关信用评价结果作为公职人员表彰奖励的重要依据。公职人员存在政务失信行为的，开展批评教育；情节严重的，依法依规追责问责。注重宣传报道守法诚信、服务优良的政府部门和公务员。</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left="0" w:leftChars="0"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十一</w:t>
      </w:r>
      <w:r>
        <w:rPr>
          <w:rFonts w:hint="default" w:ascii="Times New Roman" w:hAnsi="Times New Roman" w:eastAsia="黑体" w:cs="Times New Roman"/>
          <w:b w:val="0"/>
          <w:bCs w:val="0"/>
          <w:spacing w:val="0"/>
          <w:sz w:val="28"/>
          <w:szCs w:val="28"/>
          <w:lang w:val="en-US" w:eastAsia="en-US"/>
        </w:rPr>
        <w:t>、</w:t>
      </w:r>
      <w:r>
        <w:rPr>
          <w:rFonts w:hint="default" w:ascii="Times New Roman" w:hAnsi="Times New Roman" w:eastAsia="黑体" w:cs="Times New Roman"/>
          <w:b w:val="0"/>
          <w:bCs w:val="0"/>
          <w:spacing w:val="0"/>
          <w:sz w:val="28"/>
          <w:szCs w:val="28"/>
          <w:lang w:val="en-US" w:eastAsia="zh-CN"/>
        </w:rPr>
        <w:t>加强公职人员诚信教育。</w:t>
      </w:r>
      <w:r>
        <w:rPr>
          <w:rFonts w:hint="default" w:ascii="Times New Roman" w:hAnsi="Times New Roman" w:eastAsia="仿宋" w:cs="Times New Roman"/>
          <w:color w:val="000000"/>
          <w:sz w:val="28"/>
          <w:szCs w:val="28"/>
          <w:lang w:val="en-US" w:eastAsia="zh-CN"/>
        </w:rPr>
        <w:t>各地区各部门及其工作人员要加强自身诚信建设，提高守法履约的意识和水平，将诚信建设列入各党委（党组）理论学习中心组学习内容，纳入党校的培训课程。各级党组织要结合开展的集中性纪律教育，组织党员干部深入学习掌握国家和自治区关于诚信建设的法律法规、政策制度、纪律要求，守纪律、讲诚信并重、并行，以内诚于心促进外信于行。以社会主义核心价值观为引领，弘扬诚信文化，深入开展公职人员诚信、守法和道德教育，组织公职人员诚信教育实践活动，研究编制公职人员诚信手册，增强信用意识和诚信行政的自觉性。建立公职人员诚信档案，将公职人员信用核查结果作为招录、考核、选拔任用的重要依据。</w:t>
      </w:r>
    </w:p>
    <w:p>
      <w:pPr>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snapToGrid/>
        <w:spacing w:line="560" w:lineRule="exact"/>
        <w:ind w:left="0" w:leftChars="0" w:firstLine="560" w:firstLineChars="200"/>
        <w:jc w:val="both"/>
        <w:textAlignment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pacing w:val="0"/>
          <w:sz w:val="28"/>
          <w:szCs w:val="28"/>
          <w:lang w:val="en-US" w:eastAsia="zh-CN"/>
        </w:rPr>
        <w:t>十二、发布诚信政府白皮书。</w:t>
      </w:r>
      <w:r>
        <w:rPr>
          <w:rFonts w:hint="default" w:ascii="Times New Roman" w:hAnsi="Times New Roman" w:eastAsia="仿宋" w:cs="Times New Roman"/>
          <w:color w:val="000000"/>
          <w:sz w:val="28"/>
          <w:szCs w:val="28"/>
          <w:lang w:val="en-US" w:eastAsia="zh-CN"/>
        </w:rPr>
        <w:t>全面总结乌拉特中旗诚信建设工程实施情况、取得的成效，梳理存在问题，提出下一步工作措施建议，适时制定发布乌拉特中旗诚信政府建设白皮书。</w:t>
      </w:r>
    </w:p>
    <w:p>
      <w:pPr>
        <w:pStyle w:val="2"/>
        <w:keepNext w:val="0"/>
        <w:keepLines w:val="0"/>
        <w:pageBreakBefore w:val="0"/>
        <w:kinsoku/>
        <w:wordWrap/>
        <w:topLinePunct w:val="0"/>
        <w:autoSpaceDE/>
        <w:autoSpaceDN/>
        <w:bidi w:val="0"/>
        <w:spacing w:line="560" w:lineRule="exact"/>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60" w:lineRule="exact"/>
        <w:ind w:left="0" w:leftChars="0"/>
        <w:jc w:val="both"/>
        <w:rPr>
          <w:rFonts w:hint="default" w:ascii="Times New Roman" w:hAnsi="Times New Roman" w:eastAsia="黑体" w:cs="Times New Roman"/>
          <w:b w:val="0"/>
          <w:bCs w:val="0"/>
          <w:color w:val="000000"/>
          <w:sz w:val="28"/>
          <w:szCs w:val="28"/>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60" w:lineRule="exact"/>
        <w:ind w:left="0" w:leftChars="0"/>
        <w:jc w:val="both"/>
        <w:rPr>
          <w:rFonts w:hint="default" w:ascii="Times New Roman" w:hAnsi="Times New Roman" w:eastAsia="黑体" w:cs="Times New Roman"/>
          <w:b w:val="0"/>
          <w:bCs w:val="0"/>
          <w:color w:val="000000"/>
          <w:sz w:val="28"/>
          <w:szCs w:val="28"/>
          <w:highlight w:val="none"/>
          <w:lang w:val="en-US" w:eastAsia="zh-CN"/>
        </w:rPr>
      </w:pPr>
      <w:r>
        <w:rPr>
          <w:rFonts w:hint="default" w:ascii="Times New Roman" w:hAnsi="Times New Roman" w:eastAsia="黑体" w:cs="Times New Roman"/>
          <w:b w:val="0"/>
          <w:bCs w:val="0"/>
          <w:color w:val="000000"/>
          <w:sz w:val="28"/>
          <w:szCs w:val="28"/>
          <w:highlight w:val="none"/>
          <w:lang w:val="en-US" w:eastAsia="zh-CN"/>
        </w:rPr>
        <w:t>附件2</w:t>
      </w:r>
    </w:p>
    <w:p>
      <w:pPr>
        <w:keepNext w:val="0"/>
        <w:keepLines w:val="0"/>
        <w:pageBreakBefore w:val="0"/>
        <w:widowControl w:val="0"/>
        <w:shd w:val="clear" w:color="auto" w:fill="auto"/>
        <w:suppressAutoHyphens/>
        <w:kinsoku/>
        <w:wordWrap/>
        <w:overflowPunct w:val="0"/>
        <w:topLinePunct w:val="0"/>
        <w:autoSpaceDE/>
        <w:autoSpaceDN/>
        <w:bidi w:val="0"/>
        <w:adjustRightInd/>
        <w:spacing w:line="560" w:lineRule="exact"/>
        <w:ind w:left="0" w:leftChars="0"/>
        <w:jc w:val="both"/>
        <w:rPr>
          <w:rFonts w:hint="default" w:ascii="Times New Roman" w:hAnsi="Times New Roman" w:eastAsia="方正小标宋简体" w:cs="Times New Roman"/>
          <w:b w:val="0"/>
          <w:bCs w:val="0"/>
          <w:color w:val="000000"/>
          <w:sz w:val="40"/>
          <w:szCs w:val="40"/>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60" w:lineRule="exact"/>
        <w:ind w:left="0" w:leftChars="0"/>
        <w:jc w:val="center"/>
        <w:rPr>
          <w:rFonts w:hint="default" w:ascii="Times New Roman" w:hAnsi="Times New Roman" w:eastAsia="方正小标宋简体" w:cs="Times New Roman"/>
          <w:b w:val="0"/>
          <w:bCs w:val="0"/>
          <w:color w:val="000000"/>
          <w:sz w:val="40"/>
          <w:szCs w:val="40"/>
          <w:highlight w:val="none"/>
          <w:lang w:val="en-US" w:eastAsia="zh-CN"/>
        </w:rPr>
      </w:pPr>
      <w:r>
        <w:rPr>
          <w:rFonts w:hint="default" w:ascii="Times New Roman" w:hAnsi="Times New Roman" w:eastAsia="方正小标宋简体" w:cs="Times New Roman"/>
          <w:b w:val="0"/>
          <w:bCs w:val="0"/>
          <w:color w:val="000000"/>
          <w:sz w:val="40"/>
          <w:szCs w:val="40"/>
          <w:highlight w:val="none"/>
        </w:rPr>
        <w:t>商务诚信</w:t>
      </w:r>
      <w:r>
        <w:rPr>
          <w:rFonts w:hint="default" w:ascii="Times New Roman" w:hAnsi="Times New Roman" w:eastAsia="方正小标宋简体" w:cs="Times New Roman"/>
          <w:b w:val="0"/>
          <w:bCs w:val="0"/>
          <w:color w:val="000000"/>
          <w:sz w:val="40"/>
          <w:szCs w:val="40"/>
          <w:highlight w:val="none"/>
          <w:lang w:eastAsia="zh-CN"/>
        </w:rPr>
        <w:t>建设</w:t>
      </w:r>
      <w:r>
        <w:rPr>
          <w:rFonts w:hint="default" w:ascii="Times New Roman" w:hAnsi="Times New Roman" w:eastAsia="方正小标宋简体" w:cs="Times New Roman"/>
          <w:b w:val="0"/>
          <w:bCs w:val="0"/>
          <w:color w:val="000000"/>
          <w:sz w:val="40"/>
          <w:szCs w:val="40"/>
          <w:highlight w:val="none"/>
          <w:lang w:val="en-US" w:eastAsia="zh-CN"/>
        </w:rPr>
        <w:t>任务落实</w:t>
      </w:r>
    </w:p>
    <w:p>
      <w:pPr>
        <w:keepNext w:val="0"/>
        <w:keepLines w:val="0"/>
        <w:pageBreakBefore w:val="0"/>
        <w:widowControl w:val="0"/>
        <w:shd w:val="clear" w:color="auto" w:fill="auto"/>
        <w:suppressAutoHyphens/>
        <w:kinsoku/>
        <w:wordWrap/>
        <w:overflowPunct w:val="0"/>
        <w:topLinePunct w:val="0"/>
        <w:autoSpaceDE/>
        <w:autoSpaceDN/>
        <w:bidi w:val="0"/>
        <w:adjustRightInd/>
        <w:spacing w:line="560" w:lineRule="exact"/>
        <w:ind w:left="0" w:leftChars="0"/>
        <w:jc w:val="center"/>
        <w:rPr>
          <w:rFonts w:hint="default" w:ascii="Times New Roman" w:hAnsi="Times New Roman" w:eastAsia="方正小标宋简体" w:cs="Times New Roman"/>
          <w:b w:val="0"/>
          <w:bCs w:val="0"/>
          <w:color w:val="000000"/>
          <w:sz w:val="40"/>
          <w:szCs w:val="40"/>
          <w:highlight w:val="none"/>
          <w:lang w:eastAsia="zh-CN"/>
        </w:rPr>
      </w:pPr>
      <w:r>
        <w:rPr>
          <w:rFonts w:hint="default" w:ascii="Times New Roman" w:hAnsi="Times New Roman" w:eastAsia="方正小标宋简体" w:cs="Times New Roman"/>
          <w:b w:val="0"/>
          <w:bCs w:val="0"/>
          <w:color w:val="000000"/>
          <w:sz w:val="40"/>
          <w:szCs w:val="40"/>
          <w:highlight w:val="none"/>
          <w:lang w:eastAsia="zh-CN"/>
        </w:rPr>
        <w:t>举措</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val="0"/>
        <w:snapToGrid w:val="0"/>
        <w:spacing w:line="560" w:lineRule="exact"/>
        <w:ind w:firstLine="560" w:firstLineChars="200"/>
        <w:jc w:val="both"/>
        <w:textAlignment w:val="baseline"/>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rPr>
        <w:t>一、建立经营主体信用档案。</w:t>
      </w:r>
      <w:r>
        <w:rPr>
          <w:rFonts w:hint="default" w:ascii="Times New Roman" w:hAnsi="Times New Roman" w:eastAsia="仿宋" w:cs="Times New Roman"/>
          <w:color w:val="000000"/>
          <w:sz w:val="28"/>
          <w:szCs w:val="28"/>
          <w:lang w:val="en-US" w:eastAsia="zh-CN"/>
        </w:rPr>
        <w:t>严格落实《内蒙古自治区公共信用信息目录（2024年版）》，全面依法采集、客观记录经营主体信用信息，健全完善全旗法人主体信用信息库，建立信用档案，实现信用信息一站式查询、一体化应用。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rPr>
        <w:t>二、在重点行业领域建立完善信用评价制度。</w:t>
      </w:r>
      <w:r>
        <w:rPr>
          <w:rFonts w:hint="default" w:ascii="Times New Roman" w:hAnsi="Times New Roman" w:eastAsia="仿宋" w:cs="Times New Roman"/>
          <w:color w:val="000000"/>
          <w:sz w:val="28"/>
          <w:szCs w:val="28"/>
          <w:lang w:val="en-US" w:eastAsia="zh-CN"/>
        </w:rPr>
        <w:t>依据权责清单，在科研、知识产权保护、质量和品牌、安全生产、商贸流通、工程建设、水利、交通运输、财税、消费、金融、家政服务、人力资源市场、文化旅游等重点行业领域建立完善信用评价制度。依据评价结果实施差异化监管，对诚信企业“无事不扰”，让失信企业“寸步难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三、用好信用评价结果。</w:t>
      </w:r>
      <w:r>
        <w:rPr>
          <w:rFonts w:hint="default" w:ascii="Times New Roman" w:hAnsi="Times New Roman" w:eastAsia="仿宋" w:cs="Times New Roman"/>
          <w:color w:val="000000"/>
          <w:sz w:val="28"/>
          <w:szCs w:val="28"/>
          <w:lang w:val="en-US" w:eastAsia="zh-CN"/>
        </w:rPr>
        <w:t>开展科研、知识产权保护、质量和品牌、安全生产、商贸流通、工程建设、水利、交通运输、财税、消费、金融、家政服务、人力资源市场、文化旅游等行业领域信用评价，依据评价结果实施差异化监管，为诚信企业亮绿灯、畅通道，对失信企业提警示、贴罚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四、</w:t>
      </w:r>
      <w:r>
        <w:rPr>
          <w:rFonts w:hint="default" w:ascii="Times New Roman" w:hAnsi="Times New Roman" w:eastAsia="黑体" w:cs="Times New Roman"/>
          <w:b w:val="0"/>
          <w:bCs w:val="0"/>
          <w:snapToGrid w:val="0"/>
          <w:color w:val="000000"/>
          <w:kern w:val="0"/>
          <w:sz w:val="28"/>
          <w:szCs w:val="28"/>
          <w:highlight w:val="none"/>
          <w:lang w:val="en-US" w:eastAsia="zh-CN"/>
        </w:rPr>
        <w:t>全面建立行政管理领域信用承诺制度。</w:t>
      </w:r>
      <w:r>
        <w:rPr>
          <w:rFonts w:hint="default" w:ascii="Times New Roman" w:hAnsi="Times New Roman" w:eastAsia="仿宋" w:cs="Times New Roman"/>
          <w:color w:val="000000"/>
          <w:sz w:val="28"/>
          <w:szCs w:val="28"/>
          <w:lang w:val="en-US" w:eastAsia="zh-CN"/>
        </w:rPr>
        <w:t>针对涉企经营许可事项，更新发布需告知承诺制的事项目录清单。加快推进行政规范性文件备案监督和清理工作。将商户信用承诺以及市场监管、城市管理等相关领域监管信息纳入信用综合评价。</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五、</w:t>
      </w:r>
      <w:r>
        <w:rPr>
          <w:rFonts w:hint="default" w:ascii="Times New Roman" w:hAnsi="Times New Roman" w:eastAsia="黑体" w:cs="Times New Roman"/>
          <w:b w:val="0"/>
          <w:bCs w:val="0"/>
          <w:snapToGrid w:val="0"/>
          <w:color w:val="000000"/>
          <w:kern w:val="0"/>
          <w:sz w:val="28"/>
          <w:szCs w:val="28"/>
          <w:highlight w:val="none"/>
          <w:lang w:val="en-US" w:eastAsia="zh-CN"/>
        </w:rPr>
        <w:t>建立信用“全生命周期”监管机制。</w:t>
      </w:r>
      <w:r>
        <w:rPr>
          <w:rFonts w:hint="default" w:ascii="Times New Roman" w:hAnsi="Times New Roman" w:eastAsia="仿宋" w:cs="Times New Roman"/>
          <w:color w:val="000000"/>
          <w:sz w:val="28"/>
          <w:szCs w:val="28"/>
          <w:lang w:val="en-US" w:eastAsia="zh-CN"/>
        </w:rPr>
        <w:t>各行业监管部门深化信用记录、“红黑名单”和信用评价结果在分级分类监管中的广泛应用，对经营主体实施事前、事中、事后“全生命周期”监管。司法行政部门推动监管部门拓展在监管过程中应用信用评价结果，实施差异化的监管措施。依托信用中国（巴彦淖尔）平台，推动信用信息报告替代《无违法违规证明》工作，解决经营主体办证多、办事难等问题。</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六、</w:t>
      </w:r>
      <w:r>
        <w:rPr>
          <w:rFonts w:hint="default" w:ascii="Times New Roman" w:hAnsi="Times New Roman" w:eastAsia="黑体" w:cs="Times New Roman"/>
          <w:b w:val="0"/>
          <w:bCs w:val="0"/>
          <w:snapToGrid w:val="0"/>
          <w:color w:val="000000"/>
          <w:kern w:val="0"/>
          <w:sz w:val="28"/>
          <w:szCs w:val="28"/>
          <w:highlight w:val="none"/>
          <w:lang w:val="en-US" w:eastAsia="zh-CN"/>
        </w:rPr>
        <w:t>加强重点行业领域诚信建设。</w:t>
      </w:r>
      <w:r>
        <w:rPr>
          <w:rFonts w:hint="default" w:ascii="Times New Roman" w:hAnsi="Times New Roman" w:eastAsia="仿宋" w:cs="Times New Roman"/>
          <w:color w:val="000000"/>
          <w:sz w:val="28"/>
          <w:szCs w:val="28"/>
          <w:lang w:val="en-US" w:eastAsia="zh-CN"/>
        </w:rPr>
        <w:t>聚焦商业欺诈、合同违约、拖欠账款、侵犯知识产权、制售假冒伪劣商品、发布虚假违法广告、偷逃骗税、套取项目资金等失信行为，开展集中整治行动，维护公平诚信市场秩序。加强自然资源、生态环境保护、水利、安全生产等重点领域涉企技术服务行业信用建设。提升科研、知识产权、质量品牌、安全生产、流通、工程建设、水利、交通运输、文旅、财税管理、商圈商户、金融、家政服务、人力资源市场等领域的诚信治理能力，坚决打击治理一批商务失信行为，开展行业诚信文化建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七、</w:t>
      </w:r>
      <w:r>
        <w:rPr>
          <w:rFonts w:hint="default" w:ascii="Times New Roman" w:hAnsi="Times New Roman" w:eastAsia="黑体" w:cs="Times New Roman"/>
          <w:b w:val="0"/>
          <w:bCs w:val="0"/>
          <w:snapToGrid w:val="0"/>
          <w:color w:val="000000"/>
          <w:kern w:val="0"/>
          <w:sz w:val="28"/>
          <w:szCs w:val="28"/>
          <w:highlight w:val="none"/>
          <w:lang w:val="en-US" w:eastAsia="zh-CN"/>
        </w:rPr>
        <w:t>建立商务领域信用奖惩机制</w:t>
      </w:r>
      <w:r>
        <w:rPr>
          <w:rFonts w:hint="default" w:ascii="Times New Roman" w:hAnsi="Times New Roman" w:eastAsia="黑体" w:cs="Times New Roman"/>
          <w:b w:val="0"/>
          <w:bCs w:val="0"/>
          <w:snapToGrid w:val="0"/>
          <w:color w:val="1F497D"/>
          <w:kern w:val="0"/>
          <w:sz w:val="28"/>
          <w:szCs w:val="28"/>
          <w:highlight w:val="none"/>
          <w:lang w:val="en-US" w:eastAsia="zh-CN"/>
        </w:rPr>
        <w:t>。</w:t>
      </w:r>
      <w:r>
        <w:rPr>
          <w:rFonts w:hint="default" w:ascii="Times New Roman" w:hAnsi="Times New Roman" w:eastAsia="仿宋" w:cs="Times New Roman"/>
          <w:color w:val="000000"/>
          <w:sz w:val="28"/>
          <w:szCs w:val="28"/>
          <w:lang w:val="en-US" w:eastAsia="zh-CN"/>
        </w:rPr>
        <w:t>落实《内蒙古自治区诚信典型选树对象目录（2.0版）》，各行业主管部门依法依规落实《全国失信惩戒措施基础清单》和守信激励清单目录以及按照行业法规政策制定的信用奖惩措施，建立健全联合激励与失信约束的发起、响应、反馈机制。对失信主体依法采取包括但不限于限制市场准入、限制申请财政性资金及纳入重点监管等惩戒措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八、</w:t>
      </w:r>
      <w:r>
        <w:rPr>
          <w:rFonts w:hint="default" w:ascii="Times New Roman" w:hAnsi="Times New Roman" w:eastAsia="黑体" w:cs="Times New Roman"/>
          <w:b w:val="0"/>
          <w:bCs w:val="0"/>
          <w:snapToGrid w:val="0"/>
          <w:color w:val="000000"/>
          <w:kern w:val="0"/>
          <w:sz w:val="28"/>
          <w:szCs w:val="28"/>
          <w:highlight w:val="none"/>
          <w:lang w:val="en-US" w:eastAsia="zh-CN"/>
        </w:rPr>
        <w:t>推动信用融资助力诚信经营。</w:t>
      </w:r>
      <w:r>
        <w:rPr>
          <w:rFonts w:hint="default" w:ascii="Times New Roman" w:hAnsi="Times New Roman" w:eastAsia="仿宋" w:cs="Times New Roman"/>
          <w:color w:val="000000"/>
          <w:sz w:val="28"/>
          <w:szCs w:val="28"/>
          <w:lang w:val="en-US" w:eastAsia="zh-CN"/>
        </w:rPr>
        <w:t>依法依规共享融资信用信息，拓展信用信息归集范围，解决融资信息不对称、不精准问题。全面提升中小微企业在“信易贷”、金融服务云平台、银税互动平台等信用融资服务平台的融资能力，在国家规定应当向融资服务平台提供的14类37小类融资信息基础上，依法依规进一步拓展信用信息提供范围，解决融资信息“颗粒度大”问题。广泛动员有融资需求的中小微企业在信用融资综合服务平台进行实名注册，鼓励金融机构用足用好平台服务，根据企业需求，多维度研发金融产品，为中小微企业拓宽融资渠道。</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九、</w:t>
      </w:r>
      <w:r>
        <w:rPr>
          <w:rFonts w:hint="default" w:ascii="Times New Roman" w:hAnsi="Times New Roman" w:eastAsia="黑体" w:cs="Times New Roman"/>
          <w:b w:val="0"/>
          <w:bCs w:val="0"/>
          <w:snapToGrid w:val="0"/>
          <w:color w:val="000000"/>
          <w:kern w:val="0"/>
          <w:sz w:val="28"/>
          <w:szCs w:val="28"/>
          <w:highlight w:val="none"/>
          <w:lang w:val="en-US" w:eastAsia="zh-CN"/>
        </w:rPr>
        <w:t>畅通信用修复渠道。</w:t>
      </w:r>
      <w:r>
        <w:rPr>
          <w:rFonts w:hint="default" w:ascii="Times New Roman" w:hAnsi="Times New Roman" w:eastAsia="仿宋" w:cs="Times New Roman"/>
          <w:color w:val="000000"/>
          <w:sz w:val="28"/>
          <w:szCs w:val="28"/>
          <w:lang w:val="en-US" w:eastAsia="zh-CN"/>
        </w:rPr>
        <w:t>建立和完善社会信用体系与市场监督管理信用修复的协同联动机制，解决“多头修复”问题。对符合修复条件的失信企业开展诚信教育、集中提醒和业务指导工作，持续减少失信主体存量，控制失信主体增量。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十、</w:t>
      </w:r>
      <w:r>
        <w:rPr>
          <w:rFonts w:hint="default" w:ascii="Times New Roman" w:hAnsi="Times New Roman" w:eastAsia="黑体" w:cs="Times New Roman"/>
          <w:b w:val="0"/>
          <w:bCs w:val="0"/>
          <w:snapToGrid w:val="0"/>
          <w:color w:val="000000"/>
          <w:kern w:val="0"/>
          <w:sz w:val="28"/>
          <w:szCs w:val="28"/>
          <w:highlight w:val="none"/>
          <w:lang w:val="en-US" w:eastAsia="zh-CN"/>
        </w:rPr>
        <w:t>以行业自律提升商务诚信内在动力。</w:t>
      </w:r>
      <w:r>
        <w:rPr>
          <w:rFonts w:hint="default" w:ascii="Times New Roman" w:hAnsi="Times New Roman" w:eastAsia="仿宋" w:cs="Times New Roman"/>
          <w:color w:val="000000"/>
          <w:sz w:val="28"/>
          <w:szCs w:val="28"/>
          <w:lang w:val="en-US" w:eastAsia="zh-CN"/>
        </w:rPr>
        <w:t>鼓励国资国企、行业协会、商会加强诚信自律，规范开展诚信经营承诺、信用公示、信用培训、诚信宣传等工作，对诚信企业采取重点推介、减免会费等行业性激励措施。根据行业特点和商会实际，拟订诚信自律公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highlight w:val="none"/>
          <w:lang w:val="en-US" w:eastAsia="zh-CN" w:bidi="ar-SA"/>
        </w:rPr>
        <w:t>十一、</w:t>
      </w:r>
      <w:r>
        <w:rPr>
          <w:rFonts w:hint="default" w:ascii="Times New Roman" w:hAnsi="Times New Roman" w:eastAsia="黑体" w:cs="Times New Roman"/>
          <w:b w:val="0"/>
          <w:bCs w:val="0"/>
          <w:snapToGrid w:val="0"/>
          <w:color w:val="000000"/>
          <w:kern w:val="0"/>
          <w:sz w:val="28"/>
          <w:szCs w:val="28"/>
          <w:highlight w:val="none"/>
          <w:lang w:val="en-US" w:eastAsia="zh-CN"/>
        </w:rPr>
        <w:t>营造诚信经营市场氛围。</w:t>
      </w:r>
      <w:r>
        <w:rPr>
          <w:rFonts w:hint="default" w:ascii="Times New Roman" w:hAnsi="Times New Roman" w:eastAsia="仿宋" w:cs="Times New Roman"/>
          <w:color w:val="000000"/>
          <w:sz w:val="28"/>
          <w:szCs w:val="28"/>
          <w:lang w:val="en-US" w:eastAsia="zh-CN"/>
        </w:rPr>
        <w:t>充分利用诚信兴商宣传月、信用宣传月、“3·15”消费者权益保护教育宣传周、食品安全宣传周等重要时间节点，广泛开展形式多样的诚信宣传推广活动，着力优化商务诚信文化环境。积极参加“诚信兴商十大案例”征集活动。推动诚信企业“亮码经营”，扩大诚信企业的市场影响力。</w:t>
      </w: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0"/>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0"/>
          <w:szCs w:val="48"/>
          <w:lang w:val="en-US" w:eastAsia="zh-CN"/>
        </w:rPr>
      </w:pPr>
      <w:r>
        <w:rPr>
          <w:rFonts w:hint="default" w:ascii="Times New Roman" w:hAnsi="Times New Roman" w:eastAsia="方正小标宋简体" w:cs="Times New Roman"/>
          <w:sz w:val="40"/>
          <w:szCs w:val="48"/>
          <w:lang w:eastAsia="zh-CN"/>
        </w:rPr>
        <w:t>社会诚信建设</w:t>
      </w:r>
      <w:r>
        <w:rPr>
          <w:rFonts w:hint="default" w:ascii="Times New Roman" w:hAnsi="Times New Roman" w:eastAsia="方正小标宋简体" w:cs="Times New Roman"/>
          <w:sz w:val="40"/>
          <w:szCs w:val="48"/>
          <w:lang w:val="en-US" w:eastAsia="zh-CN"/>
        </w:rPr>
        <w:t>任务落实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0"/>
          <w:szCs w:val="48"/>
          <w:lang w:eastAsia="zh-CN"/>
        </w:rPr>
      </w:pPr>
      <w:r>
        <w:rPr>
          <w:rFonts w:hint="default" w:ascii="Times New Roman" w:hAnsi="Times New Roman" w:eastAsia="方正小标宋简体" w:cs="Times New Roman"/>
          <w:sz w:val="40"/>
          <w:szCs w:val="48"/>
          <w:lang w:eastAsia="zh-CN"/>
        </w:rPr>
        <w:t>举措</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bCs/>
          <w:color w:val="auto"/>
          <w:sz w:val="28"/>
          <w:szCs w:val="28"/>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一、建立重点领域个人诚信记录。</w:t>
      </w:r>
      <w:r>
        <w:rPr>
          <w:rFonts w:hint="default" w:ascii="Times New Roman" w:hAnsi="Times New Roman" w:eastAsia="仿宋" w:cs="Times New Roman"/>
          <w:color w:val="000000"/>
          <w:sz w:val="28"/>
          <w:szCs w:val="28"/>
          <w:lang w:val="en-US" w:eastAsia="zh-CN"/>
        </w:rPr>
        <w:t>健全完善个人实名登记制度，重点抓好公务员、企业法定代表人及相关责任人、律师、教师、医师、执业药师、评估师、税务师、注册消防工程师、会计审计人员、房地产中介从业人员、认证人员、金融从业人员、导游等重点人群信用信息的归集、处理和应用，建立健全重点人群诚信档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二、加大失信主体失信行为惩戒力度。</w:t>
      </w:r>
      <w:r>
        <w:rPr>
          <w:rFonts w:hint="default" w:ascii="Times New Roman" w:hAnsi="Times New Roman" w:eastAsia="仿宋" w:cs="Times New Roman"/>
          <w:color w:val="000000"/>
          <w:sz w:val="28"/>
          <w:szCs w:val="28"/>
          <w:lang w:val="en-US" w:eastAsia="zh-CN"/>
        </w:rPr>
        <w:t>对失信主体采取重点约谈、纠正失信行为、信用修复、达成和解协议、签订信用承诺书、发送监管提示函等措施进行治理。对个人发生严重失信行为的，严格依法依规实施限制出境、购买不动产、乘坐飞机、乘坐高等级列车和席次、旅游度假、入住星级以上宾馆及其他高消费行为等惩戒措施。对严重失信的经营主体，应以统一社会信用代码为唯一标识，列入失信“黑名单”，及时主动在相关网站、新媒体等平台公开披露相关信息，便于市场识别失信行为，防范信用风险，引导金融机构给予提高贷款利率、财产保险费率和限制向其提供贷款、保荐、承销、保险等惩戒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三、完善信用修复机制。</w:t>
      </w:r>
      <w:r>
        <w:rPr>
          <w:rFonts w:hint="default" w:ascii="Times New Roman" w:hAnsi="Times New Roman" w:eastAsia="仿宋" w:cs="Times New Roman"/>
          <w:color w:val="000000"/>
          <w:sz w:val="28"/>
          <w:szCs w:val="28"/>
          <w:lang w:val="en-US" w:eastAsia="zh-CN"/>
        </w:rPr>
        <w:t>规范信用修复的范围、途径、流程等，保障失信行为主体合法权益。支持失信行为主体主动纠正失信行为，向确定失信行为和等级的发起单位提出信用修复，并将信用修复记录纳入各级公共信用信息服务平台。实施部门按照修复后的信用记录对其惩戒措施予以减轻或解除。建立有利于自我纠错、主动自新的社会鼓励与关爱机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四、开展重点领域失信突出问题集中整治。</w:t>
      </w:r>
      <w:r>
        <w:rPr>
          <w:rFonts w:hint="default" w:ascii="Times New Roman" w:hAnsi="Times New Roman" w:eastAsia="仿宋" w:cs="Times New Roman"/>
          <w:color w:val="000000"/>
          <w:sz w:val="28"/>
          <w:szCs w:val="28"/>
          <w:lang w:val="en-US" w:eastAsia="zh-CN"/>
        </w:rPr>
        <w:t>建立社会诚信领域失信突出问题发布机制。紧盯劳动保障、社会服务和社会保障、医药卫生、教育和人事人才、科研、文化旅游、知识产权、生态环境、互联网、民政、电信等社会诚信建设重点领域，各行业主管部门要在各自网站和新媒体平台持续发布虚报冒领各类资金、教育科研学术不端、开办黑中介黑考培、过度诊疗、评审舞弊、欺客宰客等失信突出问题，主动向社会公示严重违法失信名单并进行起底整治，融媒体中心配合予以公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五、加强信息公开。</w:t>
      </w:r>
      <w:r>
        <w:rPr>
          <w:rFonts w:hint="default" w:ascii="Times New Roman" w:hAnsi="Times New Roman" w:eastAsia="仿宋" w:cs="Times New Roman"/>
          <w:color w:val="000000"/>
          <w:sz w:val="28"/>
          <w:szCs w:val="28"/>
          <w:lang w:val="en-US" w:eastAsia="zh-CN"/>
        </w:rPr>
        <w:t>及时将失信主体的法人和相关组织的行政处罚、司法判决、失信执行人等信息在公共信用信息服务平台、“信用中国”网站公示，为社会提供“一站式”查询服务。依法依规将相关经营主体列入严重违法失信名单并向社会公示，进一步提升信用监管威慑力。</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highlight w:val="none"/>
          <w:lang w:val="en-US" w:eastAsia="zh-CN"/>
        </w:rPr>
        <w:t>六、排查一批案件线索。</w:t>
      </w:r>
      <w:r>
        <w:rPr>
          <w:rFonts w:hint="default" w:ascii="Times New Roman" w:hAnsi="Times New Roman" w:eastAsia="仿宋" w:cs="Times New Roman"/>
          <w:color w:val="000000"/>
          <w:sz w:val="28"/>
          <w:szCs w:val="28"/>
          <w:lang w:val="en-US" w:eastAsia="zh-CN"/>
        </w:rPr>
        <w:t>将性质恶劣、情节严重、社会危害较大、受到市场监督管理部门较重行政处罚的经营主体，以及“屡禁不止、屡罚不改”经营主体，特别是近3年内受到10次以上行政处罚，且未获准信用修复的经营主体作为重点案件对象加强线索排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highlight w:val="none"/>
          <w:lang w:val="en-US" w:eastAsia="zh-CN"/>
        </w:rPr>
        <w:t>七、惩戒一批经营主体。</w:t>
      </w:r>
      <w:r>
        <w:rPr>
          <w:rFonts w:hint="default" w:ascii="Times New Roman" w:hAnsi="Times New Roman" w:eastAsia="仿宋" w:cs="Times New Roman"/>
          <w:color w:val="000000"/>
          <w:sz w:val="28"/>
          <w:szCs w:val="28"/>
          <w:lang w:val="en-US" w:eastAsia="zh-CN"/>
        </w:rPr>
        <w:t>在经营主体资质、资格审查时，将严重违法失信信息作为重要考量因素，对严重违法失信经营主体采取不适用告知承诺制、提高检查频次等措施依法严格监管，强化失信联合惩戒。</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八、加强日常监管与集中治理衔接联动。</w:t>
      </w:r>
      <w:r>
        <w:rPr>
          <w:rFonts w:hint="default" w:ascii="Times New Roman" w:hAnsi="Times New Roman" w:eastAsia="仿宋" w:cs="Times New Roman"/>
          <w:color w:val="000000"/>
          <w:sz w:val="28"/>
          <w:szCs w:val="28"/>
          <w:lang w:val="en-US" w:eastAsia="zh-CN"/>
        </w:rPr>
        <w:t>对严重违法失信名单企业法定代表人、主要负责人等，依法实施相关市场和行业禁入措施，遏制严重违法失信行为反复出现、异地出现等现象。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highlight w:val="none"/>
          <w:lang w:val="en-US" w:eastAsia="zh-CN"/>
        </w:rPr>
        <w:t>九、曝光一批典型案例。</w:t>
      </w:r>
      <w:r>
        <w:rPr>
          <w:rFonts w:hint="default" w:ascii="Times New Roman" w:hAnsi="Times New Roman" w:eastAsia="仿宋" w:cs="Times New Roman"/>
          <w:color w:val="000000"/>
          <w:sz w:val="28"/>
          <w:szCs w:val="28"/>
          <w:lang w:val="en-US" w:eastAsia="zh-CN"/>
        </w:rPr>
        <w:t>集中惩治一批“老赖”。针对近三年内多次纳入“严重失信主体名单”或多次受到行政处罚未纠正的经营主体和“老赖”建立失信专项治理台账，排查一批失信案件线索，惩戒一批失信经营主体，通过新闻媒体集中曝光严重违法失信典型案例、“屡禁不止、屡罚不改”经营主体信息等，形成强大声势和有力震慑，实现查处一案、警示一批、教育一片的效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highlight w:val="none"/>
          <w:lang w:val="en-US" w:eastAsia="zh-CN"/>
        </w:rPr>
        <w:t>十、加强诚信文化研究阐释。</w:t>
      </w:r>
      <w:r>
        <w:rPr>
          <w:rFonts w:hint="default" w:ascii="Times New Roman" w:hAnsi="Times New Roman" w:eastAsia="仿宋" w:cs="Times New Roman"/>
          <w:color w:val="000000"/>
          <w:sz w:val="28"/>
          <w:szCs w:val="28"/>
          <w:lang w:val="en-US" w:eastAsia="zh-CN"/>
        </w:rPr>
        <w:t>把弘扬诚信文化作为推进北疆文化建设、打造河套文化品牌的重要内容，深入挖掘乌拉特中旗在各民族交往交流交融中涌现的诚信典型、守望相助中体现的诚信品质、蒙古马精神和“三北精神”中包含的诚信追求、铸牢中华民族共同体意识中蕴含的诚信理念，有血有肉、生动鲜活地进行阐释，进一步把乌拉特中旗人守信践诺的基因激发出来。系统梳理中华优秀传统文化、革命文化、社会主义先进文化中蕴含的诚信价值理念，结合实施河套文化研究阐释工程，将诚信文化研究纳入社科规划和课题，推出一批有分量有价值有影响的研究成果。利用新时代文明实践中心、道德讲堂、文化讲堂、公益性文化单位等基层宣传文化阵地，经常性开展对象化、分众化、互动化宣讲。</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highlight w:val="none"/>
          <w:lang w:val="en-US" w:eastAsia="zh-CN"/>
        </w:rPr>
        <w:t>十一、加强诚信企业和品牌建设。</w:t>
      </w:r>
      <w:r>
        <w:rPr>
          <w:rFonts w:hint="default" w:ascii="Times New Roman" w:hAnsi="Times New Roman" w:eastAsia="仿宋" w:cs="Times New Roman"/>
          <w:color w:val="000000"/>
          <w:sz w:val="28"/>
          <w:szCs w:val="28"/>
          <w:lang w:val="en-US" w:eastAsia="zh-CN"/>
        </w:rPr>
        <w:t>打造一批诚信经营、守信践诺标杆企业和“蒙”字标品牌；建立完善诚信商户、企业、行业建设评价体系，完善企业信用记录；发布行业诚信信用倡议书；建立健全行业协会商会相关诚信自律制度。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highlight w:val="none"/>
          <w:lang w:val="en-US" w:eastAsia="zh-CN"/>
        </w:rPr>
        <w:t>十二、广泛开展诚信宣传教育。</w:t>
      </w:r>
      <w:r>
        <w:rPr>
          <w:rFonts w:hint="default" w:ascii="Times New Roman" w:hAnsi="Times New Roman" w:eastAsia="仿宋" w:cs="Times New Roman"/>
          <w:color w:val="000000"/>
          <w:sz w:val="28"/>
          <w:szCs w:val="28"/>
          <w:lang w:val="en-US" w:eastAsia="zh-CN"/>
        </w:rPr>
        <w:t>发挥新闻媒体和网络资源宣传引导和传播推广作用，在主流媒体和新闻网站开设专题专栏，持续开展“守信光荣、失信可耻”主题宣传。把诚实守信理念、信用政策法规有机融入日常工作生活场景，把诚信贯穿基础教育、职业技术教育等各领域，落实到教育教学和管理服务各环节。将诚信教育纳入“扣好人生第一粒扣子”主题实践活动，纳入教师职业道德教育和校园文化建设，纳入成人礼、毕业典礼等仪式当中。通过开展主题升旗仪式、主题班会、主题征文等方式，让诚信理念融入学生思想观念和行为日常。针对不同群体策划推出一批直抵人心的宣介作品，多用身边人、身边事教育干部群众，使知信、重信、守信成为全社会的自觉追求。积极开展诚信形象创建活动，在北疆楷模、道德模范、身边好人选树中加大诚信类典型选树力度，选树一批诚信经营、守信践诺标杆企业、诚信单位和诚信个人，用榜样的力量激励更多的人讲诚信、守信用。利用文明家庭、最美家庭、五好家庭、三八红旗手创建评选活动，常态化开展“家风家教话传承”主题宣传，将诚信教育融入家庭家教家风建设中。</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十三、加强模范典型宣传和志愿服务。</w:t>
      </w:r>
      <w:r>
        <w:rPr>
          <w:rFonts w:hint="default" w:ascii="Times New Roman" w:hAnsi="Times New Roman" w:eastAsia="仿宋" w:cs="Times New Roman"/>
          <w:color w:val="000000"/>
          <w:sz w:val="28"/>
          <w:szCs w:val="28"/>
          <w:lang w:val="en-US" w:eastAsia="zh-CN"/>
        </w:rPr>
        <w:t>完善典型发布制度，健全诚信典型会商机制。持续开展诚信典型进公园广场、街道社区、嘎查（村）、进各行各业“光荣榜”活动，加强典型宣传，让更多守信践诺、一诺千金的凡人善举走进群众中。深化拓展新时代文明实践志愿服务活动，组建志愿者队伍开展诚信宣传、基层治理、守信践诺等各类志愿服务活动，弘扬中华民族重信践诺的传统美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黑体" w:cs="Times New Roman"/>
          <w:b w:val="0"/>
          <w:bCs w:val="0"/>
          <w:color w:val="auto"/>
          <w:sz w:val="28"/>
          <w:szCs w:val="28"/>
          <w:lang w:val="en-US" w:eastAsia="zh-CN"/>
        </w:rPr>
        <w:t>十四、加强网络媒体诚信建设。</w:t>
      </w:r>
      <w:r>
        <w:rPr>
          <w:rFonts w:hint="default" w:ascii="Times New Roman" w:hAnsi="Times New Roman" w:eastAsia="仿宋" w:cs="Times New Roman"/>
          <w:b w:val="0"/>
          <w:bCs w:val="0"/>
          <w:color w:val="000000"/>
          <w:sz w:val="28"/>
          <w:szCs w:val="28"/>
          <w:lang w:val="en-US" w:eastAsia="zh-CN"/>
        </w:rPr>
        <w:t>注重运用网络资源，在各媒体、网站、微信公众号推送信用知识，传播诚信理念，筑牢诚信意识，弘扬网络诚信文化。加强媒体和互联网行业自律，建立完善内部诚信规范和管理机制。对借舆论监督之名实施敲诈勒索的假新闻、假记者、假媒体要及时发现、严肃查处，不断强化媒体公信力。发挥舆论监督作用，对反面典型案例进行曝光。</w:t>
      </w: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pStyle w:val="2"/>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keepNext w:val="0"/>
        <w:keepLines w:val="0"/>
        <w:pageBreakBefore w:val="0"/>
        <w:kinsoku/>
        <w:wordWrap/>
        <w:topLinePunct w:val="0"/>
        <w:autoSpaceDE/>
        <w:autoSpaceDN/>
        <w:bidi w:val="0"/>
        <w:spacing w:line="560" w:lineRule="exact"/>
        <w:jc w:val="both"/>
        <w:rPr>
          <w:rFonts w:hint="default" w:ascii="Times New Roman" w:hAnsi="Times New Roman" w:eastAsia="仿宋" w:cs="Times New Roman"/>
          <w:b w:val="0"/>
          <w:bCs w:val="0"/>
          <w:color w:val="000000"/>
          <w:sz w:val="28"/>
          <w:szCs w:val="28"/>
          <w:lang w:val="en-US" w:eastAsia="zh-CN"/>
        </w:rPr>
      </w:pPr>
    </w:p>
    <w:p>
      <w:pPr>
        <w:pStyle w:val="2"/>
        <w:rPr>
          <w:rFonts w:hint="default"/>
          <w:lang w:val="en-US" w:eastAsia="zh-CN"/>
        </w:rPr>
      </w:pPr>
    </w:p>
    <w:p>
      <w:pPr>
        <w:keepNext w:val="0"/>
        <w:keepLines w:val="0"/>
        <w:pageBreakBefore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附件4</w:t>
      </w:r>
    </w:p>
    <w:p>
      <w:pPr>
        <w:keepNext w:val="0"/>
        <w:keepLines w:val="0"/>
        <w:pageBreakBefore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8"/>
          <w:lang w:eastAsia="zh-CN"/>
        </w:rPr>
      </w:pPr>
    </w:p>
    <w:p>
      <w:pPr>
        <w:keepNext w:val="0"/>
        <w:keepLines w:val="0"/>
        <w:pageBreakBefore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0"/>
          <w:szCs w:val="48"/>
          <w:lang w:val="en-US" w:eastAsia="zh-CN"/>
        </w:rPr>
      </w:pPr>
      <w:r>
        <w:rPr>
          <w:rFonts w:hint="default" w:ascii="Times New Roman" w:hAnsi="Times New Roman" w:eastAsia="方正小标宋简体" w:cs="Times New Roman"/>
          <w:b w:val="0"/>
          <w:bCs w:val="0"/>
          <w:sz w:val="40"/>
          <w:szCs w:val="48"/>
          <w:lang w:eastAsia="zh-CN"/>
        </w:rPr>
        <w:t>司法公信建设</w:t>
      </w:r>
      <w:r>
        <w:rPr>
          <w:rFonts w:hint="default" w:ascii="Times New Roman" w:hAnsi="Times New Roman" w:eastAsia="方正小标宋简体" w:cs="Times New Roman"/>
          <w:b w:val="0"/>
          <w:bCs w:val="0"/>
          <w:sz w:val="40"/>
          <w:szCs w:val="48"/>
          <w:lang w:val="en-US" w:eastAsia="zh-CN"/>
        </w:rPr>
        <w:t>任务落实</w:t>
      </w:r>
    </w:p>
    <w:p>
      <w:pPr>
        <w:keepNext w:val="0"/>
        <w:keepLines w:val="0"/>
        <w:pageBreakBefore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0"/>
          <w:szCs w:val="48"/>
          <w:lang w:eastAsia="zh-CN"/>
        </w:rPr>
      </w:pPr>
      <w:r>
        <w:rPr>
          <w:rFonts w:hint="default" w:ascii="Times New Roman" w:hAnsi="Times New Roman" w:eastAsia="方正小标宋简体" w:cs="Times New Roman"/>
          <w:b w:val="0"/>
          <w:bCs w:val="0"/>
          <w:sz w:val="40"/>
          <w:szCs w:val="48"/>
          <w:lang w:eastAsia="zh-CN"/>
        </w:rPr>
        <w:t>举措</w:t>
      </w:r>
    </w:p>
    <w:p>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楷体" w:cs="Times New Roman"/>
          <w:b/>
          <w:bCs/>
          <w:color w:val="auto"/>
          <w:kern w:val="2"/>
          <w:sz w:val="28"/>
          <w:szCs w:val="28"/>
          <w:highlight w:val="no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kern w:val="2"/>
          <w:sz w:val="28"/>
          <w:szCs w:val="28"/>
          <w:lang w:val="en-US" w:eastAsia="zh-CN" w:bidi="ar-SA"/>
        </w:rPr>
        <w:t>一、</w:t>
      </w:r>
      <w:r>
        <w:rPr>
          <w:rFonts w:hint="default" w:ascii="Times New Roman" w:hAnsi="Times New Roman" w:eastAsia="黑体" w:cs="Times New Roman"/>
          <w:b w:val="0"/>
          <w:bCs w:val="0"/>
          <w:snapToGrid w:val="0"/>
          <w:color w:val="000000"/>
          <w:kern w:val="0"/>
          <w:sz w:val="28"/>
          <w:szCs w:val="28"/>
          <w:lang w:val="en-US" w:eastAsia="zh-CN"/>
        </w:rPr>
        <w:t>推动执法司法信息应公开、尽公开。</w:t>
      </w:r>
      <w:r>
        <w:rPr>
          <w:rFonts w:hint="default" w:ascii="Times New Roman" w:hAnsi="Times New Roman" w:eastAsia="仿宋" w:cs="Times New Roman"/>
          <w:color w:val="000000"/>
          <w:sz w:val="28"/>
          <w:szCs w:val="28"/>
          <w:lang w:val="en-US" w:eastAsia="zh-CN"/>
        </w:rPr>
        <w:t>深化执法司法流程信息公开，进一步拓宽执法司法信息公开网上查询渠道，完善网上查询、“点对点”推送等司法公开便民举措，建立信息公开情况巡查通报机制。规范人民陪审员、人民监督员、特邀监督员选拔任用、履职保障、考核评价工作，常态化开展“开放日”、“接待日”活动，主动接受社会各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kern w:val="2"/>
          <w:sz w:val="28"/>
          <w:szCs w:val="28"/>
          <w:lang w:val="en-US" w:eastAsia="zh-CN" w:bidi="ar-SA"/>
        </w:rPr>
        <w:t>二、建立执法司法质量分析机制。</w:t>
      </w:r>
      <w:r>
        <w:rPr>
          <w:rFonts w:hint="default" w:ascii="Times New Roman" w:hAnsi="Times New Roman" w:eastAsia="仿宋" w:cs="Times New Roman"/>
          <w:color w:val="000000"/>
          <w:sz w:val="28"/>
          <w:szCs w:val="28"/>
          <w:lang w:val="en-US" w:eastAsia="zh-CN"/>
        </w:rPr>
        <w:t>加强旗委政法委执法监督、检察机关法律监督、人大监督与纪检监察监督衔接，常态化开展执法司法检查，推深做实案件评查工作。旗委政法委按季汇总执法办案主要业务数据，定期组织政法单位分析研判执法司法质量状况，完善办案质效考评体系。开展全旗公安机关生态环境、食品药品刑事案件评查，定期分析公安交管执法质量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kern w:val="2"/>
          <w:sz w:val="28"/>
          <w:szCs w:val="28"/>
          <w:lang w:val="en-US" w:eastAsia="zh-CN" w:bidi="ar-SA"/>
        </w:rPr>
        <w:t>三、依法公正办理涉企案件。</w:t>
      </w:r>
      <w:r>
        <w:rPr>
          <w:rFonts w:hint="default" w:ascii="Times New Roman" w:hAnsi="Times New Roman" w:eastAsia="仿宋" w:cs="Times New Roman"/>
          <w:color w:val="000000"/>
          <w:sz w:val="28"/>
          <w:szCs w:val="28"/>
          <w:lang w:val="en-US" w:eastAsia="zh-CN"/>
        </w:rPr>
        <w:t>依法平等保护各类经营主体，组织开展超权限、超范围、超数额、超时限查封、扣押、冻结问题专项检查。全面准确贯彻宽严相济刑事政策，开展“检察护企”专项行动，对全旗涉企经济犯罪案件开展立案、撤案专项监督，开展重点案件专项评查。开展刑事“挂案”专项清理，对滞留在侦查阶段的涉企“挂案”逐案督办清理。深化涉案企业合规改革，助力民营企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color w:val="auto"/>
          <w:kern w:val="2"/>
          <w:sz w:val="28"/>
          <w:szCs w:val="28"/>
          <w:lang w:val="en-US" w:eastAsia="zh-CN" w:bidi="ar-SA"/>
        </w:rPr>
        <w:t>四、严厉打击涉知识产权和假冒伪劣违法犯罪。</w:t>
      </w:r>
      <w:r>
        <w:rPr>
          <w:rFonts w:hint="default" w:ascii="Times New Roman" w:hAnsi="Times New Roman" w:eastAsia="仿宋" w:cs="Times New Roman"/>
          <w:color w:val="000000"/>
          <w:sz w:val="28"/>
          <w:szCs w:val="28"/>
          <w:lang w:val="en-US" w:eastAsia="zh-CN"/>
        </w:rPr>
        <w:t>坚持源头治理，深化部门间联动协同，形成打击治理合力，持续依法严厉打击知识产权领域违法犯罪。强化知识产权综合性司法保护，持续开展知识产权保护专项行动，加强对“鸿雁故乡乌拉特中旗”、“乌拉特味道”、“乌拉特礼物”地理标志产品的司法保护力度，提升种业知识产权保护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lang w:val="en-US" w:eastAsia="zh-CN" w:bidi="ar-SA"/>
        </w:rPr>
        <w:t>五、</w:t>
      </w:r>
      <w:r>
        <w:rPr>
          <w:rFonts w:hint="default" w:ascii="Times New Roman" w:hAnsi="Times New Roman" w:eastAsia="黑体" w:cs="Times New Roman"/>
          <w:b w:val="0"/>
          <w:bCs w:val="0"/>
          <w:snapToGrid w:val="0"/>
          <w:color w:val="000000"/>
          <w:kern w:val="0"/>
          <w:sz w:val="28"/>
          <w:szCs w:val="28"/>
          <w:highlight w:val="none"/>
          <w:lang w:val="en-US" w:eastAsia="zh-CN"/>
        </w:rPr>
        <w:t>建立联合防范惩治虚假诉讼</w:t>
      </w:r>
      <w:r>
        <w:rPr>
          <w:rFonts w:hint="default" w:ascii="Times New Roman" w:hAnsi="Times New Roman" w:eastAsia="黑体" w:cs="Times New Roman"/>
          <w:b w:val="0"/>
          <w:bCs w:val="0"/>
          <w:snapToGrid w:val="0"/>
          <w:color w:val="000000"/>
          <w:kern w:val="0"/>
          <w:sz w:val="28"/>
          <w:szCs w:val="28"/>
          <w:lang w:val="en-US" w:eastAsia="zh-CN"/>
        </w:rPr>
        <w:t>工作机制。</w:t>
      </w:r>
      <w:r>
        <w:rPr>
          <w:rFonts w:hint="default" w:ascii="Times New Roman" w:hAnsi="Times New Roman" w:eastAsia="仿宋" w:cs="Times New Roman"/>
          <w:color w:val="000000"/>
          <w:sz w:val="28"/>
          <w:szCs w:val="28"/>
          <w:lang w:val="en-US" w:eastAsia="zh-CN"/>
        </w:rPr>
        <w:t>建立健全虚假诉讼案件甄别筛查机制和联动机制，形成打击合力。进一步强化审判监督，统一裁判标准，完善工作机制，提高对虚假诉讼的甄别判断能力，加大惩治力度。开展检察系统“深化虚假诉讼监督，营造诚信社会环境”专项活动。严厉打击通过恶意诉讼、虚假诉讼谋取不正当利益的违法犯罪行为，持续发布典型案例，切实做好警示教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lang w:val="en-US" w:eastAsia="zh-CN" w:bidi="ar-SA"/>
        </w:rPr>
        <w:t>六、</w:t>
      </w:r>
      <w:r>
        <w:rPr>
          <w:rFonts w:hint="default" w:ascii="Times New Roman" w:hAnsi="Times New Roman" w:eastAsia="黑体" w:cs="Times New Roman"/>
          <w:b w:val="0"/>
          <w:bCs w:val="0"/>
          <w:snapToGrid w:val="0"/>
          <w:color w:val="000000"/>
          <w:kern w:val="0"/>
          <w:sz w:val="28"/>
          <w:szCs w:val="28"/>
          <w:highlight w:val="none"/>
          <w:lang w:val="en-US" w:eastAsia="zh-CN"/>
        </w:rPr>
        <w:t>强化对司法工作人员的监督。</w:t>
      </w:r>
      <w:r>
        <w:rPr>
          <w:rFonts w:hint="default" w:ascii="Times New Roman" w:hAnsi="Times New Roman" w:eastAsia="仿宋" w:cs="Times New Roman"/>
          <w:color w:val="000000"/>
          <w:sz w:val="28"/>
          <w:szCs w:val="28"/>
          <w:lang w:val="en-US" w:eastAsia="zh-CN"/>
        </w:rPr>
        <w:t>常态化开展执行防止干预司法“三个规定”督查，认真核查插手过问案件线索。完善办案质量终身负责制、错案责任倒查问责制和法官、检察官惩戒制度，构建科学合理、规范有序、权责一致的司法权力运行机制。完善司法工作人员离任审批监管，落实司法工作人员近亲属“禁业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lang w:val="en-US" w:eastAsia="zh-CN" w:bidi="ar-SA"/>
        </w:rPr>
        <w:t>七、</w:t>
      </w:r>
      <w:r>
        <w:rPr>
          <w:rFonts w:hint="default" w:ascii="Times New Roman" w:hAnsi="Times New Roman" w:eastAsia="黑体" w:cs="Times New Roman"/>
          <w:b w:val="0"/>
          <w:bCs w:val="0"/>
          <w:snapToGrid w:val="0"/>
          <w:color w:val="000000"/>
          <w:kern w:val="0"/>
          <w:sz w:val="28"/>
          <w:szCs w:val="28"/>
          <w:highlight w:val="none"/>
          <w:lang w:val="en-US" w:eastAsia="zh-CN"/>
        </w:rPr>
        <w:t>开展重点领域执行攻坚。</w:t>
      </w:r>
      <w:r>
        <w:rPr>
          <w:rFonts w:hint="default" w:ascii="Times New Roman" w:hAnsi="Times New Roman" w:eastAsia="仿宋" w:cs="Times New Roman"/>
          <w:color w:val="000000"/>
          <w:sz w:val="28"/>
          <w:szCs w:val="28"/>
          <w:lang w:val="en-US" w:eastAsia="zh-CN"/>
        </w:rPr>
        <w:t>推动落实自治区党委政法委、高级人民法院、人民检察院、公安厅联合印发的《</w:t>
      </w:r>
      <w:r>
        <w:rPr>
          <w:rFonts w:hint="default" w:ascii="Times New Roman" w:hAnsi="Times New Roman" w:eastAsia="仿宋" w:cs="Times New Roman"/>
          <w:color w:val="000000"/>
          <w:sz w:val="28"/>
          <w:szCs w:val="28"/>
          <w:lang w:val="en" w:eastAsia="zh-CN"/>
        </w:rPr>
        <w:t>关于依法加强和规范公安机关协助人民法院开展执行工作的意见</w:t>
      </w:r>
      <w:r>
        <w:rPr>
          <w:rFonts w:hint="default" w:ascii="Times New Roman" w:hAnsi="Times New Roman" w:eastAsia="仿宋" w:cs="Times New Roman"/>
          <w:color w:val="000000"/>
          <w:sz w:val="28"/>
          <w:szCs w:val="28"/>
          <w:lang w:val="en-US" w:eastAsia="zh-CN"/>
        </w:rPr>
        <w:t>》（内党政法通字〔2023〕62号）精神，加强执行联动机制建设，加大涉执行信息共享力度。深入开展涉府、涉企、涉民生、涉金融案件执行专项行动，提升生效裁判执行到位率，坚决维护当事人胜诉权益。充分发挥执行指挥中心实体化作用，提升执行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黑体" w:cs="Times New Roman"/>
          <w:b w:val="0"/>
          <w:bCs w:val="0"/>
          <w:snapToGrid w:val="0"/>
          <w:color w:val="000000"/>
          <w:kern w:val="0"/>
          <w:sz w:val="28"/>
          <w:szCs w:val="28"/>
          <w:lang w:val="en-US" w:eastAsia="zh-CN" w:bidi="ar-SA"/>
        </w:rPr>
        <w:t>八、</w:t>
      </w:r>
      <w:r>
        <w:rPr>
          <w:rFonts w:hint="default" w:ascii="Times New Roman" w:hAnsi="Times New Roman" w:eastAsia="黑体" w:cs="Times New Roman"/>
          <w:b w:val="0"/>
          <w:bCs w:val="0"/>
          <w:snapToGrid w:val="0"/>
          <w:color w:val="000000"/>
          <w:kern w:val="0"/>
          <w:sz w:val="28"/>
          <w:szCs w:val="28"/>
          <w:highlight w:val="none"/>
          <w:lang w:val="en-US" w:eastAsia="zh-CN"/>
        </w:rPr>
        <w:t>严厉打击拒执违法犯罪。</w:t>
      </w:r>
      <w:r>
        <w:rPr>
          <w:rFonts w:hint="default" w:ascii="Times New Roman" w:hAnsi="Times New Roman" w:eastAsia="仿宋" w:cs="Times New Roman"/>
          <w:color w:val="000000"/>
          <w:sz w:val="28"/>
          <w:szCs w:val="28"/>
          <w:lang w:val="en-US" w:eastAsia="zh-CN"/>
        </w:rPr>
        <w:t>开展“强化涉企执行监督 持续优化营商环境”专项活动，办理一批执行领域维护民营企业合法权益的典型案件。开展“两项监督”专项行动，加大对公安机关查办拒执犯罪有案不立、久侦不结等突出问题的监督力度。重拳打击恶意逃避、抗拒执行的“老赖”，严肃查办消极执行、违法执行问题，切实提高执行到位率，及时兑现当事人胜诉利益，严厉查处人民法院执行领域背后的司法人员职务犯罪。</w:t>
      </w:r>
    </w:p>
    <w:p>
      <w:pPr>
        <w:pStyle w:val="2"/>
        <w:keepNext w:val="0"/>
        <w:keepLines w:val="0"/>
        <w:pageBreakBefore w:val="0"/>
        <w:kinsoku/>
        <w:wordWrap/>
        <w:topLinePunct w:val="0"/>
        <w:autoSpaceDE/>
        <w:autoSpaceDN/>
        <w:bidi w:val="0"/>
        <w:spacing w:line="560" w:lineRule="exact"/>
        <w:jc w:val="both"/>
        <w:rPr>
          <w:rFonts w:hint="eastAsia"/>
          <w:b w:val="0"/>
          <w:bCs w:val="0"/>
          <w:sz w:val="44"/>
          <w:szCs w:val="44"/>
          <w:lang w:eastAsia="zh-CN"/>
        </w:rPr>
      </w:pPr>
      <w:r>
        <w:rPr>
          <w:rFonts w:hint="default" w:ascii="Times New Roman" w:hAnsi="Times New Roman" w:eastAsia="黑体" w:cs="Times New Roman"/>
          <w:b w:val="0"/>
          <w:bCs w:val="0"/>
          <w:snapToGrid w:val="0"/>
          <w:color w:val="000000"/>
          <w:kern w:val="0"/>
          <w:sz w:val="28"/>
          <w:szCs w:val="28"/>
          <w:lang w:val="en-US" w:eastAsia="zh-CN" w:bidi="ar-SA"/>
        </w:rPr>
        <w:t>九、</w:t>
      </w:r>
      <w:r>
        <w:rPr>
          <w:rFonts w:hint="default" w:ascii="Times New Roman" w:hAnsi="Times New Roman" w:eastAsia="黑体" w:cs="Times New Roman"/>
          <w:b w:val="0"/>
          <w:bCs w:val="0"/>
          <w:snapToGrid w:val="0"/>
          <w:color w:val="000000"/>
          <w:kern w:val="0"/>
          <w:sz w:val="28"/>
          <w:szCs w:val="28"/>
          <w:lang w:val="en-US" w:eastAsia="zh-CN"/>
        </w:rPr>
        <w:t>整顿规范法律服务行业。</w:t>
      </w:r>
      <w:r>
        <w:rPr>
          <w:rFonts w:hint="default" w:ascii="Times New Roman" w:hAnsi="Times New Roman" w:eastAsia="仿宋" w:cs="Times New Roman"/>
          <w:b w:val="0"/>
          <w:bCs w:val="0"/>
          <w:color w:val="000000"/>
          <w:sz w:val="28"/>
          <w:szCs w:val="28"/>
          <w:lang w:val="en-US" w:eastAsia="zh-CN"/>
        </w:rPr>
        <w:t>定期公布律师执业信息，将诚实守信作为律师考核的重要内容；制定《乌拉特中旗公证行业领域信用承诺制度》，对公证机构进行依法科学监管；同时落实行业失信“黑名单”制度，定期向社会发布执业（信用）信息和考核信息，并向旗人民法院、人民检察院、公安机关、市场监管部门等推送，依法整治违法违规执业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28"/>
          <w:szCs w:val="28"/>
          <w:u w:val="none"/>
          <w:lang w:eastAsia="zh-CN"/>
        </w:rPr>
      </w:pPr>
    </w:p>
    <w:p>
      <w:pPr>
        <w:keepNext w:val="0"/>
        <w:keepLines w:val="0"/>
        <w:pageBreakBefore w:val="0"/>
        <w:tabs>
          <w:tab w:val="left" w:pos="2940"/>
        </w:tabs>
        <w:kinsoku/>
        <w:wordWrap/>
        <w:topLinePunct w:val="0"/>
        <w:autoSpaceDE/>
        <w:autoSpaceDN/>
        <w:bidi w:val="0"/>
        <w:spacing w:line="560" w:lineRule="exact"/>
        <w:jc w:val="both"/>
        <w:rPr>
          <w:rFonts w:hint="eastAsia" w:ascii="仿宋" w:hAnsi="仿宋" w:eastAsia="仿宋" w:cs="仿宋"/>
          <w:kern w:val="1"/>
          <w:sz w:val="28"/>
          <w:szCs w:val="28"/>
        </w:rPr>
      </w:pPr>
    </w:p>
    <w:sectPr>
      <w:headerReference r:id="rId3" w:type="default"/>
      <w:footerReference r:id="rId5" w:type="default"/>
      <w:headerReference r:id="rId4" w:type="even"/>
      <w:footerReference r:id="rId6" w:type="even"/>
      <w:pgSz w:w="11906" w:h="16838"/>
      <w:pgMar w:top="1440" w:right="1133" w:bottom="1440" w:left="1440" w:header="851" w:footer="992" w:gutter="0"/>
      <w:pgNumType w:fmt="numberInDash" w:start="3"/>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3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BOSheDoAQAA&#10;yQMAAA4AAAAAAAAAAQAgAAAAHwEAAGRycy9lMm9Eb2MueG1sUEsFBgAAAAAGAAYAWQEAAHkFAAAA&#10;AA==&#10;">
              <v:fill on="f" focussize="0,0"/>
              <v:stroke on="f" weight="0.5pt"/>
              <v:imagedata o:title=""/>
              <o:lock v:ext="edit" aspectratio="f"/>
              <v:textbox inset="0mm,0mm,0mm,0mm" style="mso-fit-shape-to-text:t;">
                <w:txbxContent>
                  <w:p>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3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Iocpd7oAQAA&#10;yQMAAA4AAAAAAAAAAQAgAAAAHwEAAGRycy9lMm9Eb2MueG1sUEsFBgAAAAAGAAYAWQEAAHkFAAAA&#10;AA==&#10;">
              <v:fill on="f" focussize="0,0"/>
              <v:stroke on="f" weight="0.5pt"/>
              <v:imagedata o:title=""/>
              <o:lock v:ext="edit" aspectratio="f"/>
              <v:textbox inset="0mm,0mm,0mm,0mm" style="mso-fit-shape-to-text:t;">
                <w:txbxContent>
                  <w:p>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jc w:val="both"/>
    </w:pPr>
    <w:r>
      <w:rPr>
        <w:sz w:val="18"/>
      </w:rPr>
      <mc:AlternateContent>
        <mc:Choice Requires="wps">
          <w:drawing>
            <wp:anchor distT="0" distB="0" distL="114300" distR="114300" simplePos="0" relativeHeight="251664384" behindDoc="0" locked="0" layoutInCell="1" allowOverlap="1">
              <wp:simplePos x="0" y="0"/>
              <wp:positionH relativeFrom="column">
                <wp:posOffset>1643380</wp:posOffset>
              </wp:positionH>
              <wp:positionV relativeFrom="paragraph">
                <wp:posOffset>-198120</wp:posOffset>
              </wp:positionV>
              <wp:extent cx="2638425" cy="361950"/>
              <wp:effectExtent l="0" t="0" r="9525" b="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4384;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pPr>
                              <w:jc w:val="center"/>
                              <w:rPr>
                                <w:rFonts w:ascii="黑体" w:hAnsi="黑体" w:eastAsia="黑体"/>
                                <w:color w:val="000000"/>
                                <w:sz w:val="18"/>
                                <w:szCs w:val="18"/>
                              </w:rPr>
                            </w:pPr>
                          </w:p>
                          <w:p>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pPr>
                              <w:jc w:val="center"/>
                              <w:rPr>
                                <w:rFonts w:ascii="黑体" w:hAnsi="黑体" w:eastAsia="黑体"/>
                                <w:color w:val="000000"/>
                                <w:sz w:val="18"/>
                                <w:szCs w:val="18"/>
                              </w:rPr>
                            </w:pPr>
                          </w:p>
                          <w:p>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5408;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pPr>
                        <w:jc w:val="center"/>
                        <w:rPr>
                          <w:rFonts w:ascii="黑体" w:hAnsi="黑体" w:eastAsia="黑体"/>
                          <w:color w:val="000000"/>
                          <w:sz w:val="18"/>
                          <w:szCs w:val="18"/>
                        </w:rPr>
                      </w:pPr>
                    </w:p>
                    <w:p>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pPr>
                        <w:jc w:val="center"/>
                        <w:rPr>
                          <w:rFonts w:ascii="黑体" w:hAnsi="黑体" w:eastAsia="黑体"/>
                          <w:color w:val="000000"/>
                          <w:sz w:val="18"/>
                          <w:szCs w:val="18"/>
                        </w:rPr>
                      </w:pPr>
                    </w:p>
                    <w:p>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4389755</wp:posOffset>
              </wp:positionH>
              <wp:positionV relativeFrom="paragraph">
                <wp:posOffset>-158750</wp:posOffset>
              </wp:positionV>
              <wp:extent cx="1533525" cy="295275"/>
              <wp:effectExtent l="0" t="0" r="952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3360;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-149860</wp:posOffset>
              </wp:positionV>
              <wp:extent cx="1533525" cy="295275"/>
              <wp:effectExtent l="0" t="0" r="952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1.8pt;height:23.25pt;width:120.75pt;z-index:251661312;mso-width-relative:page;mso-height-relative:page;" fillcolor="#FFFFFF" filled="t" stroked="f" coordsize="21600,21600" arcsize="0.166666666666667" o:gfxdata="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C+Y/PWAAAACQ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9504" behindDoc="0" locked="0" layoutInCell="1" allowOverlap="1">
              <wp:simplePos x="0" y="0"/>
              <wp:positionH relativeFrom="column">
                <wp:posOffset>1612265</wp:posOffset>
              </wp:positionH>
              <wp:positionV relativeFrom="paragraph">
                <wp:posOffset>-178435</wp:posOffset>
              </wp:positionV>
              <wp:extent cx="2638425" cy="361950"/>
              <wp:effectExtent l="0" t="0" r="9525" b="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9504;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4345940</wp:posOffset>
              </wp:positionH>
              <wp:positionV relativeFrom="paragraph">
                <wp:posOffset>-178435</wp:posOffset>
              </wp:positionV>
              <wp:extent cx="1533525" cy="295275"/>
              <wp:effectExtent l="0" t="0" r="952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8480;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-26035</wp:posOffset>
              </wp:positionH>
              <wp:positionV relativeFrom="paragraph">
                <wp:posOffset>-111760</wp:posOffset>
              </wp:positionV>
              <wp:extent cx="1533525" cy="295275"/>
              <wp:effectExtent l="0" t="0" r="952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8.8pt;height:23.25pt;width:120.75pt;z-index:251667456;mso-width-relative:page;mso-height-relative:page;" fillcolor="#FFFFFF" filled="t" stroked="f" coordsize="21600,21600" arcsize="0.166666666666667" o:gfxdata="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LrH5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6432;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txbxContent>
                      </wps:txbx>
                      <wps:bodyPr wrap="square" upright="1"/>
                    </wps:wsp>
                  </wpg:wgp>
                </a:graphicData>
              </a:graphic>
            </wp:anchor>
          </w:drawing>
        </mc:Choice>
        <mc:Fallback>
          <w:pict>
            <v:group id="组合 104" o:spid="_x0000_s1026" o:spt="203" style="position:absolute;left:0pt;margin-left:-6.3pt;margin-top:-10.1pt;height:28.5pt;width:465pt;z-index:251662336;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txbxContent>
                </v:textbox>
              </v:rect>
            </v:group>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3285C9B"/>
    <w:rsid w:val="039B42CF"/>
    <w:rsid w:val="098B1157"/>
    <w:rsid w:val="09B94621"/>
    <w:rsid w:val="09CE2321"/>
    <w:rsid w:val="09CF664A"/>
    <w:rsid w:val="0E3A032A"/>
    <w:rsid w:val="104F1498"/>
    <w:rsid w:val="1CCC144B"/>
    <w:rsid w:val="1E1E0B0B"/>
    <w:rsid w:val="20590731"/>
    <w:rsid w:val="25CD6CB7"/>
    <w:rsid w:val="292626A9"/>
    <w:rsid w:val="29FF1C2C"/>
    <w:rsid w:val="2A3D679D"/>
    <w:rsid w:val="349A20CB"/>
    <w:rsid w:val="379A0A21"/>
    <w:rsid w:val="3826164C"/>
    <w:rsid w:val="39C0599D"/>
    <w:rsid w:val="3A0412A2"/>
    <w:rsid w:val="3A292263"/>
    <w:rsid w:val="3C4C328A"/>
    <w:rsid w:val="3E6D5958"/>
    <w:rsid w:val="454D1D46"/>
    <w:rsid w:val="46332C0E"/>
    <w:rsid w:val="468537BA"/>
    <w:rsid w:val="481C41A8"/>
    <w:rsid w:val="48F97AF3"/>
    <w:rsid w:val="4ADB7FDD"/>
    <w:rsid w:val="4BB86745"/>
    <w:rsid w:val="4BD0737E"/>
    <w:rsid w:val="53C93E8E"/>
    <w:rsid w:val="548A665D"/>
    <w:rsid w:val="55B92655"/>
    <w:rsid w:val="59102208"/>
    <w:rsid w:val="5DCA4AFF"/>
    <w:rsid w:val="64B231A6"/>
    <w:rsid w:val="6524223A"/>
    <w:rsid w:val="66D333F9"/>
    <w:rsid w:val="685B2C84"/>
    <w:rsid w:val="698F53F7"/>
    <w:rsid w:val="6BD65BFE"/>
    <w:rsid w:val="6C10674B"/>
    <w:rsid w:val="6D064B7D"/>
    <w:rsid w:val="73AC698A"/>
    <w:rsid w:val="74226C60"/>
    <w:rsid w:val="74DE3FE9"/>
    <w:rsid w:val="77DA7881"/>
    <w:rsid w:val="7C3D6665"/>
    <w:rsid w:val="7C750F6B"/>
    <w:rsid w:val="7D6A29F9"/>
    <w:rsid w:val="7D8F5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2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4">
    <w:name w:val="Body Text"/>
    <w:basedOn w:val="1"/>
    <w:next w:val="5"/>
    <w:qFormat/>
    <w:uiPriority w:val="0"/>
    <w:pPr>
      <w:spacing w:after="120"/>
    </w:p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Plain Text"/>
    <w:basedOn w:val="1"/>
    <w:link w:val="21"/>
    <w:unhideWhenUsed/>
    <w:qFormat/>
    <w:uiPriority w:val="99"/>
    <w:pPr>
      <w:widowControl/>
      <w:spacing w:before="100" w:beforeAutospacing="1" w:after="100" w:afterAutospacing="1"/>
      <w:jc w:val="left"/>
    </w:pPr>
    <w:rPr>
      <w:rFonts w:ascii="宋体" w:hAnsi="宋体" w:cs="宋体"/>
      <w:kern w:val="0"/>
      <w:sz w:val="24"/>
    </w:rPr>
  </w:style>
  <w:style w:type="paragraph" w:styleId="7">
    <w:name w:val="Date"/>
    <w:basedOn w:val="1"/>
    <w:next w:val="1"/>
    <w:link w:val="22"/>
    <w:unhideWhenUsed/>
    <w:qFormat/>
    <w:uiPriority w:val="0"/>
    <w:pPr>
      <w:ind w:left="100" w:leftChars="2500"/>
    </w:pPr>
  </w:style>
  <w:style w:type="paragraph" w:styleId="8">
    <w:name w:val="Body Text Indent 2"/>
    <w:basedOn w:val="1"/>
    <w:unhideWhenUsed/>
    <w:qFormat/>
    <w:uiPriority w:val="99"/>
    <w:pPr>
      <w:spacing w:after="120" w:line="480" w:lineRule="auto"/>
      <w:ind w:left="420" w:leftChars="200"/>
    </w:pPr>
  </w:style>
  <w:style w:type="paragraph" w:styleId="9">
    <w:name w:val="Balloon Text"/>
    <w:basedOn w:val="1"/>
    <w:link w:val="23"/>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link w:val="26"/>
    <w:qFormat/>
    <w:uiPriority w:val="0"/>
    <w:pPr>
      <w:ind w:firstLine="780"/>
    </w:pPr>
    <w:rPr>
      <w:rFonts w:ascii="黑体" w:eastAsia="黑体"/>
    </w:rPr>
  </w:style>
  <w:style w:type="paragraph" w:styleId="13">
    <w:name w:val="toc 2"/>
    <w:basedOn w:val="1"/>
    <w:next w:val="1"/>
    <w:link w:val="27"/>
    <w:unhideWhenUsed/>
    <w:qFormat/>
    <w:uiPriority w:val="39"/>
    <w:pPr>
      <w:tabs>
        <w:tab w:val="right" w:leader="dot" w:pos="8296"/>
      </w:tabs>
      <w:spacing w:line="560" w:lineRule="exact"/>
      <w:ind w:firstLine="560"/>
      <w:jc w:val="left"/>
    </w:pPr>
    <w:rPr>
      <w:rFonts w:eastAsia="宋体" w:cs="Mongolian Baiti"/>
      <w:sz w:val="21"/>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uiPriority w:val="0"/>
    <w:rPr>
      <w:b/>
      <w:bCs/>
    </w:rPr>
  </w:style>
  <w:style w:type="character" w:styleId="19">
    <w:name w:val="Hyperlink"/>
    <w:basedOn w:val="17"/>
    <w:unhideWhenUsed/>
    <w:qFormat/>
    <w:uiPriority w:val="0"/>
    <w:rPr>
      <w:color w:val="0000FF"/>
      <w:u w:val="single"/>
    </w:rPr>
  </w:style>
  <w:style w:type="character" w:customStyle="1" w:styleId="20">
    <w:name w:val="标题 1 Char"/>
    <w:basedOn w:val="17"/>
    <w:link w:val="2"/>
    <w:qFormat/>
    <w:uiPriority w:val="0"/>
    <w:rPr>
      <w:rFonts w:ascii="宋体" w:hAnsi="宋体" w:cs="宋体"/>
      <w:b/>
      <w:bCs/>
      <w:kern w:val="36"/>
      <w:sz w:val="48"/>
      <w:szCs w:val="48"/>
    </w:rPr>
  </w:style>
  <w:style w:type="character" w:customStyle="1" w:styleId="21">
    <w:name w:val="纯文本 Char"/>
    <w:basedOn w:val="17"/>
    <w:link w:val="6"/>
    <w:qFormat/>
    <w:uiPriority w:val="99"/>
    <w:rPr>
      <w:rFonts w:ascii="宋体" w:hAnsi="宋体" w:cs="宋体"/>
      <w:sz w:val="24"/>
      <w:szCs w:val="22"/>
    </w:rPr>
  </w:style>
  <w:style w:type="character" w:customStyle="1" w:styleId="22">
    <w:name w:val="日期 Char"/>
    <w:basedOn w:val="17"/>
    <w:link w:val="7"/>
    <w:semiHidden/>
    <w:qFormat/>
    <w:uiPriority w:val="0"/>
    <w:rPr>
      <w:rFonts w:ascii="Calibri" w:hAnsi="Calibri" w:cs="黑体"/>
      <w:kern w:val="2"/>
      <w:sz w:val="21"/>
      <w:szCs w:val="22"/>
    </w:rPr>
  </w:style>
  <w:style w:type="character" w:customStyle="1" w:styleId="23">
    <w:name w:val="批注框文本 Char"/>
    <w:basedOn w:val="17"/>
    <w:link w:val="9"/>
    <w:semiHidden/>
    <w:qFormat/>
    <w:uiPriority w:val="99"/>
    <w:rPr>
      <w:sz w:val="18"/>
      <w:szCs w:val="18"/>
    </w:rPr>
  </w:style>
  <w:style w:type="character" w:customStyle="1" w:styleId="24">
    <w:name w:val="页脚 Char"/>
    <w:basedOn w:val="17"/>
    <w:link w:val="10"/>
    <w:qFormat/>
    <w:uiPriority w:val="99"/>
    <w:rPr>
      <w:sz w:val="18"/>
      <w:szCs w:val="18"/>
    </w:rPr>
  </w:style>
  <w:style w:type="character" w:customStyle="1" w:styleId="25">
    <w:name w:val="页眉 Char"/>
    <w:basedOn w:val="17"/>
    <w:link w:val="11"/>
    <w:qFormat/>
    <w:uiPriority w:val="99"/>
    <w:rPr>
      <w:sz w:val="18"/>
      <w:szCs w:val="18"/>
    </w:rPr>
  </w:style>
  <w:style w:type="character" w:customStyle="1" w:styleId="26">
    <w:name w:val="目录 1 Char"/>
    <w:link w:val="12"/>
    <w:uiPriority w:val="0"/>
    <w:rPr>
      <w:rFonts w:ascii="黑体" w:eastAsia="黑体"/>
    </w:rPr>
  </w:style>
  <w:style w:type="character" w:customStyle="1" w:styleId="27">
    <w:name w:val="目录 2 Char"/>
    <w:link w:val="13"/>
    <w:uiPriority w:val="39"/>
    <w:rPr>
      <w:rFonts w:eastAsia="宋体" w:cs="Mongolian Baiti"/>
      <w:sz w:val="21"/>
    </w:rPr>
  </w:style>
  <w:style w:type="paragraph" w:customStyle="1" w:styleId="28">
    <w:name w:val="p0"/>
    <w:basedOn w:val="1"/>
    <w:qFormat/>
    <w:uiPriority w:val="0"/>
    <w:pPr>
      <w:widowControl/>
    </w:pPr>
    <w:rPr>
      <w:rFonts w:ascii="Times New Roman" w:hAnsi="Times New Roman" w:cs="Times New Roman"/>
      <w:kern w:val="0"/>
      <w:szCs w:val="21"/>
    </w:rPr>
  </w:style>
  <w:style w:type="paragraph" w:customStyle="1" w:styleId="29">
    <w:name w:val="Char1 Char Char Char"/>
    <w:basedOn w:val="1"/>
    <w:qFormat/>
    <w:uiPriority w:val="0"/>
    <w:rPr>
      <w:rFonts w:ascii="Times New Roman" w:hAnsi="Times New Roman" w:cs="Times New Roman"/>
      <w:szCs w:val="24"/>
    </w:rPr>
  </w:style>
  <w:style w:type="paragraph" w:customStyle="1" w:styleId="30">
    <w:name w:val="列出段落1"/>
    <w:basedOn w:val="1"/>
    <w:unhideWhenUsed/>
    <w:qFormat/>
    <w:uiPriority w:val="99"/>
    <w:pPr>
      <w:ind w:firstLine="420" w:firstLineChars="200"/>
    </w:pPr>
  </w:style>
  <w:style w:type="character" w:customStyle="1" w:styleId="31">
    <w:name w:val="15"/>
    <w:basedOn w:val="17"/>
    <w:qFormat/>
    <w:uiPriority w:val="0"/>
    <w:rPr>
      <w:rFonts w:hint="default" w:ascii="Times New Roman" w:hAnsi="Times New Roman" w:cs="Times New Roman"/>
      <w:color w:val="CC0000"/>
    </w:rPr>
  </w:style>
  <w:style w:type="paragraph" w:customStyle="1" w:styleId="32">
    <w:name w:val="正文 New New New New New New New New New New New New New New New New New New New New New New"/>
    <w:basedOn w:val="1"/>
    <w:qFormat/>
    <w:uiPriority w:val="0"/>
    <w:rPr>
      <w:rFonts w:cs="Times New Roman"/>
      <w:szCs w:val="21"/>
    </w:rPr>
  </w:style>
  <w:style w:type="paragraph" w:customStyle="1" w:styleId="33">
    <w:name w:val="列出段落11"/>
    <w:basedOn w:val="1"/>
    <w:qFormat/>
    <w:uiPriority w:val="0"/>
    <w:pPr>
      <w:ind w:firstLine="420" w:firstLineChars="200"/>
    </w:pPr>
    <w:rPr>
      <w:rFonts w:cs="宋体"/>
      <w:szCs w:val="21"/>
    </w:rPr>
  </w:style>
  <w:style w:type="paragraph" w:customStyle="1" w:styleId="34">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5">
    <w:name w:val="16"/>
    <w:basedOn w:val="17"/>
    <w:qFormat/>
    <w:uiPriority w:val="0"/>
    <w:rPr>
      <w:rFonts w:hint="default" w:ascii="Times New Roman" w:hAnsi="Times New Roman" w:cs="Times New Roman"/>
      <w:color w:val="000000"/>
      <w:sz w:val="32"/>
      <w:szCs w:val="32"/>
    </w:rPr>
  </w:style>
  <w:style w:type="character" w:customStyle="1" w:styleId="36">
    <w:name w:val="17"/>
    <w:basedOn w:val="17"/>
    <w:qFormat/>
    <w:uiPriority w:val="0"/>
    <w:rPr>
      <w:rFonts w:hint="eastAsia" w:ascii="仿宋" w:hAnsi="仿宋" w:eastAsia="仿宋"/>
      <w:color w:val="000000"/>
      <w:sz w:val="32"/>
      <w:szCs w:val="32"/>
    </w:rPr>
  </w:style>
  <w:style w:type="paragraph" w:customStyle="1" w:styleId="37">
    <w:name w:val="黑体"/>
    <w:basedOn w:val="1"/>
    <w:qFormat/>
    <w:uiPriority w:val="0"/>
    <w:pPr>
      <w:spacing w:line="560" w:lineRule="exact"/>
    </w:pPr>
    <w:rPr>
      <w:rFonts w:eastAsia="黑体" w:cs="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10374</Words>
  <Characters>10406</Characters>
  <Lines>30</Lines>
  <Paragraphs>8</Paragraphs>
  <TotalTime>1</TotalTime>
  <ScaleCrop>false</ScaleCrop>
  <LinksUpToDate>false</LinksUpToDate>
  <CharactersWithSpaces>10437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2024-03-04T01:40:17Z</cp:lastPrinted>
  <dcterms:modified xsi:type="dcterms:W3CDTF">2024-05-10T07:38:55Z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EB5B7500E27B4D039550E5AB23417DA3</vt:lpwstr>
  </property>
</Properties>
</file>