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FB9E1">
      <w:pPr>
        <w:keepNext w:val="0"/>
        <w:keepLines w:val="0"/>
        <w:pageBreakBefore w:val="0"/>
        <w:widowControl w:val="0"/>
        <w:tabs>
          <w:tab w:val="left" w:pos="2940"/>
        </w:tabs>
        <w:kinsoku/>
        <w:wordWrap/>
        <w:overflowPunct/>
        <w:topLinePunct w:val="0"/>
        <w:autoSpaceDE/>
        <w:autoSpaceDN/>
        <w:bidi w:val="0"/>
        <w:adjustRightInd/>
        <w:snapToGrid/>
        <w:spacing w:line="560" w:lineRule="exact"/>
        <w:ind w:firstLine="44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2"/>
          <w:szCs w:val="2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4638040</wp:posOffset>
                </wp:positionV>
                <wp:extent cx="5880100" cy="899795"/>
                <wp:effectExtent l="0" t="0" r="2540" b="14605"/>
                <wp:wrapTopAndBottom/>
                <wp:docPr id="2" name="文本框 100"/>
                <wp:cNvGraphicFramePr/>
                <a:graphic xmlns:a="http://schemas.openxmlformats.org/drawingml/2006/main">
                  <a:graphicData uri="http://schemas.microsoft.com/office/word/2010/wordprocessingShape">
                    <wps:wsp>
                      <wps:cNvSpPr txBox="1"/>
                      <wps:spPr>
                        <a:xfrm>
                          <a:off x="0" y="0"/>
                          <a:ext cx="5880100" cy="899795"/>
                        </a:xfrm>
                        <a:prstGeom prst="rect">
                          <a:avLst/>
                        </a:prstGeom>
                        <a:solidFill>
                          <a:srgbClr val="FFFFFF"/>
                        </a:solidFill>
                        <a:ln w="6350">
                          <a:noFill/>
                        </a:ln>
                      </wps:spPr>
                      <wps:txbx>
                        <w:txbxContent>
                          <w:p w14:paraId="5930921A">
                            <w:pPr>
                              <w:keepNext w:val="0"/>
                              <w:keepLines w:val="0"/>
                              <w:pageBreakBefore w:val="0"/>
                              <w:widowControl/>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小标宋_GBK" w:cs="Times New Roman"/>
                                <w:b w:val="0"/>
                                <w:bCs w:val="0"/>
                                <w:spacing w:val="-11"/>
                                <w:sz w:val="36"/>
                                <w:szCs w:val="36"/>
                              </w:rPr>
                            </w:pPr>
                            <w:r>
                              <w:rPr>
                                <w:rFonts w:hint="default" w:ascii="Times New Roman" w:hAnsi="Times New Roman" w:eastAsia="方正小标宋_GBK" w:cs="Times New Roman"/>
                                <w:b w:val="0"/>
                                <w:bCs w:val="0"/>
                                <w:spacing w:val="-11"/>
                                <w:sz w:val="36"/>
                                <w:szCs w:val="36"/>
                                <w:lang w:eastAsia="zh-CN"/>
                              </w:rPr>
                              <w:t>乌拉特中旗</w:t>
                            </w:r>
                            <w:r>
                              <w:rPr>
                                <w:rFonts w:hint="default" w:ascii="Times New Roman" w:hAnsi="Times New Roman" w:eastAsia="方正小标宋_GBK" w:cs="Times New Roman"/>
                                <w:b w:val="0"/>
                                <w:bCs w:val="0"/>
                                <w:spacing w:val="-11"/>
                                <w:sz w:val="36"/>
                                <w:szCs w:val="36"/>
                              </w:rPr>
                              <w:t>电动自行车安全隐患全链条</w:t>
                            </w:r>
                          </w:p>
                          <w:p w14:paraId="1000AFD0">
                            <w:pPr>
                              <w:keepNext w:val="0"/>
                              <w:keepLines w:val="0"/>
                              <w:pageBreakBefore w:val="0"/>
                              <w:widowControl/>
                              <w:kinsoku w:val="0"/>
                              <w:wordWrap/>
                              <w:overflowPunct/>
                              <w:topLinePunct w:val="0"/>
                              <w:autoSpaceDE w:val="0"/>
                              <w:autoSpaceDN w:val="0"/>
                              <w:bidi w:val="0"/>
                              <w:adjustRightInd/>
                              <w:snapToGrid/>
                              <w:spacing w:line="600" w:lineRule="exact"/>
                              <w:ind w:right="0"/>
                              <w:jc w:val="center"/>
                              <w:textAlignment w:val="baseline"/>
                              <w:rPr>
                                <w:rFonts w:hint="eastAsia" w:ascii="方正小标宋简体" w:hAnsi="方正小标宋简体" w:eastAsia="方正小标宋简体" w:cs="方正小标宋简体"/>
                                <w:b w:val="0"/>
                                <w:bCs w:val="0"/>
                                <w:spacing w:val="-11"/>
                                <w:sz w:val="36"/>
                                <w:szCs w:val="36"/>
                              </w:rPr>
                            </w:pPr>
                            <w:r>
                              <w:rPr>
                                <w:rFonts w:hint="eastAsia" w:ascii="方正小标宋简体" w:hAnsi="方正小标宋简体" w:eastAsia="方正小标宋简体" w:cs="方正小标宋简体"/>
                                <w:b w:val="0"/>
                                <w:bCs w:val="0"/>
                                <w:spacing w:val="-11"/>
                                <w:sz w:val="36"/>
                                <w:szCs w:val="36"/>
                              </w:rPr>
                              <w:t>整治行动方案</w:t>
                            </w:r>
                          </w:p>
                          <w:p w14:paraId="64EF76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的通知</w:t>
                            </w:r>
                          </w:p>
                          <w:p w14:paraId="26D9150F"/>
                        </w:txbxContent>
                      </wps:txbx>
                      <wps:bodyPr vert="horz" wrap="square" anchor="t" anchorCtr="0" upright="1"/>
                    </wps:wsp>
                  </a:graphicData>
                </a:graphic>
              </wp:anchor>
            </w:drawing>
          </mc:Choice>
          <mc:Fallback>
            <w:pict>
              <v:shape id="文本框 100" o:spid="_x0000_s1026" o:spt="202" type="#_x0000_t202" style="position:absolute;left:0pt;margin-left:0.75pt;margin-top:365.2pt;height:70.85pt;width:463pt;mso-wrap-distance-bottom:0pt;mso-wrap-distance-top:0pt;z-index:251660288;mso-width-relative:page;mso-height-relative:page;" fillcolor="#FFFFFF" filled="t" stroked="f" coordsize="21600,21600" o:gfxdata="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paDcLUAAAACQEA&#10;AA8AAAAAAAAAAQAgAAAAIgAAAGRycy9kb3ducmV2LnhtbFBLAQIUABQAAAAIAIdO4kBJtGl95QEA&#10;ALUDAAAOAAAAAAAAAAEAIAAAACMBAABkcnMvZTJvRG9jLnhtbFBLBQYAAAAABgAGAFkBAAB6BQAA&#10;AAA=&#10;">
                <v:fill on="t" focussize="0,0"/>
                <v:stroke on="f" weight="0.5pt"/>
                <v:imagedata o:title=""/>
                <o:lock v:ext="edit" aspectratio="f"/>
                <v:textbox>
                  <w:txbxContent>
                    <w:p w14:paraId="5930921A">
                      <w:pPr>
                        <w:keepNext w:val="0"/>
                        <w:keepLines w:val="0"/>
                        <w:pageBreakBefore w:val="0"/>
                        <w:widowControl/>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小标宋_GBK" w:cs="Times New Roman"/>
                          <w:b w:val="0"/>
                          <w:bCs w:val="0"/>
                          <w:spacing w:val="-11"/>
                          <w:sz w:val="36"/>
                          <w:szCs w:val="36"/>
                        </w:rPr>
                      </w:pPr>
                      <w:r>
                        <w:rPr>
                          <w:rFonts w:hint="default" w:ascii="Times New Roman" w:hAnsi="Times New Roman" w:eastAsia="方正小标宋_GBK" w:cs="Times New Roman"/>
                          <w:b w:val="0"/>
                          <w:bCs w:val="0"/>
                          <w:spacing w:val="-11"/>
                          <w:sz w:val="36"/>
                          <w:szCs w:val="36"/>
                          <w:lang w:eastAsia="zh-CN"/>
                        </w:rPr>
                        <w:t>乌拉特中旗</w:t>
                      </w:r>
                      <w:r>
                        <w:rPr>
                          <w:rFonts w:hint="default" w:ascii="Times New Roman" w:hAnsi="Times New Roman" w:eastAsia="方正小标宋_GBK" w:cs="Times New Roman"/>
                          <w:b w:val="0"/>
                          <w:bCs w:val="0"/>
                          <w:spacing w:val="-11"/>
                          <w:sz w:val="36"/>
                          <w:szCs w:val="36"/>
                        </w:rPr>
                        <w:t>电动自行车安全隐患全链条</w:t>
                      </w:r>
                    </w:p>
                    <w:p w14:paraId="1000AFD0">
                      <w:pPr>
                        <w:keepNext w:val="0"/>
                        <w:keepLines w:val="0"/>
                        <w:pageBreakBefore w:val="0"/>
                        <w:widowControl/>
                        <w:kinsoku w:val="0"/>
                        <w:wordWrap/>
                        <w:overflowPunct/>
                        <w:topLinePunct w:val="0"/>
                        <w:autoSpaceDE w:val="0"/>
                        <w:autoSpaceDN w:val="0"/>
                        <w:bidi w:val="0"/>
                        <w:adjustRightInd/>
                        <w:snapToGrid/>
                        <w:spacing w:line="600" w:lineRule="exact"/>
                        <w:ind w:right="0"/>
                        <w:jc w:val="center"/>
                        <w:textAlignment w:val="baseline"/>
                        <w:rPr>
                          <w:rFonts w:hint="eastAsia" w:ascii="方正小标宋简体" w:hAnsi="方正小标宋简体" w:eastAsia="方正小标宋简体" w:cs="方正小标宋简体"/>
                          <w:b w:val="0"/>
                          <w:bCs w:val="0"/>
                          <w:spacing w:val="-11"/>
                          <w:sz w:val="36"/>
                          <w:szCs w:val="36"/>
                        </w:rPr>
                      </w:pPr>
                      <w:r>
                        <w:rPr>
                          <w:rFonts w:hint="eastAsia" w:ascii="方正小标宋简体" w:hAnsi="方正小标宋简体" w:eastAsia="方正小标宋简体" w:cs="方正小标宋简体"/>
                          <w:b w:val="0"/>
                          <w:bCs w:val="0"/>
                          <w:spacing w:val="-11"/>
                          <w:sz w:val="36"/>
                          <w:szCs w:val="36"/>
                        </w:rPr>
                        <w:t>整治行动方案</w:t>
                      </w:r>
                    </w:p>
                    <w:p w14:paraId="64EF76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的通知</w:t>
                      </w:r>
                    </w:p>
                    <w:p w14:paraId="26D9150F"/>
                  </w:txbxContent>
                </v:textbox>
                <w10:wrap type="topAndBottom"/>
              </v:shape>
            </w:pict>
          </mc:Fallback>
        </mc:AlternateContent>
      </w:r>
      <w:r>
        <w:rPr>
          <w:rFonts w:hint="default" w:ascii="Times New Roman" w:hAnsi="Times New Roman" w:eastAsia="仿宋"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-170815</wp:posOffset>
                </wp:positionV>
                <wp:extent cx="5882005" cy="4625340"/>
                <wp:effectExtent l="4445" t="4445" r="11430" b="18415"/>
                <wp:wrapSquare wrapText="bothSides"/>
                <wp:docPr id="1" name="文本框 27"/>
                <wp:cNvGraphicFramePr/>
                <a:graphic xmlns:a="http://schemas.openxmlformats.org/drawingml/2006/main">
                  <a:graphicData uri="http://schemas.microsoft.com/office/word/2010/wordprocessingShape">
                    <wps:wsp>
                      <wps:cNvSpPr/>
                      <wps:spPr>
                        <a:xfrm>
                          <a:off x="0" y="0"/>
                          <a:ext cx="5882005" cy="462534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3F15AB07">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2"/>
                                <w:szCs w:val="32"/>
                              </w:rPr>
                            </w:pPr>
                          </w:p>
                          <w:p w14:paraId="4E9F773E">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jc w:val="center"/>
                              <w:textAlignment w:val="auto"/>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乌拉特中旗人民政府办公室关于印发《乌拉特中旗电动</w:t>
                            </w:r>
                          </w:p>
                          <w:p w14:paraId="588E2B8B">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jc w:val="center"/>
                              <w:textAlignment w:val="auto"/>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自行车安全隐患全链条整治行动方案》</w:t>
                            </w:r>
                          </w:p>
                          <w:p w14:paraId="6A792B14">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jc w:val="center"/>
                              <w:textAlignment w:val="auto"/>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的通知</w:t>
                            </w:r>
                          </w:p>
                          <w:p w14:paraId="2BCDAC9C">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jc w:val="both"/>
                              <w:textAlignment w:val="auto"/>
                              <w:rPr>
                                <w:rFonts w:hint="default" w:ascii="Times New Roman" w:hAnsi="Times New Roman" w:eastAsia="方正小标宋简体" w:cs="Times New Roman"/>
                                <w:b w:val="0"/>
                                <w:bCs w:val="0"/>
                                <w:sz w:val="40"/>
                                <w:szCs w:val="48"/>
                                <w:lang w:val="en-US" w:eastAsia="zh-CN"/>
                              </w:rPr>
                            </w:pPr>
                          </w:p>
                          <w:p w14:paraId="05E2FCF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both"/>
                              <w:textAlignment w:val="auto"/>
                              <w:rPr>
                                <w:rFonts w:hint="default" w:ascii="Times New Roman" w:hAnsi="Times New Roman" w:eastAsia="仿宋" w:cs="Times New Roman"/>
                                <w:b w:val="0"/>
                                <w:bCs/>
                                <w:color w:val="auto"/>
                                <w:sz w:val="28"/>
                                <w:szCs w:val="28"/>
                              </w:rPr>
                            </w:pPr>
                            <w:r>
                              <w:rPr>
                                <w:rFonts w:hint="default" w:ascii="Times New Roman" w:hAnsi="Times New Roman" w:eastAsia="仿宋" w:cs="Times New Roman"/>
                                <w:b w:val="0"/>
                                <w:bCs/>
                                <w:sz w:val="28"/>
                                <w:szCs w:val="28"/>
                                <w:lang w:eastAsia="zh-CN"/>
                              </w:rPr>
                              <w:t>各苏木镇人民政府，同和太种畜繁育中心，牧洋海牧场有限公司，旗直及驻旗各有关单位：</w:t>
                            </w:r>
                          </w:p>
                          <w:p w14:paraId="5667610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为进一步加强电动自行车领域全链条管控工作，保障人民群众生命财产安全，现将《乌拉特中旗电动自行车安全隐患全链条整治行动方案》印发给你们，请认真研究，抓好落实。</w:t>
                            </w:r>
                          </w:p>
                          <w:p w14:paraId="581B1E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 xml:space="preserve">                                         </w:t>
                            </w:r>
                          </w:p>
                          <w:p w14:paraId="7FDB820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 xml:space="preserve">   </w:t>
                            </w:r>
                            <w:r>
                              <w:rPr>
                                <w:rFonts w:hint="eastAsia" w:ascii="Times New Roman" w:hAnsi="Times New Roman" w:eastAsia="仿宋" w:cs="Times New Roman"/>
                                <w:b w:val="0"/>
                                <w:bCs/>
                                <w:sz w:val="28"/>
                                <w:szCs w:val="28"/>
                                <w:lang w:val="en-US" w:eastAsia="zh-CN"/>
                              </w:rPr>
                              <w:t>乌拉特中旗人民政府办公室</w:t>
                            </w:r>
                            <w:r>
                              <w:rPr>
                                <w:rFonts w:hint="default" w:ascii="Times New Roman" w:hAnsi="Times New Roman" w:eastAsia="仿宋" w:cs="Times New Roman"/>
                                <w:b w:val="0"/>
                                <w:bCs/>
                                <w:sz w:val="28"/>
                                <w:szCs w:val="28"/>
                                <w:lang w:val="en-US" w:eastAsia="zh-CN"/>
                              </w:rPr>
                              <w:t xml:space="preserve">              </w:t>
                            </w:r>
                            <w:r>
                              <w:rPr>
                                <w:rFonts w:hint="eastAsia" w:ascii="Times New Roman" w:hAnsi="Times New Roman" w:eastAsia="仿宋" w:cs="Times New Roman"/>
                                <w:b w:val="0"/>
                                <w:bCs/>
                                <w:sz w:val="28"/>
                                <w:szCs w:val="28"/>
                                <w:lang w:val="en-US" w:eastAsia="zh-CN"/>
                              </w:rPr>
                              <w:t xml:space="preserve">                      </w:t>
                            </w:r>
                            <w:r>
                              <w:rPr>
                                <w:rFonts w:hint="default" w:ascii="Times New Roman" w:hAnsi="Times New Roman" w:eastAsia="仿宋" w:cs="Times New Roman"/>
                                <w:b w:val="0"/>
                                <w:bCs/>
                                <w:sz w:val="28"/>
                                <w:szCs w:val="28"/>
                                <w:lang w:val="en-US" w:eastAsia="zh-CN"/>
                              </w:rPr>
                              <w:t xml:space="preserve">                                 </w:t>
                            </w:r>
                          </w:p>
                          <w:p w14:paraId="2A94D365">
                            <w:pPr>
                              <w:keepNext w:val="0"/>
                              <w:keepLines w:val="0"/>
                              <w:pageBreakBefore w:val="0"/>
                              <w:widowControl w:val="0"/>
                              <w:kinsoku/>
                              <w:wordWrap/>
                              <w:overflowPunct/>
                              <w:topLinePunct w:val="0"/>
                              <w:autoSpaceDE/>
                              <w:autoSpaceDN/>
                              <w:bidi w:val="0"/>
                              <w:adjustRightInd/>
                              <w:snapToGrid/>
                              <w:spacing w:line="560" w:lineRule="exact"/>
                              <w:ind w:firstLine="5600" w:firstLineChars="2000"/>
                              <w:jc w:val="right"/>
                              <w:textAlignment w:val="auto"/>
                              <w:rPr>
                                <w:rFonts w:hint="default" w:ascii="Times New Roman" w:hAnsi="Times New Roman" w:eastAsia="仿宋" w:cs="Times New Roman"/>
                                <w:b w:val="0"/>
                                <w:bCs w:val="0"/>
                                <w:spacing w:val="-11"/>
                                <w:sz w:val="40"/>
                                <w:szCs w:val="40"/>
                                <w:lang w:eastAsia="zh-CN"/>
                              </w:rPr>
                            </w:pPr>
                            <w:r>
                              <w:rPr>
                                <w:rFonts w:hint="default" w:ascii="Times New Roman" w:hAnsi="Times New Roman" w:eastAsia="仿宋" w:cs="Times New Roman"/>
                                <w:b w:val="0"/>
                                <w:bCs/>
                                <w:sz w:val="28"/>
                                <w:szCs w:val="28"/>
                                <w:lang w:val="en-US" w:eastAsia="zh-CN"/>
                              </w:rPr>
                              <w:t>2024年5月31 日</w:t>
                            </w:r>
                          </w:p>
                          <w:p w14:paraId="508F655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6"/>
                                <w:szCs w:val="36"/>
                                <w:lang w:val="en-US" w:eastAsia="zh-CN"/>
                              </w:rPr>
                            </w:pPr>
                          </w:p>
                          <w:p w14:paraId="305D2C52">
                            <w:pPr>
                              <w:keepNext w:val="0"/>
                              <w:keepLines w:val="0"/>
                              <w:pageBreakBefore w:val="0"/>
                              <w:widowControl w:val="0"/>
                              <w:kinsoku/>
                              <w:wordWrap/>
                              <w:overflowPunct/>
                              <w:topLinePunct w:val="0"/>
                              <w:bidi w:val="0"/>
                              <w:snapToGrid/>
                              <w:spacing w:line="560" w:lineRule="exact"/>
                              <w:ind w:firstLine="420" w:firstLineChars="200"/>
                              <w:textAlignment w:val="auto"/>
                              <w:rPr>
                                <w:rFonts w:ascii="Times New Roman" w:hAnsi="Times New Roman" w:eastAsia="仿宋_GB2312" w:cs="Times New Roman"/>
                                <w:sz w:val="21"/>
                                <w:szCs w:val="21"/>
                              </w:rPr>
                            </w:pPr>
                          </w:p>
                          <w:p w14:paraId="630628AB">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28"/>
                                <w:szCs w:val="21"/>
                              </w:rPr>
                            </w:pPr>
                          </w:p>
                          <w:p w14:paraId="1C0FC932">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2"/>
                                <w:szCs w:val="22"/>
                              </w:rPr>
                            </w:pPr>
                          </w:p>
                          <w:p w14:paraId="7F07E4A8">
                            <w:pPr>
                              <w:keepNext w:val="0"/>
                              <w:keepLines w:val="0"/>
                              <w:pageBreakBefore w:val="0"/>
                              <w:widowControl w:val="0"/>
                              <w:kinsoku/>
                              <w:wordWrap/>
                              <w:overflowPunct/>
                              <w:topLinePunct w:val="0"/>
                              <w:bidi w:val="0"/>
                              <w:snapToGrid/>
                              <w:spacing w:line="560" w:lineRule="exact"/>
                              <w:textAlignment w:val="auto"/>
                              <w:rPr>
                                <w:sz w:val="20"/>
                                <w:szCs w:val="28"/>
                              </w:rPr>
                            </w:pPr>
                          </w:p>
                        </w:txbxContent>
                      </wps:txbx>
                      <wps:bodyPr vert="horz" wrap="square" anchor="t" anchorCtr="0" upright="1"/>
                    </wps:wsp>
                  </a:graphicData>
                </a:graphic>
              </wp:anchor>
            </w:drawing>
          </mc:Choice>
          <mc:Fallback>
            <w:pict>
              <v:rect id="文本框 27" o:spid="_x0000_s1026" o:spt="1" style="position:absolute;left:0pt;margin-left:1.25pt;margin-top:-13.45pt;height:364.2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4e3u&#10;1wAAAAkBAAAPAAAAAAAAAAEAIAAAACIAAABkcnMvZG93bnJldi54bWxQSwECFAAUAAAACACHTuJA&#10;OEmlgSICAABhBAAADgAAAAAAAAABACAAAAAmAQAAZHJzL2Uyb0RvYy54bWxQSwUGAAAAAAYABgBZ&#10;AQAAugUAAAAA&#10;">
                <v:fill on="t" focussize="0,0"/>
                <v:stroke weight="0.5pt" color="#FFFFFF" joinstyle="miter"/>
                <v:imagedata o:title=""/>
                <o:lock v:ext="edit" aspectratio="f"/>
                <v:textbox>
                  <w:txbxContent>
                    <w:p w14:paraId="3F15AB07">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2"/>
                          <w:szCs w:val="32"/>
                        </w:rPr>
                      </w:pPr>
                    </w:p>
                    <w:p w14:paraId="4E9F773E">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jc w:val="center"/>
                        <w:textAlignment w:val="auto"/>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乌拉特中旗人民政府办公室关于印发《乌拉特中旗电动</w:t>
                      </w:r>
                    </w:p>
                    <w:p w14:paraId="588E2B8B">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jc w:val="center"/>
                        <w:textAlignment w:val="auto"/>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自行车安全隐患全链条整治行动方案》</w:t>
                      </w:r>
                    </w:p>
                    <w:p w14:paraId="6A792B14">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jc w:val="center"/>
                        <w:textAlignment w:val="auto"/>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的通知</w:t>
                      </w:r>
                    </w:p>
                    <w:p w14:paraId="2BCDAC9C">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jc w:val="both"/>
                        <w:textAlignment w:val="auto"/>
                        <w:rPr>
                          <w:rFonts w:hint="default" w:ascii="Times New Roman" w:hAnsi="Times New Roman" w:eastAsia="方正小标宋简体" w:cs="Times New Roman"/>
                          <w:b w:val="0"/>
                          <w:bCs w:val="0"/>
                          <w:sz w:val="40"/>
                          <w:szCs w:val="48"/>
                          <w:lang w:val="en-US" w:eastAsia="zh-CN"/>
                        </w:rPr>
                      </w:pPr>
                    </w:p>
                    <w:p w14:paraId="05E2FCF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both"/>
                        <w:textAlignment w:val="auto"/>
                        <w:rPr>
                          <w:rFonts w:hint="default" w:ascii="Times New Roman" w:hAnsi="Times New Roman" w:eastAsia="仿宋" w:cs="Times New Roman"/>
                          <w:b w:val="0"/>
                          <w:bCs/>
                          <w:color w:val="auto"/>
                          <w:sz w:val="28"/>
                          <w:szCs w:val="28"/>
                        </w:rPr>
                      </w:pPr>
                      <w:r>
                        <w:rPr>
                          <w:rFonts w:hint="default" w:ascii="Times New Roman" w:hAnsi="Times New Roman" w:eastAsia="仿宋" w:cs="Times New Roman"/>
                          <w:b w:val="0"/>
                          <w:bCs/>
                          <w:sz w:val="28"/>
                          <w:szCs w:val="28"/>
                          <w:lang w:eastAsia="zh-CN"/>
                        </w:rPr>
                        <w:t>各苏木镇人民政府，同和太种畜繁育中心，牧洋海牧场有限公司，旗直及驻旗各有关单位：</w:t>
                      </w:r>
                    </w:p>
                    <w:p w14:paraId="5667610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为进一步加强电动自行车领域全链条管控工作，保障人民群众生命财产安全，现将《乌拉特中旗电动自行车安全隐患全链条整治行动方案》印发给你们，请认真研究，抓好落实。</w:t>
                      </w:r>
                    </w:p>
                    <w:p w14:paraId="581B1E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 xml:space="preserve">                                         </w:t>
                      </w:r>
                    </w:p>
                    <w:p w14:paraId="7FDB820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 xml:space="preserve">   </w:t>
                      </w:r>
                      <w:r>
                        <w:rPr>
                          <w:rFonts w:hint="eastAsia" w:ascii="Times New Roman" w:hAnsi="Times New Roman" w:eastAsia="仿宋" w:cs="Times New Roman"/>
                          <w:b w:val="0"/>
                          <w:bCs/>
                          <w:sz w:val="28"/>
                          <w:szCs w:val="28"/>
                          <w:lang w:val="en-US" w:eastAsia="zh-CN"/>
                        </w:rPr>
                        <w:t>乌拉特中旗人民政府办公室</w:t>
                      </w:r>
                      <w:r>
                        <w:rPr>
                          <w:rFonts w:hint="default" w:ascii="Times New Roman" w:hAnsi="Times New Roman" w:eastAsia="仿宋" w:cs="Times New Roman"/>
                          <w:b w:val="0"/>
                          <w:bCs/>
                          <w:sz w:val="28"/>
                          <w:szCs w:val="28"/>
                          <w:lang w:val="en-US" w:eastAsia="zh-CN"/>
                        </w:rPr>
                        <w:t xml:space="preserve">              </w:t>
                      </w:r>
                      <w:r>
                        <w:rPr>
                          <w:rFonts w:hint="eastAsia" w:ascii="Times New Roman" w:hAnsi="Times New Roman" w:eastAsia="仿宋" w:cs="Times New Roman"/>
                          <w:b w:val="0"/>
                          <w:bCs/>
                          <w:sz w:val="28"/>
                          <w:szCs w:val="28"/>
                          <w:lang w:val="en-US" w:eastAsia="zh-CN"/>
                        </w:rPr>
                        <w:t xml:space="preserve">                      </w:t>
                      </w:r>
                      <w:r>
                        <w:rPr>
                          <w:rFonts w:hint="default" w:ascii="Times New Roman" w:hAnsi="Times New Roman" w:eastAsia="仿宋" w:cs="Times New Roman"/>
                          <w:b w:val="0"/>
                          <w:bCs/>
                          <w:sz w:val="28"/>
                          <w:szCs w:val="28"/>
                          <w:lang w:val="en-US" w:eastAsia="zh-CN"/>
                        </w:rPr>
                        <w:t xml:space="preserve">                                 </w:t>
                      </w:r>
                    </w:p>
                    <w:p w14:paraId="2A94D365">
                      <w:pPr>
                        <w:keepNext w:val="0"/>
                        <w:keepLines w:val="0"/>
                        <w:pageBreakBefore w:val="0"/>
                        <w:widowControl w:val="0"/>
                        <w:kinsoku/>
                        <w:wordWrap/>
                        <w:overflowPunct/>
                        <w:topLinePunct w:val="0"/>
                        <w:autoSpaceDE/>
                        <w:autoSpaceDN/>
                        <w:bidi w:val="0"/>
                        <w:adjustRightInd/>
                        <w:snapToGrid/>
                        <w:spacing w:line="560" w:lineRule="exact"/>
                        <w:ind w:firstLine="5600" w:firstLineChars="2000"/>
                        <w:jc w:val="right"/>
                        <w:textAlignment w:val="auto"/>
                        <w:rPr>
                          <w:rFonts w:hint="default" w:ascii="Times New Roman" w:hAnsi="Times New Roman" w:eastAsia="仿宋" w:cs="Times New Roman"/>
                          <w:b w:val="0"/>
                          <w:bCs w:val="0"/>
                          <w:spacing w:val="-11"/>
                          <w:sz w:val="40"/>
                          <w:szCs w:val="40"/>
                          <w:lang w:eastAsia="zh-CN"/>
                        </w:rPr>
                      </w:pPr>
                      <w:r>
                        <w:rPr>
                          <w:rFonts w:hint="default" w:ascii="Times New Roman" w:hAnsi="Times New Roman" w:eastAsia="仿宋" w:cs="Times New Roman"/>
                          <w:b w:val="0"/>
                          <w:bCs/>
                          <w:sz w:val="28"/>
                          <w:szCs w:val="28"/>
                          <w:lang w:val="en-US" w:eastAsia="zh-CN"/>
                        </w:rPr>
                        <w:t>2024年5月31 日</w:t>
                      </w:r>
                    </w:p>
                    <w:p w14:paraId="508F655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6"/>
                          <w:szCs w:val="36"/>
                          <w:lang w:val="en-US" w:eastAsia="zh-CN"/>
                        </w:rPr>
                      </w:pPr>
                    </w:p>
                    <w:p w14:paraId="305D2C52">
                      <w:pPr>
                        <w:keepNext w:val="0"/>
                        <w:keepLines w:val="0"/>
                        <w:pageBreakBefore w:val="0"/>
                        <w:widowControl w:val="0"/>
                        <w:kinsoku/>
                        <w:wordWrap/>
                        <w:overflowPunct/>
                        <w:topLinePunct w:val="0"/>
                        <w:bidi w:val="0"/>
                        <w:snapToGrid/>
                        <w:spacing w:line="560" w:lineRule="exact"/>
                        <w:ind w:firstLine="420" w:firstLineChars="200"/>
                        <w:textAlignment w:val="auto"/>
                        <w:rPr>
                          <w:rFonts w:ascii="Times New Roman" w:hAnsi="Times New Roman" w:eastAsia="仿宋_GB2312" w:cs="Times New Roman"/>
                          <w:sz w:val="21"/>
                          <w:szCs w:val="21"/>
                        </w:rPr>
                      </w:pPr>
                    </w:p>
                    <w:p w14:paraId="630628AB">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28"/>
                          <w:szCs w:val="21"/>
                        </w:rPr>
                      </w:pPr>
                    </w:p>
                    <w:p w14:paraId="1C0FC932">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2"/>
                          <w:szCs w:val="22"/>
                        </w:rPr>
                      </w:pPr>
                    </w:p>
                    <w:p w14:paraId="7F07E4A8">
                      <w:pPr>
                        <w:keepNext w:val="0"/>
                        <w:keepLines w:val="0"/>
                        <w:pageBreakBefore w:val="0"/>
                        <w:widowControl w:val="0"/>
                        <w:kinsoku/>
                        <w:wordWrap/>
                        <w:overflowPunct/>
                        <w:topLinePunct w:val="0"/>
                        <w:bidi w:val="0"/>
                        <w:snapToGrid/>
                        <w:spacing w:line="560" w:lineRule="exact"/>
                        <w:textAlignment w:val="auto"/>
                        <w:rPr>
                          <w:sz w:val="20"/>
                          <w:szCs w:val="28"/>
                        </w:rPr>
                      </w:pPr>
                    </w:p>
                  </w:txbxContent>
                </v:textbox>
                <w10:wrap type="square"/>
              </v:rect>
            </w:pict>
          </mc:Fallback>
        </mc:AlternateContent>
      </w:r>
      <w:r>
        <w:rPr>
          <w:rFonts w:hint="eastAsia" w:ascii="Times New Roman" w:hAnsi="Times New Roman" w:eastAsia="仿宋" w:cs="Times New Roman"/>
          <w:sz w:val="22"/>
          <w:szCs w:val="22"/>
          <w:lang w:val="en-US" w:eastAsia="zh-CN"/>
        </w:rPr>
        <w:t xml:space="preserve">    </w:t>
      </w:r>
    </w:p>
    <w:p w14:paraId="6D8775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2312" w:cs="Times New Roman"/>
          <w:snapToGrid/>
          <w:kern w:val="2"/>
          <w:sz w:val="28"/>
          <w:szCs w:val="28"/>
          <w:lang w:val="en-US" w:eastAsia="zh-CN" w:bidi="ar-SA"/>
        </w:rPr>
      </w:pPr>
      <w:r>
        <w:rPr>
          <w:rFonts w:hint="default" w:ascii="Times New Roman" w:hAnsi="Times New Roman" w:eastAsia="仿宋" w:cs="Times New Roman"/>
          <w:snapToGrid/>
          <w:kern w:val="2"/>
          <w:sz w:val="28"/>
          <w:szCs w:val="28"/>
          <w:lang w:val="en-US" w:eastAsia="zh-CN" w:bidi="ar-SA"/>
        </w:rPr>
        <w:t>为进一步加强电动自行车领域全链条管控工作，保障人民群众生命财产安全，按照巴彦淖尔市《全市电动自行车安全隐患全链条整治行动方案》文件要求，结合我旗实际，制定本实施方案。</w:t>
      </w:r>
    </w:p>
    <w:p w14:paraId="7FE80B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napToGrid/>
          <w:kern w:val="2"/>
          <w:sz w:val="28"/>
          <w:szCs w:val="28"/>
          <w:lang w:val="en-US" w:eastAsia="zh-CN" w:bidi="ar-SA"/>
        </w:rPr>
      </w:pPr>
      <w:r>
        <w:rPr>
          <w:rFonts w:hint="eastAsia" w:ascii="黑体" w:hAnsi="黑体" w:eastAsia="黑体" w:cs="黑体"/>
          <w:b w:val="0"/>
          <w:bCs w:val="0"/>
          <w:snapToGrid/>
          <w:kern w:val="2"/>
          <w:sz w:val="28"/>
          <w:szCs w:val="28"/>
          <w:lang w:val="en-US" w:eastAsia="zh-CN" w:bidi="ar-SA"/>
        </w:rPr>
        <w:t>一、总体要求</w:t>
      </w:r>
    </w:p>
    <w:p w14:paraId="5A483D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楷体" w:hAnsi="楷体" w:eastAsia="楷体" w:cs="楷体"/>
          <w:b/>
          <w:bCs/>
          <w:snapToGrid/>
          <w:kern w:val="2"/>
          <w:sz w:val="28"/>
          <w:szCs w:val="28"/>
          <w:lang w:val="en-US" w:eastAsia="zh-CN" w:bidi="ar-SA"/>
        </w:rPr>
      </w:pPr>
      <w:r>
        <w:rPr>
          <w:rFonts w:hint="eastAsia" w:ascii="楷体" w:hAnsi="楷体" w:eastAsia="楷体" w:cs="楷体"/>
          <w:b/>
          <w:bCs/>
          <w:snapToGrid/>
          <w:kern w:val="2"/>
          <w:sz w:val="28"/>
          <w:szCs w:val="28"/>
          <w:lang w:val="en-US" w:eastAsia="zh-CN" w:bidi="ar-SA"/>
        </w:rPr>
        <w:t>（一）指导思想</w:t>
      </w:r>
    </w:p>
    <w:p w14:paraId="4FF2EB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napToGrid/>
          <w:kern w:val="2"/>
          <w:sz w:val="28"/>
          <w:szCs w:val="28"/>
          <w:lang w:val="en-US" w:eastAsia="zh-CN" w:bidi="ar-SA"/>
        </w:rPr>
      </w:pPr>
      <w:bookmarkStart w:id="0" w:name="_GoBack"/>
      <w:bookmarkEnd w:id="0"/>
    </w:p>
    <w:p w14:paraId="0D42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2312" w:cs="Times New Roman"/>
          <w:snapToGrid/>
          <w:kern w:val="2"/>
          <w:sz w:val="28"/>
          <w:szCs w:val="28"/>
          <w:lang w:val="en-US" w:eastAsia="zh-CN" w:bidi="ar-SA"/>
        </w:rPr>
      </w:pPr>
      <w:r>
        <w:rPr>
          <w:rFonts w:hint="default" w:ascii="Times New Roman" w:hAnsi="Times New Roman" w:eastAsia="仿宋" w:cs="Times New Roman"/>
          <w:snapToGrid/>
          <w:kern w:val="2"/>
          <w:sz w:val="28"/>
          <w:szCs w:val="28"/>
          <w:lang w:val="en-US" w:eastAsia="zh-CN" w:bidi="ar-SA"/>
        </w:rPr>
        <w:t>以习近平新时代中国特色社会主义思想为指导，坚持以人民为中心的发展思想，保障人民群众生命财产安全，按照“管行业必须管安全、管业务必须管安全、管生产经营必须管安全”和“谁主管谁牵头、谁为主谁牵头、谁靠近谁牵头”原则，明确责任分工，凝聚工作合力，全力抓好电动自行车产品质量、流通销售、通行秩序、停放充电、拆解回收等环节安全监管。在源头治理和综合治理方面双管齐下，推进电动自行车生产、销售、使用等领域全链条治理，切实保障人民群众的生命财产安全。</w:t>
      </w:r>
    </w:p>
    <w:p w14:paraId="310EE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（二）工作目标</w:t>
      </w:r>
    </w:p>
    <w:p w14:paraId="0933B4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2312" w:cs="Times New Roman"/>
          <w:snapToGrid/>
          <w:kern w:val="2"/>
          <w:sz w:val="28"/>
          <w:szCs w:val="28"/>
          <w:lang w:val="en-US" w:eastAsia="zh-CN" w:bidi="ar-SA"/>
        </w:rPr>
      </w:pPr>
      <w:r>
        <w:rPr>
          <w:rFonts w:hint="default" w:ascii="Times New Roman" w:hAnsi="Times New Roman" w:eastAsia="仿宋" w:cs="Times New Roman"/>
          <w:snapToGrid/>
          <w:kern w:val="2"/>
          <w:sz w:val="28"/>
          <w:szCs w:val="28"/>
          <w:lang w:val="en-US" w:eastAsia="zh-CN" w:bidi="ar-SA"/>
        </w:rPr>
        <w:t>2024年开展集中整治，切实消除各类电动自行车安全隐患，有效预防压减电动自行车安全事故，坚决遏制重特大事故；2025年巩固提升整治成效，降低存量风险，严控增量风险，推进落实电动自行车全链条安全监管，建立完善长效机制。力争通过综合治理、全链条监管，实现电动自行车产品质量明显提升，电动自行车使用管理明显规范，电动自行车亡人事故明显减少，不发生重特大尤其是群死群伤事故。</w:t>
      </w:r>
    </w:p>
    <w:p w14:paraId="44D27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黑体" w:hAnsi="黑体" w:eastAsia="黑体" w:cs="黑体"/>
          <w:b w:val="0"/>
          <w:bCs w:val="0"/>
          <w:snapToGrid/>
          <w:kern w:val="2"/>
          <w:sz w:val="28"/>
          <w:szCs w:val="28"/>
          <w:lang w:val="en-US" w:eastAsia="zh-CN" w:bidi="ar-SA"/>
        </w:rPr>
      </w:pPr>
      <w:r>
        <w:rPr>
          <w:rFonts w:hint="default" w:ascii="黑体" w:hAnsi="黑体" w:eastAsia="黑体" w:cs="黑体"/>
          <w:b w:val="0"/>
          <w:bCs w:val="0"/>
          <w:snapToGrid/>
          <w:kern w:val="2"/>
          <w:sz w:val="28"/>
          <w:szCs w:val="28"/>
          <w:lang w:val="en-US" w:eastAsia="zh-CN" w:bidi="ar-SA"/>
        </w:rPr>
        <w:t>二、整治重点</w:t>
      </w:r>
    </w:p>
    <w:p w14:paraId="46ED01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（一）着力解决违法违规销售问题</w:t>
      </w:r>
    </w:p>
    <w:p w14:paraId="2E0949A3">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1.</w:t>
      </w:r>
      <w:r>
        <w:rPr>
          <w:rFonts w:hint="default" w:ascii="Times New Roman" w:hAnsi="Times New Roman" w:eastAsia="仿宋" w:cs="Times New Roman"/>
          <w:b/>
          <w:bCs/>
          <w:snapToGrid/>
          <w:kern w:val="2"/>
          <w:sz w:val="28"/>
          <w:szCs w:val="28"/>
          <w:lang w:val="en-US" w:eastAsia="en-US" w:bidi="ar-SA"/>
        </w:rPr>
        <w:t>加强销售企业监督管理。</w:t>
      </w:r>
      <w:r>
        <w:rPr>
          <w:rFonts w:hint="default" w:ascii="Times New Roman" w:hAnsi="Times New Roman" w:eastAsia="仿宋" w:cs="Times New Roman"/>
          <w:snapToGrid/>
          <w:kern w:val="2"/>
          <w:sz w:val="28"/>
          <w:szCs w:val="28"/>
          <w:lang w:val="en-US" w:eastAsia="en-US" w:bidi="ar-SA"/>
        </w:rPr>
        <w:t>加大对销售企业、经营场所的监督检查力度，摸清电动自行车、锂离子蓄电池、充电器销售底数，督促电动自行车及蓄电池、充电器销售企业建立并执行进货检查验收制度，严格核查产品合格证明、强制性产品认证等信息，严禁电动自行车整车与蓄电池拆分销售，坚决避免不符合标准的车辆流入市场，2024年8月底前完成。加大对电动自行车“一车一池一充一码”检查力度，持续开展流通领域产品质量监督抽查，凡发现销售不符合法规标准的，责令停止销售并依法实施处罚，情节严重的吊销营业执照。对区域性问题开展跟踪抽查，对质量安全风险较高的销售企业实施重点监管，严控风险隐患。开展电动自行车违法违规销售专项治理行动</w:t>
      </w:r>
      <w:r>
        <w:rPr>
          <w:rFonts w:hint="default" w:ascii="Times New Roman" w:hAnsi="Times New Roman" w:eastAsia="仿宋" w:cs="Times New Roman"/>
          <w:snapToGrid/>
          <w:kern w:val="2"/>
          <w:sz w:val="28"/>
          <w:szCs w:val="28"/>
          <w:lang w:val="en-US" w:eastAsia="zh-CN" w:bidi="ar-SA"/>
        </w:rPr>
        <w:t>，</w:t>
      </w:r>
      <w:r>
        <w:rPr>
          <w:rFonts w:hint="default" w:ascii="Times New Roman" w:hAnsi="Times New Roman" w:eastAsia="仿宋" w:cs="Times New Roman"/>
          <w:snapToGrid/>
          <w:kern w:val="2"/>
          <w:sz w:val="28"/>
          <w:szCs w:val="28"/>
          <w:lang w:val="en-US" w:eastAsia="en-US" w:bidi="ar-SA"/>
        </w:rPr>
        <w:t>2024年底前完成并持续推进。</w:t>
      </w:r>
      <w:r>
        <w:rPr>
          <w:rFonts w:hint="default" w:ascii="Times New Roman" w:hAnsi="Times New Roman" w:eastAsia="仿宋" w:cs="Times New Roman"/>
          <w:b/>
          <w:bCs/>
          <w:snapToGrid/>
          <w:kern w:val="2"/>
          <w:sz w:val="28"/>
          <w:szCs w:val="28"/>
          <w:lang w:val="en-US" w:eastAsia="zh-CN" w:bidi="ar-SA"/>
        </w:rPr>
        <w:t>（市场监督管理局牵头负责；各苏木镇（中心、公司）组织落实）</w:t>
      </w:r>
    </w:p>
    <w:p w14:paraId="48B980B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2.</w:t>
      </w:r>
      <w:r>
        <w:rPr>
          <w:rFonts w:hint="default" w:ascii="Times New Roman" w:hAnsi="Times New Roman" w:eastAsia="仿宋" w:cs="Times New Roman"/>
          <w:b/>
          <w:bCs/>
          <w:snapToGrid/>
          <w:kern w:val="2"/>
          <w:sz w:val="28"/>
          <w:szCs w:val="28"/>
          <w:lang w:val="en-US" w:eastAsia="en-US" w:bidi="ar-SA"/>
        </w:rPr>
        <w:t>严惩制假售假行为。</w:t>
      </w:r>
      <w:r>
        <w:rPr>
          <w:rFonts w:hint="default" w:ascii="Times New Roman" w:hAnsi="Times New Roman" w:eastAsia="仿宋" w:cs="Times New Roman"/>
          <w:snapToGrid/>
          <w:kern w:val="2"/>
          <w:sz w:val="28"/>
          <w:szCs w:val="28"/>
          <w:lang w:val="en-US" w:eastAsia="zh-CN" w:bidi="ar-SA"/>
        </w:rPr>
        <w:t>对销售假冒伪劣产品行为保持高压严打态势，加强</w:t>
      </w:r>
      <w:r>
        <w:rPr>
          <w:rFonts w:hint="default" w:ascii="Times New Roman" w:hAnsi="Times New Roman" w:eastAsia="仿宋" w:cs="Times New Roman"/>
          <w:snapToGrid/>
          <w:color w:val="auto"/>
          <w:kern w:val="2"/>
          <w:sz w:val="28"/>
          <w:szCs w:val="28"/>
          <w:lang w:val="en-US" w:eastAsia="zh-CN" w:bidi="ar-SA"/>
        </w:rPr>
        <w:t>行刑</w:t>
      </w:r>
      <w:r>
        <w:rPr>
          <w:rFonts w:hint="default" w:ascii="Times New Roman" w:hAnsi="Times New Roman" w:eastAsia="仿宋" w:cs="Times New Roman"/>
          <w:snapToGrid/>
          <w:kern w:val="2"/>
          <w:sz w:val="28"/>
          <w:szCs w:val="28"/>
          <w:lang w:val="en-US" w:eastAsia="zh-CN" w:bidi="ar-SA"/>
        </w:rPr>
        <w:t>衔接。各部门要加大涉嫌犯罪行为的移送，依法追究刑事责任，斩断非法生产、销售网络链条，依法实施行业“禁入”制度，2024年底前取得阶段性进展并持续推进。</w:t>
      </w:r>
      <w:r>
        <w:rPr>
          <w:rFonts w:hint="default" w:ascii="Times New Roman" w:hAnsi="Times New Roman" w:eastAsia="仿宋" w:cs="Times New Roman"/>
          <w:b/>
          <w:bCs/>
          <w:snapToGrid/>
          <w:kern w:val="2"/>
          <w:sz w:val="28"/>
          <w:szCs w:val="28"/>
          <w:lang w:val="en-US" w:eastAsia="zh-CN" w:bidi="ar-SA"/>
        </w:rPr>
        <w:t>（公安局、市场监督管理局牵头负责，工业和信息化局、消防救援大队配合；各苏木镇（中心、公司）组织落实）</w:t>
      </w:r>
    </w:p>
    <w:p w14:paraId="373FB9F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3.</w:t>
      </w:r>
      <w:r>
        <w:rPr>
          <w:rFonts w:hint="default" w:ascii="Times New Roman" w:hAnsi="Times New Roman" w:eastAsia="仿宋" w:cs="Times New Roman"/>
          <w:b/>
          <w:bCs/>
          <w:snapToGrid/>
          <w:kern w:val="2"/>
          <w:sz w:val="28"/>
          <w:szCs w:val="28"/>
          <w:lang w:val="en-US" w:eastAsia="en-US" w:bidi="ar-SA"/>
        </w:rPr>
        <w:t>规范线上经营。</w:t>
      </w:r>
      <w:r>
        <w:rPr>
          <w:rFonts w:hint="default" w:ascii="Times New Roman" w:hAnsi="Times New Roman" w:eastAsia="仿宋" w:cs="Times New Roman"/>
          <w:snapToGrid/>
          <w:kern w:val="2"/>
          <w:sz w:val="28"/>
          <w:szCs w:val="28"/>
          <w:lang w:val="en-US" w:eastAsia="zh-CN" w:bidi="ar-SA"/>
        </w:rPr>
        <w:t>加强电商平台监管，规范电子交易，重点打击无证销售、伪造认证证书、销售来源不明产品等行为。督促其采取自动检索技术和屏蔽删除措施清理非法改装广告信息，严禁发布“解互认协议”“解限速”“增容量”等信息，严禁销售未依法经强制性产品认证的电动自行车、蓄电池和充电器等产品;在电动自行车相关商品销售页面，明示“禁止非法改装”内容，引导群众自觉抵制非法改装产品，加强寄递渠道安全监管，禁止寄递电动自行车用蓄电池。2024年8月底前完成并持续推进。</w:t>
      </w:r>
      <w:r>
        <w:rPr>
          <w:rFonts w:hint="default" w:ascii="Times New Roman" w:hAnsi="Times New Roman" w:eastAsia="仿宋" w:cs="Times New Roman"/>
          <w:b/>
          <w:bCs/>
          <w:snapToGrid/>
          <w:kern w:val="2"/>
          <w:sz w:val="28"/>
          <w:szCs w:val="28"/>
          <w:lang w:val="en-US" w:eastAsia="zh-CN" w:bidi="ar-SA"/>
        </w:rPr>
        <w:t>(市场监督管理局牵头负责，公安局配合；各苏木镇（中心、公司）组织落实)</w:t>
      </w:r>
    </w:p>
    <w:p w14:paraId="34EF47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（二）着力解决登记管理不全面，信息化程度低的问题</w:t>
      </w:r>
    </w:p>
    <w:p w14:paraId="1669A4F9">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4.实施登记管理。</w:t>
      </w:r>
      <w:r>
        <w:rPr>
          <w:rFonts w:hint="default" w:ascii="Times New Roman" w:hAnsi="Times New Roman" w:eastAsia="仿宋" w:cs="Times New Roman"/>
          <w:snapToGrid/>
          <w:kern w:val="2"/>
          <w:sz w:val="28"/>
          <w:szCs w:val="28"/>
          <w:lang w:val="en-US" w:eastAsia="zh-CN" w:bidi="ar-SA"/>
        </w:rPr>
        <w:t>开展电动自行车登记管理攻坚专项行动。在将蓄电池依法纳入强制性产品认证管理并设置识别代码的基础上，对电动自行车实施分类上牌登记管理，建立电动自行车智能化登记系统，将车主信息、车架号及蓄电池识别代码纳入登记事项，对符合国家标准的电动自行车进行注册登记，利用信息化手段优化登记上牌服务，2024年 10月底前完成。对目前在用但不符合国家标准的电动自行车，合理设定过渡期，实施临时登记管理，2024年底前完成。</w:t>
      </w:r>
      <w:r>
        <w:rPr>
          <w:rFonts w:hint="default" w:ascii="Times New Roman" w:hAnsi="Times New Roman" w:eastAsia="仿宋" w:cs="Times New Roman"/>
          <w:b/>
          <w:bCs/>
          <w:snapToGrid/>
          <w:color w:val="auto"/>
          <w:kern w:val="2"/>
          <w:sz w:val="28"/>
          <w:szCs w:val="28"/>
          <w:lang w:val="en-US" w:eastAsia="zh-CN" w:bidi="ar-SA"/>
        </w:rPr>
        <w:t>（旗委政法委、</w:t>
      </w:r>
      <w:r>
        <w:rPr>
          <w:rFonts w:hint="default" w:ascii="Times New Roman" w:hAnsi="Times New Roman" w:eastAsia="仿宋" w:cs="Times New Roman"/>
          <w:b/>
          <w:bCs/>
          <w:snapToGrid/>
          <w:kern w:val="2"/>
          <w:sz w:val="28"/>
          <w:szCs w:val="28"/>
          <w:lang w:val="en-US" w:eastAsia="zh-CN" w:bidi="ar-SA"/>
        </w:rPr>
        <w:t>公安局牵头负责；各苏木镇（中心、公司）组织落实）</w:t>
      </w:r>
    </w:p>
    <w:p w14:paraId="4A34F4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（三）着力解决违反道路交通安全使用问题</w:t>
      </w:r>
    </w:p>
    <w:p w14:paraId="0EB2613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5.加强路面执法。</w:t>
      </w:r>
      <w:r>
        <w:rPr>
          <w:rFonts w:hint="default" w:ascii="Times New Roman" w:hAnsi="Times New Roman" w:eastAsia="仿宋" w:cs="Times New Roman"/>
          <w:snapToGrid/>
          <w:kern w:val="2"/>
          <w:sz w:val="28"/>
          <w:szCs w:val="28"/>
          <w:lang w:val="en-US" w:eastAsia="zh-CN" w:bidi="ar-SA"/>
        </w:rPr>
        <w:t>集中开展电动自行车违反交通法规专项治理行动。释放从严管理强烈信号，在全旗迅速形成大抓治理、大讲安全的浓厚氛围。充分利用信息化技术手段提高识别取证能力，依法查处电动自行车未按规定登记上牌上路行驶和驾驶电动自行车闯红灯、逆行、占用机动车道行驶、超速等违法违规行为，切实规范通行秩序。结合实际，对突出违法行为、多次违法人员开展专项治理，保持严管态势。2025年底前完成。教育部门加强在校学生使用电动自行车安全教育管理，以校纪班规明确惩戒制度，规范学生用车行为，交管部门要定期向教育部门通报学生违规用车行为查处情况。</w:t>
      </w:r>
      <w:r>
        <w:rPr>
          <w:rFonts w:hint="default" w:ascii="Times New Roman" w:hAnsi="Times New Roman" w:eastAsia="仿宋" w:cs="Times New Roman"/>
          <w:b/>
          <w:bCs/>
          <w:snapToGrid/>
          <w:kern w:val="2"/>
          <w:sz w:val="28"/>
          <w:szCs w:val="28"/>
          <w:lang w:val="en-US" w:eastAsia="zh-CN" w:bidi="ar-SA"/>
        </w:rPr>
        <w:t>（公安局、教育局牵头负责；各苏木镇（中心、公司）组织落实）</w:t>
      </w:r>
    </w:p>
    <w:p w14:paraId="01057AA3">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color w:val="auto"/>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6.落实即时配送企业安全责任。</w:t>
      </w:r>
      <w:r>
        <w:rPr>
          <w:rFonts w:hint="default" w:ascii="Times New Roman" w:hAnsi="Times New Roman" w:eastAsia="仿宋" w:cs="Times New Roman"/>
          <w:snapToGrid/>
          <w:kern w:val="2"/>
          <w:sz w:val="28"/>
          <w:szCs w:val="28"/>
          <w:lang w:val="en-US" w:eastAsia="zh-CN" w:bidi="ar-SA"/>
        </w:rPr>
        <w:t>指导共享单车、快递、外卖等企业完善配送管理制度，建立完善安全内控机制，加强配送人员使用电动自行车及蓄电池审查备案，强化安全教育培训；对使用电动自行车配送的，按照最高速度 25公里/小时、守法行驶可完成配送任务的标准设定配送时限、路线，有效避免因任务设定不合理增加安全风险；督促企业对车辆改装情况开展自查自改，发现改装车辆的落实责令恢复原状、禁止使用、限制接单等措施，2024年 8月底前完成。鼓励企业为配送员统一配发电动自行车，推行共享换电模式。</w:t>
      </w:r>
      <w:r>
        <w:rPr>
          <w:rFonts w:hint="default" w:ascii="Times New Roman" w:hAnsi="Times New Roman" w:eastAsia="仿宋" w:cs="Times New Roman"/>
          <w:b/>
          <w:bCs/>
          <w:snapToGrid/>
          <w:kern w:val="2"/>
          <w:sz w:val="28"/>
          <w:szCs w:val="28"/>
          <w:lang w:val="en-US" w:eastAsia="zh-CN" w:bidi="ar-SA"/>
        </w:rPr>
        <w:t>（市场监督管理局牵头负责，公安局</w:t>
      </w:r>
      <w:r>
        <w:rPr>
          <w:rFonts w:hint="default" w:ascii="Times New Roman" w:hAnsi="Times New Roman" w:eastAsia="仿宋" w:cs="Times New Roman"/>
          <w:b/>
          <w:bCs/>
          <w:snapToGrid/>
          <w:color w:val="000000"/>
          <w:kern w:val="2"/>
          <w:sz w:val="28"/>
          <w:szCs w:val="28"/>
          <w:lang w:val="en-US" w:eastAsia="zh-CN" w:bidi="ar-SA"/>
        </w:rPr>
        <w:t>、交通运输局配</w:t>
      </w:r>
      <w:r>
        <w:rPr>
          <w:rFonts w:hint="default" w:ascii="Times New Roman" w:hAnsi="Times New Roman" w:eastAsia="仿宋" w:cs="Times New Roman"/>
          <w:b/>
          <w:bCs/>
          <w:snapToGrid/>
          <w:kern w:val="2"/>
          <w:sz w:val="28"/>
          <w:szCs w:val="28"/>
          <w:lang w:val="en-US" w:eastAsia="zh-CN" w:bidi="ar-SA"/>
        </w:rPr>
        <w:t>合；各苏木镇（中心、公司）组织落实）</w:t>
      </w:r>
    </w:p>
    <w:p w14:paraId="109B40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（四）着力解决设施不足、违规停放充电问题</w:t>
      </w:r>
    </w:p>
    <w:p w14:paraId="55EEC633">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7.强化新建项目规划审批。</w:t>
      </w:r>
      <w:r>
        <w:rPr>
          <w:rFonts w:hint="default" w:ascii="Times New Roman" w:hAnsi="Times New Roman" w:eastAsia="仿宋" w:cs="Times New Roman"/>
          <w:snapToGrid/>
          <w:kern w:val="2"/>
          <w:sz w:val="28"/>
          <w:szCs w:val="28"/>
          <w:lang w:val="en-US" w:eastAsia="zh-CN" w:bidi="ar-SA"/>
        </w:rPr>
        <w:t>严格落实《城市居住区规划设计标准》（GB 50180—2018）《城市综合交通体系规划标准》（GB/T 51328—2018）《社区生活圈规划技术指南》（TD/T 1062—2021）等有关非机动车停车场（库）设置规定，明确将电动自行车停放充电设施纳入新建居住项目配套，明确布局和配建比，并纳入项目规划审批管理。在既有居民住宅小区内利用公共空间设置停放场所、充电设施，涉及规划调整的，优化程序简易办理，不涉及规划调整的，无需办理规划审批手续，具体由</w:t>
      </w:r>
      <w:r>
        <w:rPr>
          <w:rFonts w:hint="default" w:ascii="Times New Roman" w:hAnsi="Times New Roman" w:eastAsia="仿宋" w:cs="Times New Roman"/>
          <w:snapToGrid/>
          <w:color w:val="auto"/>
          <w:kern w:val="2"/>
          <w:sz w:val="28"/>
          <w:szCs w:val="28"/>
          <w:lang w:val="en-US" w:eastAsia="zh-CN" w:bidi="ar-SA"/>
        </w:rPr>
        <w:t>城乡规划部门</w:t>
      </w:r>
      <w:r>
        <w:rPr>
          <w:rFonts w:hint="default" w:ascii="Times New Roman" w:hAnsi="Times New Roman" w:eastAsia="仿宋" w:cs="Times New Roman"/>
          <w:snapToGrid/>
          <w:kern w:val="2"/>
          <w:sz w:val="28"/>
          <w:szCs w:val="28"/>
          <w:lang w:val="en-US" w:eastAsia="zh-CN" w:bidi="ar-SA"/>
        </w:rPr>
        <w:t>落实。因既有小区场地资源紧张、无固定停放场所、无电源条件的，依法依规合理利用周边公共开放空间设置停放场所、充电设施，如需调整规划，优化程序简易办理。在商业区周边公共开放空间规划建设停放场所、充电设施，并纳入公共服务设施管理范围。</w:t>
      </w:r>
      <w:r>
        <w:rPr>
          <w:rFonts w:hint="default" w:ascii="Times New Roman" w:hAnsi="Times New Roman" w:eastAsia="仿宋" w:cs="Times New Roman"/>
          <w:b/>
          <w:bCs/>
          <w:snapToGrid/>
          <w:kern w:val="2"/>
          <w:sz w:val="28"/>
          <w:szCs w:val="28"/>
          <w:lang w:val="en-US" w:eastAsia="zh-CN" w:bidi="ar-SA"/>
        </w:rPr>
        <w:t>（自然资源局牵头负责；各苏木镇（中心、公司）组织落实）</w:t>
      </w:r>
    </w:p>
    <w:p w14:paraId="14AE70B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8.推进既有小区升级改造。</w:t>
      </w:r>
      <w:r>
        <w:rPr>
          <w:rFonts w:hint="default" w:ascii="Times New Roman" w:hAnsi="Times New Roman" w:eastAsia="仿宋" w:cs="Times New Roman"/>
          <w:snapToGrid/>
          <w:kern w:val="2"/>
          <w:sz w:val="28"/>
          <w:szCs w:val="28"/>
          <w:lang w:val="en-US" w:eastAsia="zh-CN" w:bidi="ar-SA"/>
        </w:rPr>
        <w:t>开展电动自行车停放充电设施规范补齐专项行动，真正解决老百姓充电难、停车难的问题。2024年起逐年推动既有小区安全改造，在既有居民住宅小区增设停放充电设施，按照设备管理办理相关手续，并须满足必要安全条件；积极推广共享充电柜。将停放充电设施建设统筹纳入各级地方政府民生事项，出台建设方案、列出计划安排、落实资金渠道，加快推进。物业服务企业应合理确认规划建设区域，确保建设符合相关规范要求，积极协助配合充电设施安装运营单位实施安装建设。没有物业服务企业的，各苏木镇（中心、公司）、嘎查村（社区）负责组织协调做好相关工作。推动机关、团体、企业、事业单位按照标准建设停放充电设施，鼓励对社会公众开放使用，提倡“满电回家”。</w:t>
      </w:r>
      <w:r>
        <w:rPr>
          <w:rFonts w:hint="default" w:ascii="Times New Roman" w:hAnsi="Times New Roman" w:eastAsia="仿宋" w:cs="Times New Roman"/>
          <w:b/>
          <w:bCs/>
          <w:snapToGrid/>
          <w:kern w:val="2"/>
          <w:sz w:val="28"/>
          <w:szCs w:val="28"/>
          <w:lang w:val="en-US" w:eastAsia="zh-CN" w:bidi="ar-SA"/>
        </w:rPr>
        <w:t>（住房和城乡建设局牵头负责，消防救援大队配合；各苏木镇（中心、公司）组织落实）</w:t>
      </w:r>
    </w:p>
    <w:p w14:paraId="0E57F089">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9.规范充电费用。</w:t>
      </w:r>
      <w:r>
        <w:rPr>
          <w:rFonts w:hint="default" w:ascii="Times New Roman" w:hAnsi="Times New Roman" w:eastAsia="仿宋" w:cs="Times New Roman"/>
          <w:snapToGrid/>
          <w:kern w:val="2"/>
          <w:sz w:val="28"/>
          <w:szCs w:val="28"/>
          <w:lang w:val="en-US" w:eastAsia="zh-CN" w:bidi="ar-SA"/>
        </w:rPr>
        <w:t>指导督促电力企业主动承建停放充电设施，减收、免收服务费。引导企业合理确定充电服务价格标准，居民住宅小区充电电价一律按居民电价执行。鼓励采取财政补贴、延长签约运营期等方式，引导社会力量积极参与停放充电设施建设，大幅降低充电服务费用，让群众“能承担”“愿意用”。建筑产权单位、使用单位和居住区物业服务企业应积极创造条件帮助降低充电服务价格。充电设施运营管理单位应公示充电和服务价格，不得收取任何未经公示的费用。</w:t>
      </w:r>
      <w:r>
        <w:rPr>
          <w:rFonts w:hint="default" w:ascii="Times New Roman" w:hAnsi="Times New Roman" w:eastAsia="仿宋" w:cs="Times New Roman"/>
          <w:b/>
          <w:bCs/>
          <w:snapToGrid/>
          <w:kern w:val="2"/>
          <w:sz w:val="28"/>
          <w:szCs w:val="28"/>
          <w:lang w:val="en-US" w:eastAsia="zh-CN" w:bidi="ar-SA"/>
        </w:rPr>
        <w:t>（旗</w:t>
      </w:r>
      <w:r>
        <w:rPr>
          <w:rFonts w:hint="default" w:ascii="Times New Roman" w:hAnsi="Times New Roman" w:eastAsia="仿宋" w:cs="Times New Roman"/>
          <w:b/>
          <w:bCs/>
          <w:snapToGrid/>
          <w:color w:val="auto"/>
          <w:kern w:val="2"/>
          <w:sz w:val="28"/>
          <w:szCs w:val="28"/>
          <w:lang w:val="en-US" w:eastAsia="zh-CN" w:bidi="ar-SA"/>
        </w:rPr>
        <w:t>发改委</w:t>
      </w:r>
      <w:r>
        <w:rPr>
          <w:rFonts w:hint="default" w:ascii="Times New Roman" w:hAnsi="Times New Roman" w:eastAsia="仿宋" w:cs="Times New Roman"/>
          <w:b/>
          <w:bCs/>
          <w:snapToGrid/>
          <w:kern w:val="2"/>
          <w:sz w:val="28"/>
          <w:szCs w:val="28"/>
          <w:lang w:val="en-US" w:eastAsia="zh-CN" w:bidi="ar-SA"/>
        </w:rPr>
        <w:t>牵头负责，市场监督管理</w:t>
      </w:r>
      <w:r>
        <w:rPr>
          <w:rFonts w:hint="default" w:ascii="Times New Roman" w:hAnsi="Times New Roman" w:eastAsia="仿宋" w:cs="Times New Roman"/>
          <w:b/>
          <w:bCs/>
          <w:snapToGrid/>
          <w:color w:val="000000"/>
          <w:kern w:val="2"/>
          <w:sz w:val="28"/>
          <w:szCs w:val="28"/>
          <w:lang w:val="en-US" w:eastAsia="zh-CN" w:bidi="ar-SA"/>
        </w:rPr>
        <w:t>局、供电分局配合</w:t>
      </w:r>
      <w:r>
        <w:rPr>
          <w:rFonts w:hint="default" w:ascii="Times New Roman" w:hAnsi="Times New Roman" w:eastAsia="仿宋" w:cs="Times New Roman"/>
          <w:b/>
          <w:bCs/>
          <w:snapToGrid/>
          <w:kern w:val="2"/>
          <w:sz w:val="28"/>
          <w:szCs w:val="28"/>
          <w:lang w:val="en-US" w:eastAsia="zh-CN" w:bidi="ar-SA"/>
        </w:rPr>
        <w:t>；各苏木镇（中心、公司）组织落实）</w:t>
      </w:r>
    </w:p>
    <w:p w14:paraId="3ACCF21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color w:val="auto"/>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10.严查违规停放充电行为。</w:t>
      </w:r>
      <w:r>
        <w:rPr>
          <w:rFonts w:hint="default" w:ascii="Times New Roman" w:hAnsi="Times New Roman" w:eastAsia="仿宋" w:cs="Times New Roman"/>
          <w:snapToGrid/>
          <w:kern w:val="2"/>
          <w:sz w:val="28"/>
          <w:szCs w:val="28"/>
          <w:lang w:val="en-US" w:eastAsia="zh-CN" w:bidi="ar-SA"/>
        </w:rPr>
        <w:t>发动苏木镇（中心、公司）和嘎查村（社区）、住宅小区管理单位等基层力量，加强防火检查巡查，重点整治电动自行车“进楼入户、人车同屋、飞线充电”等突出问题。消防、公安、综合执法等部门加强联合检查，依法对“进楼入户”“飞线充电”等违规停放充电行为开展执法查处、检查劝阻和宣传提示。</w:t>
      </w:r>
      <w:r>
        <w:rPr>
          <w:rFonts w:hint="default" w:ascii="Times New Roman" w:hAnsi="Times New Roman" w:eastAsia="仿宋" w:cs="Times New Roman"/>
          <w:snapToGrid/>
          <w:color w:val="auto"/>
          <w:kern w:val="2"/>
          <w:sz w:val="28"/>
          <w:szCs w:val="28"/>
          <w:lang w:val="en-US" w:eastAsia="zh-CN" w:bidi="ar-SA"/>
        </w:rPr>
        <w:t>住房城乡建设部门</w:t>
      </w:r>
      <w:r>
        <w:rPr>
          <w:rFonts w:hint="default" w:ascii="Times New Roman" w:hAnsi="Times New Roman" w:eastAsia="仿宋" w:cs="Times New Roman"/>
          <w:snapToGrid/>
          <w:kern w:val="2"/>
          <w:sz w:val="28"/>
          <w:szCs w:val="28"/>
          <w:lang w:val="en-US" w:eastAsia="zh-CN" w:bidi="ar-SA"/>
        </w:rPr>
        <w:t>应督促物业服务企业按照合同约定加强日常巡查管理，坚决制止住宅小区内单位、住户私自违规改造、违规建设、违规停放、违规</w:t>
      </w:r>
      <w:r>
        <w:rPr>
          <w:rFonts w:hint="default" w:ascii="Times New Roman" w:hAnsi="Times New Roman" w:eastAsia="仿宋" w:cs="Times New Roman"/>
          <w:snapToGrid/>
          <w:color w:val="auto"/>
          <w:kern w:val="2"/>
          <w:sz w:val="28"/>
          <w:szCs w:val="28"/>
          <w:lang w:val="en-US" w:eastAsia="zh-CN" w:bidi="ar-SA"/>
        </w:rPr>
        <w:t>充电等行为</w:t>
      </w:r>
      <w:r>
        <w:rPr>
          <w:rFonts w:hint="default" w:ascii="Times New Roman" w:hAnsi="Times New Roman" w:eastAsia="仿宋" w:cs="Times New Roman"/>
          <w:snapToGrid/>
          <w:kern w:val="2"/>
          <w:sz w:val="28"/>
          <w:szCs w:val="28"/>
          <w:lang w:val="en-US" w:eastAsia="zh-CN" w:bidi="ar-SA"/>
        </w:rPr>
        <w:t>，对服务区域内电动自行车飞线充电、进楼入户、堵塞占用疏散消防通道、安全出口等违法行为及时劝阻制止，对拒不改正、情节严重的及时报告嘎查村（社区）、苏木镇（中心、公司）或公安派出所、消防等部门并协助处理。对群众举报、媒体曝光的违规停放充电行为，应及时予以纠治，定期组织新闻媒体对违规停放充</w:t>
      </w:r>
      <w:r>
        <w:rPr>
          <w:rFonts w:hint="default" w:ascii="Times New Roman" w:hAnsi="Times New Roman" w:eastAsia="仿宋" w:cs="Times New Roman"/>
          <w:snapToGrid/>
          <w:color w:val="auto"/>
          <w:kern w:val="2"/>
          <w:sz w:val="28"/>
          <w:szCs w:val="28"/>
          <w:lang w:val="en-US" w:eastAsia="zh-CN" w:bidi="ar-SA"/>
        </w:rPr>
        <w:t>电等行为进行曝光。</w:t>
      </w:r>
      <w:r>
        <w:rPr>
          <w:rFonts w:hint="default" w:ascii="Times New Roman" w:hAnsi="Times New Roman" w:eastAsia="仿宋" w:cs="Times New Roman"/>
          <w:b/>
          <w:bCs/>
          <w:snapToGrid/>
          <w:color w:val="auto"/>
          <w:kern w:val="2"/>
          <w:sz w:val="28"/>
          <w:szCs w:val="28"/>
          <w:lang w:val="en-US" w:eastAsia="zh-CN" w:bidi="ar-SA"/>
        </w:rPr>
        <w:t>（消防救援大队牵头负责，住房和城乡建设局、公安局配合；各苏木镇（中心、公司）司组织落实）</w:t>
      </w:r>
    </w:p>
    <w:p w14:paraId="4C79C824">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color w:val="auto"/>
          <w:kern w:val="2"/>
          <w:sz w:val="28"/>
          <w:szCs w:val="28"/>
          <w:lang w:val="en-US" w:eastAsia="zh-CN" w:bidi="ar-SA"/>
        </w:rPr>
        <w:t>11.强化技防物防措施。</w:t>
      </w:r>
      <w:r>
        <w:rPr>
          <w:rFonts w:hint="default" w:ascii="Times New Roman" w:hAnsi="Times New Roman" w:eastAsia="仿宋" w:cs="Times New Roman"/>
          <w:snapToGrid/>
          <w:color w:val="auto"/>
          <w:kern w:val="2"/>
          <w:sz w:val="28"/>
          <w:szCs w:val="28"/>
          <w:lang w:val="en-US" w:eastAsia="zh-CN" w:bidi="ar-SA"/>
        </w:rPr>
        <w:t>2025年底前推</w:t>
      </w:r>
      <w:r>
        <w:rPr>
          <w:rFonts w:hint="default" w:ascii="Times New Roman" w:hAnsi="Times New Roman" w:eastAsia="仿宋" w:cs="Times New Roman"/>
          <w:snapToGrid/>
          <w:kern w:val="2"/>
          <w:sz w:val="28"/>
          <w:szCs w:val="28"/>
          <w:lang w:val="en-US" w:eastAsia="zh-CN" w:bidi="ar-SA"/>
        </w:rPr>
        <w:t>动充电设施建设运营单位建立数据平台，对充电设施实时监控，推广电梯智能阻车系统的运用。鼓励充电设施运营单位和即时配送企业推广换电模式。鼓励在楼宇电梯安装智能自助系统，推广“射频信号传输视频监控”等技术对蓄电池进楼实行动态监控，及时发现制止违规停放充电行为。</w:t>
      </w:r>
      <w:r>
        <w:rPr>
          <w:rFonts w:hint="default" w:ascii="Times New Roman" w:hAnsi="Times New Roman" w:eastAsia="仿宋" w:cs="Times New Roman"/>
          <w:b/>
          <w:bCs/>
          <w:snapToGrid/>
          <w:kern w:val="2"/>
          <w:sz w:val="28"/>
          <w:szCs w:val="28"/>
          <w:lang w:val="en-US" w:eastAsia="zh-CN" w:bidi="ar-SA"/>
        </w:rPr>
        <w:t>（市场监督管理局、消防救援大队牵头负责，住房和城乡建设局配合；各苏木镇（中心、公司）组织落实）</w:t>
      </w:r>
    </w:p>
    <w:p w14:paraId="49473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（五）着力解决维修管理不到位，非法改装问题</w:t>
      </w:r>
    </w:p>
    <w:p w14:paraId="5DFE6B1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12.严查非法改装。</w:t>
      </w:r>
      <w:r>
        <w:rPr>
          <w:rFonts w:hint="default" w:ascii="Times New Roman" w:hAnsi="Times New Roman" w:eastAsia="仿宋" w:cs="Times New Roman"/>
          <w:snapToGrid/>
          <w:kern w:val="2"/>
          <w:sz w:val="28"/>
          <w:szCs w:val="28"/>
          <w:lang w:val="en-US" w:eastAsia="zh-CN" w:bidi="ar-SA"/>
        </w:rPr>
        <w:t>对经营网点和维修店铺开展经常性检查，既要倒查改装企业和个人，也要倒查提供改装部件的第三方，严厉打击非法改装电动自行车及蓄电池等违法行为，依法从严整治擅自改装原厂电气配件、拆改电箱、外设蓄电池托架、改造蓄电池槽盒、更换大容量蓄电池等违法违规行为；严厉打击违规回收、二次组装加工蓄电池，将回收车辆配件和蓄电池以旧充新再次出售等行为，涉嫌犯罪的依法追究刑事责任。2024年 8月底前整治一批并持续推进。</w:t>
      </w:r>
      <w:r>
        <w:rPr>
          <w:rFonts w:hint="default" w:ascii="Times New Roman" w:hAnsi="Times New Roman" w:eastAsia="仿宋" w:cs="Times New Roman"/>
          <w:b/>
          <w:bCs/>
          <w:snapToGrid/>
          <w:kern w:val="2"/>
          <w:sz w:val="28"/>
          <w:szCs w:val="28"/>
          <w:lang w:val="en-US" w:eastAsia="zh-CN" w:bidi="ar-SA"/>
        </w:rPr>
        <w:t>（市场监督管理局牵头负责，公安局配合；各苏木镇（中心、公司）组织落实）</w:t>
      </w:r>
    </w:p>
    <w:p w14:paraId="51404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（六）着力解决老旧蓄电池报废回收问题</w:t>
      </w:r>
    </w:p>
    <w:p w14:paraId="15D3291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13.</w:t>
      </w:r>
      <w:r>
        <w:rPr>
          <w:rFonts w:hint="default" w:ascii="Times New Roman" w:hAnsi="Times New Roman" w:eastAsia="仿宋" w:cs="Times New Roman"/>
          <w:b/>
          <w:bCs/>
          <w:snapToGrid/>
          <w:kern w:val="2"/>
          <w:sz w:val="28"/>
          <w:szCs w:val="28"/>
          <w:lang w:val="en-US" w:eastAsia="en-US" w:bidi="ar-SA"/>
        </w:rPr>
        <w:t>推动以旧换新。</w:t>
      </w:r>
      <w:r>
        <w:rPr>
          <w:rFonts w:hint="default" w:ascii="Times New Roman" w:hAnsi="Times New Roman" w:eastAsia="仿宋" w:cs="Times New Roman"/>
          <w:snapToGrid/>
          <w:kern w:val="2"/>
          <w:sz w:val="28"/>
          <w:szCs w:val="28"/>
          <w:lang w:val="en-US" w:eastAsia="zh-CN" w:bidi="ar-SA"/>
        </w:rPr>
        <w:t>积极落实国家关于推动大规模设备更新和消费品以旧换新统一部署，细化支持政策，组织开展电动自行车及蓄电池以旧换新工作，2024年8月底前出台具体实施方案。鼓励有条件的地方通过财政补贴、企业让利、金融支持等手段推动电动自行车以旧换新。支持电动自行车销售企业与生产企业、回收企业联合开展以旧换新促销活动，整合上下游资源，开设线上线下电动自行车以旧换新专区，对消费者给予优惠。</w:t>
      </w:r>
      <w:r>
        <w:rPr>
          <w:rFonts w:hint="default" w:ascii="Times New Roman" w:hAnsi="Times New Roman" w:eastAsia="仿宋" w:cs="Times New Roman"/>
          <w:b/>
          <w:bCs/>
          <w:snapToGrid/>
          <w:kern w:val="2"/>
          <w:sz w:val="28"/>
          <w:szCs w:val="28"/>
          <w:lang w:val="en-US" w:eastAsia="zh-CN" w:bidi="ar-SA"/>
        </w:rPr>
        <w:t>（商务局牵头负责、</w:t>
      </w:r>
      <w:r>
        <w:rPr>
          <w:rFonts w:hint="default" w:ascii="Times New Roman" w:hAnsi="Times New Roman" w:eastAsia="仿宋" w:cs="Times New Roman"/>
          <w:b/>
          <w:bCs/>
          <w:snapToGrid/>
          <w:color w:val="000000"/>
          <w:kern w:val="2"/>
          <w:sz w:val="28"/>
          <w:szCs w:val="28"/>
          <w:lang w:val="en-US" w:eastAsia="zh-CN" w:bidi="ar-SA"/>
        </w:rPr>
        <w:t>工业和信息化局牵头负责，</w:t>
      </w:r>
      <w:r>
        <w:rPr>
          <w:rFonts w:hint="default" w:ascii="Times New Roman" w:hAnsi="Times New Roman" w:eastAsia="仿宋" w:cs="Times New Roman"/>
          <w:b/>
          <w:bCs/>
          <w:snapToGrid/>
          <w:kern w:val="2"/>
          <w:sz w:val="28"/>
          <w:szCs w:val="28"/>
          <w:lang w:val="en-US" w:eastAsia="zh-CN" w:bidi="ar-SA"/>
        </w:rPr>
        <w:t>财政局配合；各苏木镇（中心、公司）组织落实）</w:t>
      </w:r>
    </w:p>
    <w:p w14:paraId="5EB51C8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14.</w:t>
      </w:r>
      <w:r>
        <w:rPr>
          <w:rFonts w:hint="default" w:ascii="Times New Roman" w:hAnsi="Times New Roman" w:eastAsia="仿宋" w:cs="Times New Roman"/>
          <w:b/>
          <w:bCs/>
          <w:snapToGrid/>
          <w:kern w:val="2"/>
          <w:sz w:val="28"/>
          <w:szCs w:val="28"/>
          <w:lang w:val="en-US" w:eastAsia="en-US" w:bidi="ar-SA"/>
        </w:rPr>
        <w:t>完善老旧蓄电池报废回收处理体系。</w:t>
      </w:r>
      <w:r>
        <w:rPr>
          <w:rFonts w:hint="default" w:ascii="Times New Roman" w:hAnsi="Times New Roman" w:eastAsia="仿宋" w:cs="Times New Roman"/>
          <w:snapToGrid/>
          <w:kern w:val="2"/>
          <w:sz w:val="28"/>
          <w:szCs w:val="28"/>
          <w:lang w:val="en-US" w:eastAsia="zh-CN" w:bidi="ar-SA"/>
        </w:rPr>
        <w:t>建立老旧蓄电池报废淘汰机制，落实强制性报废标准；提升蓄电池检测等技术服务能力，优化服务机构站点布局。提供便捷快速评估技术服务，鼓励用户主动送检，及时淘汰更换；对超过生产日期5年的蓄电池开展全面强制安全性评估，对达到报废条件的一律强制报废，2025年5月底前取得阶段性成效并持续推进。科学规范开展废蓄电池回收处理，对回收和处置拆解企业予以政策支持，促进可再生资源循环利用。落实电动自行车蓄电池回收和综合利用管理办法。推动生产企业以自建、委托等方式提供老旧蓄电池更换、回收服务。</w:t>
      </w:r>
      <w:r>
        <w:rPr>
          <w:rFonts w:hint="default" w:ascii="Times New Roman" w:hAnsi="Times New Roman" w:eastAsia="仿宋" w:cs="Times New Roman"/>
          <w:b/>
          <w:bCs/>
          <w:snapToGrid/>
          <w:kern w:val="2"/>
          <w:sz w:val="28"/>
          <w:szCs w:val="28"/>
          <w:lang w:val="en-US" w:eastAsia="zh-CN" w:bidi="ar-SA"/>
        </w:rPr>
        <w:t>（工业和信息化局、</w:t>
      </w:r>
      <w:r>
        <w:rPr>
          <w:rFonts w:hint="default" w:ascii="Times New Roman" w:hAnsi="Times New Roman" w:eastAsia="仿宋" w:cs="Times New Roman"/>
          <w:b/>
          <w:bCs/>
          <w:snapToGrid/>
          <w:color w:val="auto"/>
          <w:kern w:val="2"/>
          <w:sz w:val="28"/>
          <w:szCs w:val="28"/>
          <w:lang w:val="en-US" w:eastAsia="zh-CN" w:bidi="ar-SA"/>
        </w:rPr>
        <w:t>生态环境分局</w:t>
      </w:r>
      <w:r>
        <w:rPr>
          <w:rFonts w:hint="default" w:ascii="Times New Roman" w:hAnsi="Times New Roman" w:eastAsia="仿宋" w:cs="Times New Roman"/>
          <w:b/>
          <w:bCs/>
          <w:snapToGrid/>
          <w:kern w:val="2"/>
          <w:sz w:val="28"/>
          <w:szCs w:val="28"/>
          <w:lang w:val="en-US" w:eastAsia="zh-CN" w:bidi="ar-SA"/>
        </w:rPr>
        <w:t>牵头负责，市场监督管理局、</w:t>
      </w:r>
      <w:r>
        <w:rPr>
          <w:rFonts w:hint="default" w:ascii="Times New Roman" w:hAnsi="Times New Roman" w:eastAsia="仿宋" w:cs="Times New Roman"/>
          <w:b/>
          <w:bCs/>
          <w:snapToGrid/>
          <w:color w:val="auto"/>
          <w:kern w:val="2"/>
          <w:sz w:val="28"/>
          <w:szCs w:val="28"/>
          <w:lang w:val="en-US" w:eastAsia="zh-CN" w:bidi="ar-SA"/>
        </w:rPr>
        <w:t>旗发改委</w:t>
      </w:r>
      <w:r>
        <w:rPr>
          <w:rFonts w:hint="default" w:ascii="Times New Roman" w:hAnsi="Times New Roman" w:eastAsia="仿宋" w:cs="Times New Roman"/>
          <w:b/>
          <w:bCs/>
          <w:snapToGrid/>
          <w:kern w:val="2"/>
          <w:sz w:val="28"/>
          <w:szCs w:val="28"/>
          <w:lang w:val="en-US" w:eastAsia="zh-CN" w:bidi="ar-SA"/>
        </w:rPr>
        <w:t>配合；各苏木镇（中心、公司）组织落实）</w:t>
      </w:r>
    </w:p>
    <w:p w14:paraId="68E89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（七）着力解决溯源追责力度不够问题</w:t>
      </w:r>
    </w:p>
    <w:p w14:paraId="208C2A99">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15.</w:t>
      </w:r>
      <w:r>
        <w:rPr>
          <w:rFonts w:hint="default" w:ascii="Times New Roman" w:hAnsi="Times New Roman" w:eastAsia="仿宋" w:cs="Times New Roman"/>
          <w:b/>
          <w:bCs/>
          <w:snapToGrid/>
          <w:kern w:val="2"/>
          <w:sz w:val="28"/>
          <w:szCs w:val="28"/>
          <w:lang w:val="en-US" w:eastAsia="en-US" w:bidi="ar-SA"/>
        </w:rPr>
        <w:t>严格事故全链条溯源追责。</w:t>
      </w:r>
      <w:r>
        <w:rPr>
          <w:rFonts w:hint="default" w:ascii="Times New Roman" w:hAnsi="Times New Roman" w:eastAsia="仿宋" w:cs="Times New Roman"/>
          <w:snapToGrid/>
          <w:kern w:val="2"/>
          <w:sz w:val="28"/>
          <w:szCs w:val="28"/>
          <w:lang w:val="en-US" w:eastAsia="en-US" w:bidi="ar-SA"/>
        </w:rPr>
        <w:t>建立“一车一池一充一码”识别代码和电动自行车登记信息管理系统，加强信息共享，提高事故后溯源调查能力。建立电动自行车亡人事故责任倒查机制，有关部门将生产、销售、改装、停放、充电、回收等各环节发现的违法违规线索及时移交并配合公安、消防等部门开展调查，必要时开展联合执法，造成重大影响的依法追责。整治期间发生电动自行车亡人事故的一律提级调查，实行“一案双查”，既要查清事故原因，也要查清责任落实，并在事故发生旗县区召开电动自行车全链条整治推进会。制作电动自行车事故警示教育宣传片，以案示警，宣传教育。</w:t>
      </w:r>
      <w:r>
        <w:rPr>
          <w:rFonts w:hint="default" w:ascii="Times New Roman" w:hAnsi="Times New Roman" w:eastAsia="仿宋" w:cs="Times New Roman"/>
          <w:b/>
          <w:bCs/>
          <w:snapToGrid/>
          <w:kern w:val="2"/>
          <w:sz w:val="28"/>
          <w:szCs w:val="28"/>
          <w:lang w:val="en-US" w:eastAsia="zh-CN" w:bidi="ar-SA"/>
        </w:rPr>
        <w:t>（公安局、应急管理局、消防救援大队牵头负责，市场监督管理局、商务局、工业和信息化局配合；各苏木镇（中心、公司）组织落实）</w:t>
      </w:r>
    </w:p>
    <w:p w14:paraId="36128DA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napToGrid/>
          <w:kern w:val="2"/>
          <w:sz w:val="28"/>
          <w:szCs w:val="28"/>
          <w:lang w:val="en-US" w:eastAsia="zh-CN" w:bidi="ar-SA"/>
        </w:rPr>
      </w:pPr>
      <w:r>
        <w:rPr>
          <w:rFonts w:hint="default" w:ascii="Times New Roman" w:hAnsi="Times New Roman" w:eastAsia="仿宋" w:cs="Times New Roman"/>
          <w:b/>
          <w:bCs/>
          <w:snapToGrid/>
          <w:kern w:val="2"/>
          <w:sz w:val="28"/>
          <w:szCs w:val="28"/>
          <w:lang w:val="en-US" w:eastAsia="zh-CN" w:bidi="ar-SA"/>
        </w:rPr>
        <w:t>16.</w:t>
      </w:r>
      <w:r>
        <w:rPr>
          <w:rFonts w:hint="default" w:ascii="Times New Roman" w:hAnsi="Times New Roman" w:eastAsia="仿宋" w:cs="Times New Roman"/>
          <w:b/>
          <w:bCs/>
          <w:snapToGrid/>
          <w:kern w:val="2"/>
          <w:sz w:val="28"/>
          <w:szCs w:val="28"/>
          <w:lang w:val="en-US" w:eastAsia="en-US" w:bidi="ar-SA"/>
        </w:rPr>
        <w:t>实施违法行为联合惩戒。</w:t>
      </w:r>
      <w:r>
        <w:rPr>
          <w:rFonts w:hint="default" w:ascii="Times New Roman" w:hAnsi="Times New Roman" w:eastAsia="仿宋" w:cs="Times New Roman"/>
          <w:snapToGrid/>
          <w:kern w:val="2"/>
          <w:sz w:val="28"/>
          <w:szCs w:val="28"/>
          <w:lang w:val="en-US" w:eastAsia="zh-CN" w:bidi="ar-SA"/>
        </w:rPr>
        <w:t>市场监管、工业和信息化、公安部门对违法违规销售电动自行车及蓄电池的企业和个人，违规回收、二次组装加工蓄电池的企业和个人，违规提供改装服务及部件的企业和个人按照规定进行曝光。消防部门对引发火灾事故的电动自行车、蓄电池品牌及型号按照规定进行曝光，充分发挥社会公众的监督作用。严重违法企业单位和责任人员依法列入相关严重失信主体名单。</w:t>
      </w:r>
      <w:r>
        <w:rPr>
          <w:rFonts w:hint="default" w:ascii="Times New Roman" w:hAnsi="Times New Roman" w:eastAsia="仿宋" w:cs="Times New Roman"/>
          <w:b/>
          <w:bCs/>
          <w:snapToGrid/>
          <w:kern w:val="2"/>
          <w:sz w:val="28"/>
          <w:szCs w:val="28"/>
          <w:lang w:val="en-US" w:eastAsia="zh-CN" w:bidi="ar-SA"/>
        </w:rPr>
        <w:t>（市场监督管理局、消防救援大队牵头负责，工业和信息化局、公安局配合；各苏木镇（中心、公司）组织落实）</w:t>
      </w:r>
    </w:p>
    <w:p w14:paraId="6692E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黑体" w:hAnsi="黑体" w:eastAsia="黑体" w:cs="黑体"/>
          <w:b w:val="0"/>
          <w:bCs w:val="0"/>
          <w:snapToGrid/>
          <w:kern w:val="2"/>
          <w:sz w:val="28"/>
          <w:szCs w:val="28"/>
          <w:lang w:val="en-US" w:eastAsia="zh-CN" w:bidi="ar-SA"/>
        </w:rPr>
      </w:pPr>
      <w:r>
        <w:rPr>
          <w:rFonts w:hint="default" w:ascii="黑体" w:hAnsi="黑体" w:eastAsia="黑体" w:cs="黑体"/>
          <w:b w:val="0"/>
          <w:bCs w:val="0"/>
          <w:snapToGrid/>
          <w:kern w:val="2"/>
          <w:sz w:val="28"/>
          <w:szCs w:val="28"/>
          <w:lang w:val="en-US" w:eastAsia="zh-CN" w:bidi="ar-SA"/>
        </w:rPr>
        <w:t>三、工作步骤</w:t>
      </w:r>
    </w:p>
    <w:p w14:paraId="72EBEBF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方正仿宋_GB2312" w:cs="Times New Roman"/>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（一）动员部署阶段（2024年5月25日前）。</w:t>
      </w:r>
      <w:r>
        <w:rPr>
          <w:rFonts w:hint="default" w:ascii="Times New Roman" w:hAnsi="Times New Roman" w:eastAsia="仿宋" w:cs="Times New Roman"/>
          <w:snapToGrid/>
          <w:kern w:val="2"/>
          <w:sz w:val="28"/>
          <w:szCs w:val="28"/>
          <w:lang w:val="en-US" w:eastAsia="zh-CN" w:bidi="ar-SA"/>
        </w:rPr>
        <w:t>各苏木镇（中心、公司）、各部门召开动员部署会，全面启动排查整治工作，明确整治范围和整治重点，明确任务分工和工作责任，挂图作战、梯次推进，形成与旗整体方案对应的工作机制，确保各项行动落地见效。</w:t>
      </w:r>
    </w:p>
    <w:p w14:paraId="4FBDD5D4">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方正仿宋_GB2312" w:cs="Times New Roman"/>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（二）整治攻坚阶段（2024年5月25日至2025年11月30日）。</w:t>
      </w:r>
      <w:r>
        <w:rPr>
          <w:rFonts w:hint="default" w:ascii="Times New Roman" w:hAnsi="Times New Roman" w:eastAsia="仿宋" w:cs="Times New Roman"/>
          <w:snapToGrid/>
          <w:kern w:val="2"/>
          <w:sz w:val="28"/>
          <w:szCs w:val="28"/>
          <w:lang w:val="en-US" w:eastAsia="zh-CN" w:bidi="ar-SA"/>
        </w:rPr>
        <w:t>各苏木镇（中心、公司）、各部门要开展全面排查，按照整改难易程度，分类制定年度计划，科学确定整治目标，逐年推进整治攻坚。要充分发动各有关部门力量，分类分批开展业务培训，讲清检查重点和工作方法，提高发现问题和解决问题能力。</w:t>
      </w:r>
    </w:p>
    <w:p w14:paraId="6C4DFF3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方正仿宋_GB2312" w:cs="Times New Roman"/>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（三）验收评估（2025年12月底前）。</w:t>
      </w:r>
      <w:r>
        <w:rPr>
          <w:rFonts w:hint="default" w:ascii="Times New Roman" w:hAnsi="Times New Roman" w:eastAsia="仿宋" w:cs="Times New Roman"/>
          <w:snapToGrid/>
          <w:kern w:val="2"/>
          <w:sz w:val="28"/>
          <w:szCs w:val="28"/>
          <w:lang w:val="en-US" w:eastAsia="zh-CN" w:bidi="ar-SA"/>
        </w:rPr>
        <w:t>坚持边整治、边调研、边总结，对存在的普遍性、系统性问题进行梳理研究，健全完善确保电动自行车“全链条”长效机制。</w:t>
      </w:r>
    </w:p>
    <w:p w14:paraId="3C731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黑体" w:hAnsi="黑体" w:eastAsia="黑体" w:cs="黑体"/>
          <w:b w:val="0"/>
          <w:bCs w:val="0"/>
          <w:snapToGrid/>
          <w:kern w:val="2"/>
          <w:sz w:val="28"/>
          <w:szCs w:val="28"/>
          <w:lang w:val="en-US" w:eastAsia="zh-CN" w:bidi="ar-SA"/>
        </w:rPr>
      </w:pPr>
      <w:r>
        <w:rPr>
          <w:rFonts w:hint="default" w:ascii="黑体" w:hAnsi="黑体" w:eastAsia="黑体" w:cs="黑体"/>
          <w:b w:val="0"/>
          <w:bCs w:val="0"/>
          <w:snapToGrid/>
          <w:kern w:val="2"/>
          <w:sz w:val="28"/>
          <w:szCs w:val="28"/>
          <w:lang w:val="en-US" w:eastAsia="zh-CN" w:bidi="ar-SA"/>
        </w:rPr>
        <w:t>四、保障措施</w:t>
      </w:r>
    </w:p>
    <w:p w14:paraId="3CA88F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（一）加强组织领导</w:t>
      </w:r>
    </w:p>
    <w:p w14:paraId="367D2E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napToGrid/>
          <w:kern w:val="2"/>
          <w:sz w:val="28"/>
          <w:szCs w:val="28"/>
          <w:lang w:val="en-US" w:eastAsia="zh-CN" w:bidi="ar-SA"/>
        </w:rPr>
      </w:pPr>
      <w:r>
        <w:rPr>
          <w:rFonts w:hint="default" w:ascii="Times New Roman" w:hAnsi="Times New Roman" w:eastAsia="仿宋" w:cs="Times New Roman"/>
          <w:snapToGrid/>
          <w:color w:val="auto"/>
          <w:kern w:val="2"/>
          <w:sz w:val="28"/>
          <w:szCs w:val="28"/>
          <w:lang w:val="en-US" w:eastAsia="zh-CN" w:bidi="ar-SA"/>
        </w:rPr>
        <w:t>旗人民政府</w:t>
      </w:r>
      <w:r>
        <w:rPr>
          <w:rFonts w:hint="default" w:ascii="Times New Roman" w:hAnsi="Times New Roman" w:eastAsia="仿宋" w:cs="Times New Roman"/>
          <w:snapToGrid/>
          <w:kern w:val="2"/>
          <w:sz w:val="28"/>
          <w:szCs w:val="28"/>
          <w:lang w:val="en-US" w:eastAsia="zh-CN" w:bidi="ar-SA"/>
        </w:rPr>
        <w:t>成立电动自行车安全隐患全链条整治工作小分队（以下简称工作小分队），负责统筹协调专项整治工作。应急管理局、消防救援大队为召集人单位，工业和信息化局、公安局、住房和城乡建设局、市场监督管理局为副召集人单位，成员由</w:t>
      </w:r>
      <w:r>
        <w:rPr>
          <w:rFonts w:hint="default" w:ascii="Times New Roman" w:hAnsi="Times New Roman" w:eastAsia="仿宋" w:cs="Times New Roman"/>
          <w:snapToGrid/>
          <w:color w:val="auto"/>
          <w:kern w:val="2"/>
          <w:sz w:val="28"/>
          <w:szCs w:val="28"/>
          <w:lang w:val="en-US" w:eastAsia="zh-CN" w:bidi="ar-SA"/>
        </w:rPr>
        <w:t>旗委政法委、</w:t>
      </w:r>
      <w:r>
        <w:rPr>
          <w:rFonts w:hint="default" w:ascii="Times New Roman" w:hAnsi="Times New Roman" w:eastAsia="仿宋" w:cs="Times New Roman"/>
          <w:snapToGrid/>
          <w:kern w:val="2"/>
          <w:sz w:val="28"/>
          <w:szCs w:val="28"/>
          <w:lang w:val="en-US" w:eastAsia="zh-CN" w:bidi="ar-SA"/>
        </w:rPr>
        <w:t>旗发展改革委、财政局、自然资源局、</w:t>
      </w:r>
      <w:r>
        <w:rPr>
          <w:rFonts w:hint="default" w:ascii="Times New Roman" w:hAnsi="Times New Roman" w:eastAsia="仿宋" w:cs="Times New Roman"/>
          <w:snapToGrid/>
          <w:color w:val="auto"/>
          <w:kern w:val="2"/>
          <w:sz w:val="28"/>
          <w:szCs w:val="28"/>
          <w:lang w:val="en-US" w:eastAsia="zh-CN" w:bidi="ar-SA"/>
        </w:rPr>
        <w:t>生态环境分局、</w:t>
      </w:r>
      <w:r>
        <w:rPr>
          <w:rFonts w:hint="default" w:ascii="Times New Roman" w:hAnsi="Times New Roman" w:eastAsia="仿宋" w:cs="Times New Roman"/>
          <w:snapToGrid/>
          <w:kern w:val="2"/>
          <w:sz w:val="28"/>
          <w:szCs w:val="28"/>
          <w:lang w:val="en-US" w:eastAsia="zh-CN" w:bidi="ar-SA"/>
        </w:rPr>
        <w:t>交通运输局和供电分局等部门组成。工作小分队办公室设在消防救援大队（电话：0478-5914902），各成员单位派人员参加小分队工作。各苏木镇（中心、公司）成立相应工作机制，细化工作方案，严格落实属地管理责任。</w:t>
      </w:r>
    </w:p>
    <w:p w14:paraId="0C1A1A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（二）凝聚工作合力</w:t>
      </w:r>
    </w:p>
    <w:p w14:paraId="2871314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2312" w:cs="Times New Roman"/>
          <w:snapToGrid/>
          <w:kern w:val="2"/>
          <w:sz w:val="28"/>
          <w:szCs w:val="28"/>
          <w:lang w:val="en-US" w:eastAsia="zh-CN" w:bidi="ar-SA"/>
        </w:rPr>
      </w:pPr>
      <w:r>
        <w:rPr>
          <w:rFonts w:hint="default" w:ascii="Times New Roman" w:hAnsi="Times New Roman" w:eastAsia="仿宋" w:cs="Times New Roman"/>
          <w:snapToGrid/>
          <w:kern w:val="2"/>
          <w:sz w:val="28"/>
          <w:szCs w:val="28"/>
          <w:lang w:val="en-US" w:eastAsia="zh-CN" w:bidi="ar-SA"/>
        </w:rPr>
        <w:t>按照本实施方案确定的重点工作任务，结合各苏木镇（中心、公司）各部门专项方案，适时组织开展督导式调研。将此项工作纳入年度安全生产和消防工作考核巡查内容，对整治工作进展缓慢、不扎实、不深入、走过场、推诿扯皮的，将采取约谈、通报等方式追究相关责任，切实提高专项整治质效。</w:t>
      </w:r>
    </w:p>
    <w:p w14:paraId="635CB6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snapToGrid/>
          <w:kern w:val="2"/>
          <w:sz w:val="28"/>
          <w:szCs w:val="28"/>
          <w:lang w:val="en-US" w:eastAsia="zh-CN" w:bidi="ar-SA"/>
        </w:rPr>
      </w:pPr>
      <w:r>
        <w:rPr>
          <w:rFonts w:hint="default" w:ascii="楷体" w:hAnsi="楷体" w:eastAsia="楷体" w:cs="楷体"/>
          <w:b/>
          <w:bCs/>
          <w:snapToGrid/>
          <w:kern w:val="2"/>
          <w:sz w:val="28"/>
          <w:szCs w:val="28"/>
          <w:lang w:val="en-US" w:eastAsia="zh-CN" w:bidi="ar-SA"/>
        </w:rPr>
        <w:t>（三）广泛宣传教育</w:t>
      </w:r>
    </w:p>
    <w:p w14:paraId="2FDFE8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napToGrid/>
          <w:kern w:val="2"/>
          <w:sz w:val="28"/>
          <w:szCs w:val="28"/>
          <w:lang w:val="en-US" w:eastAsia="zh-CN" w:bidi="ar-SA"/>
        </w:rPr>
      </w:pPr>
      <w:r>
        <w:rPr>
          <w:rFonts w:hint="default" w:ascii="Times New Roman" w:hAnsi="Times New Roman" w:eastAsia="仿宋" w:cs="Times New Roman"/>
          <w:snapToGrid/>
          <w:kern w:val="2"/>
          <w:sz w:val="28"/>
          <w:szCs w:val="28"/>
          <w:lang w:val="en-US" w:eastAsia="zh-CN" w:bidi="ar-SA"/>
        </w:rPr>
        <w:t>各苏木镇（中心、公司）、各部门要充分利用各种媒体，通过线上和线下相结合的方式，全方位、立体化、多维度开展电动自行车事故警示教育，制作警示教育宣传资料，加强电动自行车安全隐患宣传引导，各监管部门要对从业人员加大购买、使用、停放、充电等行为的宣传教育力度，引导群众遵守相关法律法规，持续营造全社会共治的良好氛围。</w:t>
      </w:r>
    </w:p>
    <w:p w14:paraId="1DC036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napToGrid/>
          <w:kern w:val="2"/>
          <w:sz w:val="28"/>
          <w:szCs w:val="28"/>
          <w:lang w:val="en-US" w:eastAsia="zh-CN" w:bidi="ar-SA"/>
        </w:rPr>
      </w:pPr>
      <w:r>
        <w:rPr>
          <w:rFonts w:hint="default" w:ascii="Times New Roman" w:hAnsi="Times New Roman" w:eastAsia="仿宋" w:cs="Times New Roman"/>
          <w:snapToGrid/>
          <w:kern w:val="2"/>
          <w:sz w:val="28"/>
          <w:szCs w:val="28"/>
          <w:lang w:val="en-US" w:eastAsia="zh-CN" w:bidi="ar-SA"/>
        </w:rPr>
        <w:t>请各苏木镇（中心、公司）、各相关部门于2024年5月25日前将整治工作机制负责人、联络员名单及本地区、部门实施方案报工作小分队，自方案下发之日起，每月16日前报送工作进展情况。</w:t>
      </w:r>
    </w:p>
    <w:p w14:paraId="1932672F">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default"/>
          <w:sz w:val="20"/>
          <w:szCs w:val="21"/>
          <w:lang w:val="en-US" w:eastAsia="zh-CN"/>
        </w:rPr>
      </w:pPr>
    </w:p>
    <w:p w14:paraId="0AF166A3">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default"/>
          <w:sz w:val="20"/>
          <w:szCs w:val="21"/>
          <w:lang w:val="en-US" w:eastAsia="zh-CN"/>
        </w:rPr>
      </w:pPr>
    </w:p>
    <w:p w14:paraId="26628FCF">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1"/>
          <w:lang w:val="en-US" w:eastAsia="zh-CN"/>
        </w:rPr>
      </w:pPr>
    </w:p>
    <w:p w14:paraId="0B1E9184">
      <w:pPr>
        <w:keepNext w:val="0"/>
        <w:keepLines w:val="0"/>
        <w:pageBreakBefore w:val="0"/>
        <w:widowControl w:val="0"/>
        <w:tabs>
          <w:tab w:val="left" w:pos="2940"/>
        </w:tabs>
        <w:kinsoku/>
        <w:wordWrap/>
        <w:overflowPunct/>
        <w:topLinePunct w:val="0"/>
        <w:autoSpaceDE/>
        <w:autoSpaceDN/>
        <w:bidi w:val="0"/>
        <w:adjustRightInd/>
        <w:snapToGrid/>
        <w:spacing w:line="560" w:lineRule="exact"/>
        <w:ind w:firstLine="440" w:firstLineChars="200"/>
        <w:jc w:val="both"/>
        <w:textAlignment w:val="auto"/>
        <w:rPr>
          <w:rFonts w:hint="default" w:ascii="Times New Roman" w:hAnsi="Times New Roman" w:eastAsia="仿宋" w:cs="Times New Roman"/>
          <w:kern w:val="1"/>
          <w:sz w:val="22"/>
          <w:szCs w:val="22"/>
        </w:rPr>
      </w:pPr>
    </w:p>
    <w:sectPr>
      <w:headerReference r:id="rId3" w:type="default"/>
      <w:footerReference r:id="rId5" w:type="default"/>
      <w:headerReference r:id="rId4" w:type="even"/>
      <w:footerReference r:id="rId6" w:type="even"/>
      <w:pgSz w:w="11906" w:h="16838"/>
      <w:pgMar w:top="1440" w:right="1133" w:bottom="1440" w:left="1440" w:header="851" w:footer="992" w:gutter="0"/>
      <w:pgNumType w:fmt="numberInDash" w:start="24"/>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_GBK">
    <w:altName w:val="微软雅黑"/>
    <w:panose1 w:val="02000000000000000000"/>
    <w:charset w:val="86"/>
    <w:family w:val="auto"/>
    <w:pitch w:val="default"/>
    <w:sig w:usb0="A00002BF" w:usb1="38CF7CFA" w:usb2="00082016"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13C3B">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4C155F">
                          <w:pPr>
                            <w:pStyle w:val="1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3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DieHx+6QEA&#10;AMoDAAAOAAAAAAAAAAEAIAAAAB8BAABkcnMvZTJvRG9jLnhtbFBLBQYAAAAABgAGAFkBAAB6BQAA&#10;AAA=&#10;">
              <v:fill on="f" focussize="0,0"/>
              <v:stroke on="f" weight="0.5pt"/>
              <v:imagedata o:title=""/>
              <o:lock v:ext="edit" aspectratio="f"/>
              <v:textbox inset="0mm,0mm,0mm,0mm" style="mso-fit-shape-to-text:t;">
                <w:txbxContent>
                  <w:p w14:paraId="194C155F">
                    <w:pPr>
                      <w:pStyle w:val="1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C5FB">
    <w:pPr>
      <w:pStyle w:val="13"/>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3C1288">
                          <w:pPr>
                            <w:pStyle w:val="1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B79lxA6QEA&#10;AMoDAAAOAAAAAAAAAAEAIAAAAB8BAABkcnMvZTJvRG9jLnhtbFBLBQYAAAAABgAGAFkBAAB6BQAA&#10;AAA=&#10;">
              <v:fill on="f" focussize="0,0"/>
              <v:stroke on="f" weight="0.5pt"/>
              <v:imagedata o:title=""/>
              <o:lock v:ext="edit" aspectratio="f"/>
              <v:textbox inset="0mm,0mm,0mm,0mm" style="mso-fit-shape-to-text:t;">
                <w:txbxContent>
                  <w:p w14:paraId="5B3C1288">
                    <w:pPr>
                      <w:pStyle w:val="1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31D5">
    <w:pPr>
      <w:pStyle w:val="14"/>
      <w:pBdr>
        <w:bottom w:val="single" w:color="auto" w:sz="6" w:space="0"/>
      </w:pBdr>
      <w:jc w:val="both"/>
    </w:pPr>
    <w:r>
      <w:rPr>
        <w:sz w:val="18"/>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-170180</wp:posOffset>
              </wp:positionV>
              <wp:extent cx="1533525" cy="295275"/>
              <wp:effectExtent l="0" t="0" r="571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E3ADCD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55pt;margin-top:-13.4pt;height:23.25pt;width:120.75pt;z-index:251659264;mso-width-relative:page;mso-height-relative:page;" fillcolor="#FFFFFF" filled="t" stroked="f" coordsize="21600,21600" arcsize="0.166666666666667" o:gfxdata="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2sXnWAAAACQ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0E3ADCD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1643380</wp:posOffset>
              </wp:positionH>
              <wp:positionV relativeFrom="paragraph">
                <wp:posOffset>-198120</wp:posOffset>
              </wp:positionV>
              <wp:extent cx="2638425" cy="361950"/>
              <wp:effectExtent l="0" t="0" r="13335" b="3810"/>
              <wp:wrapNone/>
              <wp:docPr id="9" name="矩形 90"/>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0C4EC9A6">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90" o:spid="_x0000_s1026" o:spt="1" style="position:absolute;left:0pt;margin-left:129.4pt;margin-top:-15.6pt;height:28.5pt;width:207.75pt;z-index:251662336;mso-width-relative:page;mso-height-relative:page;" fillcolor="#FFFFFF" filled="t" stroked="f" coordsize="21600,21600" o:gfxdata="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zzj19cAAAAKAQAADwAAAAAAAAABACAAAAAiAAAAZHJzL2Rvd25yZXYu&#10;eG1sUEsBAhQAFAAAAAgAh07iQClEw5TDAQAAeQMAAA4AAAAAAAAAAQAgAAAAJgEAAGRycy9lMm9E&#10;b2MueG1sUEsFBgAAAAAGAAYAWQEAAFsFAAAAAA==&#10;">
              <v:fill on="t" focussize="0,0"/>
              <v:stroke on="f"/>
              <v:imagedata o:title=""/>
              <o:lock v:ext="edit" aspectratio="f"/>
              <v:textbox>
                <w:txbxContent>
                  <w:p w14:paraId="0C4EC9A6">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8EC77F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D822D51">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80F0342">
                            <w:pPr>
                              <w:jc w:val="center"/>
                              <w:rPr>
                                <w:rFonts w:ascii="黑体" w:hAnsi="黑体" w:eastAsia="黑体"/>
                                <w:color w:val="000000"/>
                                <w:sz w:val="18"/>
                                <w:szCs w:val="18"/>
                              </w:rPr>
                            </w:pPr>
                          </w:p>
                          <w:p w14:paraId="269BD2A4">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13EA4C9C">
                            <w:pPr>
                              <w:jc w:val="center"/>
                              <w:rPr>
                                <w:rFonts w:ascii="黑体" w:hAnsi="黑体" w:eastAsia="黑体"/>
                                <w:color w:val="000000"/>
                                <w:sz w:val="18"/>
                                <w:szCs w:val="18"/>
                              </w:rPr>
                            </w:pPr>
                          </w:p>
                          <w:p w14:paraId="001E1C59">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17094D45">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8EC77F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D822D51">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80F0342">
                      <w:pPr>
                        <w:jc w:val="center"/>
                        <w:rPr>
                          <w:rFonts w:ascii="黑体" w:hAnsi="黑体" w:eastAsia="黑体"/>
                          <w:color w:val="000000"/>
                          <w:sz w:val="18"/>
                          <w:szCs w:val="18"/>
                        </w:rPr>
                      </w:pPr>
                    </w:p>
                    <w:p w14:paraId="269BD2A4">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13EA4C9C">
                      <w:pPr>
                        <w:jc w:val="center"/>
                        <w:rPr>
                          <w:rFonts w:ascii="黑体" w:hAnsi="黑体" w:eastAsia="黑体"/>
                          <w:color w:val="000000"/>
                          <w:sz w:val="18"/>
                          <w:szCs w:val="18"/>
                        </w:rPr>
                      </w:pPr>
                    </w:p>
                    <w:p w14:paraId="001E1C59">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17094D45">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571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EA1E9A8">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EA1E9A8">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p>
  <w:p w14:paraId="0A6CA5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DC92D">
    <w:pPr>
      <w:pStyle w:val="14"/>
    </w:pP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571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879750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879750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13335" b="381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70AFF0AB">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70AFF0AB">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-178435</wp:posOffset>
              </wp:positionV>
              <wp:extent cx="1533525" cy="295275"/>
              <wp:effectExtent l="0" t="0" r="571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7AFE092">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4.05pt;height:23.25pt;width:120.75pt;z-index:251666432;mso-width-relative:page;mso-height-relative:page;" fillcolor="#FFFFFF" filled="t" stroked="f" coordsize="21600,21600" arcsize="0.166666666666667" o:gfxdata="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KRRyP1wAAAAoBAAAP&#10;AAAAAAAAAAEAIAAAACIAAABkcnMvZG93bnJldi54bWxQSwECFAAUAAAACACHTuJAHDnznl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7AFE092">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81970B5">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E6DBAD7">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49B5DE0C">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81970B5">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E6DBAD7">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49B5DE0C">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370AA8A"/>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BF858D0"/>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3109625E"/>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370AA8A"/>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BF858D0"/>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3109625E"/>
                  </w:txbxContent>
                </v:textbox>
              </v:rect>
            </v:group>
          </w:pict>
        </mc:Fallback>
      </mc:AlternateContent>
    </w:r>
  </w:p>
  <w:p w14:paraId="51FA25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3285C9B"/>
    <w:rsid w:val="09B94621"/>
    <w:rsid w:val="09CE2321"/>
    <w:rsid w:val="09CF664A"/>
    <w:rsid w:val="09EE3342"/>
    <w:rsid w:val="0E3A032A"/>
    <w:rsid w:val="104F1498"/>
    <w:rsid w:val="13CA07A6"/>
    <w:rsid w:val="14E71592"/>
    <w:rsid w:val="1CCC144B"/>
    <w:rsid w:val="1E1E0B0B"/>
    <w:rsid w:val="23F156D7"/>
    <w:rsid w:val="25907C04"/>
    <w:rsid w:val="25CD6CB7"/>
    <w:rsid w:val="28DE61E1"/>
    <w:rsid w:val="292626A9"/>
    <w:rsid w:val="29FF1C2C"/>
    <w:rsid w:val="2EB147B6"/>
    <w:rsid w:val="349A20CB"/>
    <w:rsid w:val="3826164C"/>
    <w:rsid w:val="39C0599D"/>
    <w:rsid w:val="3A0412A2"/>
    <w:rsid w:val="3A292263"/>
    <w:rsid w:val="3C4C328A"/>
    <w:rsid w:val="3E431F22"/>
    <w:rsid w:val="3E6D5958"/>
    <w:rsid w:val="3FD628D7"/>
    <w:rsid w:val="4524386B"/>
    <w:rsid w:val="454D1D46"/>
    <w:rsid w:val="46332C0E"/>
    <w:rsid w:val="468537BA"/>
    <w:rsid w:val="48F97AF3"/>
    <w:rsid w:val="4BB86745"/>
    <w:rsid w:val="4BD0737E"/>
    <w:rsid w:val="4C6A56A4"/>
    <w:rsid w:val="4D5213C6"/>
    <w:rsid w:val="531F3FB8"/>
    <w:rsid w:val="53C93E8E"/>
    <w:rsid w:val="548A665D"/>
    <w:rsid w:val="54926809"/>
    <w:rsid w:val="55B92655"/>
    <w:rsid w:val="59102208"/>
    <w:rsid w:val="5DCA4AFF"/>
    <w:rsid w:val="60825FDD"/>
    <w:rsid w:val="64B231A6"/>
    <w:rsid w:val="6524223A"/>
    <w:rsid w:val="66B67DCE"/>
    <w:rsid w:val="66D333F9"/>
    <w:rsid w:val="685B2C84"/>
    <w:rsid w:val="694545B9"/>
    <w:rsid w:val="698F53F7"/>
    <w:rsid w:val="69BE743D"/>
    <w:rsid w:val="69E54816"/>
    <w:rsid w:val="6BD65BFE"/>
    <w:rsid w:val="6C10674B"/>
    <w:rsid w:val="6FCB1DB1"/>
    <w:rsid w:val="73AC698A"/>
    <w:rsid w:val="740B0C53"/>
    <w:rsid w:val="74DE3FE9"/>
    <w:rsid w:val="77DA7881"/>
    <w:rsid w:val="7C3D6665"/>
    <w:rsid w:val="7C750F6B"/>
    <w:rsid w:val="7D6A29F9"/>
    <w:rsid w:val="7D8F52CA"/>
    <w:rsid w:val="7EEE2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5"/>
    <w:next w:val="1"/>
    <w:link w:val="23"/>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20">
    <w:name w:val="Default Paragraph Font"/>
    <w:unhideWhenUsed/>
    <w:qFormat/>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firstLineChars="200"/>
    </w:pPr>
    <w:rPr>
      <w:rFonts w:ascii="Times New Roman"/>
    </w:rPr>
  </w:style>
  <w:style w:type="paragraph" w:styleId="3">
    <w:name w:val="Body Text Indent"/>
    <w:basedOn w:val="1"/>
    <w:qFormat/>
    <w:uiPriority w:val="0"/>
    <w:pPr>
      <w:ind w:left="420"/>
    </w:pPr>
    <w:rPr>
      <w:rFonts w:ascii="仿宋_GB2312" w:eastAsia="仿宋_GB2312"/>
      <w:sz w:val="32"/>
    </w:rPr>
  </w:style>
  <w:style w:type="paragraph" w:customStyle="1" w:styleId="5">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6">
    <w:name w:val="Normal Indent"/>
    <w:basedOn w:val="1"/>
    <w:unhideWhenUsed/>
    <w:qFormat/>
    <w:uiPriority w:val="99"/>
    <w:pPr>
      <w:ind w:firstLine="420"/>
    </w:pPr>
    <w:rPr>
      <w:rFonts w:ascii="Times New Roman" w:hAnsi="Times New Roman"/>
      <w:szCs w:val="20"/>
    </w:rPr>
  </w:style>
  <w:style w:type="paragraph" w:styleId="7">
    <w:name w:val="Body Text"/>
    <w:basedOn w:val="1"/>
    <w:next w:val="8"/>
    <w:qFormat/>
    <w:uiPriority w:val="0"/>
    <w:pPr>
      <w:spacing w:after="120"/>
    </w:pPr>
  </w:style>
  <w:style w:type="paragraph" w:customStyle="1" w:styleId="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Plain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10">
    <w:name w:val="Date"/>
    <w:basedOn w:val="1"/>
    <w:next w:val="1"/>
    <w:link w:val="25"/>
    <w:unhideWhenUsed/>
    <w:qFormat/>
    <w:uiPriority w:val="0"/>
    <w:pPr>
      <w:ind w:left="100" w:leftChars="2500"/>
    </w:pPr>
  </w:style>
  <w:style w:type="paragraph" w:styleId="11">
    <w:name w:val="Body Text Indent 2"/>
    <w:basedOn w:val="1"/>
    <w:unhideWhenUsed/>
    <w:qFormat/>
    <w:uiPriority w:val="99"/>
    <w:pPr>
      <w:spacing w:after="120" w:line="480" w:lineRule="auto"/>
      <w:ind w:left="420" w:leftChars="200"/>
    </w:pPr>
  </w:style>
  <w:style w:type="paragraph" w:styleId="12">
    <w:name w:val="Balloon Text"/>
    <w:basedOn w:val="1"/>
    <w:link w:val="26"/>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link w:val="29"/>
    <w:qFormat/>
    <w:uiPriority w:val="0"/>
    <w:pPr>
      <w:ind w:firstLine="780"/>
    </w:pPr>
    <w:rPr>
      <w:rFonts w:ascii="黑体" w:eastAsia="黑体"/>
    </w:rPr>
  </w:style>
  <w:style w:type="paragraph" w:styleId="16">
    <w:name w:val="toc 2"/>
    <w:basedOn w:val="1"/>
    <w:next w:val="1"/>
    <w:link w:val="30"/>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0"/>
    <w:rPr>
      <w:b/>
      <w:bCs/>
    </w:rPr>
  </w:style>
  <w:style w:type="character" w:styleId="22">
    <w:name w:val="Hyperlink"/>
    <w:basedOn w:val="20"/>
    <w:unhideWhenUsed/>
    <w:qFormat/>
    <w:uiPriority w:val="0"/>
    <w:rPr>
      <w:color w:val="0000FF"/>
      <w:u w:val="single"/>
    </w:rPr>
  </w:style>
  <w:style w:type="character" w:customStyle="1" w:styleId="23">
    <w:name w:val="标题 1 Char"/>
    <w:basedOn w:val="20"/>
    <w:link w:val="4"/>
    <w:qFormat/>
    <w:uiPriority w:val="0"/>
    <w:rPr>
      <w:rFonts w:ascii="宋体" w:hAnsi="宋体" w:cs="宋体"/>
      <w:b/>
      <w:bCs/>
      <w:kern w:val="36"/>
      <w:sz w:val="48"/>
      <w:szCs w:val="48"/>
    </w:rPr>
  </w:style>
  <w:style w:type="character" w:customStyle="1" w:styleId="24">
    <w:name w:val="纯文本 Char"/>
    <w:basedOn w:val="20"/>
    <w:link w:val="9"/>
    <w:qFormat/>
    <w:uiPriority w:val="99"/>
    <w:rPr>
      <w:rFonts w:ascii="宋体" w:hAnsi="宋体" w:cs="宋体"/>
      <w:sz w:val="24"/>
      <w:szCs w:val="22"/>
    </w:rPr>
  </w:style>
  <w:style w:type="character" w:customStyle="1" w:styleId="25">
    <w:name w:val="日期 Char"/>
    <w:basedOn w:val="20"/>
    <w:link w:val="10"/>
    <w:semiHidden/>
    <w:qFormat/>
    <w:uiPriority w:val="0"/>
    <w:rPr>
      <w:rFonts w:ascii="Calibri" w:hAnsi="Calibri" w:cs="黑体"/>
      <w:kern w:val="2"/>
      <w:sz w:val="21"/>
      <w:szCs w:val="22"/>
    </w:rPr>
  </w:style>
  <w:style w:type="character" w:customStyle="1" w:styleId="26">
    <w:name w:val="批注框文本 Char"/>
    <w:basedOn w:val="20"/>
    <w:link w:val="12"/>
    <w:semiHidden/>
    <w:qFormat/>
    <w:uiPriority w:val="99"/>
    <w:rPr>
      <w:sz w:val="18"/>
      <w:szCs w:val="18"/>
    </w:rPr>
  </w:style>
  <w:style w:type="character" w:customStyle="1" w:styleId="27">
    <w:name w:val="页脚 Char"/>
    <w:basedOn w:val="20"/>
    <w:link w:val="13"/>
    <w:qFormat/>
    <w:uiPriority w:val="99"/>
    <w:rPr>
      <w:sz w:val="18"/>
      <w:szCs w:val="18"/>
    </w:rPr>
  </w:style>
  <w:style w:type="character" w:customStyle="1" w:styleId="28">
    <w:name w:val="页眉 Char"/>
    <w:basedOn w:val="20"/>
    <w:link w:val="14"/>
    <w:qFormat/>
    <w:uiPriority w:val="99"/>
    <w:rPr>
      <w:sz w:val="18"/>
      <w:szCs w:val="18"/>
    </w:rPr>
  </w:style>
  <w:style w:type="character" w:customStyle="1" w:styleId="29">
    <w:name w:val="目录 1 Char"/>
    <w:link w:val="15"/>
    <w:uiPriority w:val="0"/>
    <w:rPr>
      <w:rFonts w:ascii="黑体" w:eastAsia="黑体"/>
    </w:rPr>
  </w:style>
  <w:style w:type="character" w:customStyle="1" w:styleId="30">
    <w:name w:val="目录 2 Char"/>
    <w:link w:val="16"/>
    <w:uiPriority w:val="39"/>
    <w:rPr>
      <w:rFonts w:eastAsia="宋体" w:cs="Mongolian Baiti"/>
      <w:sz w:val="21"/>
    </w:rPr>
  </w:style>
  <w:style w:type="paragraph" w:customStyle="1" w:styleId="31">
    <w:name w:val="p0"/>
    <w:basedOn w:val="1"/>
    <w:qFormat/>
    <w:uiPriority w:val="0"/>
    <w:pPr>
      <w:widowControl/>
    </w:pPr>
    <w:rPr>
      <w:rFonts w:ascii="Times New Roman" w:hAnsi="Times New Roman" w:cs="Times New Roman"/>
      <w:kern w:val="0"/>
      <w:szCs w:val="21"/>
    </w:rPr>
  </w:style>
  <w:style w:type="paragraph" w:customStyle="1" w:styleId="32">
    <w:name w:val="Char1 Char Char Char"/>
    <w:basedOn w:val="1"/>
    <w:qFormat/>
    <w:uiPriority w:val="0"/>
    <w:rPr>
      <w:rFonts w:ascii="Times New Roman" w:hAnsi="Times New Roman" w:cs="Times New Roman"/>
      <w:szCs w:val="24"/>
    </w:rPr>
  </w:style>
  <w:style w:type="paragraph" w:customStyle="1" w:styleId="33">
    <w:name w:val="列出段落1"/>
    <w:basedOn w:val="1"/>
    <w:unhideWhenUsed/>
    <w:qFormat/>
    <w:uiPriority w:val="99"/>
    <w:pPr>
      <w:ind w:firstLine="420" w:firstLineChars="200"/>
    </w:pPr>
  </w:style>
  <w:style w:type="character" w:customStyle="1" w:styleId="34">
    <w:name w:val="15"/>
    <w:basedOn w:val="20"/>
    <w:qFormat/>
    <w:uiPriority w:val="0"/>
    <w:rPr>
      <w:rFonts w:hint="default" w:ascii="Times New Roman" w:hAnsi="Times New Roman" w:cs="Times New Roman"/>
      <w:color w:val="CC0000"/>
    </w:rPr>
  </w:style>
  <w:style w:type="paragraph" w:customStyle="1" w:styleId="35">
    <w:name w:val="正文 New New New New New New New New New New New New New New New New New New New New New New"/>
    <w:basedOn w:val="1"/>
    <w:qFormat/>
    <w:uiPriority w:val="0"/>
    <w:rPr>
      <w:rFonts w:cs="Times New Roman"/>
      <w:szCs w:val="21"/>
    </w:rPr>
  </w:style>
  <w:style w:type="paragraph" w:customStyle="1" w:styleId="36">
    <w:name w:val="列出段落11"/>
    <w:basedOn w:val="1"/>
    <w:qFormat/>
    <w:uiPriority w:val="0"/>
    <w:pPr>
      <w:ind w:firstLine="420" w:firstLineChars="200"/>
    </w:pPr>
    <w:rPr>
      <w:rFonts w:cs="宋体"/>
      <w:szCs w:val="21"/>
    </w:rPr>
  </w:style>
  <w:style w:type="paragraph" w:customStyle="1" w:styleId="37">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38">
    <w:name w:val="16"/>
    <w:basedOn w:val="20"/>
    <w:qFormat/>
    <w:uiPriority w:val="0"/>
    <w:rPr>
      <w:rFonts w:hint="default" w:ascii="Times New Roman" w:hAnsi="Times New Roman" w:cs="Times New Roman"/>
      <w:color w:val="000000"/>
      <w:sz w:val="32"/>
      <w:szCs w:val="32"/>
    </w:rPr>
  </w:style>
  <w:style w:type="character" w:customStyle="1" w:styleId="39">
    <w:name w:val="17"/>
    <w:basedOn w:val="20"/>
    <w:qFormat/>
    <w:uiPriority w:val="0"/>
    <w:rPr>
      <w:rFonts w:hint="eastAsia" w:ascii="仿宋" w:hAnsi="仿宋" w:eastAsia="仿宋"/>
      <w:color w:val="000000"/>
      <w:sz w:val="32"/>
      <w:szCs w:val="32"/>
    </w:rPr>
  </w:style>
  <w:style w:type="paragraph" w:customStyle="1" w:styleId="40">
    <w:name w:val="黑体"/>
    <w:basedOn w:val="1"/>
    <w:qFormat/>
    <w:uiPriority w:val="0"/>
    <w:pPr>
      <w:spacing w:line="560" w:lineRule="exact"/>
    </w:pPr>
    <w:rPr>
      <w:rFonts w:eastAsia="黑体" w:cs="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6003</Words>
  <Characters>6143</Characters>
  <Lines>30</Lines>
  <Paragraphs>8</Paragraphs>
  <TotalTime>7</TotalTime>
  <ScaleCrop>false</ScaleCrop>
  <LinksUpToDate>false</LinksUpToDate>
  <CharactersWithSpaces>6154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沐雪</cp:lastModifiedBy>
  <cp:lastPrinted>2024-07-16T02:16:28Z</cp:lastPrinted>
  <dcterms:modified xsi:type="dcterms:W3CDTF">2024-07-22T08:34:50Z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9626BBDC89BE4CFDB4A9B5569857239F_13</vt:lpwstr>
  </property>
</Properties>
</file>