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2C5C885">
      <w:pPr>
        <w:rPr>
          <w:rFonts w:hint="default" w:ascii="Times New Roman" w:hAnsi="Times New Roman" w:eastAsia="宋体" w:cs="Times New Roman"/>
          <w:color w:val="auto"/>
          <w:sz w:val="36"/>
          <w:szCs w:val="36"/>
          <w:highlight w:val="none"/>
          <w:lang w:eastAsia="zh-CN"/>
        </w:rPr>
      </w:pPr>
    </w:p>
    <w:p w14:paraId="12D48DC8">
      <w:pPr>
        <w:rPr>
          <w:rFonts w:hint="default" w:ascii="Times New Roman" w:hAnsi="Times New Roman" w:eastAsia="宋体" w:cs="Times New Roman"/>
          <w:color w:val="auto"/>
          <w:sz w:val="36"/>
          <w:szCs w:val="36"/>
          <w:highlight w:val="none"/>
        </w:rPr>
      </w:pPr>
    </w:p>
    <w:p w14:paraId="6EA5791F">
      <w:pPr>
        <w:adjustRightInd w:val="0"/>
        <w:snapToGrid w:val="0"/>
        <w:jc w:val="center"/>
        <w:outlineLvl w:val="0"/>
        <w:rPr>
          <w:rFonts w:hint="default" w:ascii="Times New Roman" w:hAnsi="Times New Roman" w:eastAsia="宋体" w:cs="Times New Roman"/>
          <w:bCs/>
          <w:color w:val="auto"/>
          <w:sz w:val="72"/>
          <w:szCs w:val="72"/>
          <w:highlight w:val="none"/>
        </w:rPr>
      </w:pPr>
      <w:r>
        <w:rPr>
          <w:rFonts w:hint="default" w:ascii="Times New Roman" w:hAnsi="Times New Roman" w:eastAsia="宋体" w:cs="Times New Roman"/>
          <w:bCs/>
          <w:color w:val="auto"/>
          <w:sz w:val="72"/>
          <w:szCs w:val="72"/>
          <w:highlight w:val="none"/>
        </w:rPr>
        <w:t>建设项目环境影响报告表</w:t>
      </w:r>
    </w:p>
    <w:p w14:paraId="21FEDF57">
      <w:pPr>
        <w:adjustRightInd w:val="0"/>
        <w:snapToGrid w:val="0"/>
        <w:spacing w:before="192" w:beforeLines="80"/>
        <w:jc w:val="center"/>
        <w:rPr>
          <w:rFonts w:hint="default" w:ascii="Times New Roman" w:hAnsi="Times New Roman" w:eastAsia="宋体" w:cs="Times New Roman"/>
          <w:bCs/>
          <w:color w:val="auto"/>
          <w:sz w:val="48"/>
          <w:szCs w:val="48"/>
          <w:highlight w:val="none"/>
        </w:rPr>
      </w:pPr>
      <w:r>
        <w:rPr>
          <w:rFonts w:hint="default" w:ascii="Times New Roman" w:hAnsi="Times New Roman" w:eastAsia="宋体" w:cs="Times New Roman"/>
          <w:bCs/>
          <w:color w:val="auto"/>
          <w:sz w:val="48"/>
          <w:szCs w:val="48"/>
          <w:highlight w:val="none"/>
        </w:rPr>
        <w:t>（污染影响类）</w:t>
      </w:r>
    </w:p>
    <w:p w14:paraId="24218EAD">
      <w:pPr>
        <w:adjustRightInd w:val="0"/>
        <w:snapToGrid w:val="0"/>
        <w:spacing w:line="288" w:lineRule="auto"/>
        <w:jc w:val="center"/>
        <w:outlineLvl w:val="0"/>
        <w:rPr>
          <w:rFonts w:hint="default" w:ascii="Times New Roman" w:hAnsi="Times New Roman" w:eastAsia="宋体" w:cs="Times New Roman"/>
          <w:color w:val="auto"/>
          <w:kern w:val="44"/>
          <w:sz w:val="44"/>
          <w:szCs w:val="44"/>
          <w:highlight w:val="none"/>
        </w:rPr>
      </w:pPr>
    </w:p>
    <w:p w14:paraId="6FE6D95A">
      <w:pPr>
        <w:jc w:val="center"/>
        <w:rPr>
          <w:rFonts w:hint="default" w:ascii="Times New Roman" w:hAnsi="Times New Roman" w:eastAsia="宋体" w:cs="Times New Roman"/>
          <w:color w:val="auto"/>
          <w:sz w:val="52"/>
          <w:szCs w:val="52"/>
          <w:highlight w:val="none"/>
        </w:rPr>
      </w:pPr>
    </w:p>
    <w:p w14:paraId="3EFA8148">
      <w:pPr>
        <w:ind w:firstLine="1040"/>
        <w:rPr>
          <w:rFonts w:hint="default" w:ascii="Times New Roman" w:hAnsi="Times New Roman" w:eastAsia="宋体" w:cs="Times New Roman"/>
          <w:color w:val="auto"/>
          <w:sz w:val="44"/>
          <w:szCs w:val="44"/>
          <w:highlight w:val="none"/>
        </w:rPr>
      </w:pPr>
    </w:p>
    <w:p w14:paraId="023F9888">
      <w:pPr>
        <w:ind w:firstLine="1040"/>
        <w:rPr>
          <w:rFonts w:hint="default" w:ascii="Times New Roman" w:hAnsi="Times New Roman" w:eastAsia="宋体" w:cs="Times New Roman"/>
          <w:color w:val="auto"/>
          <w:sz w:val="44"/>
          <w:szCs w:val="44"/>
          <w:highlight w:val="none"/>
        </w:rPr>
      </w:pPr>
    </w:p>
    <w:p w14:paraId="1E7FC3B4">
      <w:pPr>
        <w:pStyle w:val="21"/>
        <w:rPr>
          <w:rFonts w:hint="default" w:ascii="Times New Roman" w:hAnsi="Times New Roman" w:eastAsia="宋体" w:cs="Times New Roman"/>
          <w:color w:val="auto"/>
          <w:sz w:val="44"/>
          <w:szCs w:val="44"/>
          <w:highlight w:val="none"/>
        </w:rPr>
      </w:pPr>
    </w:p>
    <w:p w14:paraId="65672E69">
      <w:pPr>
        <w:rPr>
          <w:rFonts w:hint="default" w:ascii="Times New Roman" w:hAnsi="Times New Roman" w:eastAsia="宋体" w:cs="Times New Roman"/>
          <w:color w:val="auto"/>
          <w:sz w:val="44"/>
          <w:szCs w:val="44"/>
          <w:highlight w:val="none"/>
        </w:rPr>
      </w:pPr>
    </w:p>
    <w:p w14:paraId="4D081098">
      <w:pPr>
        <w:rPr>
          <w:rFonts w:hint="default" w:ascii="Times New Roman" w:hAnsi="Times New Roman" w:eastAsia="宋体" w:cs="Times New Roman"/>
          <w:color w:val="auto"/>
          <w:sz w:val="44"/>
          <w:szCs w:val="44"/>
          <w:highlight w:val="none"/>
        </w:rPr>
      </w:pPr>
    </w:p>
    <w:p w14:paraId="60F5ECE4">
      <w:pPr>
        <w:rPr>
          <w:rFonts w:hint="default" w:ascii="Times New Roman" w:hAnsi="Times New Roman" w:cs="Times New Roman"/>
          <w:color w:val="auto"/>
          <w:highlight w:val="none"/>
        </w:rPr>
      </w:pPr>
    </w:p>
    <w:p w14:paraId="42B3DDBC">
      <w:pPr>
        <w:ind w:firstLine="1040"/>
        <w:rPr>
          <w:rFonts w:hint="default" w:ascii="Times New Roman" w:hAnsi="Times New Roman" w:eastAsia="宋体" w:cs="Times New Roman"/>
          <w:color w:val="auto"/>
          <w:sz w:val="44"/>
          <w:szCs w:val="44"/>
          <w:highlight w:val="none"/>
        </w:rPr>
      </w:pPr>
    </w:p>
    <w:p w14:paraId="6CE4A0F7">
      <w:pPr>
        <w:pStyle w:val="6"/>
        <w:rPr>
          <w:rFonts w:hint="default" w:ascii="Times New Roman" w:hAnsi="Times New Roman" w:eastAsia="宋体" w:cs="Times New Roman"/>
          <w:color w:val="auto"/>
          <w:highlight w:val="none"/>
        </w:rPr>
      </w:pPr>
    </w:p>
    <w:p w14:paraId="66FDEFC9">
      <w:pPr>
        <w:rPr>
          <w:rFonts w:hint="default" w:ascii="Times New Roman" w:hAnsi="Times New Roman" w:eastAsia="宋体" w:cs="Times New Roman"/>
          <w:color w:val="auto"/>
          <w:sz w:val="44"/>
          <w:szCs w:val="44"/>
          <w:highlight w:val="none"/>
        </w:rPr>
      </w:pPr>
    </w:p>
    <w:p w14:paraId="0E5B08FE">
      <w:pPr>
        <w:adjustRightInd w:val="0"/>
        <w:snapToGrid w:val="0"/>
        <w:spacing w:line="288" w:lineRule="auto"/>
        <w:ind w:left="1800" w:hanging="1800" w:hangingChars="500"/>
        <w:jc w:val="both"/>
        <w:rPr>
          <w:rFonts w:hint="default" w:ascii="Times New Roman" w:hAnsi="Times New Roman" w:eastAsia="宋体" w:cs="Times New Roman"/>
          <w:color w:val="auto"/>
          <w:sz w:val="36"/>
          <w:szCs w:val="36"/>
          <w:highlight w:val="none"/>
          <w:u w:val="single"/>
        </w:rPr>
      </w:pPr>
      <w:r>
        <w:rPr>
          <w:rFonts w:hint="default" w:ascii="Times New Roman" w:hAnsi="Times New Roman" w:eastAsia="宋体" w:cs="Times New Roman"/>
          <w:color w:val="auto"/>
          <w:sz w:val="36"/>
          <w:szCs w:val="36"/>
          <w:highlight w:val="none"/>
        </w:rPr>
        <w:t>项目名称：</w:t>
      </w:r>
      <w:r>
        <w:rPr>
          <w:rFonts w:hint="default" w:ascii="Times New Roman" w:hAnsi="Times New Roman" w:eastAsia="宋体" w:cs="Times New Roman"/>
          <w:color w:val="auto"/>
          <w:sz w:val="36"/>
          <w:szCs w:val="36"/>
          <w:highlight w:val="none"/>
          <w:u w:val="single"/>
          <w:lang w:val="en-US" w:eastAsia="zh-CN"/>
        </w:rPr>
        <w:t>内蒙古太平矿业</w:t>
      </w:r>
      <w:bookmarkStart w:id="3" w:name="_GoBack"/>
      <w:bookmarkEnd w:id="3"/>
      <w:r>
        <w:rPr>
          <w:rFonts w:hint="default" w:ascii="Times New Roman" w:hAnsi="Times New Roman" w:eastAsia="宋体" w:cs="Times New Roman"/>
          <w:color w:val="auto"/>
          <w:sz w:val="36"/>
          <w:szCs w:val="36"/>
          <w:highlight w:val="none"/>
          <w:u w:val="single"/>
          <w:lang w:val="en-US" w:eastAsia="zh-CN"/>
        </w:rPr>
        <w:t>有限公司危废</w:t>
      </w:r>
      <w:r>
        <w:rPr>
          <w:rFonts w:hint="eastAsia" w:ascii="Times New Roman" w:hAnsi="Times New Roman" w:eastAsia="宋体" w:cs="Times New Roman"/>
          <w:color w:val="auto"/>
          <w:sz w:val="36"/>
          <w:szCs w:val="36"/>
          <w:highlight w:val="none"/>
          <w:u w:val="single"/>
          <w:lang w:val="en-US" w:eastAsia="zh-CN"/>
        </w:rPr>
        <w:t>暂存</w:t>
      </w:r>
      <w:r>
        <w:rPr>
          <w:rFonts w:hint="default" w:ascii="Times New Roman" w:hAnsi="Times New Roman" w:eastAsia="宋体" w:cs="Times New Roman"/>
          <w:color w:val="auto"/>
          <w:sz w:val="36"/>
          <w:szCs w:val="36"/>
          <w:highlight w:val="none"/>
          <w:u w:val="single"/>
          <w:lang w:val="en-US" w:eastAsia="zh-CN"/>
        </w:rPr>
        <w:t>库扩建项目</w:t>
      </w:r>
    </w:p>
    <w:p w14:paraId="60391135">
      <w:pPr>
        <w:adjustRightInd w:val="0"/>
        <w:snapToGrid w:val="0"/>
        <w:spacing w:line="288" w:lineRule="auto"/>
        <w:ind w:left="1800" w:hanging="1800" w:hangingChars="500"/>
        <w:rPr>
          <w:rFonts w:hint="default" w:ascii="Times New Roman" w:hAnsi="Times New Roman" w:eastAsia="宋体" w:cs="Times New Roman"/>
          <w:color w:val="auto"/>
          <w:sz w:val="36"/>
          <w:szCs w:val="36"/>
          <w:highlight w:val="none"/>
          <w:u w:val="single"/>
          <w:lang w:val="en-US" w:eastAsia="zh-CN"/>
        </w:rPr>
      </w:pPr>
      <w:r>
        <w:rPr>
          <w:rFonts w:hint="default" w:ascii="Times New Roman" w:hAnsi="Times New Roman" w:eastAsia="宋体" w:cs="Times New Roman"/>
          <w:color w:val="auto"/>
          <w:sz w:val="36"/>
          <w:szCs w:val="36"/>
          <w:highlight w:val="none"/>
        </w:rPr>
        <w:t>建设单位（盖章）：</w:t>
      </w:r>
      <w:r>
        <w:rPr>
          <w:rFonts w:hint="default" w:ascii="Times New Roman" w:hAnsi="Times New Roman" w:eastAsia="宋体" w:cs="Times New Roman"/>
          <w:color w:val="auto"/>
          <w:sz w:val="36"/>
          <w:szCs w:val="36"/>
          <w:highlight w:val="none"/>
          <w:u w:val="single"/>
          <w:lang w:val="en-US" w:eastAsia="zh-CN"/>
        </w:rPr>
        <w:t>内蒙古太平矿业有限公司</w:t>
      </w:r>
    </w:p>
    <w:p w14:paraId="719612BF">
      <w:pPr>
        <w:adjustRightInd w:val="0"/>
        <w:snapToGrid w:val="0"/>
        <w:spacing w:line="288" w:lineRule="auto"/>
        <w:rPr>
          <w:rFonts w:hint="default" w:ascii="Times New Roman" w:hAnsi="Times New Roman" w:eastAsia="宋体" w:cs="Times New Roman"/>
          <w:color w:val="auto"/>
          <w:sz w:val="36"/>
          <w:szCs w:val="36"/>
          <w:highlight w:val="none"/>
          <w:u w:val="single"/>
        </w:rPr>
      </w:pPr>
      <w:r>
        <w:rPr>
          <w:rFonts w:hint="default" w:ascii="Times New Roman" w:hAnsi="Times New Roman" w:eastAsia="宋体" w:cs="Times New Roman"/>
          <w:color w:val="auto"/>
          <w:sz w:val="36"/>
          <w:szCs w:val="36"/>
          <w:highlight w:val="none"/>
        </w:rPr>
        <w:t>编制日期：</w:t>
      </w:r>
      <w:r>
        <w:rPr>
          <w:rFonts w:hint="default" w:ascii="Times New Roman" w:hAnsi="Times New Roman" w:eastAsia="宋体" w:cs="Times New Roman"/>
          <w:color w:val="auto"/>
          <w:sz w:val="36"/>
          <w:szCs w:val="36"/>
          <w:highlight w:val="none"/>
          <w:u w:val="single"/>
        </w:rPr>
        <w:t xml:space="preserve"> </w:t>
      </w:r>
      <w:r>
        <w:rPr>
          <w:rFonts w:hint="default" w:ascii="Times New Roman" w:hAnsi="Times New Roman" w:eastAsia="宋体" w:cs="Times New Roman"/>
          <w:color w:val="auto"/>
          <w:sz w:val="36"/>
          <w:szCs w:val="36"/>
          <w:highlight w:val="none"/>
          <w:u w:val="single"/>
          <w:lang w:val="en-US" w:eastAsia="zh-CN"/>
        </w:rPr>
        <w:t xml:space="preserve">      2026年</w:t>
      </w:r>
      <w:r>
        <w:rPr>
          <w:rFonts w:hint="eastAsia" w:ascii="Times New Roman" w:hAnsi="Times New Roman" w:eastAsia="宋体" w:cs="Times New Roman"/>
          <w:color w:val="auto"/>
          <w:sz w:val="36"/>
          <w:szCs w:val="36"/>
          <w:highlight w:val="none"/>
          <w:u w:val="single"/>
          <w:lang w:val="en-US" w:eastAsia="zh-CN"/>
        </w:rPr>
        <w:t>4</w:t>
      </w:r>
      <w:r>
        <w:rPr>
          <w:rFonts w:hint="default" w:ascii="Times New Roman" w:hAnsi="Times New Roman" w:eastAsia="宋体" w:cs="Times New Roman"/>
          <w:color w:val="auto"/>
          <w:sz w:val="36"/>
          <w:szCs w:val="36"/>
          <w:highlight w:val="none"/>
          <w:u w:val="single"/>
          <w:lang w:val="en-US" w:eastAsia="zh-CN"/>
        </w:rPr>
        <w:t>月</w:t>
      </w:r>
      <w:r>
        <w:rPr>
          <w:rFonts w:hint="default" w:ascii="Times New Roman" w:hAnsi="Times New Roman" w:eastAsia="宋体" w:cs="Times New Roman"/>
          <w:color w:val="auto"/>
          <w:sz w:val="36"/>
          <w:szCs w:val="36"/>
          <w:highlight w:val="none"/>
          <w:u w:val="single"/>
        </w:rPr>
        <w:t xml:space="preserve">                   </w:t>
      </w:r>
    </w:p>
    <w:p w14:paraId="50D323B2">
      <w:pPr>
        <w:adjustRightInd w:val="0"/>
        <w:snapToGrid w:val="0"/>
        <w:spacing w:line="288" w:lineRule="auto"/>
        <w:ind w:firstLine="1040"/>
        <w:rPr>
          <w:rFonts w:hint="default" w:ascii="Times New Roman" w:hAnsi="Times New Roman" w:eastAsia="宋体" w:cs="Times New Roman"/>
          <w:color w:val="auto"/>
          <w:sz w:val="36"/>
          <w:szCs w:val="36"/>
          <w:highlight w:val="none"/>
          <w:u w:val="single"/>
        </w:rPr>
      </w:pPr>
      <w:bookmarkStart w:id="0" w:name="_Hlk57884087"/>
    </w:p>
    <w:p w14:paraId="516E37DA">
      <w:pPr>
        <w:adjustRightInd w:val="0"/>
        <w:snapToGrid w:val="0"/>
        <w:spacing w:line="288" w:lineRule="auto"/>
        <w:ind w:firstLine="1040"/>
        <w:rPr>
          <w:rFonts w:hint="default" w:ascii="Times New Roman" w:hAnsi="Times New Roman" w:eastAsia="宋体" w:cs="Times New Roman"/>
          <w:color w:val="auto"/>
          <w:sz w:val="36"/>
          <w:szCs w:val="36"/>
          <w:highlight w:val="none"/>
        </w:rPr>
      </w:pPr>
    </w:p>
    <w:p w14:paraId="3E3645A1">
      <w:pPr>
        <w:adjustRightInd w:val="0"/>
        <w:snapToGrid w:val="0"/>
        <w:spacing w:line="288" w:lineRule="auto"/>
        <w:rPr>
          <w:rFonts w:hint="default" w:ascii="Times New Roman" w:hAnsi="Times New Roman" w:eastAsia="宋体" w:cs="Times New Roman"/>
          <w:color w:val="auto"/>
          <w:sz w:val="36"/>
          <w:szCs w:val="36"/>
          <w:highlight w:val="none"/>
        </w:rPr>
      </w:pPr>
    </w:p>
    <w:p w14:paraId="04C87191">
      <w:pPr>
        <w:adjustRightInd w:val="0"/>
        <w:snapToGrid w:val="0"/>
        <w:spacing w:line="288" w:lineRule="auto"/>
        <w:ind w:firstLine="1040"/>
        <w:rPr>
          <w:rFonts w:hint="default" w:ascii="Times New Roman" w:hAnsi="Times New Roman" w:eastAsia="宋体" w:cs="Times New Roman"/>
          <w:color w:val="auto"/>
          <w:sz w:val="36"/>
          <w:szCs w:val="36"/>
          <w:highlight w:val="none"/>
        </w:rPr>
      </w:pPr>
    </w:p>
    <w:bookmarkEnd w:id="0"/>
    <w:p w14:paraId="45D3C941">
      <w:pPr>
        <w:adjustRightInd w:val="0"/>
        <w:snapToGrid w:val="0"/>
        <w:spacing w:line="288" w:lineRule="auto"/>
        <w:jc w:val="center"/>
        <w:rPr>
          <w:rFonts w:hint="default" w:ascii="Times New Roman" w:hAnsi="Times New Roman" w:eastAsia="宋体" w:cs="Times New Roman"/>
          <w:color w:val="auto"/>
          <w:sz w:val="36"/>
          <w:szCs w:val="36"/>
          <w:highlight w:val="none"/>
        </w:rPr>
        <w:sectPr>
          <w:footerReference r:id="rId5" w:type="default"/>
          <w:footerReference r:id="rId6"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default" w:ascii="Times New Roman" w:hAnsi="Times New Roman" w:eastAsia="宋体" w:cs="Times New Roman"/>
          <w:color w:val="auto"/>
          <w:sz w:val="36"/>
          <w:szCs w:val="36"/>
          <w:highlight w:val="none"/>
        </w:rPr>
        <w:t>中华人民共和国生态环境部制</w:t>
      </w:r>
    </w:p>
    <w:p w14:paraId="02B8F38F">
      <w:pPr>
        <w:pStyle w:val="23"/>
        <w:keepNext w:val="0"/>
        <w:keepLines w:val="0"/>
        <w:pageBreakBefore w:val="0"/>
        <w:widowControl/>
        <w:kinsoku/>
        <w:wordWrap/>
        <w:overflowPunct/>
        <w:topLinePunct w:val="0"/>
        <w:autoSpaceDE/>
        <w:autoSpaceDN/>
        <w:bidi w:val="0"/>
        <w:adjustRightInd/>
        <w:snapToGrid/>
        <w:spacing w:after="100" w:afterAutospacing="1"/>
        <w:jc w:val="center"/>
        <w:textAlignment w:val="auto"/>
        <w:outlineLvl w:val="0"/>
        <w:rPr>
          <w:rFonts w:hint="default" w:ascii="Times New Roman" w:hAnsi="Times New Roman" w:eastAsia="宋体" w:cs="Times New Roman"/>
          <w:snapToGrid w:val="0"/>
          <w:color w:val="auto"/>
          <w:sz w:val="30"/>
          <w:szCs w:val="30"/>
          <w:highlight w:val="none"/>
        </w:rPr>
      </w:pPr>
      <w:r>
        <w:rPr>
          <w:rFonts w:hint="default" w:ascii="Times New Roman" w:hAnsi="Times New Roman" w:eastAsia="宋体" w:cs="Times New Roman"/>
          <w:snapToGrid w:val="0"/>
          <w:color w:val="auto"/>
          <w:sz w:val="30"/>
          <w:szCs w:val="30"/>
          <w:highlight w:val="none"/>
        </w:rPr>
        <w:t>一、建设项目基本情况</w:t>
      </w:r>
    </w:p>
    <w:tbl>
      <w:tblPr>
        <w:tblStyle w:val="25"/>
        <w:tblW w:w="498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03"/>
        <w:gridCol w:w="2528"/>
        <w:gridCol w:w="2019"/>
        <w:gridCol w:w="2850"/>
      </w:tblGrid>
      <w:tr w14:paraId="0B9F10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wBefore w:w="0" w:type="auto"/>
          <w:wAfter w:w="0" w:type="auto"/>
          <w:trHeight w:val="497" w:hRule="atLeast"/>
          <w:jc w:val="center"/>
        </w:trPr>
        <w:tc>
          <w:tcPr>
            <w:tcW w:w="1023" w:type="pct"/>
            <w:noWrap w:val="0"/>
            <w:tcMar>
              <w:top w:w="16" w:type="dxa"/>
              <w:left w:w="16" w:type="dxa"/>
              <w:right w:w="16" w:type="dxa"/>
            </w:tcMar>
            <w:vAlign w:val="center"/>
          </w:tcPr>
          <w:p w14:paraId="06F980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建设项目名称</w:t>
            </w:r>
          </w:p>
        </w:tc>
        <w:tc>
          <w:tcPr>
            <w:tcW w:w="3976" w:type="pct"/>
            <w:gridSpan w:val="3"/>
            <w:noWrap w:val="0"/>
            <w:vAlign w:val="center"/>
          </w:tcPr>
          <w:p w14:paraId="4E9672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内蒙古太平矿业有限公司危废</w:t>
            </w:r>
            <w:r>
              <w:rPr>
                <w:rFonts w:hint="eastAsia" w:ascii="Times New Roman" w:hAnsi="Times New Roman" w:eastAsia="宋体" w:cs="Times New Roman"/>
                <w:b w:val="0"/>
                <w:bCs w:val="0"/>
                <w:color w:val="auto"/>
                <w:kern w:val="2"/>
                <w:sz w:val="21"/>
                <w:szCs w:val="21"/>
                <w:highlight w:val="none"/>
                <w:lang w:val="en-US" w:eastAsia="zh-CN" w:bidi="ar-SA"/>
              </w:rPr>
              <w:t>暂存</w:t>
            </w:r>
            <w:r>
              <w:rPr>
                <w:rFonts w:hint="default" w:ascii="Times New Roman" w:hAnsi="Times New Roman" w:eastAsia="宋体" w:cs="Times New Roman"/>
                <w:b w:val="0"/>
                <w:bCs w:val="0"/>
                <w:color w:val="auto"/>
                <w:kern w:val="2"/>
                <w:sz w:val="21"/>
                <w:szCs w:val="21"/>
                <w:highlight w:val="none"/>
                <w:lang w:val="en-US" w:eastAsia="zh-CN" w:bidi="ar-SA"/>
              </w:rPr>
              <w:t>库扩建项目</w:t>
            </w:r>
          </w:p>
        </w:tc>
      </w:tr>
      <w:tr w14:paraId="7B3001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wBefore w:w="0" w:type="auto"/>
          <w:wAfter w:w="0" w:type="auto"/>
          <w:trHeight w:val="497" w:hRule="atLeast"/>
          <w:jc w:val="center"/>
        </w:trPr>
        <w:tc>
          <w:tcPr>
            <w:tcW w:w="1023" w:type="pct"/>
            <w:noWrap w:val="0"/>
            <w:tcMar>
              <w:top w:w="16" w:type="dxa"/>
              <w:left w:w="16" w:type="dxa"/>
              <w:right w:w="16" w:type="dxa"/>
            </w:tcMar>
            <w:vAlign w:val="center"/>
          </w:tcPr>
          <w:p w14:paraId="43BB56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项目代码</w:t>
            </w:r>
          </w:p>
        </w:tc>
        <w:tc>
          <w:tcPr>
            <w:tcW w:w="3976" w:type="pct"/>
            <w:gridSpan w:val="3"/>
            <w:noWrap w:val="0"/>
            <w:vAlign w:val="center"/>
          </w:tcPr>
          <w:p w14:paraId="2BEA66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r>
      <w:tr w14:paraId="693C2C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wBefore w:w="0" w:type="auto"/>
          <w:wAfter w:w="0" w:type="auto"/>
          <w:trHeight w:val="497" w:hRule="atLeast"/>
          <w:jc w:val="center"/>
        </w:trPr>
        <w:tc>
          <w:tcPr>
            <w:tcW w:w="1023" w:type="pct"/>
            <w:noWrap w:val="0"/>
            <w:tcMar>
              <w:top w:w="16" w:type="dxa"/>
              <w:left w:w="16" w:type="dxa"/>
              <w:right w:w="16" w:type="dxa"/>
            </w:tcMar>
            <w:vAlign w:val="center"/>
          </w:tcPr>
          <w:p w14:paraId="524F81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建设单位联系人</w:t>
            </w:r>
          </w:p>
        </w:tc>
        <w:tc>
          <w:tcPr>
            <w:tcW w:w="2528" w:type="dxa"/>
            <w:noWrap w:val="0"/>
            <w:vAlign w:val="center"/>
          </w:tcPr>
          <w:p w14:paraId="534656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lang w:val="en-US" w:eastAsia="zh-CN"/>
              </w:rPr>
              <w:t>杨</w:t>
            </w:r>
            <w:r>
              <w:rPr>
                <w:rFonts w:hint="eastAsia" w:ascii="Times New Roman" w:hAnsi="Times New Roman" w:cs="Times New Roman"/>
                <w:color w:val="auto"/>
                <w:lang w:val="en-US" w:eastAsia="zh-CN"/>
              </w:rPr>
              <w:t>小牛</w:t>
            </w:r>
          </w:p>
        </w:tc>
        <w:tc>
          <w:tcPr>
            <w:tcW w:w="2019" w:type="dxa"/>
            <w:noWrap w:val="0"/>
            <w:vAlign w:val="center"/>
          </w:tcPr>
          <w:p w14:paraId="1A8980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联系方式</w:t>
            </w:r>
          </w:p>
        </w:tc>
        <w:tc>
          <w:tcPr>
            <w:tcW w:w="2850" w:type="dxa"/>
            <w:noWrap w:val="0"/>
            <w:vAlign w:val="center"/>
          </w:tcPr>
          <w:p w14:paraId="2F055D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lang w:val="en-US" w:eastAsia="zh-CN"/>
              </w:rPr>
              <w:t>15847894909</w:t>
            </w:r>
          </w:p>
        </w:tc>
      </w:tr>
      <w:tr w14:paraId="0DA093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wBefore w:w="0" w:type="auto"/>
          <w:wAfter w:w="0" w:type="auto"/>
          <w:trHeight w:val="497" w:hRule="atLeast"/>
          <w:jc w:val="center"/>
        </w:trPr>
        <w:tc>
          <w:tcPr>
            <w:tcW w:w="1023" w:type="pct"/>
            <w:noWrap w:val="0"/>
            <w:tcMar>
              <w:top w:w="16" w:type="dxa"/>
              <w:left w:w="16" w:type="dxa"/>
              <w:right w:w="16" w:type="dxa"/>
            </w:tcMar>
            <w:vAlign w:val="center"/>
          </w:tcPr>
          <w:p w14:paraId="6052E9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建设地点</w:t>
            </w:r>
          </w:p>
        </w:tc>
        <w:tc>
          <w:tcPr>
            <w:tcW w:w="7397" w:type="dxa"/>
            <w:gridSpan w:val="3"/>
            <w:noWrap w:val="0"/>
            <w:vAlign w:val="center"/>
          </w:tcPr>
          <w:p w14:paraId="3BACEF7F">
            <w:pPr>
              <w:keepNext w:val="0"/>
              <w:keepLines w:val="0"/>
              <w:suppressLineNumbers w:val="0"/>
              <w:shd w:val="clear" w:color="auto" w:fill="auto"/>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u w:val="none"/>
                <w:shd w:val="clear" w:color="auto" w:fill="auto"/>
                <w:vertAlign w:val="baseline"/>
                <w:lang w:val="en-US" w:eastAsia="zh-CN"/>
              </w:rPr>
              <w:t>巴彦淖尔市乌拉特中旗新忽热苏木</w:t>
            </w:r>
            <w:r>
              <w:rPr>
                <w:rFonts w:hint="default" w:ascii="Times New Roman" w:hAnsi="Times New Roman" w:eastAsia="宋体" w:cs="Times New Roman"/>
                <w:b w:val="0"/>
                <w:bCs w:val="0"/>
                <w:color w:val="auto"/>
                <w:kern w:val="2"/>
                <w:sz w:val="21"/>
                <w:szCs w:val="21"/>
                <w:highlight w:val="none"/>
                <w:u w:val="none"/>
                <w:lang w:val="en-US" w:eastAsia="zh-CN" w:bidi="ar-SA"/>
              </w:rPr>
              <w:t>内蒙古太平矿业有限公司现有厂区内</w:t>
            </w:r>
          </w:p>
        </w:tc>
      </w:tr>
      <w:tr w14:paraId="345FB3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wBefore w:w="0" w:type="auto"/>
          <w:wAfter w:w="0" w:type="auto"/>
          <w:trHeight w:val="497" w:hRule="atLeast"/>
          <w:jc w:val="center"/>
        </w:trPr>
        <w:tc>
          <w:tcPr>
            <w:tcW w:w="1023" w:type="pct"/>
            <w:noWrap w:val="0"/>
            <w:tcMar>
              <w:top w:w="16" w:type="dxa"/>
              <w:left w:w="16" w:type="dxa"/>
              <w:right w:w="16" w:type="dxa"/>
            </w:tcMar>
            <w:vAlign w:val="center"/>
          </w:tcPr>
          <w:p w14:paraId="531379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地理坐标</w:t>
            </w:r>
          </w:p>
        </w:tc>
        <w:tc>
          <w:tcPr>
            <w:tcW w:w="7397" w:type="dxa"/>
            <w:gridSpan w:val="3"/>
            <w:noWrap w:val="0"/>
            <w:vAlign w:val="center"/>
          </w:tcPr>
          <w:p w14:paraId="5065146F">
            <w:pPr>
              <w:keepNext w:val="0"/>
              <w:keepLines w:val="0"/>
              <w:suppressLineNumbers w:val="0"/>
              <w:shd w:val="clear" w:color="auto" w:fill="auto"/>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shd w:val="clear" w:color="auto" w:fill="auto"/>
                <w:vertAlign w:val="baseline"/>
                <w:lang w:eastAsia="zh-CN"/>
              </w:rPr>
              <w:t>（</w:t>
            </w:r>
            <w:r>
              <w:rPr>
                <w:rFonts w:hint="default" w:ascii="Times New Roman" w:hAnsi="Times New Roman" w:eastAsia="宋体" w:cs="Times New Roman"/>
                <w:b w:val="0"/>
                <w:bCs w:val="0"/>
                <w:color w:val="auto"/>
                <w:sz w:val="21"/>
                <w:szCs w:val="21"/>
                <w:u w:val="none"/>
                <w:shd w:val="clear" w:color="auto" w:fill="auto"/>
                <w:vertAlign w:val="baseline"/>
                <w:lang w:eastAsia="zh-CN"/>
              </w:rPr>
              <w:t>东经10</w:t>
            </w:r>
            <w:r>
              <w:rPr>
                <w:rFonts w:hint="default" w:ascii="Times New Roman" w:hAnsi="Times New Roman" w:eastAsia="宋体" w:cs="Times New Roman"/>
                <w:b w:val="0"/>
                <w:bCs w:val="0"/>
                <w:color w:val="auto"/>
                <w:sz w:val="21"/>
                <w:szCs w:val="21"/>
                <w:u w:val="none"/>
                <w:shd w:val="clear" w:color="auto" w:fill="auto"/>
                <w:vertAlign w:val="baseline"/>
                <w:lang w:val="en-US" w:eastAsia="zh-CN"/>
              </w:rPr>
              <w:t>9</w:t>
            </w:r>
            <w:r>
              <w:rPr>
                <w:rFonts w:hint="default" w:ascii="Times New Roman" w:hAnsi="Times New Roman" w:eastAsia="宋体" w:cs="Times New Roman"/>
                <w:b w:val="0"/>
                <w:bCs w:val="0"/>
                <w:color w:val="auto"/>
                <w:sz w:val="21"/>
                <w:szCs w:val="21"/>
                <w:u w:val="none"/>
                <w:shd w:val="clear" w:color="auto" w:fill="auto"/>
                <w:vertAlign w:val="baseline"/>
                <w:lang w:eastAsia="zh-CN"/>
              </w:rPr>
              <w:t>度</w:t>
            </w:r>
            <w:r>
              <w:rPr>
                <w:rFonts w:hint="default" w:ascii="Times New Roman" w:hAnsi="Times New Roman" w:eastAsia="宋体" w:cs="Times New Roman"/>
                <w:b w:val="0"/>
                <w:bCs w:val="0"/>
                <w:color w:val="auto"/>
                <w:sz w:val="21"/>
                <w:szCs w:val="21"/>
                <w:u w:val="none"/>
                <w:shd w:val="clear" w:color="auto" w:fill="auto"/>
                <w:vertAlign w:val="baseline"/>
                <w:lang w:val="en-US" w:eastAsia="zh-CN"/>
              </w:rPr>
              <w:t>15</w:t>
            </w:r>
            <w:r>
              <w:rPr>
                <w:rFonts w:hint="default" w:ascii="Times New Roman" w:hAnsi="Times New Roman" w:eastAsia="宋体" w:cs="Times New Roman"/>
                <w:b w:val="0"/>
                <w:bCs w:val="0"/>
                <w:color w:val="auto"/>
                <w:sz w:val="21"/>
                <w:szCs w:val="21"/>
                <w:u w:val="none"/>
                <w:shd w:val="clear" w:color="auto" w:fill="auto"/>
                <w:vertAlign w:val="baseline"/>
                <w:lang w:eastAsia="zh-CN"/>
              </w:rPr>
              <w:t>分</w:t>
            </w:r>
            <w:r>
              <w:rPr>
                <w:rFonts w:hint="default" w:ascii="Times New Roman" w:hAnsi="Times New Roman" w:eastAsia="宋体" w:cs="Times New Roman"/>
                <w:b w:val="0"/>
                <w:bCs w:val="0"/>
                <w:color w:val="auto"/>
                <w:sz w:val="21"/>
                <w:szCs w:val="21"/>
                <w:u w:val="none"/>
                <w:shd w:val="clear" w:color="auto" w:fill="auto"/>
                <w:vertAlign w:val="baseline"/>
                <w:lang w:val="en-US" w:eastAsia="zh-CN"/>
              </w:rPr>
              <w:t>37.69</w:t>
            </w:r>
            <w:r>
              <w:rPr>
                <w:rFonts w:hint="default" w:ascii="Times New Roman" w:hAnsi="Times New Roman" w:eastAsia="宋体" w:cs="Times New Roman"/>
                <w:b w:val="0"/>
                <w:bCs w:val="0"/>
                <w:color w:val="auto"/>
                <w:sz w:val="21"/>
                <w:szCs w:val="21"/>
                <w:u w:val="none"/>
                <w:shd w:val="clear" w:color="auto" w:fill="auto"/>
                <w:vertAlign w:val="baseline"/>
                <w:lang w:eastAsia="zh-CN"/>
              </w:rPr>
              <w:t>秒；北纬4</w:t>
            </w:r>
            <w:r>
              <w:rPr>
                <w:rFonts w:hint="default" w:ascii="Times New Roman" w:hAnsi="Times New Roman" w:eastAsia="宋体" w:cs="Times New Roman"/>
                <w:b w:val="0"/>
                <w:bCs w:val="0"/>
                <w:color w:val="auto"/>
                <w:sz w:val="21"/>
                <w:szCs w:val="21"/>
                <w:u w:val="none"/>
                <w:shd w:val="clear" w:color="auto" w:fill="auto"/>
                <w:vertAlign w:val="baseline"/>
                <w:lang w:val="en-US" w:eastAsia="zh-CN"/>
              </w:rPr>
              <w:t>1</w:t>
            </w:r>
            <w:r>
              <w:rPr>
                <w:rFonts w:hint="default" w:ascii="Times New Roman" w:hAnsi="Times New Roman" w:eastAsia="宋体" w:cs="Times New Roman"/>
                <w:b w:val="0"/>
                <w:bCs w:val="0"/>
                <w:color w:val="auto"/>
                <w:sz w:val="21"/>
                <w:szCs w:val="21"/>
                <w:u w:val="none"/>
                <w:shd w:val="clear" w:color="auto" w:fill="auto"/>
                <w:vertAlign w:val="baseline"/>
                <w:lang w:eastAsia="zh-CN"/>
              </w:rPr>
              <w:t>度</w:t>
            </w:r>
            <w:r>
              <w:rPr>
                <w:rFonts w:hint="default" w:ascii="Times New Roman" w:hAnsi="Times New Roman" w:eastAsia="宋体" w:cs="Times New Roman"/>
                <w:b w:val="0"/>
                <w:bCs w:val="0"/>
                <w:color w:val="auto"/>
                <w:sz w:val="21"/>
                <w:szCs w:val="21"/>
                <w:u w:val="none"/>
                <w:shd w:val="clear" w:color="auto" w:fill="auto"/>
                <w:vertAlign w:val="baseline"/>
                <w:lang w:val="en-US" w:eastAsia="zh-CN"/>
              </w:rPr>
              <w:t>38</w:t>
            </w:r>
            <w:r>
              <w:rPr>
                <w:rFonts w:hint="default" w:ascii="Times New Roman" w:hAnsi="Times New Roman" w:eastAsia="宋体" w:cs="Times New Roman"/>
                <w:b w:val="0"/>
                <w:bCs w:val="0"/>
                <w:color w:val="auto"/>
                <w:sz w:val="21"/>
                <w:szCs w:val="21"/>
                <w:u w:val="none"/>
                <w:shd w:val="clear" w:color="auto" w:fill="auto"/>
                <w:vertAlign w:val="baseline"/>
                <w:lang w:eastAsia="zh-CN"/>
              </w:rPr>
              <w:t>分</w:t>
            </w:r>
            <w:r>
              <w:rPr>
                <w:rFonts w:hint="default" w:ascii="Times New Roman" w:hAnsi="Times New Roman" w:eastAsia="宋体" w:cs="Times New Roman"/>
                <w:b w:val="0"/>
                <w:bCs w:val="0"/>
                <w:color w:val="auto"/>
                <w:sz w:val="21"/>
                <w:szCs w:val="21"/>
                <w:u w:val="none"/>
                <w:shd w:val="clear" w:color="auto" w:fill="auto"/>
                <w:vertAlign w:val="baseline"/>
                <w:lang w:val="en-US" w:eastAsia="zh-CN"/>
              </w:rPr>
              <w:t>29.36</w:t>
            </w:r>
            <w:r>
              <w:rPr>
                <w:rFonts w:hint="default" w:ascii="Times New Roman" w:hAnsi="Times New Roman" w:eastAsia="宋体" w:cs="Times New Roman"/>
                <w:b w:val="0"/>
                <w:bCs w:val="0"/>
                <w:color w:val="auto"/>
                <w:sz w:val="21"/>
                <w:szCs w:val="21"/>
                <w:u w:val="none"/>
                <w:shd w:val="clear" w:color="auto" w:fill="auto"/>
                <w:vertAlign w:val="baseline"/>
                <w:lang w:eastAsia="zh-CN"/>
              </w:rPr>
              <w:t>秒</w:t>
            </w:r>
            <w:r>
              <w:rPr>
                <w:rFonts w:hint="default" w:ascii="Times New Roman" w:hAnsi="Times New Roman" w:eastAsia="宋体" w:cs="Times New Roman"/>
                <w:b w:val="0"/>
                <w:bCs w:val="0"/>
                <w:color w:val="auto"/>
                <w:sz w:val="21"/>
                <w:szCs w:val="21"/>
                <w:shd w:val="clear" w:color="auto" w:fill="auto"/>
                <w:vertAlign w:val="baseline"/>
                <w:lang w:eastAsia="zh-CN"/>
              </w:rPr>
              <w:t>）</w:t>
            </w:r>
          </w:p>
        </w:tc>
      </w:tr>
      <w:tr w14:paraId="00E62F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wBefore w:w="0" w:type="auto"/>
          <w:wAfter w:w="0" w:type="auto"/>
          <w:trHeight w:val="561" w:hRule="atLeast"/>
          <w:jc w:val="center"/>
        </w:trPr>
        <w:tc>
          <w:tcPr>
            <w:tcW w:w="1023" w:type="pct"/>
            <w:noWrap w:val="0"/>
            <w:tcMar>
              <w:top w:w="16" w:type="dxa"/>
              <w:left w:w="16" w:type="dxa"/>
              <w:right w:w="16" w:type="dxa"/>
            </w:tcMar>
            <w:vAlign w:val="center"/>
          </w:tcPr>
          <w:p w14:paraId="2481CF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国民经济</w:t>
            </w:r>
          </w:p>
          <w:p w14:paraId="430251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行业类别</w:t>
            </w:r>
          </w:p>
        </w:tc>
        <w:tc>
          <w:tcPr>
            <w:tcW w:w="2528" w:type="dxa"/>
            <w:noWrap w:val="0"/>
            <w:vAlign w:val="center"/>
          </w:tcPr>
          <w:p w14:paraId="74B1115D">
            <w:pPr>
              <w:keepNext w:val="0"/>
              <w:keepLines w:val="0"/>
              <w:suppressLineNumbers w:val="0"/>
              <w:shd w:val="clear" w:color="auto" w:fill="auto"/>
              <w:spacing w:before="0" w:beforeAutospacing="0" w:after="0" w:afterAutospacing="0" w:line="240" w:lineRule="auto"/>
              <w:ind w:left="0" w:right="0"/>
              <w:jc w:val="center"/>
              <w:rPr>
                <w:rFonts w:hint="default" w:ascii="Times New Roman" w:hAnsi="Times New Roman" w:cs="Times New Roman"/>
                <w:color w:val="auto"/>
                <w:lang w:val="en-US" w:eastAsia="zh-CN"/>
              </w:rPr>
            </w:pPr>
            <w:r>
              <w:rPr>
                <w:rFonts w:hint="default" w:ascii="Times New Roman" w:hAnsi="Times New Roman" w:eastAsia="宋体" w:cs="Times New Roman"/>
                <w:b w:val="0"/>
                <w:bCs w:val="0"/>
                <w:color w:val="auto"/>
                <w:sz w:val="21"/>
                <w:szCs w:val="21"/>
                <w:shd w:val="clear" w:color="auto" w:fill="auto"/>
                <w:vertAlign w:val="baseline"/>
                <w:lang w:val="en-US" w:eastAsia="zh-CN"/>
              </w:rPr>
              <w:t>N7724 危险废物治理</w:t>
            </w:r>
            <w:r>
              <w:commentReference w:id="0"/>
            </w:r>
          </w:p>
        </w:tc>
        <w:tc>
          <w:tcPr>
            <w:tcW w:w="2019" w:type="dxa"/>
            <w:noWrap w:val="0"/>
            <w:vAlign w:val="center"/>
          </w:tcPr>
          <w:p w14:paraId="49D469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建设项目</w:t>
            </w:r>
          </w:p>
          <w:p w14:paraId="144118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行业类别</w:t>
            </w:r>
          </w:p>
        </w:tc>
        <w:tc>
          <w:tcPr>
            <w:tcW w:w="2850" w:type="dxa"/>
            <w:noWrap w:val="0"/>
            <w:vAlign w:val="top"/>
          </w:tcPr>
          <w:p w14:paraId="555C5C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lang w:val="en-US" w:eastAsia="zh-CN"/>
              </w:rPr>
            </w:pPr>
            <w:r>
              <w:rPr>
                <w:rFonts w:hint="eastAsia" w:ascii="Times New Roman" w:hAnsi="Times New Roman" w:eastAsia="宋体" w:cs="Times New Roman"/>
                <w:b w:val="0"/>
                <w:bCs w:val="0"/>
                <w:color w:val="auto"/>
                <w:sz w:val="21"/>
                <w:szCs w:val="21"/>
                <w:shd w:val="clear" w:color="auto" w:fill="auto"/>
                <w:vertAlign w:val="baseline"/>
                <w:lang w:val="en-US" w:eastAsia="zh-CN"/>
              </w:rPr>
              <w:t>四十七、</w:t>
            </w:r>
            <w:r>
              <w:rPr>
                <w:rFonts w:hint="default" w:ascii="Times New Roman" w:hAnsi="Times New Roman" w:eastAsia="宋体" w:cs="Times New Roman"/>
                <w:b w:val="0"/>
                <w:bCs w:val="0"/>
                <w:color w:val="auto"/>
                <w:sz w:val="21"/>
                <w:szCs w:val="21"/>
                <w:shd w:val="clear" w:color="auto" w:fill="auto"/>
                <w:vertAlign w:val="baseline"/>
                <w:lang w:val="en-US" w:eastAsia="zh-CN"/>
              </w:rPr>
              <w:t>生态保护和环境治理业—101、危险废物（不含医疗废物）利用及处置—其他</w:t>
            </w:r>
          </w:p>
        </w:tc>
      </w:tr>
      <w:tr w14:paraId="53939F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wBefore w:w="0" w:type="auto"/>
          <w:wAfter w:w="0" w:type="auto"/>
          <w:trHeight w:val="1219" w:hRule="atLeast"/>
          <w:jc w:val="center"/>
        </w:trPr>
        <w:tc>
          <w:tcPr>
            <w:tcW w:w="1023" w:type="pct"/>
            <w:noWrap w:val="0"/>
            <w:tcMar>
              <w:top w:w="16" w:type="dxa"/>
              <w:left w:w="16" w:type="dxa"/>
              <w:right w:w="16" w:type="dxa"/>
            </w:tcMar>
            <w:vAlign w:val="center"/>
          </w:tcPr>
          <w:p w14:paraId="61E1875D">
            <w:pPr>
              <w:keepNext w:val="0"/>
              <w:keepLines w:val="0"/>
              <w:pageBreakBefore w:val="0"/>
              <w:widowControl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建设性质</w:t>
            </w:r>
          </w:p>
        </w:tc>
        <w:tc>
          <w:tcPr>
            <w:tcW w:w="1359" w:type="pct"/>
            <w:noWrap w:val="0"/>
            <w:vAlign w:val="center"/>
          </w:tcPr>
          <w:p w14:paraId="75BBE789">
            <w:pPr>
              <w:keepNext w:val="0"/>
              <w:keepLines w:val="0"/>
              <w:pageBreakBefore w:val="0"/>
              <w:widowControl w:val="0"/>
              <w:kinsoku/>
              <w:wordWrap/>
              <w:overflowPunct/>
              <w:topLinePunct w:val="0"/>
              <w:bidi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新建（迁建）</w:t>
            </w:r>
          </w:p>
          <w:p w14:paraId="0E93C1A8">
            <w:pPr>
              <w:keepNext w:val="0"/>
              <w:keepLines w:val="0"/>
              <w:pageBreakBefore w:val="0"/>
              <w:widowControl w:val="0"/>
              <w:kinsoku/>
              <w:wordWrap/>
              <w:overflowPunct/>
              <w:topLinePunct w:val="0"/>
              <w:bidi w:val="0"/>
              <w:spacing w:line="360" w:lineRule="exact"/>
              <w:jc w:val="left"/>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改建</w:t>
            </w:r>
          </w:p>
          <w:p w14:paraId="5F2AF443">
            <w:pPr>
              <w:keepNext w:val="0"/>
              <w:keepLines w:val="0"/>
              <w:pageBreakBefore w:val="0"/>
              <w:widowControl w:val="0"/>
              <w:kinsoku/>
              <w:wordWrap/>
              <w:overflowPunct/>
              <w:topLinePunct w:val="0"/>
              <w:bidi w:val="0"/>
              <w:spacing w:line="360" w:lineRule="exact"/>
              <w:jc w:val="left"/>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扩建</w:t>
            </w:r>
          </w:p>
          <w:p w14:paraId="7AE05EE4">
            <w:pPr>
              <w:keepNext w:val="0"/>
              <w:keepLines w:val="0"/>
              <w:pageBreakBefore w:val="0"/>
              <w:widowControl w:val="0"/>
              <w:kinsoku/>
              <w:wordWrap/>
              <w:overflowPunct/>
              <w:topLinePunct w:val="0"/>
              <w:bidi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技术改造</w:t>
            </w:r>
          </w:p>
        </w:tc>
        <w:tc>
          <w:tcPr>
            <w:tcW w:w="1085" w:type="pct"/>
            <w:noWrap w:val="0"/>
            <w:vAlign w:val="center"/>
          </w:tcPr>
          <w:p w14:paraId="1217BAFD">
            <w:pPr>
              <w:keepNext w:val="0"/>
              <w:keepLines w:val="0"/>
              <w:pageBreakBefore w:val="0"/>
              <w:widowControl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w:t>
            </w:r>
          </w:p>
          <w:p w14:paraId="62431F4D">
            <w:pPr>
              <w:keepNext w:val="0"/>
              <w:keepLines w:val="0"/>
              <w:pageBreakBefore w:val="0"/>
              <w:widowControl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申报情形</w:t>
            </w:r>
          </w:p>
        </w:tc>
        <w:tc>
          <w:tcPr>
            <w:tcW w:w="1532" w:type="pct"/>
            <w:noWrap w:val="0"/>
            <w:vAlign w:val="center"/>
          </w:tcPr>
          <w:p w14:paraId="38AAD97D">
            <w:pPr>
              <w:keepNext w:val="0"/>
              <w:keepLines w:val="0"/>
              <w:pageBreakBefore w:val="0"/>
              <w:widowControl w:val="0"/>
              <w:kinsoku/>
              <w:wordWrap/>
              <w:overflowPunct/>
              <w:topLinePunct w:val="0"/>
              <w:bidi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 xml:space="preserve">首次申报项目             </w:t>
            </w:r>
          </w:p>
          <w:p w14:paraId="49760502">
            <w:pPr>
              <w:keepNext w:val="0"/>
              <w:keepLines w:val="0"/>
              <w:pageBreakBefore w:val="0"/>
              <w:widowControl w:val="0"/>
              <w:kinsoku/>
              <w:wordWrap/>
              <w:overflowPunct/>
              <w:topLinePunct w:val="0"/>
              <w:bidi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不予批准后再次申报项目</w:t>
            </w:r>
          </w:p>
          <w:p w14:paraId="16C39763">
            <w:pPr>
              <w:keepNext w:val="0"/>
              <w:keepLines w:val="0"/>
              <w:pageBreakBefore w:val="0"/>
              <w:widowControl w:val="0"/>
              <w:kinsoku/>
              <w:wordWrap/>
              <w:overflowPunct/>
              <w:topLinePunct w:val="0"/>
              <w:bidi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 xml:space="preserve">超五年重新审核项目     </w:t>
            </w:r>
          </w:p>
          <w:p w14:paraId="2419909E">
            <w:pPr>
              <w:keepNext w:val="0"/>
              <w:keepLines w:val="0"/>
              <w:pageBreakBefore w:val="0"/>
              <w:widowControl w:val="0"/>
              <w:kinsoku/>
              <w:wordWrap/>
              <w:overflowPunct/>
              <w:topLinePunct w:val="0"/>
              <w:bidi w:val="0"/>
              <w:spacing w:line="36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重大变动重新报批项目</w:t>
            </w:r>
          </w:p>
        </w:tc>
      </w:tr>
      <w:tr w14:paraId="55EB44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wBefore w:w="0" w:type="auto"/>
          <w:wAfter w:w="0" w:type="auto"/>
          <w:trHeight w:val="851" w:hRule="atLeast"/>
          <w:jc w:val="center"/>
        </w:trPr>
        <w:tc>
          <w:tcPr>
            <w:tcW w:w="1023" w:type="pct"/>
            <w:noWrap w:val="0"/>
            <w:tcMar>
              <w:top w:w="16" w:type="dxa"/>
              <w:left w:w="16" w:type="dxa"/>
              <w:right w:w="16" w:type="dxa"/>
            </w:tcMar>
            <w:vAlign w:val="center"/>
          </w:tcPr>
          <w:p w14:paraId="3A65A0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项目审批（核准/</w:t>
            </w:r>
          </w:p>
          <w:p w14:paraId="03E458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备案）部门（选填）</w:t>
            </w:r>
          </w:p>
        </w:tc>
        <w:tc>
          <w:tcPr>
            <w:tcW w:w="1359" w:type="pct"/>
            <w:noWrap w:val="0"/>
            <w:vAlign w:val="center"/>
          </w:tcPr>
          <w:p w14:paraId="37B3C4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1085" w:type="pct"/>
            <w:noWrap w:val="0"/>
            <w:vAlign w:val="center"/>
          </w:tcPr>
          <w:p w14:paraId="6FB900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项目审批（核准/</w:t>
            </w:r>
          </w:p>
          <w:p w14:paraId="6245E2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备案）文号（选填）</w:t>
            </w:r>
          </w:p>
        </w:tc>
        <w:tc>
          <w:tcPr>
            <w:tcW w:w="1532" w:type="pct"/>
            <w:noWrap w:val="0"/>
            <w:vAlign w:val="center"/>
          </w:tcPr>
          <w:p w14:paraId="219549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r>
      <w:tr w14:paraId="70CFC0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wBefore w:w="0" w:type="auto"/>
          <w:wAfter w:w="0" w:type="auto"/>
          <w:trHeight w:val="497" w:hRule="atLeast"/>
          <w:jc w:val="center"/>
        </w:trPr>
        <w:tc>
          <w:tcPr>
            <w:tcW w:w="1023" w:type="pct"/>
            <w:noWrap w:val="0"/>
            <w:tcMar>
              <w:top w:w="16" w:type="dxa"/>
              <w:left w:w="16" w:type="dxa"/>
              <w:right w:w="16" w:type="dxa"/>
            </w:tcMar>
            <w:vAlign w:val="center"/>
          </w:tcPr>
          <w:p w14:paraId="36223F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总投资（万元）</w:t>
            </w:r>
          </w:p>
        </w:tc>
        <w:tc>
          <w:tcPr>
            <w:tcW w:w="1359" w:type="pct"/>
            <w:noWrap w:val="0"/>
            <w:vAlign w:val="center"/>
          </w:tcPr>
          <w:p w14:paraId="2A3B01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30</w:t>
            </w:r>
          </w:p>
        </w:tc>
        <w:tc>
          <w:tcPr>
            <w:tcW w:w="1085" w:type="pct"/>
            <w:noWrap w:val="0"/>
            <w:tcMar>
              <w:top w:w="16" w:type="dxa"/>
              <w:left w:w="16" w:type="dxa"/>
              <w:right w:w="16" w:type="dxa"/>
            </w:tcMar>
            <w:vAlign w:val="center"/>
          </w:tcPr>
          <w:p w14:paraId="1A0EC6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环保投资（万元）</w:t>
            </w:r>
          </w:p>
        </w:tc>
        <w:tc>
          <w:tcPr>
            <w:tcW w:w="1532" w:type="pct"/>
            <w:noWrap w:val="0"/>
            <w:vAlign w:val="center"/>
          </w:tcPr>
          <w:p w14:paraId="47C964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18</w:t>
            </w:r>
          </w:p>
        </w:tc>
      </w:tr>
      <w:tr w14:paraId="7A71F5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wBefore w:w="0" w:type="auto"/>
          <w:wAfter w:w="0" w:type="auto"/>
          <w:trHeight w:val="497" w:hRule="atLeast"/>
          <w:jc w:val="center"/>
        </w:trPr>
        <w:tc>
          <w:tcPr>
            <w:tcW w:w="1023" w:type="pct"/>
            <w:noWrap w:val="0"/>
            <w:tcMar>
              <w:top w:w="16" w:type="dxa"/>
              <w:left w:w="16" w:type="dxa"/>
              <w:right w:w="16" w:type="dxa"/>
            </w:tcMar>
            <w:vAlign w:val="center"/>
          </w:tcPr>
          <w:p w14:paraId="072124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环保投资占比（%）</w:t>
            </w:r>
          </w:p>
        </w:tc>
        <w:tc>
          <w:tcPr>
            <w:tcW w:w="1359" w:type="pct"/>
            <w:noWrap w:val="0"/>
            <w:vAlign w:val="center"/>
          </w:tcPr>
          <w:p w14:paraId="7D1C14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60</w:t>
            </w:r>
          </w:p>
        </w:tc>
        <w:tc>
          <w:tcPr>
            <w:tcW w:w="1085" w:type="pct"/>
            <w:noWrap w:val="0"/>
            <w:tcMar>
              <w:top w:w="16" w:type="dxa"/>
              <w:left w:w="16" w:type="dxa"/>
              <w:right w:w="16" w:type="dxa"/>
            </w:tcMar>
            <w:vAlign w:val="center"/>
          </w:tcPr>
          <w:p w14:paraId="32D3F6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施工工期</w:t>
            </w:r>
          </w:p>
        </w:tc>
        <w:tc>
          <w:tcPr>
            <w:tcW w:w="1532" w:type="pct"/>
            <w:noWrap w:val="0"/>
            <w:vAlign w:val="center"/>
          </w:tcPr>
          <w:p w14:paraId="1FC331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2个月</w:t>
            </w:r>
          </w:p>
        </w:tc>
      </w:tr>
      <w:tr w14:paraId="593389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wBefore w:w="0" w:type="auto"/>
          <w:wAfter w:w="0" w:type="auto"/>
          <w:trHeight w:val="497" w:hRule="atLeast"/>
          <w:jc w:val="center"/>
        </w:trPr>
        <w:tc>
          <w:tcPr>
            <w:tcW w:w="1023" w:type="pct"/>
            <w:noWrap w:val="0"/>
            <w:tcMar>
              <w:top w:w="16" w:type="dxa"/>
              <w:left w:w="16" w:type="dxa"/>
              <w:right w:w="16" w:type="dxa"/>
            </w:tcMar>
            <w:vAlign w:val="center"/>
          </w:tcPr>
          <w:p w14:paraId="39E90D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是否开工建设</w:t>
            </w:r>
          </w:p>
        </w:tc>
        <w:tc>
          <w:tcPr>
            <w:tcW w:w="1359" w:type="pct"/>
            <w:noWrap w:val="0"/>
            <w:vAlign w:val="center"/>
          </w:tcPr>
          <w:p w14:paraId="53582FC9">
            <w:pPr>
              <w:keepNext w:val="0"/>
              <w:keepLines w:val="0"/>
              <w:pageBreakBefore w:val="0"/>
              <w:widowControl w:val="0"/>
              <w:kinsoku/>
              <w:wordWrap/>
              <w:overflowPunct/>
              <w:topLinePunct w:val="0"/>
              <w:bidi w:val="0"/>
              <w:adjustRightInd w:val="0"/>
              <w:snapToGrid w:val="0"/>
              <w:spacing w:line="360" w:lineRule="exac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否</w:t>
            </w:r>
          </w:p>
          <w:p w14:paraId="48D6338A">
            <w:pPr>
              <w:keepNext w:val="0"/>
              <w:keepLines w:val="0"/>
              <w:pageBreakBefore w:val="0"/>
              <w:widowControl w:val="0"/>
              <w:kinsoku/>
              <w:wordWrap/>
              <w:overflowPunct/>
              <w:topLinePunct w:val="0"/>
              <w:bidi w:val="0"/>
              <w:adjustRightInd w:val="0"/>
              <w:snapToGrid w:val="0"/>
              <w:spacing w:line="360" w:lineRule="exac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是：</w:t>
            </w:r>
            <w:r>
              <w:rPr>
                <w:rFonts w:hint="default" w:ascii="Times New Roman" w:hAnsi="Times New Roman" w:eastAsia="宋体" w:cs="Times New Roman"/>
                <w:color w:val="auto"/>
                <w:sz w:val="21"/>
                <w:szCs w:val="21"/>
                <w:highlight w:val="none"/>
                <w:u w:val="single"/>
              </w:rPr>
              <w:t xml:space="preserve">             </w:t>
            </w:r>
          </w:p>
        </w:tc>
        <w:tc>
          <w:tcPr>
            <w:tcW w:w="1085" w:type="pct"/>
            <w:noWrap w:val="0"/>
            <w:tcMar>
              <w:top w:w="16" w:type="dxa"/>
              <w:left w:w="16" w:type="dxa"/>
              <w:right w:w="16" w:type="dxa"/>
            </w:tcMar>
            <w:vAlign w:val="center"/>
          </w:tcPr>
          <w:p w14:paraId="6C45BA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用地（用海）</w:t>
            </w:r>
          </w:p>
          <w:p w14:paraId="53F750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面积（m</w:t>
            </w:r>
            <w:r>
              <w:rPr>
                <w:rFonts w:hint="default" w:ascii="Times New Roman" w:hAnsi="Times New Roman" w:eastAsia="宋体" w:cs="Times New Roman"/>
                <w:b w:val="0"/>
                <w:bCs w:val="0"/>
                <w:color w:val="auto"/>
                <w:kern w:val="2"/>
                <w:sz w:val="21"/>
                <w:szCs w:val="21"/>
                <w:highlight w:val="none"/>
                <w:vertAlign w:val="super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t>）</w:t>
            </w:r>
          </w:p>
        </w:tc>
        <w:tc>
          <w:tcPr>
            <w:tcW w:w="1532" w:type="pct"/>
            <w:noWrap w:val="0"/>
            <w:vAlign w:val="center"/>
          </w:tcPr>
          <w:p w14:paraId="5DA38F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不新增占地</w:t>
            </w:r>
          </w:p>
        </w:tc>
      </w:tr>
      <w:tr w14:paraId="59B2CD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417" w:hRule="atLeast"/>
          <w:jc w:val="center"/>
        </w:trPr>
        <w:tc>
          <w:tcPr>
            <w:tcW w:w="1023" w:type="pct"/>
            <w:noWrap w:val="0"/>
            <w:vAlign w:val="center"/>
          </w:tcPr>
          <w:p w14:paraId="5B4359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专项评价设置情况</w:t>
            </w:r>
          </w:p>
        </w:tc>
        <w:tc>
          <w:tcPr>
            <w:tcW w:w="3976" w:type="pct"/>
            <w:gridSpan w:val="3"/>
            <w:noWrap w:val="0"/>
            <w:vAlign w:val="center"/>
          </w:tcPr>
          <w:p w14:paraId="4C597E10">
            <w:pPr>
              <w:autoSpaceDE w:val="0"/>
              <w:autoSpaceDN w:val="0"/>
              <w:adjustRightInd w:val="0"/>
              <w:snapToGrid w:val="0"/>
              <w:spacing w:line="360" w:lineRule="auto"/>
              <w:ind w:firstLine="480" w:firstLineChars="200"/>
              <w:jc w:val="left"/>
              <w:rPr>
                <w:rFonts w:hint="default" w:ascii="Times New Roman" w:hAnsi="Times New Roman" w:cs="Times New Roman"/>
                <w:color w:val="auto"/>
                <w:kern w:val="0"/>
                <w:sz w:val="21"/>
                <w:szCs w:val="21"/>
                <w:highlight w:val="none"/>
              </w:rPr>
            </w:pPr>
            <w:bookmarkStart w:id="1" w:name="_Hlk112386170"/>
            <w:r>
              <w:rPr>
                <w:rFonts w:hint="default" w:ascii="Times New Roman" w:hAnsi="Times New Roman" w:eastAsia="宋体" w:cs="Times New Roman"/>
                <w:color w:val="auto"/>
                <w:kern w:val="0"/>
                <w:sz w:val="24"/>
                <w:szCs w:val="24"/>
                <w:highlight w:val="none"/>
                <w:lang w:val="en-US" w:eastAsia="zh-CN"/>
              </w:rPr>
              <w:t>根据《建设项目环境影响报告表编制技术指南（污染影响类）（试行）》</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大气、地表水、环境风险、生态和海洋专项评价具体设置原则见表1。土壤、声环境不开展专项评价。地下水原则上不开展专项评价，涉及集中式饮用水水源和热水、矿泉水、温泉等特殊地下水资源保护区的开展地下水专项评价工作。</w:t>
            </w:r>
            <w:r>
              <w:rPr>
                <w:rFonts w:hint="default" w:ascii="Times New Roman" w:hAnsi="Times New Roman" w:cs="Times New Roman"/>
                <w:color w:val="auto"/>
                <w:kern w:val="0"/>
                <w:sz w:val="24"/>
                <w:szCs w:val="24"/>
                <w:highlight w:val="none"/>
              </w:rPr>
              <w:t>本项目专项评价设置情况见下表。</w:t>
            </w:r>
          </w:p>
          <w:p w14:paraId="210E0019">
            <w:pPr>
              <w:autoSpaceDE w:val="0"/>
              <w:autoSpaceDN w:val="0"/>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表</w:t>
            </w:r>
            <w:r>
              <w:rPr>
                <w:rFonts w:hint="default" w:ascii="Times New Roman" w:hAnsi="Times New Roman" w:cs="Times New Roman"/>
                <w:b/>
                <w:bCs/>
                <w:color w:val="auto"/>
                <w:kern w:val="0"/>
                <w:sz w:val="21"/>
                <w:szCs w:val="21"/>
                <w:highlight w:val="none"/>
                <w:lang w:val="en-US" w:eastAsia="zh-CN"/>
              </w:rPr>
              <w:t xml:space="preserve">1-1 </w:t>
            </w:r>
            <w:r>
              <w:rPr>
                <w:rFonts w:hint="default" w:ascii="Times New Roman" w:hAnsi="Times New Roman" w:cs="Times New Roman"/>
                <w:b/>
                <w:bCs/>
                <w:color w:val="auto"/>
                <w:kern w:val="0"/>
                <w:sz w:val="21"/>
                <w:szCs w:val="21"/>
                <w:highlight w:val="none"/>
              </w:rPr>
              <w:t>本项目专项评价设置情况</w:t>
            </w:r>
          </w:p>
          <w:tbl>
            <w:tblPr>
              <w:tblStyle w:val="25"/>
              <w:tblW w:w="4999"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70"/>
              <w:gridCol w:w="3438"/>
              <w:gridCol w:w="2552"/>
            </w:tblGrid>
            <w:tr w14:paraId="17333F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17" w:type="pct"/>
                  <w:tcBorders>
                    <w:tl2br w:val="nil"/>
                    <w:tr2bl w:val="nil"/>
                  </w:tcBorders>
                  <w:noWrap w:val="0"/>
                  <w:vAlign w:val="center"/>
                </w:tcPr>
                <w:p w14:paraId="24A66B29">
                  <w:pPr>
                    <w:autoSpaceDE w:val="0"/>
                    <w:autoSpaceDN w:val="0"/>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专项评价的类别</w:t>
                  </w:r>
                </w:p>
              </w:tc>
              <w:tc>
                <w:tcPr>
                  <w:tcW w:w="2401" w:type="pct"/>
                  <w:tcBorders>
                    <w:tl2br w:val="nil"/>
                    <w:tr2bl w:val="nil"/>
                  </w:tcBorders>
                  <w:noWrap w:val="0"/>
                  <w:vAlign w:val="center"/>
                </w:tcPr>
                <w:p w14:paraId="018F08EC">
                  <w:pPr>
                    <w:autoSpaceDE w:val="0"/>
                    <w:autoSpaceDN w:val="0"/>
                    <w:adjustRightInd w:val="0"/>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设置原则</w:t>
                  </w:r>
                </w:p>
              </w:tc>
              <w:tc>
                <w:tcPr>
                  <w:tcW w:w="1780" w:type="pct"/>
                  <w:tcBorders>
                    <w:tl2br w:val="nil"/>
                    <w:tr2bl w:val="nil"/>
                  </w:tcBorders>
                  <w:noWrap w:val="0"/>
                  <w:vAlign w:val="center"/>
                </w:tcPr>
                <w:p w14:paraId="7D580EA3">
                  <w:pPr>
                    <w:autoSpaceDE w:val="0"/>
                    <w:autoSpaceDN w:val="0"/>
                    <w:adjustRightInd w:val="0"/>
                    <w:snapToGrid w:val="0"/>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本项目专题设置情况</w:t>
                  </w:r>
                </w:p>
              </w:tc>
            </w:tr>
            <w:tr w14:paraId="3E6658F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17" w:type="pct"/>
                  <w:tcBorders>
                    <w:tl2br w:val="nil"/>
                    <w:tr2bl w:val="nil"/>
                  </w:tcBorders>
                  <w:noWrap w:val="0"/>
                  <w:vAlign w:val="center"/>
                </w:tcPr>
                <w:p w14:paraId="7640252B">
                  <w:pPr>
                    <w:autoSpaceDE w:val="0"/>
                    <w:autoSpaceDN w:val="0"/>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大气</w:t>
                  </w:r>
                </w:p>
              </w:tc>
              <w:tc>
                <w:tcPr>
                  <w:tcW w:w="2401" w:type="pct"/>
                  <w:tcBorders>
                    <w:tl2br w:val="nil"/>
                    <w:tr2bl w:val="nil"/>
                  </w:tcBorders>
                  <w:noWrap w:val="0"/>
                  <w:vAlign w:val="center"/>
                </w:tcPr>
                <w:p w14:paraId="0609A66A">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排放废气含有毒有害污染物</w:t>
                  </w:r>
                  <w:r>
                    <w:rPr>
                      <w:rFonts w:hint="default" w:ascii="Times New Roman" w:hAnsi="Times New Roman" w:eastAsia="宋体" w:cs="Times New Roman"/>
                      <w:color w:val="auto"/>
                      <w:kern w:val="0"/>
                      <w:sz w:val="21"/>
                      <w:szCs w:val="21"/>
                      <w:highlight w:val="none"/>
                      <w:vertAlign w:val="superscript"/>
                    </w:rPr>
                    <w:t>1</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二噁英、苯并[a]芘、氰化物、氯气且厂界外500米范围内有环境空气保护目标</w:t>
                  </w:r>
                  <w:r>
                    <w:rPr>
                      <w:rFonts w:hint="default" w:ascii="Times New Roman" w:hAnsi="Times New Roman" w:eastAsia="宋体" w:cs="Times New Roman"/>
                      <w:color w:val="auto"/>
                      <w:kern w:val="0"/>
                      <w:sz w:val="21"/>
                      <w:szCs w:val="21"/>
                      <w:highlight w:val="none"/>
                      <w:vertAlign w:val="superscript"/>
                      <w:lang w:val="en-US" w:eastAsia="zh-CN"/>
                    </w:rPr>
                    <w:t>2</w:t>
                  </w:r>
                  <w:r>
                    <w:rPr>
                      <w:rFonts w:hint="default" w:ascii="Times New Roman" w:hAnsi="Times New Roman" w:eastAsia="宋体" w:cs="Times New Roman"/>
                      <w:color w:val="auto"/>
                      <w:kern w:val="0"/>
                      <w:sz w:val="21"/>
                      <w:szCs w:val="21"/>
                      <w:highlight w:val="none"/>
                      <w:lang w:val="en-US" w:eastAsia="zh-CN"/>
                    </w:rPr>
                    <w:t>的建设项目</w:t>
                  </w:r>
                </w:p>
              </w:tc>
              <w:tc>
                <w:tcPr>
                  <w:tcW w:w="1780" w:type="pct"/>
                  <w:tcBorders>
                    <w:tl2br w:val="nil"/>
                    <w:tr2bl w:val="nil"/>
                  </w:tcBorders>
                  <w:noWrap w:val="0"/>
                  <w:vAlign w:val="center"/>
                </w:tcPr>
                <w:p w14:paraId="7252DC28">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w:t>
                  </w:r>
                  <w:r>
                    <w:rPr>
                      <w:rFonts w:hint="eastAsia" w:ascii="Times New Roman" w:hAnsi="Times New Roman" w:eastAsia="宋体" w:cs="Times New Roman"/>
                      <w:color w:val="auto"/>
                      <w:kern w:val="0"/>
                      <w:sz w:val="21"/>
                      <w:szCs w:val="21"/>
                      <w:highlight w:val="none"/>
                      <w:lang w:val="en-US" w:eastAsia="zh-CN"/>
                    </w:rPr>
                    <w:t>运营期无废气产生</w:t>
                  </w:r>
                  <w:r>
                    <w:rPr>
                      <w:rFonts w:hint="default" w:ascii="Times New Roman" w:hAnsi="Times New Roman" w:eastAsia="宋体" w:cs="Times New Roman"/>
                      <w:color w:val="auto"/>
                      <w:kern w:val="0"/>
                      <w:sz w:val="21"/>
                      <w:szCs w:val="21"/>
                      <w:highlight w:val="none"/>
                      <w:lang w:val="en-US" w:eastAsia="zh-CN"/>
                    </w:rPr>
                    <w:t>，厂界外500m范围内无环境空气保护目标，故不设置大气专项评价</w:t>
                  </w:r>
                </w:p>
              </w:tc>
            </w:tr>
            <w:tr w14:paraId="3B59CE2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17" w:type="pct"/>
                  <w:tcBorders>
                    <w:tl2br w:val="nil"/>
                    <w:tr2bl w:val="nil"/>
                  </w:tcBorders>
                  <w:noWrap w:val="0"/>
                  <w:vAlign w:val="center"/>
                </w:tcPr>
                <w:p w14:paraId="37E4D179">
                  <w:pPr>
                    <w:autoSpaceDE w:val="0"/>
                    <w:autoSpaceDN w:val="0"/>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地表水</w:t>
                  </w:r>
                </w:p>
              </w:tc>
              <w:tc>
                <w:tcPr>
                  <w:tcW w:w="2401" w:type="pct"/>
                  <w:tcBorders>
                    <w:tl2br w:val="nil"/>
                    <w:tr2bl w:val="nil"/>
                  </w:tcBorders>
                  <w:noWrap w:val="0"/>
                  <w:vAlign w:val="center"/>
                </w:tcPr>
                <w:p w14:paraId="091657F1">
                  <w:pPr>
                    <w:autoSpaceDE w:val="0"/>
                    <w:autoSpaceDN w:val="0"/>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新增工业废水直排建设项目（槽罐车外送污水处理厂的除外）；新增废水直排的污水集中处理厂</w:t>
                  </w:r>
                </w:p>
              </w:tc>
              <w:tc>
                <w:tcPr>
                  <w:tcW w:w="1780" w:type="pct"/>
                  <w:tcBorders>
                    <w:tl2br w:val="nil"/>
                    <w:tr2bl w:val="nil"/>
                  </w:tcBorders>
                  <w:noWrap w:val="0"/>
                  <w:vAlign w:val="center"/>
                </w:tcPr>
                <w:p w14:paraId="33EEEFFD">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本项目无工业废水直排，不设置地表水专项评价</w:t>
                  </w:r>
                </w:p>
              </w:tc>
            </w:tr>
            <w:tr w14:paraId="7CCD27C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17" w:type="pct"/>
                  <w:tcBorders>
                    <w:tl2br w:val="nil"/>
                    <w:tr2bl w:val="nil"/>
                  </w:tcBorders>
                  <w:noWrap w:val="0"/>
                  <w:vAlign w:val="center"/>
                </w:tcPr>
                <w:p w14:paraId="5DFCBD71">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环境风险</w:t>
                  </w:r>
                </w:p>
              </w:tc>
              <w:tc>
                <w:tcPr>
                  <w:tcW w:w="2401" w:type="pct"/>
                  <w:tcBorders>
                    <w:tl2br w:val="nil"/>
                    <w:tr2bl w:val="nil"/>
                  </w:tcBorders>
                  <w:noWrap w:val="0"/>
                  <w:vAlign w:val="center"/>
                </w:tcPr>
                <w:p w14:paraId="485760A6">
                  <w:pPr>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有毒有害和易燃易爆危险物质存储量超过临界量</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的建设项目</w:t>
                  </w:r>
                </w:p>
              </w:tc>
              <w:tc>
                <w:tcPr>
                  <w:tcW w:w="1780" w:type="pct"/>
                  <w:tcBorders>
                    <w:tl2br w:val="nil"/>
                    <w:tr2bl w:val="nil"/>
                  </w:tcBorders>
                  <w:noWrap w:val="0"/>
                  <w:vAlign w:val="center"/>
                </w:tcPr>
                <w:p w14:paraId="7E74D19E">
                  <w:pPr>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本项目</w:t>
                  </w:r>
                  <w:r>
                    <w:rPr>
                      <w:rFonts w:hint="eastAsia" w:ascii="Times New Roman" w:hAnsi="Times New Roman" w:eastAsia="宋体" w:cs="Times New Roman"/>
                      <w:b w:val="0"/>
                      <w:bCs w:val="0"/>
                      <w:color w:val="auto"/>
                      <w:kern w:val="0"/>
                      <w:sz w:val="21"/>
                      <w:szCs w:val="21"/>
                      <w:highlight w:val="none"/>
                      <w:lang w:val="en-US" w:eastAsia="zh-CN"/>
                    </w:rPr>
                    <w:t>有毒有害物质和易燃易爆物质</w:t>
                  </w:r>
                  <w:r>
                    <w:rPr>
                      <w:rFonts w:hint="default" w:ascii="Times New Roman" w:hAnsi="Times New Roman" w:eastAsia="宋体" w:cs="Times New Roman"/>
                      <w:color w:val="auto"/>
                      <w:kern w:val="0"/>
                      <w:sz w:val="21"/>
                      <w:szCs w:val="21"/>
                      <w:highlight w:val="none"/>
                    </w:rPr>
                    <w:t>存储量</w:t>
                  </w:r>
                  <w:r>
                    <w:rPr>
                      <w:rFonts w:hint="eastAsia" w:ascii="Times New Roman" w:hAnsi="Times New Roman" w:eastAsia="宋体" w:cs="Times New Roman"/>
                      <w:color w:val="auto"/>
                      <w:kern w:val="0"/>
                      <w:sz w:val="21"/>
                      <w:szCs w:val="21"/>
                      <w:highlight w:val="cyan"/>
                      <w:lang w:val="en-US" w:eastAsia="zh-CN"/>
                    </w:rPr>
                    <w:t>不</w:t>
                  </w:r>
                  <w:r>
                    <w:rPr>
                      <w:rFonts w:hint="default" w:ascii="Times New Roman" w:hAnsi="Times New Roman" w:eastAsia="宋体" w:cs="Times New Roman"/>
                      <w:color w:val="auto"/>
                      <w:kern w:val="0"/>
                      <w:sz w:val="21"/>
                      <w:szCs w:val="21"/>
                      <w:highlight w:val="none"/>
                    </w:rPr>
                    <w:t>超过临界量</w:t>
                  </w:r>
                  <w:r>
                    <w:rPr>
                      <w:rFonts w:hint="default" w:ascii="Times New Roman" w:hAnsi="Times New Roman" w:eastAsia="宋体" w:cs="Times New Roman"/>
                      <w:b w:val="0"/>
                      <w:bCs w:val="0"/>
                      <w:color w:val="auto"/>
                      <w:kern w:val="0"/>
                      <w:sz w:val="21"/>
                      <w:szCs w:val="21"/>
                      <w:highlight w:val="none"/>
                      <w:lang w:val="en-US" w:eastAsia="zh-CN"/>
                    </w:rPr>
                    <w:t>，不设置环境风险专项评价</w:t>
                  </w:r>
                </w:p>
              </w:tc>
            </w:tr>
            <w:tr w14:paraId="58D3900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17" w:type="pct"/>
                  <w:tcBorders>
                    <w:tl2br w:val="nil"/>
                    <w:tr2bl w:val="nil"/>
                  </w:tcBorders>
                  <w:noWrap w:val="0"/>
                  <w:vAlign w:val="center"/>
                </w:tcPr>
                <w:p w14:paraId="1B70F1F2">
                  <w:pPr>
                    <w:autoSpaceDE w:val="0"/>
                    <w:autoSpaceDN w:val="0"/>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海洋</w:t>
                  </w:r>
                </w:p>
              </w:tc>
              <w:tc>
                <w:tcPr>
                  <w:tcW w:w="2401" w:type="pct"/>
                  <w:tcBorders>
                    <w:tl2br w:val="nil"/>
                    <w:tr2bl w:val="nil"/>
                  </w:tcBorders>
                  <w:noWrap w:val="0"/>
                  <w:vAlign w:val="center"/>
                </w:tcPr>
                <w:p w14:paraId="762B1582">
                  <w:pPr>
                    <w:autoSpaceDE w:val="0"/>
                    <w:autoSpaceDN w:val="0"/>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直接向海排放污染物的海洋工程建设项目</w:t>
                  </w:r>
                </w:p>
              </w:tc>
              <w:tc>
                <w:tcPr>
                  <w:tcW w:w="1780" w:type="pct"/>
                  <w:tcBorders>
                    <w:tl2br w:val="nil"/>
                    <w:tr2bl w:val="nil"/>
                  </w:tcBorders>
                  <w:noWrap w:val="0"/>
                  <w:vAlign w:val="center"/>
                </w:tcPr>
                <w:p w14:paraId="56D52CF9">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本项目不涉及，不设置海洋专项评价</w:t>
                  </w:r>
                </w:p>
              </w:tc>
            </w:tr>
            <w:tr w14:paraId="616196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17" w:type="pct"/>
                  <w:tcBorders>
                    <w:tl2br w:val="nil"/>
                    <w:tr2bl w:val="nil"/>
                  </w:tcBorders>
                  <w:noWrap w:val="0"/>
                  <w:vAlign w:val="center"/>
                </w:tcPr>
                <w:p w14:paraId="1DFC45C6">
                  <w:pPr>
                    <w:autoSpaceDE w:val="0"/>
                    <w:autoSpaceDN w:val="0"/>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生态</w:t>
                  </w:r>
                </w:p>
              </w:tc>
              <w:tc>
                <w:tcPr>
                  <w:tcW w:w="2401" w:type="pct"/>
                  <w:tcBorders>
                    <w:tl2br w:val="nil"/>
                    <w:tr2bl w:val="nil"/>
                  </w:tcBorders>
                  <w:noWrap w:val="0"/>
                  <w:vAlign w:val="center"/>
                </w:tcPr>
                <w:p w14:paraId="5D9800B6">
                  <w:pPr>
                    <w:autoSpaceDE w:val="0"/>
                    <w:autoSpaceDN w:val="0"/>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取水口下游500米范围内有重要水生生物的自然产卵场、索饵场、越冬场和洄游通道的新增河道取水的污染类建设项目</w:t>
                  </w:r>
                </w:p>
              </w:tc>
              <w:tc>
                <w:tcPr>
                  <w:tcW w:w="1780" w:type="pct"/>
                  <w:tcBorders>
                    <w:tl2br w:val="nil"/>
                    <w:tr2bl w:val="nil"/>
                  </w:tcBorders>
                  <w:noWrap w:val="0"/>
                  <w:vAlign w:val="center"/>
                </w:tcPr>
                <w:p w14:paraId="46DBF231">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本项目不涉及，不设置生态专项评价</w:t>
                  </w:r>
                </w:p>
              </w:tc>
            </w:tr>
            <w:tr w14:paraId="6B40846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000" w:type="pct"/>
                  <w:gridSpan w:val="3"/>
                  <w:tcBorders>
                    <w:tl2br w:val="nil"/>
                    <w:tr2bl w:val="nil"/>
                  </w:tcBorders>
                  <w:noWrap w:val="0"/>
                  <w:vAlign w:val="center"/>
                </w:tcPr>
                <w:p w14:paraId="2BC1C8EB">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注：1.废气中有毒有害污染物指纳入《有毒有害大气污染物名录》的污染物（不包括无排放标准的污染物）。</w:t>
                  </w:r>
                </w:p>
                <w:p w14:paraId="79A3A218">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2.环境空气保护目标指自然保护区、风景名胜区、居住区、文化区和农村地区中人群较集中的区域。</w:t>
                  </w:r>
                </w:p>
                <w:p w14:paraId="002A84F3">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 xml:space="preserve">3.临界量及其计算方法可参考《建设项目环境风险评价技术导则》（HJ 169）附录 B、附录 C。 </w:t>
                  </w:r>
                </w:p>
              </w:tc>
            </w:tr>
          </w:tbl>
          <w:p w14:paraId="08D312F2">
            <w:pPr>
              <w:keepNext w:val="0"/>
              <w:keepLines w:val="0"/>
              <w:pageBreakBefore w:val="0"/>
              <w:widowControl w:val="0"/>
              <w:kinsoku/>
              <w:wordWrap/>
              <w:overflowPunct/>
              <w:topLinePunct w:val="0"/>
              <w:autoSpaceDE w:val="0"/>
              <w:autoSpaceDN w:val="0"/>
              <w:bidi w:val="0"/>
              <w:adjustRightInd w:val="0"/>
              <w:snapToGrid w:val="0"/>
              <w:spacing w:line="360" w:lineRule="exact"/>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rPr>
              <w:t>根据</w:t>
            </w:r>
            <w:r>
              <w:rPr>
                <w:rFonts w:hint="default" w:ascii="Times New Roman" w:hAnsi="Times New Roman" w:cs="Times New Roman"/>
                <w:color w:val="auto"/>
                <w:sz w:val="21"/>
                <w:szCs w:val="21"/>
                <w:highlight w:val="none"/>
                <w:lang w:val="en-US" w:eastAsia="zh-CN"/>
              </w:rPr>
              <w:t>分析</w:t>
            </w: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不设置专项评价</w:t>
            </w:r>
            <w:bookmarkEnd w:id="1"/>
            <w:r>
              <w:rPr>
                <w:rFonts w:hint="default" w:ascii="Times New Roman" w:hAnsi="Times New Roman" w:cs="Times New Roman"/>
                <w:color w:val="auto"/>
                <w:sz w:val="21"/>
                <w:szCs w:val="21"/>
                <w:highlight w:val="none"/>
                <w:lang w:val="en-US" w:eastAsia="zh-CN"/>
              </w:rPr>
              <w:t>。</w:t>
            </w:r>
          </w:p>
        </w:tc>
      </w:tr>
      <w:tr w14:paraId="2610B6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1021" w:hRule="atLeast"/>
          <w:jc w:val="center"/>
        </w:trPr>
        <w:tc>
          <w:tcPr>
            <w:tcW w:w="1023" w:type="pct"/>
            <w:noWrap w:val="0"/>
            <w:vAlign w:val="center"/>
          </w:tcPr>
          <w:p w14:paraId="571002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规划情况</w:t>
            </w:r>
          </w:p>
        </w:tc>
        <w:tc>
          <w:tcPr>
            <w:tcW w:w="7397" w:type="dxa"/>
            <w:gridSpan w:val="3"/>
            <w:noWrap w:val="0"/>
            <w:vAlign w:val="center"/>
          </w:tcPr>
          <w:p w14:paraId="2BBF6AE1">
            <w:pPr>
              <w:pStyle w:val="50"/>
              <w:keepNext w:val="0"/>
              <w:keepLines w:val="0"/>
              <w:pageBreakBefore w:val="0"/>
              <w:widowControl w:val="0"/>
              <w:kinsoku/>
              <w:wordWrap/>
              <w:overflowPunct/>
              <w:topLinePunct w:val="0"/>
              <w:autoSpaceDE/>
              <w:autoSpaceDN/>
              <w:bidi w:val="0"/>
              <w:adjustRightInd w:val="0"/>
              <w:snapToGrid w:val="0"/>
              <w:spacing w:before="0" w:after="0"/>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w:t>
            </w:r>
          </w:p>
        </w:tc>
      </w:tr>
      <w:tr w14:paraId="0DB696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1021" w:hRule="atLeast"/>
          <w:jc w:val="center"/>
        </w:trPr>
        <w:tc>
          <w:tcPr>
            <w:tcW w:w="1023" w:type="pct"/>
            <w:noWrap w:val="0"/>
            <w:vAlign w:val="center"/>
          </w:tcPr>
          <w:p w14:paraId="3BB0F1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规划环境影响</w:t>
            </w:r>
          </w:p>
          <w:p w14:paraId="5339C1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评价情况</w:t>
            </w:r>
          </w:p>
        </w:tc>
        <w:tc>
          <w:tcPr>
            <w:tcW w:w="7397" w:type="dxa"/>
            <w:gridSpan w:val="3"/>
            <w:noWrap w:val="0"/>
            <w:vAlign w:val="center"/>
          </w:tcPr>
          <w:p w14:paraId="5F564773">
            <w:pPr>
              <w:pStyle w:val="50"/>
              <w:keepNext w:val="0"/>
              <w:keepLines w:val="0"/>
              <w:pageBreakBefore w:val="0"/>
              <w:widowControl w:val="0"/>
              <w:kinsoku/>
              <w:wordWrap/>
              <w:overflowPunct/>
              <w:topLinePunct w:val="0"/>
              <w:autoSpaceDE/>
              <w:autoSpaceDN/>
              <w:bidi w:val="0"/>
              <w:adjustRightInd w:val="0"/>
              <w:snapToGrid w:val="0"/>
              <w:spacing w:before="0" w:after="0"/>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73DD58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504" w:hRule="atLeast"/>
          <w:jc w:val="center"/>
        </w:trPr>
        <w:tc>
          <w:tcPr>
            <w:tcW w:w="1023" w:type="pct"/>
            <w:noWrap w:val="0"/>
            <w:vAlign w:val="center"/>
          </w:tcPr>
          <w:p w14:paraId="008B22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规划及规划环境</w:t>
            </w:r>
          </w:p>
          <w:p w14:paraId="5DB2C3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影响评价符合性分析</w:t>
            </w:r>
          </w:p>
        </w:tc>
        <w:tc>
          <w:tcPr>
            <w:tcW w:w="7397" w:type="dxa"/>
            <w:gridSpan w:val="3"/>
            <w:noWrap w:val="0"/>
            <w:vAlign w:val="center"/>
          </w:tcPr>
          <w:p w14:paraId="6C712F49">
            <w:pPr>
              <w:pStyle w:val="50"/>
              <w:ind w:firstLine="420"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0B319F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1021" w:hRule="atLeast"/>
          <w:jc w:val="center"/>
        </w:trPr>
        <w:tc>
          <w:tcPr>
            <w:tcW w:w="1023" w:type="pct"/>
            <w:noWrap w:val="0"/>
            <w:vAlign w:val="center"/>
          </w:tcPr>
          <w:p w14:paraId="127B02BD">
            <w:pPr>
              <w:autoSpaceDE w:val="0"/>
              <w:autoSpaceDN w:val="0"/>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其他符合性分析</w:t>
            </w:r>
          </w:p>
        </w:tc>
        <w:tc>
          <w:tcPr>
            <w:tcW w:w="3976" w:type="pct"/>
            <w:gridSpan w:val="3"/>
            <w:noWrap w:val="0"/>
            <w:vAlign w:val="center"/>
          </w:tcPr>
          <w:p w14:paraId="715B14E6">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1.</w:t>
            </w:r>
            <w:r>
              <w:rPr>
                <w:rFonts w:hint="default" w:ascii="Times New Roman" w:hAnsi="Times New Roman" w:eastAsia="宋体" w:cs="Times New Roman"/>
                <w:b/>
                <w:color w:val="auto"/>
                <w:sz w:val="24"/>
                <w:szCs w:val="24"/>
                <w:highlight w:val="none"/>
              </w:rPr>
              <w:t>产业政策符合性</w:t>
            </w:r>
          </w:p>
          <w:p w14:paraId="786CC24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根据国民经济行业分类与代码（GB/T4754－2017），本项目属于</w:t>
            </w:r>
            <w:r>
              <w:rPr>
                <w:rFonts w:hint="default" w:ascii="Times New Roman" w:hAnsi="Times New Roman" w:eastAsia="宋体" w:cs="Times New Roman"/>
                <w:b w:val="0"/>
                <w:bCs w:val="0"/>
                <w:color w:val="auto"/>
                <w:sz w:val="24"/>
                <w:szCs w:val="24"/>
                <w:shd w:val="clear" w:color="auto" w:fill="auto"/>
                <w:vertAlign w:val="baseline"/>
                <w:lang w:val="en-US" w:eastAsia="zh-CN"/>
              </w:rPr>
              <w:t>N7724危险废物治理</w:t>
            </w:r>
            <w:r>
              <w:rPr>
                <w:rFonts w:hint="default" w:ascii="Times New Roman" w:hAnsi="Times New Roman" w:eastAsia="宋体" w:cs="Times New Roman"/>
                <w:color w:val="auto"/>
                <w:sz w:val="24"/>
                <w:szCs w:val="24"/>
                <w:highlight w:val="none"/>
              </w:rPr>
              <w:t>，对照《产业结构调整指导目录（2024年本）》，本项目不属于鼓励、限制、淘汰类产业项目。因此，本项目符合产业政策相符性</w:t>
            </w:r>
            <w:r>
              <w:rPr>
                <w:rFonts w:hint="eastAsia" w:ascii="Times New Roman" w:hAnsi="Times New Roman" w:eastAsia="宋体" w:cs="Times New Roman"/>
                <w:color w:val="auto"/>
                <w:sz w:val="24"/>
                <w:szCs w:val="24"/>
                <w:highlight w:val="none"/>
                <w:lang w:eastAsia="zh-CN"/>
              </w:rPr>
              <w:t>的要求。</w:t>
            </w:r>
          </w:p>
          <w:p w14:paraId="52926003">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选址</w:t>
            </w:r>
            <w:r>
              <w:rPr>
                <w:rFonts w:hint="default" w:ascii="Times New Roman" w:hAnsi="Times New Roman" w:eastAsia="宋体" w:cs="Times New Roman"/>
                <w:b/>
                <w:color w:val="auto"/>
                <w:sz w:val="24"/>
                <w:szCs w:val="24"/>
                <w:highlight w:val="none"/>
                <w:lang w:val="en-US" w:eastAsia="zh-CN"/>
              </w:rPr>
              <w:t>及用地</w:t>
            </w:r>
            <w:r>
              <w:rPr>
                <w:rFonts w:hint="default" w:ascii="Times New Roman" w:hAnsi="Times New Roman" w:eastAsia="宋体" w:cs="Times New Roman"/>
                <w:b/>
                <w:color w:val="auto"/>
                <w:sz w:val="24"/>
                <w:szCs w:val="24"/>
                <w:highlight w:val="none"/>
              </w:rPr>
              <w:t>合理性</w:t>
            </w:r>
          </w:p>
          <w:p w14:paraId="6F1D790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t>项目位于巴彦淖尔市乌拉特中旗新忽热苏木</w:t>
            </w:r>
            <w:r>
              <w:rPr>
                <w:rFonts w:hint="default" w:ascii="Times New Roman" w:hAnsi="Times New Roman" w:eastAsia="宋体" w:cs="Times New Roman"/>
                <w:b w:val="0"/>
                <w:bCs w:val="0"/>
                <w:color w:val="auto"/>
                <w:kern w:val="2"/>
                <w:sz w:val="24"/>
                <w:szCs w:val="24"/>
                <w:highlight w:val="none"/>
                <w:u w:val="none"/>
                <w:lang w:val="en-US" w:eastAsia="zh-CN" w:bidi="ar-SA"/>
              </w:rPr>
              <w:t>内蒙古太平矿业有限公司现有厂区内</w:t>
            </w:r>
            <w:r>
              <w:rPr>
                <w:rFonts w:hint="default" w:ascii="Times New Roman" w:hAnsi="Times New Roman" w:eastAsia="宋体" w:cs="Times New Roman"/>
                <w:bCs/>
                <w:color w:val="auto"/>
                <w:sz w:val="24"/>
                <w:szCs w:val="24"/>
                <w:highlight w:val="none"/>
              </w:rPr>
              <w:t>，本项目</w:t>
            </w:r>
            <w:r>
              <w:rPr>
                <w:rFonts w:hint="eastAsia" w:ascii="Times New Roman" w:hAnsi="Times New Roman" w:eastAsia="宋体" w:cs="Times New Roman"/>
                <w:bCs/>
                <w:color w:val="auto"/>
                <w:sz w:val="24"/>
                <w:szCs w:val="24"/>
                <w:highlight w:val="none"/>
                <w:lang w:val="en-US" w:eastAsia="zh-CN"/>
              </w:rPr>
              <w:t>危废库是</w:t>
            </w:r>
            <w:r>
              <w:rPr>
                <w:rFonts w:hint="default" w:ascii="Times New Roman" w:hAnsi="Times New Roman" w:eastAsia="宋体" w:cs="Times New Roman"/>
                <w:bCs/>
                <w:color w:val="auto"/>
                <w:sz w:val="24"/>
                <w:szCs w:val="24"/>
                <w:highlight w:val="none"/>
              </w:rPr>
              <w:t>利用建设单位现有</w:t>
            </w:r>
            <w:r>
              <w:rPr>
                <w:rFonts w:hint="eastAsia" w:ascii="Times New Roman" w:hAnsi="Times New Roman" w:eastAsia="宋体" w:cs="Times New Roman"/>
                <w:bCs/>
                <w:color w:val="auto"/>
                <w:sz w:val="24"/>
                <w:szCs w:val="24"/>
                <w:highlight w:val="none"/>
                <w:lang w:val="en-US" w:eastAsia="zh-CN"/>
              </w:rPr>
              <w:t>氰化钠</w:t>
            </w:r>
            <w:r>
              <w:rPr>
                <w:rFonts w:hint="default" w:ascii="Times New Roman" w:hAnsi="Times New Roman" w:eastAsia="宋体" w:cs="Times New Roman"/>
                <w:bCs/>
                <w:color w:val="auto"/>
                <w:sz w:val="24"/>
                <w:szCs w:val="24"/>
                <w:highlight w:val="none"/>
              </w:rPr>
              <w:t>库房</w:t>
            </w:r>
            <w:r>
              <w:rPr>
                <w:rFonts w:hint="eastAsia" w:ascii="Times New Roman" w:hAnsi="Times New Roman" w:eastAsia="宋体" w:cs="Times New Roman"/>
                <w:bCs/>
                <w:color w:val="auto"/>
                <w:sz w:val="24"/>
                <w:szCs w:val="24"/>
                <w:highlight w:val="none"/>
                <w:lang w:val="en-US" w:eastAsia="zh-CN"/>
              </w:rPr>
              <w:t>进行改造，扩建危废库</w:t>
            </w:r>
            <w:r>
              <w:rPr>
                <w:rFonts w:hint="default" w:ascii="Times New Roman" w:hAnsi="Times New Roman" w:eastAsia="宋体" w:cs="Times New Roman"/>
                <w:bCs/>
                <w:color w:val="auto"/>
                <w:sz w:val="24"/>
                <w:szCs w:val="24"/>
                <w:highlight w:val="none"/>
              </w:rPr>
              <w:t>，不新增占地。项目未占用饮用水水源保护区、自然保护区、基本农田保护区等国家或地方法律规定的或是县以上人民政府划定的需特殊保护的环境敏感区，不涉及生态敏感与脆弱地区；在采取了本报告中提出的污染防治措施后，大气污染物、厂界噪声等均能够实现达标排放</w:t>
            </w:r>
            <w:r>
              <w:rPr>
                <w:rFonts w:hint="default" w:ascii="Times New Roman" w:hAnsi="Times New Roman" w:eastAsia="宋体" w:cs="Times New Roman"/>
                <w:color w:val="auto"/>
                <w:sz w:val="24"/>
                <w:szCs w:val="24"/>
                <w:highlight w:val="none"/>
              </w:rPr>
              <w:t>。项目与《危险废物贮存污染控制标准》（GB18597-2023）中“5 贮存设施选址要求”符合性分析如下。</w:t>
            </w:r>
          </w:p>
          <w:p w14:paraId="6219D725">
            <w:pPr>
              <w:pStyle w:val="9"/>
              <w:keepNext w:val="0"/>
              <w:keepLines w:val="0"/>
              <w:pageBreakBefore w:val="0"/>
              <w:widowControl w:val="0"/>
              <w:kinsoku/>
              <w:wordWrap/>
              <w:overflowPunct/>
              <w:topLinePunct w:val="0"/>
              <w:autoSpaceDE/>
              <w:autoSpaceDN/>
              <w:bidi w:val="0"/>
              <w:adjustRightInd/>
              <w:snapToGrid/>
              <w:spacing w:befor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 1-</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 xml:space="preserve"> 项目建设与《危险废物贮存污染控制标准》符合性分析一览表</w:t>
            </w:r>
          </w:p>
          <w:tbl>
            <w:tblPr>
              <w:tblStyle w:val="26"/>
              <w:tblW w:w="7181" w:type="dxa"/>
              <w:tblInd w:w="-11"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left w:w="108" w:type="dxa"/>
                <w:right w:w="108" w:type="dxa"/>
              </w:tblCellMar>
            </w:tblPr>
            <w:tblGrid>
              <w:gridCol w:w="3229"/>
              <w:gridCol w:w="3013"/>
              <w:gridCol w:w="939"/>
            </w:tblGrid>
            <w:tr w14:paraId="3D698C9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trPr>
              <w:tc>
                <w:tcPr>
                  <w:tcW w:w="3229" w:type="dxa"/>
                  <w:tcBorders>
                    <w:tl2br w:val="nil"/>
                    <w:tr2bl w:val="nil"/>
                  </w:tcBorders>
                  <w:noWrap w:val="0"/>
                  <w:vAlign w:val="center"/>
                </w:tcPr>
                <w:p w14:paraId="5578CC17">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标准要求</w:t>
                  </w:r>
                </w:p>
              </w:tc>
              <w:tc>
                <w:tcPr>
                  <w:tcW w:w="3013" w:type="dxa"/>
                  <w:tcBorders>
                    <w:tl2br w:val="nil"/>
                    <w:tr2bl w:val="nil"/>
                  </w:tcBorders>
                  <w:noWrap w:val="0"/>
                  <w:vAlign w:val="center"/>
                </w:tcPr>
                <w:p w14:paraId="16739E60">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本项目情况</w:t>
                  </w:r>
                </w:p>
              </w:tc>
              <w:tc>
                <w:tcPr>
                  <w:tcW w:w="939" w:type="dxa"/>
                  <w:tcBorders>
                    <w:tl2br w:val="nil"/>
                    <w:tr2bl w:val="nil"/>
                  </w:tcBorders>
                  <w:noWrap w:val="0"/>
                  <w:vAlign w:val="center"/>
                </w:tcPr>
                <w:p w14:paraId="45E08915">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符合性</w:t>
                  </w:r>
                </w:p>
              </w:tc>
            </w:tr>
            <w:tr w14:paraId="3EAA9AA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left w:w="108" w:type="dxa"/>
                  <w:right w:w="108" w:type="dxa"/>
                </w:tblCellMar>
              </w:tblPrEx>
              <w:trPr>
                <w:trHeight w:val="454" w:hRule="atLeast"/>
              </w:trPr>
              <w:tc>
                <w:tcPr>
                  <w:tcW w:w="3229" w:type="dxa"/>
                  <w:tcBorders>
                    <w:tl2br w:val="nil"/>
                    <w:tr2bl w:val="nil"/>
                  </w:tcBorders>
                  <w:noWrap w:val="0"/>
                  <w:vAlign w:val="center"/>
                </w:tcPr>
                <w:p w14:paraId="4F86803F">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贮存设施选址应满足生态环境保护法律法规、规划和“三线一单”生态环境分区管控的要求，建设项目应依法进行环境影响评价</w:t>
                  </w:r>
                </w:p>
              </w:tc>
              <w:tc>
                <w:tcPr>
                  <w:tcW w:w="3013" w:type="dxa"/>
                  <w:tcBorders>
                    <w:tl2br w:val="nil"/>
                    <w:tr2bl w:val="nil"/>
                  </w:tcBorders>
                  <w:noWrap w:val="0"/>
                  <w:vAlign w:val="center"/>
                </w:tcPr>
                <w:p w14:paraId="0D7A8864">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根据前述分析，项目建设满足相关法律、法规和“三线一单”生态环境分区管控要求，已委托本单位开展环境影响评价工作</w:t>
                  </w:r>
                </w:p>
              </w:tc>
              <w:tc>
                <w:tcPr>
                  <w:tcW w:w="939" w:type="dxa"/>
                  <w:tcBorders>
                    <w:tl2br w:val="nil"/>
                    <w:tr2bl w:val="nil"/>
                  </w:tcBorders>
                  <w:noWrap w:val="0"/>
                  <w:vAlign w:val="center"/>
                </w:tcPr>
                <w:p w14:paraId="0704542D">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符合</w:t>
                  </w:r>
                </w:p>
              </w:tc>
            </w:tr>
            <w:tr w14:paraId="0A24CC8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left w:w="108" w:type="dxa"/>
                  <w:right w:w="108" w:type="dxa"/>
                </w:tblCellMar>
              </w:tblPrEx>
              <w:trPr>
                <w:trHeight w:val="454" w:hRule="atLeast"/>
              </w:trPr>
              <w:tc>
                <w:tcPr>
                  <w:tcW w:w="3229" w:type="dxa"/>
                  <w:tcBorders>
                    <w:tl2br w:val="nil"/>
                    <w:tr2bl w:val="nil"/>
                  </w:tcBorders>
                  <w:noWrap w:val="0"/>
                  <w:vAlign w:val="center"/>
                </w:tcPr>
                <w:p w14:paraId="61C6FC17">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集中贮存设施不应选在生态保护红线区域、永久基本农田和其他需要特别保护的区域内，不应建在溶洞区或易遭受洪水、滑坡、泥石流、潮汐等严重自然灾害影响的地区</w:t>
                  </w:r>
                </w:p>
              </w:tc>
              <w:tc>
                <w:tcPr>
                  <w:tcW w:w="3013" w:type="dxa"/>
                  <w:tcBorders>
                    <w:tl2br w:val="nil"/>
                    <w:tr2bl w:val="nil"/>
                  </w:tcBorders>
                  <w:noWrap w:val="0"/>
                  <w:vAlign w:val="center"/>
                </w:tcPr>
                <w:p w14:paraId="679BC68B">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项目选址不涉及生态保护红线、永久基本农田以及其他需要特别保护的区域，也不涉及溶洞区、易遭受洪水、滑坡、泥石流潮汐等严重自然灾害影响的区域</w:t>
                  </w:r>
                </w:p>
              </w:tc>
              <w:tc>
                <w:tcPr>
                  <w:tcW w:w="939" w:type="dxa"/>
                  <w:tcBorders>
                    <w:tl2br w:val="nil"/>
                    <w:tr2bl w:val="nil"/>
                  </w:tcBorders>
                  <w:noWrap w:val="0"/>
                  <w:vAlign w:val="center"/>
                </w:tcPr>
                <w:p w14:paraId="7BAA6B5E">
                  <w:pPr>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符合</w:t>
                  </w:r>
                </w:p>
              </w:tc>
            </w:tr>
            <w:tr w14:paraId="6B9CB26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left w:w="108" w:type="dxa"/>
                  <w:right w:w="108" w:type="dxa"/>
                </w:tblCellMar>
              </w:tblPrEx>
              <w:trPr>
                <w:trHeight w:val="454" w:hRule="atLeast"/>
              </w:trPr>
              <w:tc>
                <w:tcPr>
                  <w:tcW w:w="3229" w:type="dxa"/>
                  <w:tcBorders>
                    <w:tl2br w:val="nil"/>
                    <w:tr2bl w:val="nil"/>
                  </w:tcBorders>
                  <w:noWrap w:val="0"/>
                  <w:vAlign w:val="center"/>
                </w:tcPr>
                <w:p w14:paraId="34247AC2">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贮存设施不应选在江河、湖泊、运河、渠道、水库及其最高水位线以下的滩地和岸坡，以及法律法规规定禁止贮存危险废物的其他地点</w:t>
                  </w:r>
                </w:p>
              </w:tc>
              <w:tc>
                <w:tcPr>
                  <w:tcW w:w="3013" w:type="dxa"/>
                  <w:tcBorders>
                    <w:tl2br w:val="nil"/>
                    <w:tr2bl w:val="nil"/>
                  </w:tcBorders>
                  <w:noWrap w:val="0"/>
                  <w:vAlign w:val="center"/>
                </w:tcPr>
                <w:p w14:paraId="0A007620">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项目选址不在江河、湖泊、运河、渠道、水库及其最高水位线以下的滩地和岸坡</w:t>
                  </w:r>
                </w:p>
              </w:tc>
              <w:tc>
                <w:tcPr>
                  <w:tcW w:w="939" w:type="dxa"/>
                  <w:tcBorders>
                    <w:tl2br w:val="nil"/>
                    <w:tr2bl w:val="nil"/>
                  </w:tcBorders>
                  <w:noWrap w:val="0"/>
                  <w:vAlign w:val="center"/>
                </w:tcPr>
                <w:p w14:paraId="5E5F3384">
                  <w:pPr>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符合</w:t>
                  </w:r>
                </w:p>
              </w:tc>
            </w:tr>
            <w:tr w14:paraId="427DD5F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left w:w="108" w:type="dxa"/>
                  <w:right w:w="108" w:type="dxa"/>
                </w:tblCellMar>
              </w:tblPrEx>
              <w:trPr>
                <w:trHeight w:val="454" w:hRule="atLeast"/>
              </w:trPr>
              <w:tc>
                <w:tcPr>
                  <w:tcW w:w="3229" w:type="dxa"/>
                  <w:tcBorders>
                    <w:tl2br w:val="nil"/>
                    <w:tr2bl w:val="nil"/>
                  </w:tcBorders>
                  <w:noWrap w:val="0"/>
                  <w:vAlign w:val="center"/>
                </w:tcPr>
                <w:p w14:paraId="330D3A6C">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贮存设施场址的位置以及其与周围环境敏感目标的距离应依据环境影响评价文件确定</w:t>
                  </w:r>
                </w:p>
              </w:tc>
              <w:tc>
                <w:tcPr>
                  <w:tcW w:w="3013" w:type="dxa"/>
                  <w:tcBorders>
                    <w:tl2br w:val="nil"/>
                    <w:tr2bl w:val="nil"/>
                  </w:tcBorders>
                  <w:noWrap w:val="0"/>
                  <w:vAlign w:val="center"/>
                </w:tcPr>
                <w:p w14:paraId="7935C0F3">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根据评价结果，项目不设置防护距离，周边以企业生产设施为主，不存在敏感保护目标</w:t>
                  </w:r>
                </w:p>
              </w:tc>
              <w:tc>
                <w:tcPr>
                  <w:tcW w:w="939" w:type="dxa"/>
                  <w:tcBorders>
                    <w:tl2br w:val="nil"/>
                    <w:tr2bl w:val="nil"/>
                  </w:tcBorders>
                  <w:noWrap w:val="0"/>
                  <w:vAlign w:val="center"/>
                </w:tcPr>
                <w:p w14:paraId="6F0FBA8B">
                  <w:pPr>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符合</w:t>
                  </w:r>
                </w:p>
              </w:tc>
            </w:tr>
          </w:tbl>
          <w:p w14:paraId="348772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综上所述，项目建设符合《危险废物贮存污染控制标准》（GB18597-2023）中关于危险废物贮存设施选址的相关规定，从环境保护角度分析项目的选址合理。</w:t>
            </w:r>
          </w:p>
          <w:p w14:paraId="4E1418FD">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3.与相关规范符合性分析</w:t>
            </w:r>
          </w:p>
          <w:p w14:paraId="11E5B4C7">
            <w:pPr>
              <w:pStyle w:val="9"/>
              <w:keepNext w:val="0"/>
              <w:keepLines w:val="0"/>
              <w:pageBreakBefore w:val="0"/>
              <w:widowControl w:val="0"/>
              <w:kinsoku/>
              <w:wordWrap/>
              <w:overflowPunct/>
              <w:topLinePunct w:val="0"/>
              <w:autoSpaceDE/>
              <w:autoSpaceDN/>
              <w:bidi w:val="0"/>
              <w:adjustRightInd/>
              <w:snapToGrid/>
              <w:spacing w:before="0"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本项目与相关规范符合性分析如下。</w:t>
            </w:r>
          </w:p>
          <w:p w14:paraId="323155FE">
            <w:pPr>
              <w:pStyle w:val="9"/>
              <w:keepNext w:val="0"/>
              <w:keepLines w:val="0"/>
              <w:pageBreakBefore w:val="0"/>
              <w:widowControl w:val="0"/>
              <w:kinsoku/>
              <w:wordWrap/>
              <w:overflowPunct/>
              <w:topLinePunct w:val="0"/>
              <w:autoSpaceDE/>
              <w:autoSpaceDN/>
              <w:bidi w:val="0"/>
              <w:adjustRightInd/>
              <w:snapToGrid/>
              <w:spacing w:before="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 1-3 项目建设与相关规范符合性分析一览表</w:t>
            </w:r>
          </w:p>
          <w:tbl>
            <w:tblPr>
              <w:tblStyle w:val="26"/>
              <w:tblW w:w="7181" w:type="dxa"/>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57" w:type="dxa"/>
                <w:bottom w:w="0" w:type="dxa"/>
                <w:right w:w="57" w:type="dxa"/>
              </w:tblCellMar>
            </w:tblPr>
            <w:tblGrid>
              <w:gridCol w:w="867"/>
              <w:gridCol w:w="2955"/>
              <w:gridCol w:w="2590"/>
              <w:gridCol w:w="769"/>
            </w:tblGrid>
            <w:tr w14:paraId="6E5EF01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867" w:type="dxa"/>
                  <w:tcBorders>
                    <w:tl2br w:val="nil"/>
                    <w:tr2bl w:val="nil"/>
                  </w:tcBorders>
                  <w:noWrap w:val="0"/>
                  <w:vAlign w:val="center"/>
                </w:tcPr>
                <w:p w14:paraId="40A13692">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规范名称</w:t>
                  </w:r>
                </w:p>
              </w:tc>
              <w:tc>
                <w:tcPr>
                  <w:tcW w:w="2955" w:type="dxa"/>
                  <w:tcBorders>
                    <w:tl2br w:val="nil"/>
                    <w:tr2bl w:val="nil"/>
                  </w:tcBorders>
                  <w:noWrap w:val="0"/>
                  <w:vAlign w:val="center"/>
                </w:tcPr>
                <w:p w14:paraId="67CB9498">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规范要求</w:t>
                  </w:r>
                </w:p>
              </w:tc>
              <w:tc>
                <w:tcPr>
                  <w:tcW w:w="2590" w:type="dxa"/>
                  <w:tcBorders>
                    <w:tl2br w:val="nil"/>
                    <w:tr2bl w:val="nil"/>
                  </w:tcBorders>
                  <w:noWrap w:val="0"/>
                  <w:vAlign w:val="center"/>
                </w:tcPr>
                <w:p w14:paraId="44A43F31">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本项目情况</w:t>
                  </w:r>
                </w:p>
              </w:tc>
              <w:tc>
                <w:tcPr>
                  <w:tcW w:w="769" w:type="dxa"/>
                  <w:tcBorders>
                    <w:tl2br w:val="nil"/>
                    <w:tr2bl w:val="nil"/>
                  </w:tcBorders>
                  <w:noWrap w:val="0"/>
                  <w:vAlign w:val="center"/>
                </w:tcPr>
                <w:p w14:paraId="522A20BB">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符合性</w:t>
                  </w:r>
                </w:p>
              </w:tc>
            </w:tr>
            <w:tr w14:paraId="14BFAC3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867" w:type="dxa"/>
                  <w:vMerge w:val="restart"/>
                  <w:tcBorders>
                    <w:tl2br w:val="nil"/>
                    <w:tr2bl w:val="nil"/>
                  </w:tcBorders>
                  <w:noWrap w:val="0"/>
                  <w:vAlign w:val="center"/>
                </w:tcPr>
                <w:p w14:paraId="4732ADD5">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《危险废物贮存污染控制标准》（GB18597-2023）</w:t>
                  </w:r>
                </w:p>
              </w:tc>
              <w:tc>
                <w:tcPr>
                  <w:tcW w:w="2955" w:type="dxa"/>
                  <w:tcBorders>
                    <w:tl2br w:val="nil"/>
                    <w:tr2bl w:val="nil"/>
                  </w:tcBorders>
                  <w:noWrap w:val="0"/>
                  <w:vAlign w:val="center"/>
                </w:tcPr>
                <w:p w14:paraId="1306958A">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总体要求包括：</w:t>
                  </w:r>
                </w:p>
                <w:p w14:paraId="3C0579CF">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w:t>
                  </w:r>
                  <w:r>
                    <w:rPr>
                      <w:rFonts w:hint="default" w:ascii="Times New Roman" w:hAnsi="Times New Roman" w:cs="Times New Roman"/>
                      <w:color w:val="auto"/>
                      <w:sz w:val="21"/>
                      <w:szCs w:val="21"/>
                      <w:vertAlign w:val="baseline"/>
                      <w:lang w:val="en-US" w:eastAsia="zh-CN"/>
                    </w:rPr>
                    <w:t>产生、收集、贮存、利用、处置危险废物的单位应建造危险废物贮存设施或设置贮存场所，并根据需要选择贮存设施类型；</w:t>
                  </w:r>
                </w:p>
                <w:p w14:paraId="1F612560">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贮存危险废物应根据危险废物的类别、数量、形态、物理化学性质和环境风险等因素，确定贮存设施或场所类型和规模；</w:t>
                  </w:r>
                </w:p>
                <w:p w14:paraId="0F6E0652">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贮存危险废物应根据危险废物的类别、形态、物理化学性质和污染防治要求进行分类贮存，且应避免危险废物与不相容的物质或材料接触；</w:t>
                  </w:r>
                </w:p>
                <w:p w14:paraId="19A8F159">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w:t>
                  </w:r>
                  <w:r>
                    <w:rPr>
                      <w:rFonts w:hint="default" w:ascii="Times New Roman" w:hAnsi="Times New Roman" w:cs="Times New Roman"/>
                      <w:color w:val="auto"/>
                      <w:sz w:val="21"/>
                      <w:szCs w:val="21"/>
                      <w:vertAlign w:val="baseline"/>
                      <w:lang w:val="en-US" w:eastAsia="zh-CN"/>
                    </w:rPr>
                    <w:t>贮存危险废物应根据危险废物的形态、物理化学性质、包装形式和污染物迁移途径，采取措施减少渗滤液及其衍生废物、渗漏的液态废物（简称渗漏液）、粉尘、VOCs、酸雾、有毒有害大气污染物和刺激性气味气体等污染物的产生，防止其污染环境；</w:t>
                  </w:r>
                </w:p>
                <w:p w14:paraId="7C0CE623">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w:t>
                  </w:r>
                  <w:r>
                    <w:rPr>
                      <w:rFonts w:hint="default" w:ascii="Times New Roman" w:hAnsi="Times New Roman" w:cs="Times New Roman"/>
                      <w:color w:val="auto"/>
                      <w:sz w:val="21"/>
                      <w:szCs w:val="21"/>
                      <w:vertAlign w:val="baseline"/>
                      <w:lang w:val="en-US" w:eastAsia="zh-CN"/>
                    </w:rPr>
                    <w:t>危险废物贮存过程产生的液态废物和固态废物应分类收集，按其环境管理要求妥善处理；</w:t>
                  </w:r>
                </w:p>
                <w:p w14:paraId="4D165D1C">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w:t>
                  </w:r>
                  <w:r>
                    <w:rPr>
                      <w:rFonts w:hint="default" w:ascii="Times New Roman" w:hAnsi="Times New Roman" w:cs="Times New Roman"/>
                      <w:color w:val="auto"/>
                      <w:sz w:val="21"/>
                      <w:szCs w:val="21"/>
                      <w:vertAlign w:val="baseline"/>
                      <w:lang w:val="en-US" w:eastAsia="zh-CN"/>
                    </w:rPr>
                    <w:t>贮存设施或场所、容器和包装物应按 HJ1276 要求设置危险废物贮存设施或场所标志、危险废物贮存分区标志和危险废物标签等危险废物识别标志；</w:t>
                  </w:r>
                </w:p>
                <w:p w14:paraId="1B805E70">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w:t>
                  </w:r>
                  <w:r>
                    <w:rPr>
                      <w:rFonts w:hint="default" w:ascii="Times New Roman" w:hAnsi="Times New Roman" w:cs="Times New Roman"/>
                      <w:color w:val="auto"/>
                      <w:sz w:val="21"/>
                      <w:szCs w:val="21"/>
                      <w:vertAlign w:val="baseline"/>
                      <w:lang w:val="en-US" w:eastAsia="zh-CN"/>
                    </w:rPr>
                    <w:t>HJ1259 规定的危险废物环境重点监管单位，应采用电子地磅、电子标签、电子管理台账等技术手段对危险废物贮存过程进行信息化管理，确保数据完整、真实、准确；采用视频监控的应确保监控画面清晰，视频记录保存时间至少为3个月；</w:t>
                  </w:r>
                </w:p>
                <w:p w14:paraId="64242B55">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8.</w:t>
                  </w:r>
                  <w:r>
                    <w:rPr>
                      <w:rFonts w:hint="default" w:ascii="Times New Roman" w:hAnsi="Times New Roman" w:cs="Times New Roman"/>
                      <w:color w:val="auto"/>
                      <w:sz w:val="21"/>
                      <w:szCs w:val="21"/>
                      <w:vertAlign w:val="baseline"/>
                      <w:lang w:val="en-US" w:eastAsia="zh-CN"/>
                    </w:rPr>
                    <w:t>贮存设施退役时，所有者或运营者应依法履行环境保护责任，退役前应妥善处理处置贮存设施内剩余的危险废物，并对贮存设施进行清理，消除污染；还应依据土壤污染防治相关法律法规履行场地环境风险防控责任；</w:t>
                  </w:r>
                </w:p>
                <w:p w14:paraId="4F5C5507">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9.</w:t>
                  </w:r>
                  <w:r>
                    <w:rPr>
                      <w:rFonts w:hint="default" w:ascii="Times New Roman" w:hAnsi="Times New Roman" w:cs="Times New Roman"/>
                      <w:color w:val="auto"/>
                      <w:sz w:val="21"/>
                      <w:szCs w:val="21"/>
                      <w:vertAlign w:val="baseline"/>
                      <w:lang w:val="en-US" w:eastAsia="zh-CN"/>
                    </w:rPr>
                    <w:t>在常温常压下易爆、易燃及排出有毒气体的危险废物应进行预处理，使之稳定后贮存，否则应按易爆、易燃危险品贮存</w:t>
                  </w:r>
                </w:p>
              </w:tc>
              <w:tc>
                <w:tcPr>
                  <w:tcW w:w="2590" w:type="dxa"/>
                  <w:tcBorders>
                    <w:tl2br w:val="nil"/>
                    <w:tr2bl w:val="nil"/>
                  </w:tcBorders>
                  <w:noWrap w:val="0"/>
                  <w:vAlign w:val="center"/>
                </w:tcPr>
                <w:p w14:paraId="639248FC">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w:t>
                  </w:r>
                  <w:r>
                    <w:rPr>
                      <w:rFonts w:hint="default" w:ascii="Times New Roman" w:hAnsi="Times New Roman" w:cs="Times New Roman"/>
                      <w:color w:val="auto"/>
                      <w:sz w:val="21"/>
                      <w:szCs w:val="21"/>
                      <w:vertAlign w:val="baseline"/>
                      <w:lang w:val="en-US" w:eastAsia="zh-CN"/>
                    </w:rPr>
                    <w:t>建设单位利用场内现</w:t>
                  </w:r>
                </w:p>
                <w:p w14:paraId="4354112C">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有1座氰化钠库改造为危废暂存间，用于企业日常产生的危险废物的暂存；</w:t>
                  </w:r>
                </w:p>
                <w:p w14:paraId="5A7594DB">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项目拟暂存的危险废物全部采用全封闭式储库暂存；</w:t>
                  </w:r>
                </w:p>
                <w:p w14:paraId="6E2F1101">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项目暂存的危险废物</w:t>
                  </w:r>
                </w:p>
                <w:p w14:paraId="3E46848D">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均采用密封袋</w:t>
                  </w:r>
                  <w:r>
                    <w:rPr>
                      <w:rFonts w:hint="eastAsia" w:ascii="Times New Roman" w:hAnsi="Times New Roman" w:cs="Times New Roman"/>
                      <w:color w:val="auto"/>
                      <w:sz w:val="21"/>
                      <w:szCs w:val="21"/>
                      <w:vertAlign w:val="baseline"/>
                      <w:lang w:val="en-US" w:eastAsia="zh-CN"/>
                    </w:rPr>
                    <w:t>或密封桶</w:t>
                  </w:r>
                  <w:r>
                    <w:rPr>
                      <w:rFonts w:hint="default" w:ascii="Times New Roman" w:hAnsi="Times New Roman" w:cs="Times New Roman"/>
                      <w:color w:val="auto"/>
                      <w:sz w:val="21"/>
                      <w:szCs w:val="21"/>
                      <w:vertAlign w:val="baseline"/>
                      <w:lang w:val="en-US" w:eastAsia="zh-CN"/>
                    </w:rPr>
                    <w:t>包装，固态危废采用吨袋包装，液态危废采用桶装，分区暂存；</w:t>
                  </w:r>
                </w:p>
                <w:p w14:paraId="5C35CD13">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w:t>
                  </w:r>
                  <w:r>
                    <w:rPr>
                      <w:rFonts w:hint="default" w:ascii="Times New Roman" w:hAnsi="Times New Roman" w:cs="Times New Roman"/>
                      <w:color w:val="auto"/>
                      <w:sz w:val="21"/>
                      <w:szCs w:val="21"/>
                      <w:vertAlign w:val="baseline"/>
                      <w:lang w:val="en-US" w:eastAsia="zh-CN"/>
                    </w:rPr>
                    <w:t>项目暂存的危废均采用密封包装袋或密闭桶暂存，不在库内进行分装等作业，运营期无废气、废水等产生；</w:t>
                  </w:r>
                </w:p>
                <w:p w14:paraId="56603288">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w:t>
                  </w:r>
                  <w:r>
                    <w:rPr>
                      <w:rFonts w:hint="default" w:ascii="Times New Roman" w:hAnsi="Times New Roman" w:cs="Times New Roman"/>
                      <w:color w:val="auto"/>
                      <w:sz w:val="21"/>
                      <w:szCs w:val="21"/>
                      <w:vertAlign w:val="baseline"/>
                      <w:lang w:val="en-US" w:eastAsia="zh-CN"/>
                    </w:rPr>
                    <w:t>项目运营期正常工况下无液态废物、固态废物产生；</w:t>
                  </w:r>
                </w:p>
                <w:p w14:paraId="4B23B812">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w:t>
                  </w:r>
                  <w:r>
                    <w:rPr>
                      <w:rFonts w:hint="default" w:ascii="Times New Roman" w:hAnsi="Times New Roman" w:cs="Times New Roman"/>
                      <w:color w:val="auto"/>
                      <w:sz w:val="21"/>
                      <w:szCs w:val="21"/>
                      <w:vertAlign w:val="baseline"/>
                      <w:lang w:val="en-US" w:eastAsia="zh-CN"/>
                    </w:rPr>
                    <w:t>项目贮存设施严格按照HJ1276要求设置危险废物贮存设施或场所标志、危险废物贮存分区标志和危险废物标签等危险废物识别标志；</w:t>
                  </w:r>
                </w:p>
                <w:p w14:paraId="1312A450">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w:t>
                  </w:r>
                  <w:r>
                    <w:rPr>
                      <w:rFonts w:hint="default" w:ascii="Times New Roman" w:hAnsi="Times New Roman" w:cs="Times New Roman"/>
                      <w:color w:val="auto"/>
                      <w:sz w:val="21"/>
                      <w:szCs w:val="21"/>
                      <w:vertAlign w:val="baseline"/>
                      <w:lang w:val="en-US" w:eastAsia="zh-CN"/>
                    </w:rPr>
                    <w:t>项目应严格按照HJ1259 的规定配置电子地磅、电子标签、电子管理台账等技术手段，并按相关</w:t>
                  </w:r>
                  <w:r>
                    <w:rPr>
                      <w:rFonts w:hint="eastAsia" w:ascii="Times New Roman" w:hAnsi="Times New Roman" w:cs="Times New Roman"/>
                      <w:color w:val="auto"/>
                      <w:sz w:val="21"/>
                      <w:szCs w:val="21"/>
                      <w:vertAlign w:val="baseline"/>
                      <w:lang w:val="en-US" w:eastAsia="zh-CN"/>
                    </w:rPr>
                    <w:t>规定</w:t>
                  </w:r>
                  <w:r>
                    <w:rPr>
                      <w:rFonts w:hint="default" w:ascii="Times New Roman" w:hAnsi="Times New Roman" w:cs="Times New Roman"/>
                      <w:color w:val="auto"/>
                      <w:sz w:val="21"/>
                      <w:szCs w:val="21"/>
                      <w:vertAlign w:val="baseline"/>
                      <w:lang w:val="en-US" w:eastAsia="zh-CN"/>
                    </w:rPr>
                    <w:t>配置视频监控措施，保留视频记录不低于 3 个月；</w:t>
                  </w:r>
                </w:p>
                <w:p w14:paraId="1F3A8E98">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8.</w:t>
                  </w:r>
                  <w:r>
                    <w:rPr>
                      <w:rFonts w:hint="default" w:ascii="Times New Roman" w:hAnsi="Times New Roman" w:cs="Times New Roman"/>
                      <w:color w:val="auto"/>
                      <w:sz w:val="21"/>
                      <w:szCs w:val="21"/>
                      <w:vertAlign w:val="baseline"/>
                      <w:lang w:val="en-US" w:eastAsia="zh-CN"/>
                    </w:rPr>
                    <w:t>建设单位应切实履行</w:t>
                  </w:r>
                </w:p>
                <w:p w14:paraId="2FD7BAE5">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污染防治主体责任，按照相关规定实施贮存设施退役后的相关环保措施；</w:t>
                  </w:r>
                </w:p>
                <w:p w14:paraId="131DFCA1">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9.</w:t>
                  </w:r>
                  <w:r>
                    <w:rPr>
                      <w:rFonts w:hint="default" w:ascii="Times New Roman" w:hAnsi="Times New Roman" w:cs="Times New Roman"/>
                      <w:color w:val="auto"/>
                      <w:sz w:val="21"/>
                      <w:szCs w:val="21"/>
                      <w:vertAlign w:val="baseline"/>
                      <w:lang w:val="en-US" w:eastAsia="zh-CN"/>
                    </w:rPr>
                    <w:t>项目贮存的危险废物不属于常温、常压下易燃、易爆及排除有毒气体的物质</w:t>
                  </w:r>
                </w:p>
              </w:tc>
              <w:tc>
                <w:tcPr>
                  <w:tcW w:w="769" w:type="dxa"/>
                  <w:tcBorders>
                    <w:tl2br w:val="nil"/>
                    <w:tr2bl w:val="nil"/>
                  </w:tcBorders>
                  <w:noWrap w:val="0"/>
                  <w:vAlign w:val="center"/>
                </w:tcPr>
                <w:p w14:paraId="4F709D04">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35C45C7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867" w:type="dxa"/>
                  <w:vMerge w:val="continue"/>
                  <w:tcBorders>
                    <w:tl2br w:val="nil"/>
                    <w:tr2bl w:val="nil"/>
                  </w:tcBorders>
                  <w:noWrap w:val="0"/>
                  <w:vAlign w:val="center"/>
                </w:tcPr>
                <w:p w14:paraId="5AD3D51D">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p>
              </w:tc>
              <w:tc>
                <w:tcPr>
                  <w:tcW w:w="2955" w:type="dxa"/>
                  <w:tcBorders>
                    <w:tl2br w:val="nil"/>
                    <w:tr2bl w:val="nil"/>
                  </w:tcBorders>
                  <w:noWrap w:val="0"/>
                  <w:vAlign w:val="center"/>
                </w:tcPr>
                <w:p w14:paraId="1E7B00C4">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贮存设施污染控制要求一般规定：</w:t>
                  </w:r>
                </w:p>
                <w:p w14:paraId="0A5401A3">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w:t>
                  </w:r>
                  <w:r>
                    <w:rPr>
                      <w:rFonts w:hint="default" w:ascii="Times New Roman" w:hAnsi="Times New Roman" w:cs="Times New Roman"/>
                      <w:color w:val="auto"/>
                      <w:sz w:val="21"/>
                      <w:szCs w:val="21"/>
                      <w:vertAlign w:val="baseline"/>
                      <w:lang w:val="en-US" w:eastAsia="zh-CN"/>
                    </w:rPr>
                    <w:t>贮存设施应采取必要的防风、防晒、防雨、防漏、防渗、防腐以及其他环境污染防治措施，不应露天堆放危险废物；</w:t>
                  </w:r>
                </w:p>
                <w:p w14:paraId="54E2174F">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贮存设施应按照要求设置必要的贮存分区，避免不相容的危险废物接触、混合；</w:t>
                  </w:r>
                </w:p>
                <w:p w14:paraId="2022F479">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贮存设施或贮存分区内地面、墙面裙脚、堵截</w:t>
                  </w:r>
                  <w:r>
                    <w:rPr>
                      <w:rFonts w:hint="eastAsia" w:ascii="Times New Roman" w:hAnsi="Times New Roman" w:cs="Times New Roman"/>
                      <w:color w:val="auto"/>
                      <w:sz w:val="21"/>
                      <w:szCs w:val="21"/>
                      <w:vertAlign w:val="baseline"/>
                      <w:lang w:val="en-US" w:eastAsia="zh-CN"/>
                    </w:rPr>
                    <w:t>泄漏</w:t>
                  </w:r>
                  <w:r>
                    <w:rPr>
                      <w:rFonts w:hint="default" w:ascii="Times New Roman" w:hAnsi="Times New Roman" w:cs="Times New Roman"/>
                      <w:color w:val="auto"/>
                      <w:sz w:val="21"/>
                      <w:szCs w:val="21"/>
                      <w:vertAlign w:val="baseline"/>
                      <w:lang w:val="en-US" w:eastAsia="zh-CN"/>
                    </w:rPr>
                    <w:t>的围堰、接触危险废物的隔板和墙体等应采用坚固的材料建造，表面无裂缝；</w:t>
                  </w:r>
                </w:p>
                <w:p w14:paraId="0EEB38CB">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w:t>
                  </w:r>
                  <w:r>
                    <w:rPr>
                      <w:rFonts w:hint="default" w:ascii="Times New Roman" w:hAnsi="Times New Roman" w:cs="Times New Roman"/>
                      <w:color w:val="auto"/>
                      <w:sz w:val="21"/>
                      <w:szCs w:val="21"/>
                      <w:vertAlign w:val="baseline"/>
                      <w:lang w:val="en-US" w:eastAsia="zh-CN"/>
                    </w:rPr>
                    <w:t>表面防渗材料应与所接触的物料或污染物相容；</w:t>
                  </w:r>
                </w:p>
                <w:p w14:paraId="6B1B4664">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w:t>
                  </w:r>
                  <w:r>
                    <w:rPr>
                      <w:rFonts w:hint="default" w:ascii="Times New Roman" w:hAnsi="Times New Roman" w:cs="Times New Roman"/>
                      <w:color w:val="auto"/>
                      <w:sz w:val="21"/>
                      <w:szCs w:val="21"/>
                      <w:vertAlign w:val="baseline"/>
                      <w:lang w:val="en-US" w:eastAsia="zh-CN"/>
                    </w:rPr>
                    <w:t>采取技术和管理措施防止无关人员进入</w:t>
                  </w:r>
                </w:p>
              </w:tc>
              <w:tc>
                <w:tcPr>
                  <w:tcW w:w="2590" w:type="dxa"/>
                  <w:tcBorders>
                    <w:tl2br w:val="nil"/>
                    <w:tr2bl w:val="nil"/>
                  </w:tcBorders>
                  <w:noWrap w:val="0"/>
                  <w:vAlign w:val="center"/>
                </w:tcPr>
                <w:p w14:paraId="7225D378">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w:t>
                  </w:r>
                  <w:r>
                    <w:rPr>
                      <w:rFonts w:hint="default" w:ascii="Times New Roman" w:hAnsi="Times New Roman" w:cs="Times New Roman"/>
                      <w:color w:val="auto"/>
                      <w:sz w:val="21"/>
                      <w:szCs w:val="21"/>
                      <w:vertAlign w:val="baseline"/>
                      <w:lang w:val="en-US" w:eastAsia="zh-CN"/>
                    </w:rPr>
                    <w:t>项目改造的危废暂存间具备防晒、防雨、防漏、防渗、防腐等污染防治设施；</w:t>
                  </w:r>
                </w:p>
                <w:p w14:paraId="37204480">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改造的危废暂存间采用隔板设置贮存分区，分类暂存不同类别的危险废物；</w:t>
                  </w:r>
                </w:p>
                <w:p w14:paraId="5C5E2685">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改造的危废暂存间地面、裙角、围堰等均采用坚固的材料制造，表面无缝隙；</w:t>
                  </w:r>
                </w:p>
                <w:p w14:paraId="57EB434E">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w:t>
                  </w:r>
                  <w:r>
                    <w:rPr>
                      <w:rFonts w:hint="default" w:ascii="Times New Roman" w:hAnsi="Times New Roman" w:cs="Times New Roman"/>
                      <w:color w:val="auto"/>
                      <w:sz w:val="21"/>
                      <w:szCs w:val="21"/>
                      <w:vertAlign w:val="baseline"/>
                      <w:lang w:val="en-US" w:eastAsia="zh-CN"/>
                    </w:rPr>
                    <w:t>贮存设施表面涂刷环氧树脂，与暂存的危险废物相容；</w:t>
                  </w:r>
                </w:p>
                <w:p w14:paraId="5E099273">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w:t>
                  </w:r>
                  <w:r>
                    <w:rPr>
                      <w:rFonts w:hint="default" w:ascii="Times New Roman" w:hAnsi="Times New Roman" w:cs="Times New Roman"/>
                      <w:color w:val="auto"/>
                      <w:sz w:val="21"/>
                      <w:szCs w:val="21"/>
                      <w:vertAlign w:val="baseline"/>
                      <w:lang w:val="en-US" w:eastAsia="zh-CN"/>
                    </w:rPr>
                    <w:t>建设单位设置专门的管理人员，防止无关人员进入</w:t>
                  </w:r>
                </w:p>
              </w:tc>
              <w:tc>
                <w:tcPr>
                  <w:tcW w:w="769" w:type="dxa"/>
                  <w:tcBorders>
                    <w:tl2br w:val="nil"/>
                    <w:tr2bl w:val="nil"/>
                  </w:tcBorders>
                  <w:noWrap w:val="0"/>
                  <w:vAlign w:val="center"/>
                </w:tcPr>
                <w:p w14:paraId="17E54D43">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5E9E514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867" w:type="dxa"/>
                  <w:vMerge w:val="continue"/>
                  <w:tcBorders>
                    <w:tl2br w:val="nil"/>
                    <w:tr2bl w:val="nil"/>
                  </w:tcBorders>
                  <w:noWrap w:val="0"/>
                  <w:vAlign w:val="center"/>
                </w:tcPr>
                <w:p w14:paraId="2E3B6041">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p>
              </w:tc>
              <w:tc>
                <w:tcPr>
                  <w:tcW w:w="2955" w:type="dxa"/>
                  <w:tcBorders>
                    <w:tl2br w:val="nil"/>
                    <w:tr2bl w:val="nil"/>
                  </w:tcBorders>
                  <w:noWrap w:val="0"/>
                  <w:vAlign w:val="center"/>
                </w:tcPr>
                <w:p w14:paraId="5706E2F8">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贮存设施污染控制要求中针对存储库的规定：</w:t>
                  </w:r>
                </w:p>
                <w:p w14:paraId="0E343307">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w:t>
                  </w:r>
                  <w:r>
                    <w:rPr>
                      <w:rFonts w:hint="default" w:ascii="Times New Roman" w:hAnsi="Times New Roman" w:cs="Times New Roman"/>
                      <w:color w:val="auto"/>
                      <w:sz w:val="21"/>
                      <w:szCs w:val="21"/>
                      <w:vertAlign w:val="baseline"/>
                      <w:lang w:val="en-US" w:eastAsia="zh-CN"/>
                    </w:rPr>
                    <w:t>贮存库内不同贮存分区之间应采取隔离措施。隔离措施可根据危险废物特性采用过道、隔板或隔墙等方式；</w:t>
                  </w:r>
                </w:p>
                <w:p w14:paraId="21473103">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在贮存库内或通过贮存分区方式贮存液态危险废物的，应具有液体泄漏堵截设施，堵截设施最小容积不应低于对应贮存区域最大液态废物容器容积或液态废物总储量 1/10（二者取较大者）；用于贮存可能产生渗滤液的危险废物的贮存库或贮存分区应设计渗滤液收集设施，收集设施容积应满足渗滤液的收集要求；</w:t>
                  </w:r>
                </w:p>
                <w:p w14:paraId="1156CCC4">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贮存易产生粉尘、VOCs、酸雾、有毒有害大气污染物和刺激性气味气体的危险废物贮存库，应设置气体收集装置和气体净化设施；气体净化设施的排气筒高度应符合GB16297要求</w:t>
                  </w:r>
                </w:p>
              </w:tc>
              <w:tc>
                <w:tcPr>
                  <w:tcW w:w="2590" w:type="dxa"/>
                  <w:tcBorders>
                    <w:tl2br w:val="nil"/>
                    <w:tr2bl w:val="nil"/>
                  </w:tcBorders>
                  <w:noWrap w:val="0"/>
                  <w:vAlign w:val="center"/>
                </w:tcPr>
                <w:p w14:paraId="5186ACEF">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w:t>
                  </w:r>
                  <w:r>
                    <w:rPr>
                      <w:rFonts w:hint="default" w:ascii="Times New Roman" w:hAnsi="Times New Roman" w:cs="Times New Roman"/>
                      <w:color w:val="auto"/>
                      <w:sz w:val="21"/>
                      <w:szCs w:val="21"/>
                      <w:vertAlign w:val="baseline"/>
                      <w:lang w:val="en-US" w:eastAsia="zh-CN"/>
                    </w:rPr>
                    <w:t>项目库内使用隔板进行分区，分别暂存不同类危险废物；</w:t>
                  </w:r>
                </w:p>
                <w:p w14:paraId="771E261C">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根据项目设计资料，库内设置导流渠并</w:t>
                  </w:r>
                  <w:r>
                    <w:rPr>
                      <w:rFonts w:hint="eastAsia" w:ascii="Times New Roman" w:hAnsi="Times New Roman" w:cs="Times New Roman"/>
                      <w:color w:val="auto"/>
                      <w:sz w:val="21"/>
                      <w:szCs w:val="21"/>
                      <w:vertAlign w:val="baseline"/>
                      <w:lang w:val="en-US" w:eastAsia="zh-CN"/>
                    </w:rPr>
                    <w:t>与</w:t>
                  </w:r>
                  <w:r>
                    <w:rPr>
                      <w:rFonts w:hint="default" w:ascii="Times New Roman" w:hAnsi="Times New Roman" w:cs="Times New Roman"/>
                      <w:color w:val="auto"/>
                      <w:sz w:val="21"/>
                      <w:szCs w:val="21"/>
                      <w:vertAlign w:val="baseline"/>
                      <w:lang w:val="en-US" w:eastAsia="zh-CN"/>
                    </w:rPr>
                    <w:t>库外集液池相连，用于事故状态下消防废水收集、暂存；</w:t>
                  </w:r>
                </w:p>
                <w:p w14:paraId="2F260C7B">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项目暂存的危废全部使用密闭包装袋或密闭桶存储，不在库内分装，运营期无废气产生</w:t>
                  </w:r>
                </w:p>
              </w:tc>
              <w:tc>
                <w:tcPr>
                  <w:tcW w:w="769" w:type="dxa"/>
                  <w:tcBorders>
                    <w:tl2br w:val="nil"/>
                    <w:tr2bl w:val="nil"/>
                  </w:tcBorders>
                  <w:noWrap w:val="0"/>
                  <w:vAlign w:val="center"/>
                </w:tcPr>
                <w:p w14:paraId="05C25A4C">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5CA9118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867" w:type="dxa"/>
                  <w:tcBorders>
                    <w:tl2br w:val="nil"/>
                    <w:tr2bl w:val="nil"/>
                  </w:tcBorders>
                  <w:noWrap w:val="0"/>
                  <w:vAlign w:val="center"/>
                </w:tcPr>
                <w:p w14:paraId="37605BB5">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《危险废物收集贮存运输技术规范》（HJ2025-2012）</w:t>
                  </w:r>
                </w:p>
              </w:tc>
              <w:tc>
                <w:tcPr>
                  <w:tcW w:w="2955" w:type="dxa"/>
                  <w:tcBorders>
                    <w:tl2br w:val="nil"/>
                    <w:tr2bl w:val="nil"/>
                  </w:tcBorders>
                  <w:noWrap w:val="0"/>
                  <w:vAlign w:val="center"/>
                </w:tcPr>
                <w:p w14:paraId="69041AF3">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w:t>
                  </w:r>
                  <w:r>
                    <w:rPr>
                      <w:rFonts w:hint="default" w:ascii="Times New Roman" w:hAnsi="Times New Roman" w:cs="Times New Roman"/>
                      <w:color w:val="auto"/>
                      <w:sz w:val="21"/>
                      <w:szCs w:val="21"/>
                      <w:vertAlign w:val="baseline"/>
                      <w:lang w:val="en-US" w:eastAsia="zh-CN"/>
                    </w:rPr>
                    <w:t>危险废物贮存设施的选址、设计、建设、运行管理应满足GB18597、GBZ1和GBZ2的有关要求；</w:t>
                  </w:r>
                </w:p>
                <w:p w14:paraId="6C406131">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危险废物贮存设施应配备通讯设备、照明设施和消防设施；</w:t>
                  </w:r>
                </w:p>
                <w:p w14:paraId="2D6D55C4">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应按危险废物的种类和特性进行分区贮存；</w:t>
                  </w:r>
                </w:p>
                <w:p w14:paraId="10755E93">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w:t>
                  </w:r>
                  <w:r>
                    <w:rPr>
                      <w:rFonts w:hint="default" w:ascii="Times New Roman" w:hAnsi="Times New Roman" w:cs="Times New Roman"/>
                      <w:color w:val="auto"/>
                      <w:sz w:val="21"/>
                      <w:szCs w:val="21"/>
                      <w:vertAlign w:val="baseline"/>
                      <w:lang w:val="en-US" w:eastAsia="zh-CN"/>
                    </w:rPr>
                    <w:t>贮存易燃、易爆危险废物应配置有机气体报警、火灾报警装置和导出静电的接地装置；</w:t>
                  </w:r>
                </w:p>
                <w:p w14:paraId="40A3D250">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w:t>
                  </w:r>
                  <w:r>
                    <w:rPr>
                      <w:rFonts w:hint="default" w:ascii="Times New Roman" w:hAnsi="Times New Roman" w:cs="Times New Roman"/>
                      <w:color w:val="auto"/>
                      <w:sz w:val="21"/>
                      <w:szCs w:val="21"/>
                      <w:vertAlign w:val="baseline"/>
                      <w:lang w:val="en-US" w:eastAsia="zh-CN"/>
                    </w:rPr>
                    <w:t>危险废物贮存单位应建立危险废物贮存台账制度，危险废物出入库交接记录内容应参照本标准相关规定执行；</w:t>
                  </w:r>
                </w:p>
                <w:p w14:paraId="636CC4C8">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w:t>
                  </w:r>
                  <w:r>
                    <w:rPr>
                      <w:rFonts w:hint="default" w:ascii="Times New Roman" w:hAnsi="Times New Roman" w:cs="Times New Roman"/>
                      <w:color w:val="auto"/>
                      <w:sz w:val="21"/>
                      <w:szCs w:val="21"/>
                      <w:vertAlign w:val="baseline"/>
                      <w:lang w:val="en-US" w:eastAsia="zh-CN"/>
                    </w:rPr>
                    <w:t>危险废物贮存设施应根据贮存废物的种类和特性按照GB18597 附录A设置标志</w:t>
                  </w:r>
                </w:p>
              </w:tc>
              <w:tc>
                <w:tcPr>
                  <w:tcW w:w="2590" w:type="dxa"/>
                  <w:tcBorders>
                    <w:tl2br w:val="nil"/>
                    <w:tr2bl w:val="nil"/>
                  </w:tcBorders>
                  <w:noWrap w:val="0"/>
                  <w:vAlign w:val="center"/>
                </w:tcPr>
                <w:p w14:paraId="1A222EE4">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w:t>
                  </w:r>
                  <w:r>
                    <w:rPr>
                      <w:rFonts w:hint="default" w:ascii="Times New Roman" w:hAnsi="Times New Roman" w:cs="Times New Roman"/>
                      <w:color w:val="auto"/>
                      <w:sz w:val="21"/>
                      <w:szCs w:val="21"/>
                      <w:vertAlign w:val="baseline"/>
                      <w:lang w:val="en-US" w:eastAsia="zh-CN"/>
                    </w:rPr>
                    <w:t>本次建设的危险废物暂存间严格按照GB18597、GBZ1和GBZ2中的相关规定设计、建设、运行管理；</w:t>
                  </w:r>
                </w:p>
                <w:p w14:paraId="66D50C2B">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本项目按照相关规定配置通讯设备、照明设备和消防设施；</w:t>
                  </w:r>
                </w:p>
                <w:p w14:paraId="2781A1E9">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项目运营期各危险废物分区暂存；</w:t>
                  </w:r>
                </w:p>
                <w:p w14:paraId="414B836C">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w:t>
                  </w:r>
                  <w:r>
                    <w:rPr>
                      <w:rFonts w:hint="default" w:ascii="Times New Roman" w:hAnsi="Times New Roman" w:cs="Times New Roman"/>
                      <w:color w:val="auto"/>
                      <w:sz w:val="21"/>
                      <w:szCs w:val="21"/>
                      <w:vertAlign w:val="baseline"/>
                      <w:lang w:val="en-US" w:eastAsia="zh-CN"/>
                    </w:rPr>
                    <w:t>本项目贮存的危险废物不属于易燃、易爆等危险废物；</w:t>
                  </w:r>
                </w:p>
                <w:p w14:paraId="5AFB9AFF">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w:t>
                  </w:r>
                  <w:r>
                    <w:rPr>
                      <w:rFonts w:hint="default" w:ascii="Times New Roman" w:hAnsi="Times New Roman" w:cs="Times New Roman"/>
                      <w:color w:val="auto"/>
                      <w:sz w:val="21"/>
                      <w:szCs w:val="21"/>
                      <w:vertAlign w:val="baseline"/>
                      <w:lang w:val="en-US" w:eastAsia="zh-CN"/>
                    </w:rPr>
                    <w:t>建设单位应建立危险废物贮存台账制度，并严格按照相关规定执行；</w:t>
                  </w:r>
                </w:p>
                <w:p w14:paraId="5049D652">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w:t>
                  </w:r>
                  <w:r>
                    <w:rPr>
                      <w:rFonts w:hint="default" w:ascii="Times New Roman" w:hAnsi="Times New Roman" w:cs="Times New Roman"/>
                      <w:color w:val="auto"/>
                      <w:sz w:val="21"/>
                      <w:szCs w:val="21"/>
                      <w:vertAlign w:val="baseline"/>
                      <w:lang w:val="en-US" w:eastAsia="zh-CN"/>
                    </w:rPr>
                    <w:t>按照相关规定设置标识、标志</w:t>
                  </w:r>
                </w:p>
              </w:tc>
              <w:tc>
                <w:tcPr>
                  <w:tcW w:w="769" w:type="dxa"/>
                  <w:tcBorders>
                    <w:tl2br w:val="nil"/>
                    <w:tr2bl w:val="nil"/>
                  </w:tcBorders>
                  <w:noWrap w:val="0"/>
                  <w:vAlign w:val="center"/>
                </w:tcPr>
                <w:p w14:paraId="4C116A37">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bl>
          <w:p w14:paraId="307B1BEA">
            <w:pPr>
              <w:pStyle w:val="55"/>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综上，本项目建设符合《危险废物贮存污染控制标准》（GB18597-2023）及《危险废物收集贮存运输技术规范》（HJ2025-2012）中的相关规定。</w:t>
            </w:r>
          </w:p>
          <w:p w14:paraId="1F7157F3">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4.</w:t>
            </w:r>
            <w:r>
              <w:rPr>
                <w:rFonts w:hint="default" w:ascii="Times New Roman" w:hAnsi="Times New Roman" w:eastAsia="宋体" w:cs="Times New Roman"/>
                <w:b/>
                <w:color w:val="auto"/>
                <w:sz w:val="24"/>
                <w:szCs w:val="24"/>
                <w:highlight w:val="none"/>
              </w:rPr>
              <w:t>“</w:t>
            </w:r>
            <w:r>
              <w:rPr>
                <w:rFonts w:hint="default" w:ascii="Times New Roman" w:hAnsi="Times New Roman" w:eastAsia="宋体" w:cs="Times New Roman"/>
                <w:b/>
                <w:color w:val="auto"/>
                <w:sz w:val="24"/>
                <w:szCs w:val="24"/>
                <w:highlight w:val="none"/>
                <w:lang w:val="en-US" w:eastAsia="zh-CN"/>
              </w:rPr>
              <w:t>生态环境分区管控</w:t>
            </w:r>
            <w:r>
              <w:rPr>
                <w:rFonts w:hint="default" w:ascii="Times New Roman" w:hAnsi="Times New Roman" w:eastAsia="宋体" w:cs="Times New Roman"/>
                <w:b/>
                <w:color w:val="auto"/>
                <w:sz w:val="24"/>
                <w:szCs w:val="24"/>
                <w:highlight w:val="none"/>
              </w:rPr>
              <w:t>”</w:t>
            </w:r>
            <w:r>
              <w:rPr>
                <w:rFonts w:hint="default" w:ascii="Times New Roman" w:hAnsi="Times New Roman" w:eastAsia="宋体" w:cs="Times New Roman"/>
                <w:b/>
                <w:color w:val="auto"/>
                <w:sz w:val="24"/>
                <w:szCs w:val="24"/>
                <w:highlight w:val="none"/>
                <w:lang w:val="en-US" w:eastAsia="zh-CN"/>
              </w:rPr>
              <w:t>要求的</w:t>
            </w:r>
            <w:r>
              <w:rPr>
                <w:rFonts w:hint="default" w:ascii="Times New Roman" w:hAnsi="Times New Roman" w:eastAsia="宋体" w:cs="Times New Roman"/>
                <w:b/>
                <w:color w:val="auto"/>
                <w:sz w:val="24"/>
                <w:szCs w:val="24"/>
                <w:highlight w:val="none"/>
              </w:rPr>
              <w:t>符合性分析</w:t>
            </w:r>
          </w:p>
          <w:p w14:paraId="11D70910">
            <w:pPr>
              <w:pStyle w:val="55"/>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①生态保护红线</w:t>
            </w:r>
          </w:p>
          <w:p w14:paraId="28CEDD94">
            <w:pPr>
              <w:pStyle w:val="56"/>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2023年12月26日，巴彦淖尔市人民政府发布了《巴彦淖尔市人民政府办公室关于巴彦淖尔市2023年生态环境分区管控成果动态更新的通知》（巴政办字〔2023〕106号），全市共划定环境管控单元256个，包括优先保护单元、重点管控单元、一般管控单元三类，实施分类管控。</w:t>
            </w:r>
          </w:p>
          <w:p w14:paraId="7037B91F">
            <w:pPr>
              <w:pStyle w:val="56"/>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rPr>
              <w:t>本项目所处管控单元为新忽热苏木采矿用地（编码</w:t>
            </w:r>
            <w:r>
              <w:rPr>
                <w:rFonts w:hint="default" w:ascii="Times New Roman" w:hAnsi="Times New Roman" w:eastAsia="宋体" w:cs="Times New Roman"/>
                <w:bCs/>
                <w:color w:val="auto"/>
                <w:sz w:val="24"/>
                <w:szCs w:val="24"/>
                <w:highlight w:val="none"/>
                <w:lang w:eastAsia="zh-CN"/>
              </w:rPr>
              <w:t>ZH15082420019</w:t>
            </w:r>
            <w:r>
              <w:rPr>
                <w:rFonts w:hint="default" w:ascii="Times New Roman" w:hAnsi="Times New Roman" w:eastAsia="宋体" w:cs="Times New Roman"/>
                <w:bCs/>
                <w:color w:val="auto"/>
                <w:sz w:val="24"/>
                <w:szCs w:val="24"/>
                <w:highlight w:val="none"/>
              </w:rPr>
              <w:t>），管控单元类别：重点管控单元。</w:t>
            </w:r>
            <w:r>
              <w:rPr>
                <w:rFonts w:hint="default" w:ascii="Times New Roman" w:hAnsi="Times New Roman" w:eastAsia="宋体" w:cs="Times New Roman"/>
                <w:bCs/>
                <w:color w:val="auto"/>
                <w:sz w:val="24"/>
                <w:szCs w:val="24"/>
                <w:highlight w:val="none"/>
                <w:lang w:val="en-US" w:eastAsia="zh-CN"/>
              </w:rPr>
              <w:t>项目占地</w:t>
            </w:r>
            <w:r>
              <w:rPr>
                <w:rFonts w:hint="default" w:ascii="Times New Roman" w:hAnsi="Times New Roman" w:eastAsia="宋体" w:cs="Times New Roman"/>
                <w:bCs/>
                <w:color w:val="auto"/>
                <w:sz w:val="24"/>
                <w:szCs w:val="24"/>
                <w:highlight w:val="none"/>
              </w:rPr>
              <w:t>不涉及生态保护红线</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管控单元查询文件见附件</w:t>
            </w:r>
            <w:r>
              <w:rPr>
                <w:rFonts w:hint="default" w:ascii="Times New Roman" w:hAnsi="Times New Roman" w:eastAsia="宋体" w:cs="Times New Roman"/>
                <w:bCs/>
                <w:color w:val="auto"/>
                <w:sz w:val="24"/>
                <w:szCs w:val="24"/>
                <w:highlight w:val="none"/>
                <w:lang w:eastAsia="zh-CN"/>
              </w:rPr>
              <w:t>。</w:t>
            </w:r>
          </w:p>
          <w:p w14:paraId="47E7FC94">
            <w:pPr>
              <w:pStyle w:val="55"/>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②环境质量底线</w:t>
            </w:r>
          </w:p>
          <w:p w14:paraId="5926FD6E">
            <w:pPr>
              <w:pStyle w:val="55"/>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根据巴彦淖尔市生态环境局发布的202</w:t>
            </w:r>
            <w:r>
              <w:rPr>
                <w:rFonts w:hint="default"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年环境质量公告公报及环境质量现状监测结果表明，项目评价区域环境质量较好。项目运营期会产生废水、废气、设备噪声以及固体废物，在采取相应的污染防治措施后，各类污染物均达标排放，不会对周边环境造成不良影响，不会改变区域环境功能区质量要求，符合环境质量底线要求。</w:t>
            </w:r>
          </w:p>
          <w:p w14:paraId="5574BDB0">
            <w:pPr>
              <w:pStyle w:val="55"/>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③资源利用上线</w:t>
            </w:r>
          </w:p>
          <w:p w14:paraId="11D989C2">
            <w:pPr>
              <w:pStyle w:val="55"/>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本项目营运过程中消耗一定量的水资源、电能等，其资源消耗量相对区域资源利用总量较小，符合资源利用上限要求。</w:t>
            </w:r>
          </w:p>
          <w:p w14:paraId="58091ADE">
            <w:pPr>
              <w:pStyle w:val="55"/>
              <w:keepNext w:val="0"/>
              <w:keepLines w:val="0"/>
              <w:pageBreakBefore w:val="0"/>
              <w:widowControl w:val="0"/>
              <w:kinsoku/>
              <w:wordWrap/>
              <w:overflowPunct/>
              <w:topLinePunct w:val="0"/>
              <w:autoSpaceDE/>
              <w:autoSpaceDN/>
              <w:bidi w:val="0"/>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④</w:t>
            </w:r>
            <w:r>
              <w:rPr>
                <w:rFonts w:hint="default" w:ascii="Times New Roman" w:hAnsi="Times New Roman" w:eastAsia="宋体" w:cs="Times New Roman"/>
                <w:color w:val="auto"/>
                <w:sz w:val="24"/>
                <w:szCs w:val="24"/>
                <w:highlight w:val="none"/>
                <w:lang w:eastAsia="zh-CN"/>
              </w:rPr>
              <w:t>生态环境准入清单</w:t>
            </w:r>
          </w:p>
          <w:p w14:paraId="71B37F85">
            <w:pPr>
              <w:pStyle w:val="6"/>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本项目位于</w:t>
            </w:r>
            <w:r>
              <w:rPr>
                <w:rFonts w:hint="default" w:ascii="Times New Roman" w:hAnsi="Times New Roman" w:eastAsia="宋体" w:cs="Times New Roman"/>
                <w:b w:val="0"/>
                <w:bCs w:val="0"/>
                <w:color w:val="auto"/>
                <w:sz w:val="24"/>
                <w:szCs w:val="24"/>
                <w:highlight w:val="none"/>
                <w:u w:val="none"/>
                <w:shd w:val="clear" w:color="auto" w:fill="auto"/>
                <w:vertAlign w:val="baseline"/>
                <w:lang w:val="en-US" w:eastAsia="zh-CN"/>
              </w:rPr>
              <w:t>巴彦淖尔市乌拉特中旗新忽热苏木</w:t>
            </w:r>
            <w:r>
              <w:rPr>
                <w:rFonts w:hint="default" w:ascii="Times New Roman" w:hAnsi="Times New Roman" w:eastAsia="宋体" w:cs="Times New Roman"/>
                <w:b w:val="0"/>
                <w:bCs w:val="0"/>
                <w:color w:val="auto"/>
                <w:kern w:val="2"/>
                <w:sz w:val="24"/>
                <w:szCs w:val="24"/>
                <w:highlight w:val="none"/>
                <w:u w:val="none"/>
                <w:lang w:val="en-US" w:eastAsia="zh-CN" w:bidi="ar-SA"/>
              </w:rPr>
              <w:t>内蒙古太平矿业有限公司现有厂区内</w:t>
            </w:r>
            <w:r>
              <w:rPr>
                <w:rFonts w:hint="default" w:ascii="Times New Roman" w:hAnsi="Times New Roman" w:eastAsia="宋体" w:cs="Times New Roman"/>
                <w:color w:val="auto"/>
                <w:sz w:val="24"/>
                <w:szCs w:val="24"/>
                <w:highlight w:val="none"/>
                <w:lang w:val="en-US" w:eastAsia="zh-CN"/>
              </w:rPr>
              <w:t>，根据《巴彦淖尔市生态环境准入清单（2023年）》，项目用地区域管控单元名称为：</w:t>
            </w:r>
            <w:r>
              <w:rPr>
                <w:rFonts w:hint="default" w:ascii="Times New Roman" w:hAnsi="Times New Roman" w:eastAsia="宋体" w:cs="Times New Roman"/>
                <w:bCs/>
                <w:color w:val="auto"/>
                <w:sz w:val="24"/>
                <w:szCs w:val="24"/>
                <w:highlight w:val="none"/>
              </w:rPr>
              <w:t>新忽热苏木采矿用地（编码</w:t>
            </w:r>
            <w:r>
              <w:rPr>
                <w:rFonts w:hint="default" w:ascii="Times New Roman" w:hAnsi="Times New Roman" w:eastAsia="宋体" w:cs="Times New Roman"/>
                <w:bCs/>
                <w:color w:val="auto"/>
                <w:sz w:val="24"/>
                <w:szCs w:val="24"/>
                <w:highlight w:val="none"/>
                <w:lang w:eastAsia="zh-CN"/>
              </w:rPr>
              <w:t>ZH15082420019</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color w:val="auto"/>
                <w:sz w:val="24"/>
                <w:szCs w:val="24"/>
                <w:highlight w:val="none"/>
                <w:lang w:val="en-US" w:eastAsia="zh-CN"/>
              </w:rPr>
              <w:t>，管控单元类别：重点管控单元。管控要求如下表：</w:t>
            </w:r>
          </w:p>
          <w:p w14:paraId="06F8FEC7">
            <w:pPr>
              <w:pStyle w:val="6"/>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表1-</w:t>
            </w:r>
            <w:r>
              <w:rPr>
                <w:rFonts w:hint="default" w:ascii="Times New Roman" w:hAnsi="Times New Roman"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lang w:val="en-US" w:eastAsia="zh-CN"/>
              </w:rPr>
              <w:t xml:space="preserve"> 本项目与《巴彦淖尔市生态环境准入清单》符合性分析</w:t>
            </w:r>
          </w:p>
          <w:tbl>
            <w:tblPr>
              <w:tblStyle w:val="26"/>
              <w:tblW w:w="4995" w:type="pct"/>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57" w:type="dxa"/>
                <w:bottom w:w="0" w:type="dxa"/>
                <w:right w:w="57" w:type="dxa"/>
              </w:tblCellMar>
            </w:tblPr>
            <w:tblGrid>
              <w:gridCol w:w="552"/>
              <w:gridCol w:w="382"/>
              <w:gridCol w:w="466"/>
              <w:gridCol w:w="3517"/>
              <w:gridCol w:w="1855"/>
              <w:gridCol w:w="372"/>
            </w:tblGrid>
            <w:tr w14:paraId="23A934C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1094" w:hRule="atLeast"/>
              </w:trPr>
              <w:tc>
                <w:tcPr>
                  <w:tcW w:w="387" w:type="pct"/>
                  <w:tcBorders>
                    <w:tl2br w:val="nil"/>
                    <w:tr2bl w:val="nil"/>
                  </w:tcBorders>
                  <w:noWrap w:val="0"/>
                  <w:vAlign w:val="center"/>
                </w:tcPr>
                <w:p w14:paraId="78A0F544">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环境管控单元名称</w:t>
                  </w:r>
                </w:p>
              </w:tc>
              <w:tc>
                <w:tcPr>
                  <w:tcW w:w="3054" w:type="pct"/>
                  <w:gridSpan w:val="3"/>
                  <w:tcBorders>
                    <w:tl2br w:val="nil"/>
                    <w:tr2bl w:val="nil"/>
                  </w:tcBorders>
                  <w:noWrap w:val="0"/>
                  <w:vAlign w:val="center"/>
                </w:tcPr>
                <w:p w14:paraId="2680FD7C">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管控要求</w:t>
                  </w:r>
                </w:p>
              </w:tc>
              <w:tc>
                <w:tcPr>
                  <w:tcW w:w="1298" w:type="pct"/>
                  <w:tcBorders>
                    <w:tl2br w:val="nil"/>
                    <w:tr2bl w:val="nil"/>
                  </w:tcBorders>
                  <w:noWrap w:val="0"/>
                  <w:vAlign w:val="center"/>
                </w:tcPr>
                <w:p w14:paraId="2E2FE2F9">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拟建项目情况</w:t>
                  </w:r>
                </w:p>
              </w:tc>
              <w:tc>
                <w:tcPr>
                  <w:tcW w:w="260" w:type="pct"/>
                  <w:tcBorders>
                    <w:tl2br w:val="nil"/>
                    <w:tr2bl w:val="nil"/>
                  </w:tcBorders>
                  <w:noWrap w:val="0"/>
                  <w:vAlign w:val="center"/>
                </w:tcPr>
                <w:p w14:paraId="3767E405">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是否</w:t>
                  </w:r>
                </w:p>
                <w:p w14:paraId="0FBA69A2">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43A36D8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22" w:hRule="atLeast"/>
              </w:trPr>
              <w:tc>
                <w:tcPr>
                  <w:tcW w:w="387" w:type="pct"/>
                  <w:vMerge w:val="restart"/>
                  <w:tcBorders>
                    <w:tl2br w:val="nil"/>
                    <w:tr2bl w:val="nil"/>
                  </w:tcBorders>
                  <w:noWrap w:val="0"/>
                  <w:vAlign w:val="center"/>
                </w:tcPr>
                <w:p w14:paraId="53C35A92">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Cs/>
                      <w:color w:val="auto"/>
                      <w:sz w:val="24"/>
                      <w:szCs w:val="24"/>
                      <w:highlight w:val="none"/>
                    </w:rPr>
                    <w:t>新忽热苏木采矿用地</w:t>
                  </w:r>
                </w:p>
              </w:tc>
              <w:tc>
                <w:tcPr>
                  <w:tcW w:w="267" w:type="pct"/>
                  <w:vMerge w:val="restart"/>
                  <w:tcBorders>
                    <w:tl2br w:val="nil"/>
                    <w:tr2bl w:val="nil"/>
                  </w:tcBorders>
                  <w:noWrap w:val="0"/>
                  <w:vAlign w:val="center"/>
                </w:tcPr>
                <w:p w14:paraId="1860EE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重点管控单元</w:t>
                  </w:r>
                </w:p>
              </w:tc>
              <w:tc>
                <w:tcPr>
                  <w:tcW w:w="326" w:type="pct"/>
                  <w:tcBorders>
                    <w:tl2br w:val="nil"/>
                    <w:tr2bl w:val="nil"/>
                  </w:tcBorders>
                  <w:noWrap w:val="0"/>
                  <w:vAlign w:val="center"/>
                </w:tcPr>
                <w:p w14:paraId="475661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空间布局约束</w:t>
                  </w:r>
                </w:p>
              </w:tc>
              <w:tc>
                <w:tcPr>
                  <w:tcW w:w="2460" w:type="pct"/>
                  <w:tcBorders>
                    <w:tl2br w:val="nil"/>
                    <w:tr2bl w:val="nil"/>
                  </w:tcBorders>
                  <w:noWrap w:val="0"/>
                  <w:vAlign w:val="center"/>
                </w:tcPr>
                <w:p w14:paraId="2AA968DA">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1.</w:t>
                  </w:r>
                  <w:r>
                    <w:rPr>
                      <w:rFonts w:hint="default" w:ascii="Times New Roman" w:hAnsi="Times New Roman" w:eastAsia="宋体" w:cs="Times New Roman"/>
                      <w:color w:val="auto"/>
                      <w:szCs w:val="21"/>
                    </w:rPr>
                    <w:t>执行全市总体准入要求中关于空间布局约束的准入要求。</w:t>
                  </w:r>
                </w:p>
                <w:p w14:paraId="68A3BC5E">
                  <w:pPr>
                    <w:tabs>
                      <w:tab w:val="left" w:pos="312"/>
                    </w:tabs>
                    <w:spacing w:line="240" w:lineRule="auto"/>
                    <w:ind w:left="0" w:leftChars="0" w:right="0" w:rightChars="0"/>
                    <w:rPr>
                      <w:rFonts w:hint="default"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lang w:eastAsia="zh-CN"/>
                    </w:rPr>
                    <w:t>2.</w:t>
                  </w:r>
                  <w:r>
                    <w:rPr>
                      <w:rFonts w:hint="default" w:ascii="Times New Roman" w:hAnsi="Times New Roman" w:eastAsia="宋体" w:cs="Times New Roman"/>
                      <w:color w:val="auto"/>
                      <w:kern w:val="0"/>
                      <w:szCs w:val="21"/>
                    </w:rPr>
                    <w:t>非经国务院授权的有关主管部门同意，不得在以下地区开采矿产资源：（1）机场、国防工程建设设施圈定地区以内；（2）重要工业区、大型水利工程设施、城镇市政工程设施附近一定距离以内；（3）铁路、重要公路两侧一定距离以内；（4）重要河流、堤坝两侧一定距离以内；（5）国家划定的自然保护区、重要风景名胜区，国家重点保护的不能移动的历史文物和名胜古迹所在地；（6）国家规定不得开采矿产资源的其他地区。</w:t>
                  </w:r>
                </w:p>
                <w:p w14:paraId="720BBF7A">
                  <w:pPr>
                    <w:pStyle w:val="6"/>
                    <w:spacing w:line="240" w:lineRule="auto"/>
                    <w:ind w:left="0" w:leftChars="0" w:right="0" w:rightChars="0" w:firstLine="0"/>
                    <w:rPr>
                      <w:rFonts w:hint="default" w:ascii="Times New Roman" w:hAnsi="Times New Roman" w:eastAsia="宋体" w:cs="Times New Roman"/>
                      <w:strike/>
                      <w:color w:val="auto"/>
                      <w:kern w:val="0"/>
                      <w:szCs w:val="21"/>
                    </w:rPr>
                  </w:pPr>
                  <w:r>
                    <w:rPr>
                      <w:rFonts w:hint="eastAsia" w:ascii="Times New Roman" w:hAnsi="Times New Roman" w:cs="Times New Roman"/>
                      <w:color w:val="auto"/>
                      <w:kern w:val="0"/>
                      <w:szCs w:val="21"/>
                      <w:lang w:eastAsia="zh-CN"/>
                    </w:rPr>
                    <w:t>3.</w:t>
                  </w:r>
                  <w:r>
                    <w:rPr>
                      <w:rFonts w:hint="default" w:ascii="Times New Roman" w:hAnsi="Times New Roman" w:eastAsia="宋体" w:cs="Times New Roman"/>
                      <w:color w:val="auto"/>
                      <w:kern w:val="0"/>
                      <w:szCs w:val="21"/>
                    </w:rPr>
                    <w:t>矿产资源开发布局应符合矿产资源总体规划要求。严格限制矿产资源开发项目，确需开采的矿产资源及必须就地开展矿产加工的新建、改建、扩建项目，应严格控制区域开发规模。</w:t>
                  </w:r>
                </w:p>
                <w:p w14:paraId="2F02A879">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kern w:val="0"/>
                      <w:szCs w:val="21"/>
                      <w:lang w:eastAsia="zh-CN"/>
                    </w:rPr>
                    <w:t>4.</w:t>
                  </w:r>
                  <w:r>
                    <w:rPr>
                      <w:rFonts w:hint="default" w:ascii="Times New Roman" w:hAnsi="Times New Roman" w:eastAsia="宋体" w:cs="Times New Roman"/>
                      <w:color w:val="auto"/>
                      <w:kern w:val="0"/>
                      <w:szCs w:val="21"/>
                    </w:rPr>
                    <w:t>全面推进绿色矿山建设，新建矿山全部按照绿色矿山建设标准建设，加强生产矿山地质环境治理，督促矿山做到边生产、边治理、边复垦，按绿色矿山建设标准改造升级，加强矿产资源开发利用全过程地质环境保护的监督管理。新建矿山生产规模应达到最低开采规模要求。</w:t>
                  </w:r>
                </w:p>
              </w:tc>
              <w:tc>
                <w:tcPr>
                  <w:tcW w:w="1298" w:type="pct"/>
                  <w:tcBorders>
                    <w:tl2br w:val="nil"/>
                    <w:tr2bl w:val="nil"/>
                  </w:tcBorders>
                  <w:noWrap w:val="0"/>
                  <w:vAlign w:val="center"/>
                </w:tcPr>
                <w:p w14:paraId="5E0EC720">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vertAlign w:val="baseline"/>
                      <w:lang w:val="en-US" w:eastAsia="zh-CN"/>
                    </w:rPr>
                    <w:t>1.</w:t>
                  </w:r>
                  <w:r>
                    <w:rPr>
                      <w:rFonts w:hint="default" w:ascii="Times New Roman" w:hAnsi="Times New Roman" w:eastAsia="宋体" w:cs="Times New Roman"/>
                      <w:color w:val="auto"/>
                      <w:sz w:val="21"/>
                      <w:szCs w:val="21"/>
                      <w:highlight w:val="none"/>
                      <w:vertAlign w:val="baseline"/>
                      <w:lang w:val="en-US" w:eastAsia="zh-CN"/>
                    </w:rPr>
                    <w:t>本项目在</w:t>
                  </w:r>
                  <w:r>
                    <w:rPr>
                      <w:rFonts w:hint="default" w:ascii="Times New Roman" w:hAnsi="Times New Roman" w:eastAsia="宋体" w:cs="Times New Roman"/>
                      <w:b w:val="0"/>
                      <w:bCs w:val="0"/>
                      <w:color w:val="auto"/>
                      <w:sz w:val="21"/>
                      <w:szCs w:val="21"/>
                      <w:highlight w:val="none"/>
                      <w:u w:val="none"/>
                      <w:shd w:val="clear" w:color="auto" w:fill="auto"/>
                      <w:vertAlign w:val="baseline"/>
                      <w:lang w:val="en-US" w:eastAsia="zh-CN"/>
                    </w:rPr>
                    <w:t>巴彦淖尔市乌拉特中旗新忽热苏木</w:t>
                  </w:r>
                  <w:r>
                    <w:rPr>
                      <w:rFonts w:hint="default" w:ascii="Times New Roman" w:hAnsi="Times New Roman" w:eastAsia="宋体" w:cs="Times New Roman"/>
                      <w:b w:val="0"/>
                      <w:bCs w:val="0"/>
                      <w:color w:val="auto"/>
                      <w:kern w:val="2"/>
                      <w:sz w:val="21"/>
                      <w:szCs w:val="21"/>
                      <w:highlight w:val="none"/>
                      <w:u w:val="none"/>
                      <w:lang w:val="en-US" w:eastAsia="zh-CN" w:bidi="ar-SA"/>
                    </w:rPr>
                    <w:t>内蒙古太平矿业有限公司现有厂区内建设</w:t>
                  </w:r>
                  <w:r>
                    <w:rPr>
                      <w:rFonts w:hint="default" w:ascii="Times New Roman" w:hAnsi="Times New Roman" w:eastAsia="宋体" w:cs="Times New Roman"/>
                      <w:color w:val="auto"/>
                      <w:sz w:val="21"/>
                      <w:szCs w:val="21"/>
                      <w:highlight w:val="none"/>
                      <w:vertAlign w:val="baseline"/>
                      <w:lang w:val="en-US" w:eastAsia="zh-CN"/>
                    </w:rPr>
                    <w:t>，符合</w:t>
                  </w:r>
                  <w:r>
                    <w:rPr>
                      <w:rFonts w:hint="default" w:ascii="Times New Roman" w:hAnsi="Times New Roman" w:eastAsia="宋体" w:cs="Times New Roman"/>
                      <w:color w:val="auto"/>
                      <w:szCs w:val="21"/>
                    </w:rPr>
                    <w:t>空间布局约束的准入要求</w:t>
                  </w:r>
                  <w:r>
                    <w:rPr>
                      <w:rFonts w:hint="default" w:ascii="Times New Roman" w:hAnsi="Times New Roman" w:eastAsia="宋体" w:cs="Times New Roman"/>
                      <w:color w:val="auto"/>
                      <w:sz w:val="21"/>
                      <w:szCs w:val="21"/>
                      <w:highlight w:val="none"/>
                      <w:lang w:val="en-US" w:eastAsia="zh-CN"/>
                    </w:rPr>
                    <w:t>。</w:t>
                  </w:r>
                </w:p>
                <w:p w14:paraId="3988A95E">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本项目不涉及公司</w:t>
                  </w:r>
                  <w:r>
                    <w:rPr>
                      <w:rFonts w:hint="default" w:ascii="Times New Roman" w:hAnsi="Times New Roman" w:eastAsia="宋体" w:cs="Times New Roman"/>
                      <w:color w:val="auto"/>
                      <w:kern w:val="0"/>
                      <w:szCs w:val="21"/>
                    </w:rPr>
                    <w:t>矿产资源开发布局符合矿产资源总体规划要求</w:t>
                  </w:r>
                  <w:r>
                    <w:rPr>
                      <w:rFonts w:hint="default" w:ascii="Times New Roman" w:hAnsi="Times New Roman" w:eastAsia="宋体" w:cs="Times New Roman"/>
                      <w:color w:val="auto"/>
                      <w:kern w:val="0"/>
                      <w:szCs w:val="21"/>
                      <w:lang w:eastAsia="zh-CN"/>
                    </w:rPr>
                    <w:t>，</w:t>
                  </w:r>
                  <w:r>
                    <w:rPr>
                      <w:rFonts w:hint="default" w:ascii="Times New Roman" w:hAnsi="Times New Roman" w:eastAsia="宋体" w:cs="Times New Roman"/>
                      <w:color w:val="auto"/>
                      <w:kern w:val="0"/>
                      <w:szCs w:val="21"/>
                      <w:lang w:val="en-US" w:eastAsia="zh-CN"/>
                    </w:rPr>
                    <w:t>本项目为配套项目</w:t>
                  </w:r>
                  <w:r>
                    <w:rPr>
                      <w:rFonts w:hint="default" w:ascii="Times New Roman" w:hAnsi="Times New Roman" w:eastAsia="宋体" w:cs="Times New Roman"/>
                      <w:color w:val="auto"/>
                      <w:sz w:val="21"/>
                      <w:szCs w:val="21"/>
                      <w:highlight w:val="none"/>
                      <w:vertAlign w:val="baseline"/>
                      <w:lang w:eastAsia="zh-CN"/>
                    </w:rPr>
                    <w:t>。</w:t>
                  </w:r>
                </w:p>
                <w:p w14:paraId="03AF232E">
                  <w:pPr>
                    <w:pStyle w:val="6"/>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lang w:val="en-US" w:eastAsia="zh-CN"/>
                    </w:rPr>
                    <w:t>公司</w:t>
                  </w:r>
                  <w:r>
                    <w:rPr>
                      <w:rFonts w:hint="default" w:ascii="Times New Roman" w:hAnsi="Times New Roman" w:eastAsia="宋体" w:cs="Times New Roman"/>
                      <w:color w:val="auto"/>
                      <w:kern w:val="0"/>
                      <w:szCs w:val="21"/>
                    </w:rPr>
                    <w:t>矿产资源开发布局符合矿产资源总体规划要求</w:t>
                  </w:r>
                  <w:r>
                    <w:rPr>
                      <w:rFonts w:hint="default" w:ascii="Times New Roman" w:hAnsi="Times New Roman" w:eastAsia="宋体" w:cs="Times New Roman"/>
                      <w:color w:val="auto"/>
                      <w:kern w:val="0"/>
                      <w:szCs w:val="21"/>
                      <w:lang w:eastAsia="zh-CN"/>
                    </w:rPr>
                    <w:t>，</w:t>
                  </w:r>
                  <w:r>
                    <w:rPr>
                      <w:rFonts w:hint="default" w:ascii="Times New Roman" w:hAnsi="Times New Roman" w:eastAsia="宋体" w:cs="Times New Roman"/>
                      <w:color w:val="auto"/>
                      <w:kern w:val="0"/>
                      <w:szCs w:val="21"/>
                      <w:lang w:val="en-US" w:eastAsia="zh-CN"/>
                    </w:rPr>
                    <w:t>本项目为配套项目</w:t>
                  </w:r>
                  <w:r>
                    <w:rPr>
                      <w:rFonts w:hint="default" w:ascii="Times New Roman" w:hAnsi="Times New Roman" w:eastAsia="宋体" w:cs="Times New Roman"/>
                      <w:color w:val="auto"/>
                      <w:sz w:val="21"/>
                      <w:szCs w:val="21"/>
                      <w:highlight w:val="none"/>
                      <w:vertAlign w:val="baseline"/>
                    </w:rPr>
                    <w:t>。</w:t>
                  </w:r>
                </w:p>
                <w:p w14:paraId="5BAEA4ED">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w:t>
                  </w:r>
                  <w:r>
                    <w:rPr>
                      <w:rFonts w:hint="default" w:ascii="Times New Roman" w:hAnsi="Times New Roman" w:eastAsia="宋体" w:cs="Times New Roman"/>
                      <w:color w:val="auto"/>
                      <w:sz w:val="21"/>
                      <w:szCs w:val="21"/>
                      <w:highlight w:val="none"/>
                      <w:lang w:val="en-US" w:eastAsia="zh-CN"/>
                    </w:rPr>
                    <w:t>本项目不涉及，</w:t>
                  </w:r>
                  <w:r>
                    <w:rPr>
                      <w:rFonts w:hint="default" w:ascii="Times New Roman" w:hAnsi="Times New Roman" w:eastAsia="宋体" w:cs="Times New Roman"/>
                      <w:color w:val="auto"/>
                      <w:kern w:val="0"/>
                      <w:szCs w:val="21"/>
                      <w:lang w:val="en-US" w:eastAsia="zh-CN"/>
                    </w:rPr>
                    <w:t>本项目为金矿资源开发配套项目</w:t>
                  </w:r>
                  <w:r>
                    <w:rPr>
                      <w:rFonts w:hint="default" w:ascii="Times New Roman" w:hAnsi="Times New Roman" w:eastAsia="宋体" w:cs="Times New Roman"/>
                      <w:color w:val="auto"/>
                      <w:sz w:val="21"/>
                      <w:szCs w:val="21"/>
                      <w:highlight w:val="none"/>
                    </w:rPr>
                    <w:t>。</w:t>
                  </w:r>
                </w:p>
              </w:tc>
              <w:tc>
                <w:tcPr>
                  <w:tcW w:w="260" w:type="pct"/>
                  <w:tcBorders>
                    <w:tl2br w:val="nil"/>
                    <w:tr2bl w:val="nil"/>
                  </w:tcBorders>
                  <w:noWrap w:val="0"/>
                  <w:vAlign w:val="center"/>
                </w:tcPr>
                <w:p w14:paraId="3F852146">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6799993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320" w:hRule="atLeast"/>
              </w:trPr>
              <w:tc>
                <w:tcPr>
                  <w:tcW w:w="387" w:type="pct"/>
                  <w:vMerge w:val="continue"/>
                  <w:tcBorders>
                    <w:tl2br w:val="nil"/>
                    <w:tr2bl w:val="nil"/>
                  </w:tcBorders>
                  <w:noWrap w:val="0"/>
                  <w:vAlign w:val="center"/>
                </w:tcPr>
                <w:p w14:paraId="7B3994DA">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rPr>
                  </w:pPr>
                </w:p>
              </w:tc>
              <w:tc>
                <w:tcPr>
                  <w:tcW w:w="267" w:type="pct"/>
                  <w:vMerge w:val="continue"/>
                  <w:tcBorders>
                    <w:tl2br w:val="nil"/>
                    <w:tr2bl w:val="nil"/>
                  </w:tcBorders>
                  <w:noWrap w:val="0"/>
                  <w:vAlign w:val="center"/>
                </w:tcPr>
                <w:p w14:paraId="2D81F1E1">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rPr>
                  </w:pPr>
                </w:p>
              </w:tc>
              <w:tc>
                <w:tcPr>
                  <w:tcW w:w="326" w:type="pct"/>
                  <w:tcBorders>
                    <w:tl2br w:val="nil"/>
                    <w:tr2bl w:val="nil"/>
                  </w:tcBorders>
                  <w:noWrap w:val="0"/>
                  <w:vAlign w:val="center"/>
                </w:tcPr>
                <w:p w14:paraId="633DDE92">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污染物排放管控</w:t>
                  </w:r>
                </w:p>
              </w:tc>
              <w:tc>
                <w:tcPr>
                  <w:tcW w:w="2460" w:type="pct"/>
                  <w:tcBorders>
                    <w:tl2br w:val="nil"/>
                    <w:tr2bl w:val="nil"/>
                  </w:tcBorders>
                  <w:noWrap w:val="0"/>
                  <w:vAlign w:val="center"/>
                </w:tcPr>
                <w:p w14:paraId="27B21804">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1.</w:t>
                  </w:r>
                  <w:r>
                    <w:rPr>
                      <w:rFonts w:hint="default" w:ascii="Times New Roman" w:hAnsi="Times New Roman" w:eastAsia="宋体" w:cs="Times New Roman"/>
                      <w:color w:val="auto"/>
                      <w:szCs w:val="21"/>
                    </w:rPr>
                    <w:t>矿产资源勘查以及采选过程中排土场、露天采场、尾矿库、矿区专用道路、矿山工业场地、沉陷区、矸石场、矿山污染场地等的生态环境保护与治理恢复工作须满足《矿山生态环境保护与治理恢复技术规范（试行）》（HJ651-2013）要求。</w:t>
                  </w:r>
                </w:p>
                <w:p w14:paraId="440CC248">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2.</w:t>
                  </w:r>
                  <w:r>
                    <w:rPr>
                      <w:rFonts w:hint="default" w:ascii="Times New Roman" w:hAnsi="Times New Roman" w:eastAsia="宋体" w:cs="Times New Roman"/>
                      <w:color w:val="auto"/>
                      <w:szCs w:val="21"/>
                    </w:rPr>
                    <w:t>落实边开采、边治理要求，要求新建、在建矿山损毁土地严格按照《矿山地质环境保护与土地复垦方案》做到应治尽治。</w:t>
                  </w:r>
                </w:p>
                <w:p w14:paraId="16A6363C">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3.</w:t>
                  </w:r>
                  <w:r>
                    <w:rPr>
                      <w:rFonts w:hint="default" w:ascii="Times New Roman" w:hAnsi="Times New Roman" w:eastAsia="宋体" w:cs="Times New Roman"/>
                      <w:color w:val="auto"/>
                      <w:szCs w:val="21"/>
                    </w:rPr>
                    <w:t>禁止采用污染和破坏矿山环境的方法开采矿产资源。矿山“三废”得到有效处理，污染物排放达标。矿山服务到期闭坑前，要按方案要求对矿区内破坏单元进行相应治理，加强矿山环境监测。</w:t>
                  </w:r>
                </w:p>
                <w:p w14:paraId="0695F709">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4.</w:t>
                  </w:r>
                  <w:r>
                    <w:rPr>
                      <w:rFonts w:hint="default" w:ascii="Times New Roman" w:hAnsi="Times New Roman" w:eastAsia="宋体" w:cs="Times New Roman"/>
                      <w:color w:val="auto"/>
                      <w:szCs w:val="21"/>
                    </w:rPr>
                    <w:t>新建、改建、扩建重点行业建设项目遵循重点重金属污染物排放“等量替代”原则。建设单位在提交环境影响评价文件时应明确重点重金属污染物排放总量及来源。无明确具体总量来源的，各级生态环境部门不得批准相关环境影响评价文件。禁止新建用汞的电石法（聚）氯乙烯生产工艺项目。新建、扩建的重有色金属冶炼、电镀、制革企业优先布设在依法合规设立并经规划环评的产业园区。</w:t>
                  </w:r>
                </w:p>
                <w:p w14:paraId="7A359D88">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Cs w:val="21"/>
                      <w:lang w:eastAsia="zh-CN"/>
                    </w:rPr>
                    <w:t>5.</w:t>
                  </w:r>
                  <w:r>
                    <w:rPr>
                      <w:rFonts w:hint="default" w:ascii="Times New Roman" w:hAnsi="Times New Roman" w:eastAsia="宋体" w:cs="Times New Roman"/>
                      <w:color w:val="auto"/>
                      <w:szCs w:val="21"/>
                    </w:rPr>
                    <w:t>重点重金属污染物包括铅、汞、镉、铬、砷、铊和锑，其中对铅、汞、镉、铬、砷五种重金属污染物排放量实施总量控制。</w:t>
                  </w:r>
                </w:p>
              </w:tc>
              <w:tc>
                <w:tcPr>
                  <w:tcW w:w="1298" w:type="pct"/>
                  <w:tcBorders>
                    <w:tl2br w:val="nil"/>
                    <w:tr2bl w:val="nil"/>
                  </w:tcBorders>
                  <w:noWrap w:val="0"/>
                  <w:vAlign w:val="center"/>
                </w:tcPr>
                <w:p w14:paraId="43B5A0C6">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kern w:val="0"/>
                      <w:szCs w:val="21"/>
                      <w:lang w:val="en-US" w:eastAsia="zh-CN"/>
                    </w:rPr>
                    <w:t>本项目利用场内现有1 座氰化钠库房进行改造作为危废暂存间，用于暂存</w:t>
                  </w:r>
                  <w:r>
                    <w:rPr>
                      <w:rFonts w:hint="default" w:ascii="Times New Roman" w:hAnsi="Times New Roman" w:eastAsia="宋体" w:cs="Times New Roman"/>
                      <w:color w:val="auto"/>
                      <w:kern w:val="0"/>
                      <w:szCs w:val="21"/>
                      <w:highlight w:val="none"/>
                      <w:lang w:val="en-US" w:eastAsia="zh-CN"/>
                    </w:rPr>
                    <w:t>内蒙古太平矿业有限公司浩尧尔忽洞金矿日常生产中</w:t>
                  </w:r>
                  <w:r>
                    <w:rPr>
                      <w:rFonts w:hint="default" w:ascii="Times New Roman" w:hAnsi="Times New Roman" w:eastAsia="宋体" w:cs="Times New Roman"/>
                      <w:color w:val="auto"/>
                      <w:kern w:val="0"/>
                      <w:szCs w:val="21"/>
                      <w:lang w:val="en-US" w:eastAsia="zh-CN"/>
                    </w:rPr>
                    <w:t>产生的危险废物，不涉及矿产资源开采</w:t>
                  </w:r>
                  <w:r>
                    <w:rPr>
                      <w:rFonts w:hint="default" w:ascii="Times New Roman" w:hAnsi="Times New Roman" w:eastAsia="宋体" w:cs="Times New Roman"/>
                      <w:color w:val="auto"/>
                      <w:sz w:val="21"/>
                      <w:szCs w:val="21"/>
                      <w:highlight w:val="none"/>
                    </w:rPr>
                    <w:t>。</w:t>
                  </w:r>
                </w:p>
                <w:p w14:paraId="17A86390">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公司已制定</w:t>
                  </w:r>
                  <w:r>
                    <w:rPr>
                      <w:rFonts w:hint="default" w:ascii="Times New Roman" w:hAnsi="Times New Roman" w:eastAsia="宋体" w:cs="Times New Roman"/>
                      <w:color w:val="auto"/>
                      <w:szCs w:val="21"/>
                    </w:rPr>
                    <w:t>矿山地质环境保护与土地复垦方案</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 w:val="21"/>
                      <w:szCs w:val="21"/>
                      <w:highlight w:val="none"/>
                      <w:lang w:val="en-US" w:eastAsia="zh-CN"/>
                    </w:rPr>
                    <w:t>本项目不涉及。</w:t>
                  </w:r>
                </w:p>
                <w:p w14:paraId="383A4152">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公司已制定治理计划，本项目不涉及。</w:t>
                  </w:r>
                </w:p>
                <w:p w14:paraId="755B4004">
                  <w:pPr>
                    <w:pStyle w:val="6"/>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本项目</w:t>
                  </w:r>
                  <w:r>
                    <w:rPr>
                      <w:rFonts w:hint="eastAsia" w:ascii="Times New Roman" w:hAnsi="Times New Roman" w:cs="Times New Roman"/>
                      <w:color w:val="auto"/>
                      <w:sz w:val="21"/>
                      <w:szCs w:val="21"/>
                      <w:highlight w:val="none"/>
                      <w:lang w:val="en-US" w:eastAsia="zh-CN"/>
                    </w:rPr>
                    <w:t>运营期无废气污染物排放，不涉及重金属的排放。</w:t>
                  </w:r>
                </w:p>
                <w:p w14:paraId="46CB900C">
                  <w:pPr>
                    <w:pStyle w:val="7"/>
                    <w:keepNext w:val="0"/>
                    <w:keepLines w:val="0"/>
                    <w:pageBreakBefore w:val="0"/>
                    <w:widowControl w:val="0"/>
                    <w:kinsoku/>
                    <w:wordWrap/>
                    <w:overflowPunct/>
                    <w:topLinePunct w:val="0"/>
                    <w:autoSpaceDE/>
                    <w:autoSpaceDN/>
                    <w:bidi w:val="0"/>
                    <w:spacing w:after="0" w:line="240" w:lineRule="auto"/>
                    <w:ind w:left="0" w:lef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5.本项目</w:t>
                  </w:r>
                  <w:r>
                    <w:rPr>
                      <w:rFonts w:hint="eastAsia" w:ascii="Times New Roman" w:hAnsi="Times New Roman" w:cs="Times New Roman"/>
                      <w:color w:val="auto"/>
                      <w:sz w:val="21"/>
                      <w:szCs w:val="21"/>
                      <w:highlight w:val="none"/>
                      <w:lang w:val="en-US" w:eastAsia="zh-CN"/>
                    </w:rPr>
                    <w:t>不涉及重金属的排放。</w:t>
                  </w:r>
                </w:p>
              </w:tc>
              <w:tc>
                <w:tcPr>
                  <w:tcW w:w="260" w:type="pct"/>
                  <w:tcBorders>
                    <w:tl2br w:val="nil"/>
                    <w:tr2bl w:val="nil"/>
                  </w:tcBorders>
                  <w:noWrap w:val="0"/>
                  <w:vAlign w:val="center"/>
                </w:tcPr>
                <w:p w14:paraId="0F1A9C15">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1AB6FE8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2330" w:hRule="atLeast"/>
              </w:trPr>
              <w:tc>
                <w:tcPr>
                  <w:tcW w:w="387" w:type="pct"/>
                  <w:vMerge w:val="continue"/>
                  <w:tcBorders>
                    <w:tl2br w:val="nil"/>
                    <w:tr2bl w:val="nil"/>
                  </w:tcBorders>
                  <w:noWrap w:val="0"/>
                  <w:vAlign w:val="center"/>
                </w:tcPr>
                <w:p w14:paraId="73313FF9">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rPr>
                  </w:pPr>
                </w:p>
              </w:tc>
              <w:tc>
                <w:tcPr>
                  <w:tcW w:w="267" w:type="pct"/>
                  <w:vMerge w:val="continue"/>
                  <w:tcBorders>
                    <w:tl2br w:val="nil"/>
                    <w:tr2bl w:val="nil"/>
                  </w:tcBorders>
                  <w:noWrap w:val="0"/>
                  <w:vAlign w:val="center"/>
                </w:tcPr>
                <w:p w14:paraId="461C5081">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rPr>
                  </w:pPr>
                </w:p>
              </w:tc>
              <w:tc>
                <w:tcPr>
                  <w:tcW w:w="326" w:type="pct"/>
                  <w:tcBorders>
                    <w:tl2br w:val="nil"/>
                    <w:tr2bl w:val="nil"/>
                  </w:tcBorders>
                  <w:noWrap w:val="0"/>
                  <w:vAlign w:val="center"/>
                </w:tcPr>
                <w:p w14:paraId="32F3F157">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环境风险防控</w:t>
                  </w:r>
                </w:p>
              </w:tc>
              <w:tc>
                <w:tcPr>
                  <w:tcW w:w="2460" w:type="pct"/>
                  <w:tcBorders>
                    <w:tl2br w:val="nil"/>
                    <w:tr2bl w:val="nil"/>
                  </w:tcBorders>
                  <w:noWrap w:val="0"/>
                  <w:vAlign w:val="center"/>
                </w:tcPr>
                <w:p w14:paraId="2A977057">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1.</w:t>
                  </w:r>
                  <w:r>
                    <w:rPr>
                      <w:rFonts w:hint="default" w:ascii="Times New Roman" w:hAnsi="Times New Roman" w:eastAsia="宋体" w:cs="Times New Roman"/>
                      <w:color w:val="auto"/>
                      <w:szCs w:val="21"/>
                    </w:rPr>
                    <w:t>执行全市总体准入要求中关于环境风险防控的准入要求。</w:t>
                  </w:r>
                </w:p>
                <w:p w14:paraId="65570282">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2.</w:t>
                  </w:r>
                  <w:r>
                    <w:rPr>
                      <w:rFonts w:hint="default" w:ascii="Times New Roman" w:hAnsi="Times New Roman" w:eastAsia="宋体" w:cs="Times New Roman"/>
                      <w:color w:val="auto"/>
                      <w:szCs w:val="21"/>
                    </w:rPr>
                    <w:t>企业制定突发环境事件应急预案并备案，应当储备必要的环境应急装备和物资，定期进行应急演练。环境应急预案每三年至少修订一次。</w:t>
                  </w:r>
                </w:p>
                <w:p w14:paraId="07EA6EB4">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3.</w:t>
                  </w:r>
                  <w:r>
                    <w:rPr>
                      <w:rFonts w:hint="default" w:ascii="Times New Roman" w:hAnsi="Times New Roman" w:eastAsia="宋体" w:cs="Times New Roman"/>
                      <w:color w:val="auto"/>
                      <w:szCs w:val="21"/>
                    </w:rPr>
                    <w:t>全面落实《土壤污染防治行动计划》内相关要求。</w:t>
                  </w:r>
                </w:p>
                <w:p w14:paraId="599E16A4">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Cs w:val="21"/>
                      <w:lang w:eastAsia="zh-CN"/>
                    </w:rPr>
                    <w:t>4.</w:t>
                  </w:r>
                  <w:r>
                    <w:rPr>
                      <w:rFonts w:hint="default" w:ascii="Times New Roman" w:hAnsi="Times New Roman" w:eastAsia="宋体" w:cs="Times New Roman"/>
                      <w:color w:val="auto"/>
                      <w:szCs w:val="21"/>
                    </w:rPr>
                    <w:t>禁止在行洪的河床、滩地和岸坡堆放贮存矿石、废渣或者尾矿，防止造成行洪不畅或者堤岸破坏。边坡的开挖和矿石、废渣的堆放，应当符合边坡稳定的要求。禁止开采或者毁坏预留安全矿柱或者岩柱，防止造成滑坡、崩塌、泥石流以及地面开裂、塌陷、沉降等地质灾害。</w:t>
                  </w:r>
                </w:p>
              </w:tc>
              <w:tc>
                <w:tcPr>
                  <w:tcW w:w="1298" w:type="pct"/>
                  <w:tcBorders>
                    <w:tl2br w:val="nil"/>
                    <w:tr2bl w:val="nil"/>
                  </w:tcBorders>
                  <w:noWrap w:val="0"/>
                  <w:vAlign w:val="center"/>
                </w:tcPr>
                <w:p w14:paraId="1DE98557">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项目运营期应按照相关规定</w:t>
                  </w:r>
                  <w:r>
                    <w:rPr>
                      <w:rFonts w:hint="eastAsia" w:ascii="Times New Roman" w:hAnsi="Times New Roman" w:eastAsia="宋体" w:cs="Times New Roman"/>
                      <w:color w:val="auto"/>
                      <w:sz w:val="21"/>
                      <w:szCs w:val="21"/>
                      <w:highlight w:val="none"/>
                      <w:lang w:val="en-US" w:eastAsia="zh-CN"/>
                    </w:rPr>
                    <w:t>对公司</w:t>
                  </w:r>
                  <w:r>
                    <w:rPr>
                      <w:rFonts w:hint="default" w:ascii="Times New Roman" w:hAnsi="Times New Roman" w:eastAsia="宋体" w:cs="Times New Roman"/>
                      <w:color w:val="auto"/>
                      <w:sz w:val="21"/>
                      <w:szCs w:val="21"/>
                      <w:highlight w:val="none"/>
                      <w:lang w:val="en-US" w:eastAsia="zh-CN"/>
                    </w:rPr>
                    <w:t>突发环境事件风险应急预案</w:t>
                  </w:r>
                  <w:r>
                    <w:rPr>
                      <w:rFonts w:hint="eastAsia" w:ascii="Times New Roman" w:hAnsi="Times New Roman" w:eastAsia="宋体" w:cs="Times New Roman"/>
                      <w:color w:val="auto"/>
                      <w:sz w:val="21"/>
                      <w:szCs w:val="21"/>
                      <w:highlight w:val="none"/>
                      <w:lang w:val="en-US" w:eastAsia="zh-CN"/>
                    </w:rPr>
                    <w:t>进行修订</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将本项目相关环境风险纳入公司应急预案，</w:t>
                  </w:r>
                  <w:r>
                    <w:rPr>
                      <w:rFonts w:hint="default" w:ascii="Times New Roman" w:hAnsi="Times New Roman" w:eastAsia="宋体" w:cs="Times New Roman"/>
                      <w:color w:val="auto"/>
                      <w:sz w:val="21"/>
                      <w:szCs w:val="21"/>
                      <w:highlight w:val="none"/>
                      <w:lang w:val="en-US" w:eastAsia="zh-CN"/>
                    </w:rPr>
                    <w:t>配置相应应急设施和应急物资，定期开展演练；</w:t>
                  </w:r>
                </w:p>
                <w:p w14:paraId="16E3FA0D">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本项目不涉及尾矿库等的建设；</w:t>
                  </w:r>
                </w:p>
                <w:p w14:paraId="014D8E6C">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本项目不涉及矿石、废渣或者尾矿的暂存、处置等。</w:t>
                  </w:r>
                </w:p>
              </w:tc>
              <w:tc>
                <w:tcPr>
                  <w:tcW w:w="260" w:type="pct"/>
                  <w:tcBorders>
                    <w:tl2br w:val="nil"/>
                    <w:tr2bl w:val="nil"/>
                  </w:tcBorders>
                  <w:noWrap w:val="0"/>
                  <w:vAlign w:val="center"/>
                </w:tcPr>
                <w:p w14:paraId="0D850DEF">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57E422C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875" w:hRule="atLeast"/>
              </w:trPr>
              <w:tc>
                <w:tcPr>
                  <w:tcW w:w="387" w:type="pct"/>
                  <w:vMerge w:val="continue"/>
                  <w:tcBorders>
                    <w:tl2br w:val="nil"/>
                    <w:tr2bl w:val="nil"/>
                  </w:tcBorders>
                  <w:noWrap w:val="0"/>
                  <w:vAlign w:val="center"/>
                </w:tcPr>
                <w:p w14:paraId="6ABCB859">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rPr>
                  </w:pPr>
                </w:p>
              </w:tc>
              <w:tc>
                <w:tcPr>
                  <w:tcW w:w="267" w:type="pct"/>
                  <w:vMerge w:val="continue"/>
                  <w:tcBorders>
                    <w:tl2br w:val="nil"/>
                    <w:tr2bl w:val="nil"/>
                  </w:tcBorders>
                  <w:noWrap w:val="0"/>
                  <w:vAlign w:val="center"/>
                </w:tcPr>
                <w:p w14:paraId="121878AC">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rPr>
                  </w:pPr>
                </w:p>
              </w:tc>
              <w:tc>
                <w:tcPr>
                  <w:tcW w:w="326" w:type="pct"/>
                  <w:tcBorders>
                    <w:tl2br w:val="nil"/>
                    <w:tr2bl w:val="nil"/>
                  </w:tcBorders>
                  <w:noWrap w:val="0"/>
                  <w:vAlign w:val="center"/>
                </w:tcPr>
                <w:p w14:paraId="47892C67">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资源利用效率要求</w:t>
                  </w:r>
                </w:p>
              </w:tc>
              <w:tc>
                <w:tcPr>
                  <w:tcW w:w="2460" w:type="pct"/>
                  <w:tcBorders>
                    <w:tl2br w:val="nil"/>
                    <w:tr2bl w:val="nil"/>
                  </w:tcBorders>
                  <w:noWrap w:val="0"/>
                  <w:vAlign w:val="center"/>
                </w:tcPr>
                <w:p w14:paraId="217F5B82">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1.</w:t>
                  </w:r>
                  <w:r>
                    <w:rPr>
                      <w:rFonts w:hint="default" w:ascii="Times New Roman" w:hAnsi="Times New Roman" w:eastAsia="宋体" w:cs="Times New Roman"/>
                      <w:color w:val="auto"/>
                      <w:szCs w:val="21"/>
                    </w:rPr>
                    <w:t>矿山“三率”水平达到国家要求。</w:t>
                  </w:r>
                </w:p>
                <w:p w14:paraId="57876BFB">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2.</w:t>
                  </w:r>
                  <w:r>
                    <w:rPr>
                      <w:rFonts w:hint="default" w:ascii="Times New Roman" w:hAnsi="Times New Roman" w:eastAsia="宋体" w:cs="Times New Roman"/>
                      <w:color w:val="auto"/>
                      <w:szCs w:val="21"/>
                    </w:rPr>
                    <w:t>禁止新建对生态环境产生不可恢复利用的、产生破坏性影响的矿产资源开发项目。</w:t>
                  </w:r>
                </w:p>
                <w:p w14:paraId="4BF45072">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3.</w:t>
                  </w:r>
                  <w:r>
                    <w:rPr>
                      <w:rFonts w:hint="default" w:ascii="Times New Roman" w:hAnsi="Times New Roman" w:eastAsia="宋体" w:cs="Times New Roman"/>
                      <w:color w:val="auto"/>
                      <w:szCs w:val="21"/>
                    </w:rPr>
                    <w:t>严控地下水超采。禁止私自开采地下水。新建、改建、扩建工业项目，禁止擅自使用地下水。食品、制药等项目取用地下水，须经有管理权限的水行政主管部门批准。</w:t>
                  </w:r>
                </w:p>
                <w:p w14:paraId="0E87A482">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4.</w:t>
                  </w:r>
                  <w:r>
                    <w:rPr>
                      <w:rFonts w:hint="default" w:ascii="Times New Roman" w:hAnsi="Times New Roman" w:eastAsia="宋体" w:cs="Times New Roman"/>
                      <w:color w:val="auto"/>
                      <w:szCs w:val="21"/>
                    </w:rPr>
                    <w:t>提高工业企业用水、用能效率。</w:t>
                  </w:r>
                  <w:r>
                    <w:rPr>
                      <w:rFonts w:hint="default" w:ascii="Times New Roman" w:hAnsi="Times New Roman" w:eastAsia="宋体" w:cs="Times New Roman"/>
                      <w:color w:val="auto"/>
                      <w:kern w:val="0"/>
                      <w:szCs w:val="21"/>
                      <w:lang w:bidi="ar"/>
                    </w:rPr>
                    <w:t>新建、改建、扩建项目用水要达到行业先进水平，节水设施应与主体工程同时设计、同时施工、同时投运。</w:t>
                  </w:r>
                </w:p>
                <w:p w14:paraId="447CEF28">
                  <w:pPr>
                    <w:spacing w:line="240" w:lineRule="auto"/>
                    <w:ind w:left="0" w:leftChars="0" w:right="0" w:rightChars="0"/>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5.</w:t>
                  </w:r>
                  <w:r>
                    <w:rPr>
                      <w:rFonts w:hint="default" w:ascii="Times New Roman" w:hAnsi="Times New Roman" w:eastAsia="宋体" w:cs="Times New Roman"/>
                      <w:color w:val="auto"/>
                      <w:szCs w:val="21"/>
                    </w:rPr>
                    <w:t>矿山企业要严格落实矿产资源开发利用方案、环境影响评价文件，水土保持方案、矿山地质环境保护与土地复垦方案等要求，提高资源利用效率水平。</w:t>
                  </w:r>
                </w:p>
                <w:p w14:paraId="7F5D928C">
                  <w:pPr>
                    <w:keepNext w:val="0"/>
                    <w:keepLines w:val="0"/>
                    <w:pageBreakBefore w:val="0"/>
                    <w:widowControl w:val="0"/>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Cs w:val="21"/>
                      <w:lang w:eastAsia="zh-CN"/>
                    </w:rPr>
                    <w:t>6.</w:t>
                  </w:r>
                  <w:r>
                    <w:rPr>
                      <w:rFonts w:hint="default" w:ascii="Times New Roman" w:hAnsi="Times New Roman" w:eastAsia="宋体" w:cs="Times New Roman"/>
                      <w:color w:val="auto"/>
                      <w:szCs w:val="21"/>
                    </w:rPr>
                    <w:t>新建有色金属、非金属矿采选业项目生产工艺应达到国内先进水平，清洁生产水平应达到《清洁生产审核办法》规定范围之内，水耗控制在《内蒙古自治区地方标准行业用水定额》（DB15/T385-2020）规定范围之内；现有企业3年内生产工艺应进行改造升级，清洁生产必须按照《清洁生产审核办法》进行审核，水耗控制在《内蒙古自治区地方标准行业用水定额》（DB15/T385-2020）规定范围之内。</w:t>
                  </w:r>
                </w:p>
              </w:tc>
              <w:tc>
                <w:tcPr>
                  <w:tcW w:w="1298" w:type="pct"/>
                  <w:tcBorders>
                    <w:tl2br w:val="nil"/>
                    <w:tr2bl w:val="nil"/>
                  </w:tcBorders>
                  <w:noWrap w:val="0"/>
                  <w:vAlign w:val="center"/>
                </w:tcPr>
                <w:p w14:paraId="69AECE03">
                  <w:pPr>
                    <w:keepNext w:val="0"/>
                    <w:keepLines w:val="0"/>
                    <w:pageBreakBefore w:val="0"/>
                    <w:widowControl w:val="0"/>
                    <w:numPr>
                      <w:ilvl w:val="0"/>
                      <w:numId w:val="0"/>
                    </w:numPr>
                    <w:kinsoku/>
                    <w:wordWrap/>
                    <w:overflowPunct/>
                    <w:topLinePunct w:val="0"/>
                    <w:autoSpaceDE/>
                    <w:autoSpaceDN/>
                    <w:bidi w:val="0"/>
                    <w:snapToGrid/>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本项目主要建设内容为1座危废暂存库，用于暂存内蒙古太平矿业有限公司浩尧尔忽洞金矿日常生产中产生的危险废物，不涉及矿产资源开采。</w:t>
                  </w:r>
                </w:p>
              </w:tc>
              <w:tc>
                <w:tcPr>
                  <w:tcW w:w="260" w:type="pct"/>
                  <w:tcBorders>
                    <w:tl2br w:val="nil"/>
                    <w:tr2bl w:val="nil"/>
                  </w:tcBorders>
                  <w:noWrap w:val="0"/>
                  <w:vAlign w:val="center"/>
                </w:tcPr>
                <w:p w14:paraId="3791B40B">
                  <w:pPr>
                    <w:keepNext w:val="0"/>
                    <w:keepLines w:val="0"/>
                    <w:pageBreakBefore w:val="0"/>
                    <w:widowControl w:val="0"/>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bl>
          <w:p w14:paraId="3E183B48">
            <w:pPr>
              <w:autoSpaceDE w:val="0"/>
              <w:autoSpaceDN w:val="0"/>
              <w:adjustRightInd w:val="0"/>
              <w:snapToGrid w:val="0"/>
              <w:ind w:firstLine="480" w:firstLineChars="200"/>
              <w:jc w:val="both"/>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4"/>
                <w:szCs w:val="24"/>
                <w:highlight w:val="none"/>
              </w:rPr>
              <w:t>综上所述，项目的建设符合“</w:t>
            </w:r>
            <w:r>
              <w:rPr>
                <w:rFonts w:hint="default" w:ascii="Times New Roman" w:hAnsi="Times New Roman" w:eastAsia="宋体" w:cs="Times New Roman"/>
                <w:color w:val="auto"/>
                <w:sz w:val="24"/>
                <w:szCs w:val="24"/>
                <w:highlight w:val="none"/>
                <w:lang w:val="en-US" w:eastAsia="zh-CN"/>
              </w:rPr>
              <w:t>生态环境分区管控</w:t>
            </w:r>
            <w:r>
              <w:rPr>
                <w:rFonts w:hint="default" w:ascii="Times New Roman" w:hAnsi="Times New Roman" w:eastAsia="宋体" w:cs="Times New Roman"/>
                <w:color w:val="auto"/>
                <w:sz w:val="24"/>
                <w:szCs w:val="24"/>
                <w:highlight w:val="none"/>
              </w:rPr>
              <w:t>”的相关要求。</w:t>
            </w:r>
          </w:p>
        </w:tc>
      </w:tr>
    </w:tbl>
    <w:p w14:paraId="1F10819B">
      <w:pPr>
        <w:spacing w:line="360" w:lineRule="auto"/>
        <w:outlineLvl w:val="0"/>
        <w:rPr>
          <w:rFonts w:hint="default" w:ascii="Times New Roman" w:hAnsi="Times New Roman" w:eastAsia="宋体" w:cs="Times New Roman"/>
          <w:color w:val="auto"/>
          <w:sz w:val="30"/>
          <w:highlight w:val="none"/>
        </w:rPr>
        <w:sectPr>
          <w:footerReference r:id="rId7" w:type="default"/>
          <w:pgSz w:w="11906" w:h="16838"/>
          <w:pgMar w:top="1701" w:right="1304" w:bottom="1701" w:left="1304"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14:paraId="085370E7">
      <w:pPr>
        <w:pStyle w:val="23"/>
        <w:keepNext w:val="0"/>
        <w:keepLines w:val="0"/>
        <w:pageBreakBefore w:val="0"/>
        <w:widowControl/>
        <w:kinsoku/>
        <w:wordWrap/>
        <w:overflowPunct/>
        <w:topLinePunct w:val="0"/>
        <w:autoSpaceDE/>
        <w:autoSpaceDN/>
        <w:bidi w:val="0"/>
        <w:adjustRightInd/>
        <w:snapToGrid/>
        <w:spacing w:after="100" w:afterAutospacing="1"/>
        <w:jc w:val="center"/>
        <w:textAlignment w:val="auto"/>
        <w:outlineLvl w:val="0"/>
        <w:rPr>
          <w:rFonts w:hint="default" w:ascii="Times New Roman" w:hAnsi="Times New Roman" w:eastAsia="宋体" w:cs="Times New Roman"/>
          <w:snapToGrid w:val="0"/>
          <w:color w:val="auto"/>
          <w:sz w:val="30"/>
          <w:szCs w:val="30"/>
          <w:highlight w:val="none"/>
        </w:rPr>
      </w:pPr>
      <w:r>
        <w:rPr>
          <w:rFonts w:hint="default" w:ascii="Times New Roman" w:hAnsi="Times New Roman" w:eastAsia="宋体" w:cs="Times New Roman"/>
          <w:snapToGrid w:val="0"/>
          <w:color w:val="auto"/>
          <w:sz w:val="30"/>
          <w:szCs w:val="30"/>
          <w:highlight w:val="none"/>
        </w:rPr>
        <w:t>二、建设项目工程分析</w:t>
      </w:r>
    </w:p>
    <w:tbl>
      <w:tblPr>
        <w:tblStyle w:val="25"/>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8663"/>
      </w:tblGrid>
      <w:tr w14:paraId="2363C3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436" w:hRule="atLeast"/>
          <w:jc w:val="center"/>
        </w:trPr>
        <w:tc>
          <w:tcPr>
            <w:tcW w:w="446" w:type="pct"/>
            <w:noWrap w:val="0"/>
            <w:vAlign w:val="center"/>
          </w:tcPr>
          <w:p w14:paraId="09A22526">
            <w:pPr>
              <w:pStyle w:val="23"/>
              <w:adjustRightInd w:val="0"/>
              <w:snapToGrid w:val="0"/>
              <w:spacing w:before="0" w:beforeAutospacing="0" w:after="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4"/>
                <w:szCs w:val="24"/>
                <w:highlight w:val="none"/>
              </w:rPr>
              <w:t>建设内容</w:t>
            </w:r>
          </w:p>
        </w:tc>
        <w:tc>
          <w:tcPr>
            <w:tcW w:w="4553" w:type="pct"/>
            <w:noWrap w:val="0"/>
            <w:vAlign w:val="top"/>
          </w:tcPr>
          <w:p w14:paraId="308BFC0A">
            <w:pPr>
              <w:numPr>
                <w:ilvl w:val="0"/>
                <w:numId w:val="0"/>
              </w:numPr>
              <w:spacing w:line="36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bCs/>
                <w:color w:val="auto"/>
                <w:sz w:val="24"/>
                <w:szCs w:val="24"/>
                <w:highlight w:val="none"/>
                <w:lang w:val="en-US" w:eastAsia="zh-CN"/>
              </w:rPr>
              <w:t>一、</w:t>
            </w:r>
            <w:r>
              <w:rPr>
                <w:rFonts w:hint="default" w:ascii="Times New Roman" w:hAnsi="Times New Roman" w:eastAsia="宋体" w:cs="Times New Roman"/>
                <w:b/>
                <w:bCs/>
                <w:color w:val="auto"/>
                <w:sz w:val="24"/>
                <w:szCs w:val="24"/>
                <w:highlight w:val="none"/>
                <w:lang w:eastAsia="zh-CN"/>
              </w:rPr>
              <w:t>项目由来</w:t>
            </w:r>
          </w:p>
          <w:p w14:paraId="060C7F58">
            <w:pPr>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t>内蒙古太平矿业有限公司（原宁夏太平矿业有限公司）是一家由中国黄金国际资源有限公司（原加拿大金山矿业有限公司）和宁夏核工业地质勘查院（原核工业西北地质局二一七大队）于2002年4月组建的中外合作企业。公司注册地内蒙古乌拉特中旗新忽热苏木浩尧尔忽洞金矿，经营范围为金及与金共生伴生的矿床的地质勘查、采矿和选矿。主营业务为对位于乌拉特中旗新忽热苏木的浩尧尔忽洞金矿进行勘查、采矿、选矿，最终产品为合质金锭，为中国北方最大的黄金堆浸矿山。</w:t>
            </w:r>
          </w:p>
          <w:p w14:paraId="44B40257">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t>浩尧尔忽洞金矿位于内蒙古自治区巴彦淖尔市乌拉特中旗NEE85°方向，直线距离60km。行政区隶属于内蒙古自治区巴彦淖尔市乌拉特中旗新忽热苏木管辖。2006年1月，宁夏太平矿业有限公司委托内蒙古环境科学研究院编制《宁夏太平矿业有限公司内蒙古乌拉特中旗浩尧尔忽洞金矿项目环境影响报告书》，主要建成东采场一座，占地面积46.6hm</w:t>
            </w:r>
            <w:r>
              <w:rPr>
                <w:rFonts w:hint="default" w:ascii="Times New Roman" w:hAnsi="Times New Roman" w:eastAsia="宋体" w:cs="Times New Roman"/>
                <w:b w:val="0"/>
                <w:bCs/>
                <w:color w:val="auto"/>
                <w:sz w:val="24"/>
                <w:szCs w:val="24"/>
                <w:highlight w:val="none"/>
                <w:vertAlign w:val="superscript"/>
              </w:rPr>
              <w:t>2</w:t>
            </w:r>
            <w:r>
              <w:rPr>
                <w:rFonts w:hint="default" w:ascii="Times New Roman" w:hAnsi="Times New Roman" w:eastAsia="宋体" w:cs="Times New Roman"/>
                <w:b w:val="0"/>
                <w:bCs/>
                <w:color w:val="auto"/>
                <w:sz w:val="24"/>
                <w:szCs w:val="24"/>
                <w:highlight w:val="none"/>
              </w:rPr>
              <w:t>，以及配套选厂、堆浸场、废石场等，生产规模为处理矿石20000t/d（660万t/a），并于同年3月13日取得原内蒙古自治区环境保护局《关于宁夏太平矿业有限公司内蒙古乌拉特中旗浩尧尔忽洞金矿项目环境影响报告书的批复》（内环字〔2006〕56号）；2006年8月30日取得国土资源部颁发的“宁夏太平矿业有限公司浩尧尔忽洞金矿”采矿许可证，证号：1000000610103，露天开采方式，采矿规模为660万t/a，开采深度1696m</w:t>
            </w:r>
            <w:r>
              <w:rPr>
                <w:rFonts w:hint="eastAsia" w:ascii="Times New Roman" w:hAnsi="Times New Roman"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1436m；2007年11月18日，原内蒙古自治区环境保护局会同巴彦淖尔市环境保护局、巴彦淖尔市乌拉特中旗环境保护局组成验收组，对内蒙古乌拉特中旗浩尧尔忽洞金矿项目进行了竣工环境保护验收，2007年12月4日原内蒙古自治区环境保护局以内环监验〔2007〕6号文件进行了批复。</w:t>
            </w:r>
          </w:p>
          <w:p w14:paraId="4F6000BE">
            <w:pPr>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t>2008年4月，中国黄金集团公司收购艾芬豪持有的加拿大金山矿业有限公司全部股份，成为金山矿业的最大股东，公司名称由宁夏太平矿业有限公司变更为内蒙古太平矿业有限公司，因此，2009年10月25日，采矿许可证变更为“内蒙古太平矿业有限公司浩尧尔忽洞金矿”采矿许可证，证号：C1000002009104110041024。</w:t>
            </w:r>
          </w:p>
          <w:p w14:paraId="31718BBB">
            <w:pPr>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t>由于内蒙古乌拉特中旗浩尧尔忽洞金矿项目设计的破碎站未建设完成，且原设计破碎站全部的设备和操作场所均为露天，大风天气极易产生粉尘污染环境，2008年9月，宁夏太平矿业有限公司委托内蒙古绿洁环保有限公司编制《内蒙古乌拉特中旗浩尧尔忽洞金矿破碎站技改工程环境影响报告表》，建设规模为处理矿石20000吨/d，工程包括粗破碎间、</w:t>
            </w:r>
            <w:r>
              <w:rPr>
                <w:rFonts w:hint="eastAsia" w:ascii="Times New Roman" w:hAnsi="Times New Roman" w:eastAsia="宋体" w:cs="Times New Roman"/>
                <w:b w:val="0"/>
                <w:bCs/>
                <w:color w:val="auto"/>
                <w:sz w:val="24"/>
                <w:szCs w:val="24"/>
                <w:highlight w:val="none"/>
                <w:lang w:eastAsia="zh-CN"/>
              </w:rPr>
              <w:t>圆筒</w:t>
            </w:r>
            <w:r>
              <w:rPr>
                <w:rFonts w:hint="default" w:ascii="Times New Roman" w:hAnsi="Times New Roman" w:eastAsia="宋体" w:cs="Times New Roman"/>
                <w:b w:val="0"/>
                <w:bCs/>
                <w:color w:val="auto"/>
                <w:sz w:val="24"/>
                <w:szCs w:val="24"/>
                <w:highlight w:val="none"/>
              </w:rPr>
              <w:t>仓、中细</w:t>
            </w:r>
            <w:r>
              <w:rPr>
                <w:rFonts w:hint="eastAsia" w:ascii="Times New Roman" w:hAnsi="Times New Roman" w:eastAsia="宋体" w:cs="Times New Roman"/>
                <w:b w:val="0"/>
                <w:bCs/>
                <w:color w:val="auto"/>
                <w:sz w:val="24"/>
                <w:szCs w:val="24"/>
                <w:highlight w:val="none"/>
                <w:lang w:eastAsia="zh-CN"/>
              </w:rPr>
              <w:t>破碎</w:t>
            </w:r>
            <w:r>
              <w:rPr>
                <w:rFonts w:hint="default" w:ascii="Times New Roman" w:hAnsi="Times New Roman" w:eastAsia="宋体" w:cs="Times New Roman"/>
                <w:b w:val="0"/>
                <w:bCs/>
                <w:color w:val="auto"/>
                <w:sz w:val="24"/>
                <w:szCs w:val="24"/>
                <w:highlight w:val="none"/>
              </w:rPr>
              <w:t>间通廊转运站等，并于2008年10月10日取得原内蒙古自治区环境保护局《关于内蒙古乌拉特中旗浩尧尔忽洞金矿破碎站技改工程环境影响报告表的批复》（内环审（表）〔2008〕271号）；2011年4月27日，原巴彦淖尔市环境保护局会同乌拉特中旗环境保护局组成验收组，对内蒙古乌拉特中旗浩尧尔忽洞金矿破碎站技改工程进行了竣工环境保护验收，并以文号巴环验收〔2011〕18号出具该项目竣工环境保护验收意见。</w:t>
            </w:r>
          </w:p>
          <w:p w14:paraId="4D5BCAC2">
            <w:pPr>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t>后由于生产经营的需要，2015年8月，内蒙古太平矿业有限公司委托内蒙古环科园环境科技有限责任公司编制《内蒙古太平矿业有限公司浩尧尔忽洞金矿年新增660万吨（日新增2万吨）原矿采选技改扩建项目环境影响评价报告书》，对已有露天境界进行扩建，并配套新建排土场、破碎系统、堆浸场、贵液池、贫液池（事故池）、解析吸附系统等，其中，堆浸场分两期建设分别为一堆浸场及二堆浸场，技改扩建后，生产工艺不变，生产规模扩大一倍，总生产规模为处理矿石40000t/d（1320</w:t>
            </w:r>
            <w:r>
              <w:rPr>
                <w:rFonts w:hint="default" w:ascii="Times New Roman" w:hAnsi="Times New Roman" w:eastAsia="宋体" w:cs="Times New Roman"/>
                <w:b w:val="0"/>
                <w:bCs/>
                <w:color w:val="auto"/>
                <w:sz w:val="24"/>
                <w:szCs w:val="24"/>
                <w:highlight w:val="none"/>
                <w:lang w:val="en-US" w:eastAsia="zh-CN"/>
              </w:rPr>
              <w:t>万</w:t>
            </w:r>
            <w:r>
              <w:rPr>
                <w:rFonts w:hint="default" w:ascii="Times New Roman" w:hAnsi="Times New Roman" w:eastAsia="宋体" w:cs="Times New Roman"/>
                <w:b w:val="0"/>
                <w:bCs/>
                <w:color w:val="auto"/>
                <w:sz w:val="24"/>
                <w:szCs w:val="24"/>
                <w:highlight w:val="none"/>
              </w:rPr>
              <w:t>t/a），于8月12日取得原巴彦淖尔市环境保护局《关于内蒙古太平矿业有限公司浩尧尔忽洞金矿年新增660万吨（日新增2万吨）原矿采选技改扩建项目环境影响评价报告书的批复》（巴环审发〔2015〕27号）；2015年12月22日，获得原巴彦淖尔市环境保护局《关于内蒙古太平矿业有限公司浩尧尔忽洞金矿年新增660万吨（日新增2万吨））原矿采选技改扩建项目竣工环境保护验收意见》（巴环验〔2015〕60号），但验收时二堆浸场未建设，因此，该验收不包含二堆浸场相关内容；2019年3月11日取得国土资源部颁发的“内蒙古太平矿业有限公司浩尧尔忽洞金矿”采矿许可证，证号：C1000002009104110041024，露天开采方式，生产规模为1320万t/a，开采深度1696m~1132m，有效期至2026年6月29日；2021年8月18日，内蒙古太平矿业有限公司召开了《内蒙古太平矿业有限公司浩尧尔忽洞金矿年新增660万吨（日新增2万吨）原矿采选技改扩建项目（堆浸场二期）竣工环境保护验收报告》专家评审会，对内蒙古太平矿业有限公司浩尧尔忽洞金矿年新增660万吨（日新增2万吨）原矿采选技改扩建项目中未完成验收的二堆浸场进行自主验收，并获得项目竣工环境保护验收意见。</w:t>
            </w:r>
          </w:p>
          <w:p w14:paraId="4991379A">
            <w:pPr>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t>2023年8月，由于在金矿选矿过程中会产生载金碳粉、灰皿等危险废物无专门的危废暂存场所，内蒙古太平矿业有限公司委托内蒙古智汇恒升环保科技有限公司编制《内蒙古太平矿业有限公司危废暂存库改造项目环境影响报告表》，将1座面积590m</w:t>
            </w:r>
            <w:r>
              <w:rPr>
                <w:rFonts w:hint="default" w:ascii="Times New Roman" w:hAnsi="Times New Roman" w:eastAsia="宋体" w:cs="Times New Roman"/>
                <w:b w:val="0"/>
                <w:bCs/>
                <w:color w:val="auto"/>
                <w:sz w:val="24"/>
                <w:szCs w:val="24"/>
                <w:highlight w:val="none"/>
                <w:vertAlign w:val="superscript"/>
              </w:rPr>
              <w:t>2</w:t>
            </w:r>
            <w:r>
              <w:rPr>
                <w:rFonts w:hint="default" w:ascii="Times New Roman" w:hAnsi="Times New Roman" w:eastAsia="宋体" w:cs="Times New Roman"/>
                <w:b w:val="0"/>
                <w:bCs/>
                <w:color w:val="auto"/>
                <w:sz w:val="24"/>
                <w:szCs w:val="24"/>
                <w:highlight w:val="none"/>
              </w:rPr>
              <w:t>氰化钠库房分割出部分（300m</w:t>
            </w:r>
            <w:r>
              <w:rPr>
                <w:rFonts w:hint="default" w:ascii="Times New Roman" w:hAnsi="Times New Roman" w:eastAsia="宋体" w:cs="Times New Roman"/>
                <w:b w:val="0"/>
                <w:bCs/>
                <w:color w:val="auto"/>
                <w:sz w:val="24"/>
                <w:szCs w:val="24"/>
                <w:highlight w:val="none"/>
                <w:vertAlign w:val="superscript"/>
              </w:rPr>
              <w:t>2</w:t>
            </w:r>
            <w:r>
              <w:rPr>
                <w:rFonts w:hint="default" w:ascii="Times New Roman" w:hAnsi="Times New Roman" w:eastAsia="宋体" w:cs="Times New Roman"/>
                <w:b w:val="0"/>
                <w:bCs/>
                <w:color w:val="auto"/>
                <w:sz w:val="24"/>
                <w:szCs w:val="24"/>
                <w:highlight w:val="none"/>
              </w:rPr>
              <w:t>）作为危废暂存间，并于2023年10月13日取得巴彦淖尔市生态环境局乌拉特中旗分局《关于内蒙古太平矿业有限公司危废暂存库改造项目环境影响报告表的批复》（乌中环审发〔2023〕18号）；2023年11月5日，获得《内蒙古太平矿业有限公司危废暂存库改造项目竣工环境保护验收报告意见》。</w:t>
            </w:r>
          </w:p>
          <w:p w14:paraId="791F0B0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cs="Times New Roman"/>
                <w:b/>
                <w:color w:val="auto"/>
                <w:sz w:val="72"/>
                <w:szCs w:val="72"/>
                <w:highlight w:val="none"/>
                <w:lang w:val="en-US"/>
              </w:rPr>
            </w:pPr>
            <w:r>
              <w:rPr>
                <w:rFonts w:hint="default" w:ascii="Times New Roman" w:hAnsi="Times New Roman" w:eastAsia="宋体" w:cs="Times New Roman"/>
                <w:b w:val="0"/>
                <w:bCs/>
                <w:color w:val="auto"/>
                <w:sz w:val="24"/>
                <w:szCs w:val="24"/>
                <w:highlight w:val="none"/>
              </w:rPr>
              <w:t>为了进一步合理开发利用深部地质资源，</w:t>
            </w:r>
            <w:r>
              <w:rPr>
                <w:rFonts w:hint="default" w:ascii="Times New Roman" w:hAnsi="Times New Roman" w:eastAsia="宋体" w:cs="Times New Roman"/>
                <w:b w:val="0"/>
                <w:bCs/>
                <w:color w:val="auto"/>
                <w:sz w:val="24"/>
                <w:szCs w:val="24"/>
                <w:highlight w:val="none"/>
                <w:lang w:val="en-US" w:eastAsia="zh-CN"/>
              </w:rPr>
              <w:t>2025年8月编制完成《内蒙古太平矿业有限公司浩尧尔忽洞金矿年开采825万吨金矿石建设项目</w:t>
            </w:r>
            <w:r>
              <w:rPr>
                <w:rFonts w:hint="default" w:ascii="Times New Roman" w:hAnsi="Times New Roman" w:eastAsia="宋体" w:cs="Times New Roman"/>
                <w:b w:val="0"/>
                <w:bCs/>
                <w:color w:val="auto"/>
                <w:sz w:val="24"/>
                <w:szCs w:val="24"/>
                <w:highlight w:val="none"/>
                <w:lang w:bidi="ar"/>
              </w:rPr>
              <w:t>环境影响报告书</w:t>
            </w:r>
            <w:r>
              <w:rPr>
                <w:rFonts w:hint="default" w:ascii="Times New Roman" w:hAnsi="Times New Roman" w:eastAsia="宋体" w:cs="Times New Roman"/>
                <w:b w:val="0"/>
                <w:bCs/>
                <w:color w:val="auto"/>
                <w:sz w:val="24"/>
                <w:szCs w:val="24"/>
                <w:highlight w:val="none"/>
                <w:lang w:val="en-US" w:eastAsia="zh-CN"/>
              </w:rPr>
              <w:t>》，并取得巴彦淖尔市生态环境局出具的该报告书的批复意见，文号为巴环审</w:t>
            </w:r>
            <w:r>
              <w:rPr>
                <w:rFonts w:hint="eastAsia" w:ascii="Times New Roman" w:hAnsi="Times New Roman" w:eastAsia="宋体" w:cs="Times New Roman"/>
                <w:b w:val="0"/>
                <w:bCs/>
                <w:color w:val="auto"/>
                <w:sz w:val="24"/>
                <w:szCs w:val="24"/>
                <w:highlight w:val="none"/>
                <w:lang w:val="en-US" w:eastAsia="zh-CN"/>
              </w:rPr>
              <w:t>〔2025〕22号</w:t>
            </w:r>
            <w:r>
              <w:rPr>
                <w:rFonts w:hint="default" w:ascii="Times New Roman" w:hAnsi="Times New Roman" w:eastAsia="宋体" w:cs="Times New Roman"/>
                <w:b w:val="0"/>
                <w:bCs/>
                <w:color w:val="auto"/>
                <w:sz w:val="24"/>
                <w:szCs w:val="24"/>
                <w:highlight w:val="none"/>
                <w:lang w:val="en-US" w:eastAsia="zh-CN"/>
              </w:rPr>
              <w:t>，目前该项目正在建设中。</w:t>
            </w:r>
          </w:p>
          <w:p w14:paraId="30F4F15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现有300m</w:t>
            </w:r>
            <w:r>
              <w:rPr>
                <w:rFonts w:hint="default" w:ascii="Times New Roman" w:hAnsi="Times New Roman" w:cs="Times New Roman"/>
                <w:bCs/>
                <w:color w:val="auto"/>
                <w:sz w:val="24"/>
                <w:szCs w:val="24"/>
                <w:highlight w:val="none"/>
                <w:vertAlign w:val="superscript"/>
                <w:lang w:val="en-US" w:eastAsia="zh-CN"/>
              </w:rPr>
              <w:t>2</w:t>
            </w:r>
            <w:r>
              <w:rPr>
                <w:rFonts w:hint="default" w:ascii="Times New Roman" w:hAnsi="Times New Roman" w:cs="Times New Roman"/>
                <w:bCs/>
                <w:color w:val="auto"/>
                <w:sz w:val="24"/>
                <w:szCs w:val="24"/>
                <w:highlight w:val="none"/>
                <w:lang w:val="en-US" w:eastAsia="zh-CN"/>
              </w:rPr>
              <w:t>危废暂存库由原590m</w:t>
            </w:r>
            <w:r>
              <w:rPr>
                <w:rFonts w:hint="default" w:ascii="Times New Roman" w:hAnsi="Times New Roman" w:cs="Times New Roman"/>
                <w:bCs/>
                <w:color w:val="auto"/>
                <w:sz w:val="24"/>
                <w:szCs w:val="24"/>
                <w:highlight w:val="none"/>
                <w:vertAlign w:val="superscript"/>
                <w:lang w:val="en-US" w:eastAsia="zh-CN"/>
              </w:rPr>
              <w:t>2</w:t>
            </w:r>
            <w:r>
              <w:rPr>
                <w:rFonts w:hint="default" w:ascii="Times New Roman" w:hAnsi="Times New Roman" w:cs="Times New Roman"/>
                <w:bCs/>
                <w:color w:val="auto"/>
                <w:sz w:val="24"/>
                <w:szCs w:val="24"/>
                <w:highlight w:val="none"/>
                <w:lang w:val="en-US" w:eastAsia="zh-CN"/>
              </w:rPr>
              <w:t>闲置氰化钠库的300m</w:t>
            </w:r>
            <w:r>
              <w:rPr>
                <w:rFonts w:hint="default" w:ascii="Times New Roman" w:hAnsi="Times New Roman" w:cs="Times New Roman"/>
                <w:bCs/>
                <w:color w:val="auto"/>
                <w:sz w:val="24"/>
                <w:szCs w:val="24"/>
                <w:highlight w:val="none"/>
                <w:vertAlign w:val="superscript"/>
                <w:lang w:val="en-US" w:eastAsia="zh-CN"/>
              </w:rPr>
              <w:t>2</w:t>
            </w:r>
            <w:r>
              <w:rPr>
                <w:rFonts w:hint="default" w:ascii="Times New Roman" w:hAnsi="Times New Roman" w:cs="Times New Roman"/>
                <w:bCs/>
                <w:color w:val="auto"/>
                <w:sz w:val="24"/>
                <w:szCs w:val="24"/>
                <w:highlight w:val="none"/>
                <w:lang w:val="en-US" w:eastAsia="zh-CN"/>
              </w:rPr>
              <w:t>改造而来，存放载金碳和灰皿，本次扩建项目将剩余的290m</w:t>
            </w:r>
            <w:r>
              <w:rPr>
                <w:rFonts w:hint="default" w:ascii="Times New Roman" w:hAnsi="Times New Roman" w:cs="Times New Roman"/>
                <w:bCs/>
                <w:color w:val="auto"/>
                <w:sz w:val="24"/>
                <w:szCs w:val="24"/>
                <w:highlight w:val="none"/>
                <w:vertAlign w:val="superscript"/>
                <w:lang w:val="en-US" w:eastAsia="zh-CN"/>
              </w:rPr>
              <w:t>2</w:t>
            </w:r>
            <w:r>
              <w:rPr>
                <w:rFonts w:hint="default" w:ascii="Times New Roman" w:hAnsi="Times New Roman" w:cs="Times New Roman"/>
                <w:bCs/>
                <w:color w:val="auto"/>
                <w:sz w:val="24"/>
                <w:szCs w:val="24"/>
                <w:highlight w:val="none"/>
                <w:lang w:val="en-US" w:eastAsia="zh-CN"/>
              </w:rPr>
              <w:t>氰化钠库进行改造，改造后作为危废暂存库使用，分区存放</w:t>
            </w:r>
            <w:r>
              <w:rPr>
                <w:rFonts w:hint="default" w:ascii="Times New Roman" w:hAnsi="Times New Roman" w:eastAsia="宋体" w:cs="Times New Roman"/>
                <w:color w:val="auto"/>
                <w:kern w:val="0"/>
                <w:sz w:val="24"/>
                <w:szCs w:val="24"/>
                <w:highlight w:val="none"/>
                <w:lang w:val="en-US" w:eastAsia="zh-CN" w:bidi="ar-SA"/>
              </w:rPr>
              <w:t>载金碳粉</w:t>
            </w:r>
            <w:r>
              <w:rPr>
                <w:rFonts w:hint="eastAsia" w:ascii="Times New Roman" w:hAnsi="Times New Roman" w:eastAsia="宋体" w:cs="Times New Roman"/>
                <w:color w:val="auto"/>
                <w:kern w:val="0"/>
                <w:sz w:val="24"/>
                <w:szCs w:val="24"/>
                <w:highlight w:val="none"/>
                <w:lang w:val="en-US" w:eastAsia="zh-CN" w:bidi="ar-SA"/>
              </w:rPr>
              <w:t>、废</w:t>
            </w:r>
            <w:r>
              <w:rPr>
                <w:rFonts w:hint="default" w:ascii="Times New Roman" w:hAnsi="Times New Roman" w:eastAsia="宋体" w:cs="Times New Roman"/>
                <w:color w:val="auto"/>
                <w:kern w:val="0"/>
                <w:sz w:val="24"/>
                <w:szCs w:val="24"/>
                <w:highlight w:val="none"/>
                <w:lang w:val="en-US" w:eastAsia="zh-CN" w:bidi="ar-SA"/>
              </w:rPr>
              <w:t>灰皿</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cs="Times New Roman"/>
                <w:color w:val="auto"/>
                <w:sz w:val="24"/>
                <w:szCs w:val="24"/>
                <w:highlight w:val="none"/>
                <w:vertAlign w:val="baseline"/>
                <w:lang w:val="en-US" w:eastAsia="zh-CN"/>
              </w:rPr>
              <w:t>废油漆、废油漆桶、废旧电瓶、废烧碱袋、废滤袋、</w:t>
            </w:r>
            <w:r>
              <w:rPr>
                <w:rFonts w:hint="eastAsia" w:ascii="Times New Roman" w:hAnsi="Times New Roman" w:eastAsia="宋体" w:cs="Times New Roman"/>
                <w:color w:val="auto"/>
                <w:kern w:val="24"/>
                <w:sz w:val="24"/>
                <w:szCs w:val="24"/>
                <w:highlight w:val="none"/>
                <w:lang w:val="en-US" w:eastAsia="zh-CN" w:bidi="ar"/>
              </w:rPr>
              <w:t>药剂瓶/药剂废包装</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eastAsia="宋体" w:cs="Times New Roman"/>
                <w:color w:val="auto"/>
                <w:kern w:val="24"/>
                <w:sz w:val="24"/>
                <w:szCs w:val="24"/>
                <w:highlight w:val="none"/>
                <w:lang w:val="en-US" w:eastAsia="zh-CN" w:bidi="ar"/>
              </w:rPr>
              <w:t>沾染实验药品的废消耗品</w:t>
            </w:r>
            <w:r>
              <w:rPr>
                <w:rFonts w:hint="default" w:ascii="Times New Roman" w:hAnsi="Times New Roman" w:cs="Times New Roman"/>
                <w:color w:val="auto"/>
                <w:sz w:val="24"/>
                <w:szCs w:val="24"/>
                <w:highlight w:val="none"/>
                <w:vertAlign w:val="baseline"/>
                <w:lang w:val="en-US" w:eastAsia="zh-CN"/>
              </w:rPr>
              <w:t>、</w:t>
            </w:r>
            <w:r>
              <w:rPr>
                <w:rFonts w:hint="eastAsia" w:ascii="Times New Roman" w:hAnsi="Times New Roman" w:cs="Times New Roman"/>
                <w:color w:val="auto"/>
                <w:sz w:val="24"/>
                <w:szCs w:val="24"/>
                <w:highlight w:val="none"/>
                <w:lang w:val="en-US" w:eastAsia="zh-CN"/>
              </w:rPr>
              <w:t>试金灰吹系统除尘灰</w:t>
            </w:r>
            <w:r>
              <w:rPr>
                <w:rFonts w:hint="default" w:ascii="Times New Roman" w:hAnsi="Times New Roman" w:cs="Times New Roman"/>
                <w:color w:val="auto"/>
                <w:sz w:val="24"/>
                <w:szCs w:val="24"/>
                <w:highlight w:val="none"/>
                <w:lang w:val="en-US" w:eastAsia="zh-CN"/>
              </w:rPr>
              <w:t>、水喷淋装置尘泥</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eastAsia="宋体" w:cs="Times New Roman"/>
                <w:color w:val="auto"/>
                <w:sz w:val="24"/>
                <w:szCs w:val="24"/>
                <w:highlight w:val="none"/>
              </w:rPr>
              <w:t>废SDG吸附剂</w:t>
            </w:r>
            <w:r>
              <w:rPr>
                <w:rFonts w:hint="default" w:ascii="Times New Roman" w:hAnsi="Times New Roman" w:cs="Times New Roman"/>
                <w:bCs/>
                <w:color w:val="auto"/>
                <w:sz w:val="24"/>
                <w:szCs w:val="24"/>
                <w:highlight w:val="none"/>
                <w:lang w:val="en-US" w:eastAsia="zh-CN"/>
              </w:rPr>
              <w:t>。</w:t>
            </w:r>
          </w:p>
          <w:p w14:paraId="7AC0477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根据《中华人民共和国环境保护法》（中华人民共和国主席令第九号，2015年1月1日起施行）、《中华人民共和国环境影响评价法》（中华人民共和国主席令第四十八号，2018年12月29日第二次修正）和《建设项目环境影响评价分类管理名录（2021年版）》（中华人民共和国生态环境部令第16号）的有关规定，本项目属于</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b w:val="0"/>
                <w:bCs w:val="0"/>
                <w:color w:val="auto"/>
                <w:sz w:val="24"/>
                <w:szCs w:val="24"/>
                <w:shd w:val="clear" w:color="auto" w:fill="auto"/>
                <w:vertAlign w:val="baseline"/>
                <w:lang w:val="en-US" w:eastAsia="zh-CN"/>
              </w:rPr>
              <w:t>四十七，生态保护和环境治理业—101、危险废物（不含医疗废物）利用及处置—其他</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类别，本项目应编制环境影响报告表。</w:t>
            </w:r>
            <w:r>
              <w:rPr>
                <w:rFonts w:hint="default" w:ascii="Times New Roman" w:hAnsi="Times New Roman" w:cs="Times New Roman"/>
                <w:color w:val="auto"/>
                <w:sz w:val="24"/>
                <w:szCs w:val="24"/>
                <w:highlight w:val="none"/>
                <w:lang w:val="en-US" w:eastAsia="zh-CN"/>
              </w:rPr>
              <w:t>内蒙古太平矿业有限公司</w:t>
            </w:r>
            <w:r>
              <w:rPr>
                <w:rFonts w:hint="default" w:ascii="Times New Roman" w:hAnsi="Times New Roman" w:eastAsia="宋体" w:cs="Times New Roman"/>
                <w:color w:val="auto"/>
                <w:sz w:val="24"/>
                <w:szCs w:val="24"/>
                <w:highlight w:val="none"/>
                <w:lang w:val="en-US" w:eastAsia="zh-CN"/>
              </w:rPr>
              <w:t>委托内蒙古洁力环保科技有限公司</w:t>
            </w:r>
            <w:r>
              <w:rPr>
                <w:rStyle w:val="78"/>
                <w:rFonts w:hint="default" w:ascii="Times New Roman" w:hAnsi="Times New Roman" w:eastAsia="宋体" w:cs="Times New Roman"/>
                <w:color w:val="auto"/>
                <w:sz w:val="24"/>
                <w:szCs w:val="24"/>
                <w:highlight w:val="none"/>
              </w:rPr>
              <w:t>承担本项目的环境影响评价报告表的编制工作（委托书见附件1）。我</w:t>
            </w:r>
            <w:r>
              <w:rPr>
                <w:rStyle w:val="78"/>
                <w:rFonts w:hint="default" w:ascii="Times New Roman" w:hAnsi="Times New Roman" w:eastAsia="宋体" w:cs="Times New Roman"/>
                <w:color w:val="auto"/>
                <w:sz w:val="24"/>
                <w:szCs w:val="24"/>
                <w:highlight w:val="none"/>
                <w:lang w:val="en-US"/>
              </w:rPr>
              <w:t>公司</w:t>
            </w:r>
            <w:r>
              <w:rPr>
                <w:rStyle w:val="78"/>
                <w:rFonts w:hint="default" w:ascii="Times New Roman" w:hAnsi="Times New Roman" w:eastAsia="宋体" w:cs="Times New Roman"/>
                <w:color w:val="auto"/>
                <w:sz w:val="24"/>
                <w:szCs w:val="24"/>
                <w:highlight w:val="none"/>
              </w:rPr>
              <w:t>接受委托后，随即组织有关技术人员进行了实地踏勘，根据环境影响评价技术导则及有关规范编制完成了本项目的环境影响报告表，</w:t>
            </w:r>
            <w:r>
              <w:rPr>
                <w:rFonts w:hint="default" w:ascii="Times New Roman" w:hAnsi="Times New Roman" w:eastAsia="宋体" w:cs="Times New Roman"/>
                <w:color w:val="auto"/>
                <w:sz w:val="24"/>
                <w:szCs w:val="24"/>
                <w:highlight w:val="none"/>
                <w:lang w:val="en-US" w:eastAsia="zh-CN" w:bidi="ar-SA"/>
              </w:rPr>
              <w:t>现上报审批。</w:t>
            </w:r>
          </w:p>
          <w:p w14:paraId="2A66D39C">
            <w:pPr>
              <w:numPr>
                <w:ilvl w:val="0"/>
                <w:numId w:val="0"/>
              </w:numPr>
              <w:spacing w:line="360" w:lineRule="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val="en-US" w:eastAsia="zh-CN"/>
              </w:rPr>
              <w:t>二、现有</w:t>
            </w:r>
            <w:r>
              <w:rPr>
                <w:rFonts w:hint="default" w:ascii="Times New Roman" w:hAnsi="Times New Roman" w:eastAsia="宋体" w:cs="Times New Roman"/>
                <w:b/>
                <w:bCs/>
                <w:color w:val="auto"/>
                <w:sz w:val="24"/>
                <w:szCs w:val="24"/>
                <w:highlight w:val="none"/>
                <w:lang w:eastAsia="zh-CN"/>
              </w:rPr>
              <w:t>项目</w:t>
            </w:r>
            <w:r>
              <w:rPr>
                <w:rFonts w:hint="default" w:ascii="Times New Roman" w:hAnsi="Times New Roman" w:eastAsia="宋体" w:cs="Times New Roman"/>
                <w:b/>
                <w:bCs/>
                <w:color w:val="auto"/>
                <w:sz w:val="24"/>
                <w:szCs w:val="24"/>
                <w:highlight w:val="none"/>
                <w:lang w:val="en-US" w:eastAsia="zh-CN"/>
              </w:rPr>
              <w:t>概况</w:t>
            </w:r>
          </w:p>
          <w:p w14:paraId="78BF7415">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现有工程项目组成</w:t>
            </w:r>
          </w:p>
          <w:p w14:paraId="62EAE6A5">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公司现有项目为</w:t>
            </w:r>
            <w:r>
              <w:rPr>
                <w:rFonts w:hint="default" w:ascii="Times New Roman" w:hAnsi="Times New Roman" w:eastAsia="宋体" w:cs="Times New Roman"/>
                <w:b w:val="0"/>
                <w:bCs/>
                <w:color w:val="auto"/>
                <w:sz w:val="24"/>
                <w:szCs w:val="24"/>
                <w:highlight w:val="none"/>
              </w:rPr>
              <w:t>危废暂存库改造项目</w:t>
            </w:r>
            <w:r>
              <w:rPr>
                <w:rFonts w:hint="default"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危废暂存库改造项目</w:t>
            </w:r>
            <w:r>
              <w:rPr>
                <w:rFonts w:hint="default" w:ascii="Times New Roman" w:hAnsi="Times New Roman" w:eastAsia="宋体" w:cs="Times New Roman"/>
                <w:b w:val="0"/>
                <w:bCs/>
                <w:color w:val="auto"/>
                <w:sz w:val="24"/>
                <w:szCs w:val="24"/>
                <w:highlight w:val="none"/>
                <w:lang w:val="en-US" w:eastAsia="zh-CN"/>
              </w:rPr>
              <w:t>现有</w:t>
            </w:r>
            <w:r>
              <w:rPr>
                <w:rFonts w:hint="default" w:ascii="Times New Roman" w:hAnsi="Times New Roman" w:cs="Times New Roman"/>
                <w:color w:val="auto"/>
                <w:sz w:val="24"/>
                <w:szCs w:val="24"/>
                <w:lang w:val="en-US" w:eastAsia="zh-CN"/>
              </w:rPr>
              <w:t>工程内容见下表。</w:t>
            </w:r>
          </w:p>
          <w:p w14:paraId="01B42D96">
            <w:pPr>
              <w:pStyle w:val="55"/>
              <w:spacing w:line="240" w:lineRule="auto"/>
              <w:ind w:left="0" w:leftChars="0" w:firstLine="0" w:firstLineChars="0"/>
              <w:jc w:val="center"/>
              <w:outlineLvl w:val="1"/>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表</w:t>
            </w:r>
            <w:r>
              <w:rPr>
                <w:rFonts w:hint="default" w:ascii="Times New Roman" w:hAnsi="Times New Roman" w:eastAsia="宋体" w:cs="Times New Roman"/>
                <w:b/>
                <w:bCs w:val="0"/>
                <w:color w:val="auto"/>
                <w:sz w:val="21"/>
                <w:szCs w:val="21"/>
                <w:highlight w:val="none"/>
                <w:lang w:val="en-US" w:eastAsia="zh-CN"/>
              </w:rPr>
              <w:t>2-1</w:t>
            </w:r>
            <w:r>
              <w:rPr>
                <w:rFonts w:hint="default" w:ascii="Times New Roman" w:hAnsi="Times New Roman" w:eastAsia="宋体" w:cs="Times New Roman"/>
                <w:b/>
                <w:bCs w:val="0"/>
                <w:color w:val="auto"/>
                <w:sz w:val="21"/>
                <w:szCs w:val="21"/>
                <w:highlight w:val="none"/>
              </w:rPr>
              <w:t xml:space="preserve"> 危废暂存库改造项目</w:t>
            </w:r>
            <w:r>
              <w:rPr>
                <w:rFonts w:hint="default" w:ascii="Times New Roman" w:hAnsi="Times New Roman" w:eastAsia="宋体" w:cs="Times New Roman"/>
                <w:b/>
                <w:bCs w:val="0"/>
                <w:color w:val="auto"/>
                <w:sz w:val="21"/>
                <w:szCs w:val="21"/>
                <w:highlight w:val="none"/>
                <w:lang w:val="en-US" w:eastAsia="zh-CN"/>
              </w:rPr>
              <w:t>现有</w:t>
            </w:r>
            <w:r>
              <w:rPr>
                <w:rFonts w:hint="default" w:ascii="Times New Roman" w:hAnsi="Times New Roman" w:cs="Times New Roman"/>
                <w:b/>
                <w:bCs w:val="0"/>
                <w:color w:val="auto"/>
                <w:sz w:val="21"/>
                <w:szCs w:val="21"/>
                <w:lang w:val="en-US" w:eastAsia="zh-CN"/>
              </w:rPr>
              <w:t>工程内容</w:t>
            </w:r>
            <w:r>
              <w:rPr>
                <w:rFonts w:hint="default" w:ascii="Times New Roman" w:hAnsi="Times New Roman" w:eastAsia="宋体" w:cs="Times New Roman"/>
                <w:b/>
                <w:bCs w:val="0"/>
                <w:color w:val="auto"/>
                <w:sz w:val="21"/>
                <w:szCs w:val="21"/>
                <w:highlight w:val="none"/>
              </w:rPr>
              <w:t>一览</w:t>
            </w:r>
            <w:r>
              <w:commentReference w:id="1"/>
            </w:r>
            <w:r>
              <w:rPr>
                <w:rFonts w:hint="default" w:ascii="Times New Roman" w:hAnsi="Times New Roman" w:eastAsia="宋体" w:cs="Times New Roman"/>
                <w:b/>
                <w:bCs w:val="0"/>
                <w:color w:val="auto"/>
                <w:sz w:val="21"/>
                <w:szCs w:val="21"/>
                <w:highlight w:val="none"/>
              </w:rPr>
              <w:t>表</w:t>
            </w:r>
          </w:p>
          <w:tbl>
            <w:tblPr>
              <w:tblStyle w:val="25"/>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921"/>
              <w:gridCol w:w="1141"/>
              <w:gridCol w:w="6352"/>
            </w:tblGrid>
            <w:tr w14:paraId="4AFC523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tcBorders>
                    <w:tl2br w:val="nil"/>
                    <w:tr2bl w:val="nil"/>
                  </w:tcBorders>
                  <w:noWrap w:val="0"/>
                  <w:vAlign w:val="center"/>
                </w:tcPr>
                <w:p w14:paraId="7944136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4452" w:type="pct"/>
                  <w:gridSpan w:val="2"/>
                  <w:tcBorders>
                    <w:tl2br w:val="nil"/>
                    <w:tr2bl w:val="nil"/>
                  </w:tcBorders>
                  <w:noWrap w:val="0"/>
                  <w:vAlign w:val="center"/>
                </w:tcPr>
                <w:p w14:paraId="0058640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项目主要建设内容</w:t>
                  </w:r>
                </w:p>
              </w:tc>
            </w:tr>
            <w:tr w14:paraId="004BE8A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tcBorders>
                    <w:tl2br w:val="nil"/>
                    <w:tr2bl w:val="nil"/>
                  </w:tcBorders>
                  <w:noWrap w:val="0"/>
                  <w:vAlign w:val="center"/>
                </w:tcPr>
                <w:p w14:paraId="5E81FBB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主体</w:t>
                  </w:r>
                </w:p>
                <w:p w14:paraId="7BAA780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678" w:type="pct"/>
                  <w:tcBorders>
                    <w:tl2br w:val="nil"/>
                    <w:tr2bl w:val="nil"/>
                  </w:tcBorders>
                  <w:noWrap w:val="0"/>
                  <w:vAlign w:val="center"/>
                </w:tcPr>
                <w:p w14:paraId="361298A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危废暂存库</w:t>
                  </w:r>
                </w:p>
              </w:tc>
              <w:tc>
                <w:tcPr>
                  <w:tcW w:w="3774" w:type="pct"/>
                  <w:tcBorders>
                    <w:tl2br w:val="nil"/>
                    <w:tr2bl w:val="nil"/>
                  </w:tcBorders>
                  <w:noWrap w:val="0"/>
                  <w:vAlign w:val="center"/>
                </w:tcPr>
                <w:p w14:paraId="40F7A74D">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设有危废暂存库1座，全封闭彩钢结构，面积300m</w:t>
                  </w:r>
                  <w:r>
                    <w:rPr>
                      <w:rFonts w:hint="default" w:ascii="Times New Roman" w:hAnsi="Times New Roman" w:eastAsia="宋体" w:cs="Times New Roman"/>
                      <w:color w:val="auto"/>
                      <w:kern w:val="0"/>
                      <w:sz w:val="21"/>
                      <w:szCs w:val="21"/>
                      <w:highlight w:val="none"/>
                      <w:vertAlign w:val="super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，地面铺设2mm厚HDPE防渗膜，混凝土硬化，上做压光水泥地面保护层并涂刷环氧树脂防护层，渗透系数≤10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cm/s，裙角（0.4m 高度）采用墙面铺贴HDPE防渗膜并涂刷环氧树脂防护层作为防渗措施，渗透系数≤10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库内使用混凝土底座+彩钢结构作为隔断分隔出单独区域分别存放载金碳粉及灰皿。贮存设施、包装袋等按照HJ1276要求设置标志、标识。危废暂存间内四周留设200mm×200m贯通沟道作为导流槽，并与墙外1座容积2.4m</w:t>
                  </w:r>
                  <w:r>
                    <w:rPr>
                      <w:rFonts w:hint="default" w:ascii="Times New Roman" w:hAnsi="Times New Roman" w:eastAsia="宋体" w:cs="Times New Roman"/>
                      <w:color w:val="auto"/>
                      <w:kern w:val="0"/>
                      <w:sz w:val="21"/>
                      <w:szCs w:val="21"/>
                      <w:highlight w:val="none"/>
                      <w:vertAlign w:val="superscript"/>
                      <w:lang w:val="en-US" w:eastAsia="zh-CN" w:bidi="ar-SA"/>
                    </w:rPr>
                    <w:t>3</w:t>
                  </w:r>
                  <w:r>
                    <w:rPr>
                      <w:rFonts w:hint="default" w:ascii="Times New Roman" w:hAnsi="Times New Roman" w:eastAsia="宋体" w:cs="Times New Roman"/>
                      <w:color w:val="auto"/>
                      <w:kern w:val="0"/>
                      <w:sz w:val="21"/>
                      <w:szCs w:val="21"/>
                      <w:highlight w:val="none"/>
                      <w:lang w:val="en-US" w:eastAsia="zh-CN" w:bidi="ar-SA"/>
                    </w:rPr>
                    <w:t>密闭集液池联通，导流槽与集液池均采用混凝土基础+HDPE防渗膜防渗，渗透系数≤10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cm/s。库内配有干粉灭火器</w:t>
                  </w:r>
                </w:p>
              </w:tc>
            </w:tr>
            <w:tr w14:paraId="1AEA97D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vMerge w:val="restart"/>
                  <w:tcBorders>
                    <w:tl2br w:val="nil"/>
                    <w:tr2bl w:val="nil"/>
                  </w:tcBorders>
                  <w:noWrap w:val="0"/>
                  <w:vAlign w:val="center"/>
                </w:tcPr>
                <w:p w14:paraId="0B6DDD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w:t>
                  </w:r>
                </w:p>
                <w:p w14:paraId="006E6B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678" w:type="pct"/>
                  <w:tcBorders>
                    <w:tl2br w:val="nil"/>
                    <w:tr2bl w:val="nil"/>
                  </w:tcBorders>
                  <w:noWrap w:val="0"/>
                  <w:vAlign w:val="center"/>
                </w:tcPr>
                <w:p w14:paraId="0AFABE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供</w:t>
                  </w:r>
                  <w:r>
                    <w:rPr>
                      <w:rFonts w:hint="default" w:ascii="Times New Roman" w:hAnsi="Times New Roman" w:eastAsia="宋体" w:cs="Times New Roman"/>
                      <w:color w:val="auto"/>
                      <w:sz w:val="21"/>
                      <w:szCs w:val="21"/>
                      <w:highlight w:val="none"/>
                    </w:rPr>
                    <w:t>水</w:t>
                  </w:r>
                </w:p>
              </w:tc>
              <w:tc>
                <w:tcPr>
                  <w:tcW w:w="3774" w:type="pct"/>
                  <w:tcBorders>
                    <w:tl2br w:val="nil"/>
                    <w:tr2bl w:val="nil"/>
                  </w:tcBorders>
                  <w:noWrap w:val="0"/>
                  <w:vAlign w:val="center"/>
                </w:tcPr>
                <w:p w14:paraId="0C2725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项目不新增劳动定员且无需生产用水，故不新增生活用水及生产用水。</w:t>
                  </w:r>
                </w:p>
              </w:tc>
            </w:tr>
            <w:tr w14:paraId="6132182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vMerge w:val="continue"/>
                  <w:tcBorders>
                    <w:tl2br w:val="nil"/>
                    <w:tr2bl w:val="nil"/>
                  </w:tcBorders>
                  <w:noWrap w:val="0"/>
                  <w:vAlign w:val="center"/>
                </w:tcPr>
                <w:p w14:paraId="1D1F30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78" w:type="pct"/>
                  <w:tcBorders>
                    <w:tl2br w:val="nil"/>
                    <w:tr2bl w:val="nil"/>
                  </w:tcBorders>
                  <w:noWrap w:val="0"/>
                  <w:vAlign w:val="center"/>
                </w:tcPr>
                <w:p w14:paraId="3518C0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排水</w:t>
                  </w:r>
                </w:p>
              </w:tc>
              <w:tc>
                <w:tcPr>
                  <w:tcW w:w="3774" w:type="pct"/>
                  <w:tcBorders>
                    <w:tl2br w:val="nil"/>
                    <w:tr2bl w:val="nil"/>
                  </w:tcBorders>
                  <w:noWrap w:val="0"/>
                  <w:vAlign w:val="center"/>
                </w:tcPr>
                <w:p w14:paraId="1683A9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0000FF"/>
                      <w:sz w:val="21"/>
                      <w:szCs w:val="21"/>
                      <w:highlight w:val="none"/>
                      <w:lang w:val="en-US" w:eastAsia="zh-CN"/>
                    </w:rPr>
                    <w:t>无生产废水产生及排放，</w:t>
                  </w:r>
                  <w:r>
                    <w:rPr>
                      <w:rFonts w:hint="default" w:ascii="Times New Roman" w:hAnsi="Times New Roman" w:eastAsia="宋体" w:cs="Times New Roman"/>
                      <w:color w:val="0000FF"/>
                      <w:sz w:val="21"/>
                      <w:szCs w:val="21"/>
                      <w:highlight w:val="none"/>
                    </w:rPr>
                    <w:t>库外</w:t>
                  </w:r>
                  <w:r>
                    <w:rPr>
                      <w:rFonts w:hint="eastAsia" w:ascii="Times New Roman" w:hAnsi="Times New Roman" w:eastAsia="宋体" w:cs="Times New Roman"/>
                      <w:color w:val="0000FF"/>
                      <w:sz w:val="21"/>
                      <w:szCs w:val="21"/>
                      <w:highlight w:val="none"/>
                      <w:lang w:val="en-US" w:eastAsia="zh-CN"/>
                    </w:rPr>
                    <w:t>清净</w:t>
                  </w:r>
                  <w:r>
                    <w:rPr>
                      <w:rFonts w:hint="default" w:ascii="Times New Roman" w:hAnsi="Times New Roman" w:eastAsia="宋体" w:cs="Times New Roman"/>
                      <w:color w:val="0000FF"/>
                      <w:sz w:val="21"/>
                      <w:szCs w:val="21"/>
                      <w:highlight w:val="none"/>
                    </w:rPr>
                    <w:t>雨水</w:t>
                  </w:r>
                  <w:r>
                    <w:rPr>
                      <w:rFonts w:hint="eastAsia" w:ascii="Times New Roman" w:hAnsi="Times New Roman" w:eastAsia="宋体" w:cs="Times New Roman"/>
                      <w:color w:val="0000FF"/>
                      <w:sz w:val="21"/>
                      <w:szCs w:val="21"/>
                      <w:highlight w:val="none"/>
                      <w:lang w:val="en-US" w:eastAsia="zh-CN"/>
                    </w:rPr>
                    <w:t>自然排放</w:t>
                  </w:r>
                  <w:r>
                    <w:rPr>
                      <w:rFonts w:hint="default" w:ascii="Times New Roman" w:hAnsi="Times New Roman" w:eastAsia="宋体" w:cs="Times New Roman"/>
                      <w:color w:val="0000FF"/>
                      <w:sz w:val="21"/>
                      <w:szCs w:val="21"/>
                      <w:highlight w:val="none"/>
                    </w:rPr>
                    <w:t>。</w:t>
                  </w:r>
                </w:p>
              </w:tc>
            </w:tr>
            <w:tr w14:paraId="4238938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vMerge w:val="continue"/>
                  <w:tcBorders>
                    <w:tl2br w:val="nil"/>
                    <w:tr2bl w:val="nil"/>
                  </w:tcBorders>
                  <w:noWrap w:val="0"/>
                  <w:vAlign w:val="center"/>
                </w:tcPr>
                <w:p w14:paraId="2F2BB4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78" w:type="pct"/>
                  <w:tcBorders>
                    <w:tl2br w:val="nil"/>
                    <w:tr2bl w:val="nil"/>
                  </w:tcBorders>
                  <w:noWrap w:val="0"/>
                  <w:vAlign w:val="center"/>
                </w:tcPr>
                <w:p w14:paraId="64F2AF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通风</w:t>
                  </w:r>
                </w:p>
              </w:tc>
              <w:tc>
                <w:tcPr>
                  <w:tcW w:w="3774" w:type="pct"/>
                  <w:tcBorders>
                    <w:tl2br w:val="nil"/>
                    <w:tr2bl w:val="nil"/>
                  </w:tcBorders>
                  <w:noWrap w:val="0"/>
                  <w:vAlign w:val="center"/>
                </w:tcPr>
                <w:p w14:paraId="1F92B8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配置4台防爆轴流风机。</w:t>
                  </w:r>
                </w:p>
              </w:tc>
            </w:tr>
            <w:tr w14:paraId="6AE5DD8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vMerge w:val="continue"/>
                  <w:tcBorders>
                    <w:tl2br w:val="nil"/>
                    <w:tr2bl w:val="nil"/>
                  </w:tcBorders>
                  <w:noWrap w:val="0"/>
                  <w:vAlign w:val="center"/>
                </w:tcPr>
                <w:p w14:paraId="48F514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78" w:type="pct"/>
                  <w:tcBorders>
                    <w:tl2br w:val="nil"/>
                    <w:tr2bl w:val="nil"/>
                  </w:tcBorders>
                  <w:noWrap w:val="0"/>
                  <w:vAlign w:val="center"/>
                </w:tcPr>
                <w:p w14:paraId="4310FC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照明</w:t>
                  </w:r>
                </w:p>
              </w:tc>
              <w:tc>
                <w:tcPr>
                  <w:tcW w:w="3774" w:type="pct"/>
                  <w:tcBorders>
                    <w:tl2br w:val="nil"/>
                    <w:tr2bl w:val="nil"/>
                  </w:tcBorders>
                  <w:noWrap w:val="0"/>
                  <w:vAlign w:val="center"/>
                </w:tcPr>
                <w:p w14:paraId="6101FF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vertAlign w:val="baseline"/>
                      <w:lang w:val="en-US" w:eastAsia="zh-CN" w:bidi="ar"/>
                    </w:rPr>
                    <w:t>配置6</w:t>
                  </w:r>
                  <w:r>
                    <w:rPr>
                      <w:rFonts w:hint="eastAsia" w:ascii="Times New Roman" w:hAnsi="Times New Roman" w:eastAsia="宋体" w:cs="Times New Roman"/>
                      <w:color w:val="auto"/>
                      <w:kern w:val="0"/>
                      <w:sz w:val="21"/>
                      <w:szCs w:val="21"/>
                      <w:vertAlign w:val="baseline"/>
                      <w:lang w:val="en-US" w:eastAsia="zh-CN" w:bidi="ar"/>
                    </w:rPr>
                    <w:t>盏</w:t>
                  </w:r>
                  <w:r>
                    <w:rPr>
                      <w:rFonts w:hint="default" w:ascii="Times New Roman" w:hAnsi="Times New Roman" w:eastAsia="宋体" w:cs="Times New Roman"/>
                      <w:color w:val="auto"/>
                      <w:kern w:val="0"/>
                      <w:sz w:val="21"/>
                      <w:szCs w:val="21"/>
                      <w:vertAlign w:val="baseline"/>
                      <w:lang w:val="en-US" w:eastAsia="zh-CN" w:bidi="ar"/>
                    </w:rPr>
                    <w:t>防爆照明灯具。</w:t>
                  </w:r>
                </w:p>
              </w:tc>
            </w:tr>
            <w:tr w14:paraId="36BE0D3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vMerge w:val="continue"/>
                  <w:tcBorders>
                    <w:tl2br w:val="nil"/>
                    <w:tr2bl w:val="nil"/>
                  </w:tcBorders>
                  <w:noWrap w:val="0"/>
                  <w:vAlign w:val="center"/>
                </w:tcPr>
                <w:p w14:paraId="487402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78" w:type="pct"/>
                  <w:tcBorders>
                    <w:tl2br w:val="nil"/>
                    <w:tr2bl w:val="nil"/>
                  </w:tcBorders>
                  <w:noWrap w:val="0"/>
                  <w:vAlign w:val="center"/>
                </w:tcPr>
                <w:p w14:paraId="2B36E1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消防</w:t>
                  </w:r>
                </w:p>
              </w:tc>
              <w:tc>
                <w:tcPr>
                  <w:tcW w:w="3774" w:type="pct"/>
                  <w:tcBorders>
                    <w:tl2br w:val="nil"/>
                    <w:tr2bl w:val="nil"/>
                  </w:tcBorders>
                  <w:noWrap w:val="0"/>
                  <w:vAlign w:val="center"/>
                </w:tcPr>
                <w:p w14:paraId="7C959E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库内配置干粉灭火器。</w:t>
                  </w:r>
                </w:p>
              </w:tc>
            </w:tr>
            <w:tr w14:paraId="1FBFAF2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vMerge w:val="restart"/>
                  <w:tcBorders>
                    <w:tl2br w:val="nil"/>
                    <w:tr2bl w:val="nil"/>
                  </w:tcBorders>
                  <w:noWrap w:val="0"/>
                  <w:vAlign w:val="center"/>
                </w:tcPr>
                <w:p w14:paraId="0EE7113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环保工程</w:t>
                  </w:r>
                </w:p>
              </w:tc>
              <w:tc>
                <w:tcPr>
                  <w:tcW w:w="678" w:type="pct"/>
                  <w:tcBorders>
                    <w:tl2br w:val="nil"/>
                    <w:tr2bl w:val="nil"/>
                  </w:tcBorders>
                  <w:noWrap w:val="0"/>
                  <w:vAlign w:val="center"/>
                </w:tcPr>
                <w:p w14:paraId="7C478185">
                  <w:pPr>
                    <w:keepNext w:val="0"/>
                    <w:keepLines w:val="0"/>
                    <w:pageBreakBefore w:val="0"/>
                    <w:widowControl w:val="0"/>
                    <w:suppressLineNumbers w:val="0"/>
                    <w:tabs>
                      <w:tab w:val="left" w:pos="1260"/>
                    </w:tabs>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废气治理</w:t>
                  </w:r>
                </w:p>
              </w:tc>
              <w:tc>
                <w:tcPr>
                  <w:tcW w:w="3774" w:type="pct"/>
                  <w:tcBorders>
                    <w:tl2br w:val="nil"/>
                    <w:tr2bl w:val="nil"/>
                  </w:tcBorders>
                  <w:noWrap w:val="0"/>
                  <w:vAlign w:val="center"/>
                </w:tcPr>
                <w:p w14:paraId="2F443A8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运营期暂存的危险废物包括载金碳粉、灰皿，均为固体废物，且均采用密封包装，运营期库内无废气产生，库内设置轴流风机通风；运营期保持场内运输道路清洁、定期洒水抑尘、选用合格运输车辆等措施减少汽车尾气及运输扬尘产生。</w:t>
                  </w:r>
                </w:p>
              </w:tc>
            </w:tr>
            <w:tr w14:paraId="3288E49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vMerge w:val="continue"/>
                  <w:tcBorders>
                    <w:tl2br w:val="nil"/>
                    <w:tr2bl w:val="nil"/>
                  </w:tcBorders>
                  <w:noWrap w:val="0"/>
                  <w:vAlign w:val="center"/>
                </w:tcPr>
                <w:p w14:paraId="1C18166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78" w:type="pct"/>
                  <w:tcBorders>
                    <w:tl2br w:val="nil"/>
                    <w:tr2bl w:val="nil"/>
                  </w:tcBorders>
                  <w:noWrap w:val="0"/>
                  <w:vAlign w:val="center"/>
                </w:tcPr>
                <w:p w14:paraId="1985DCA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废水治理</w:t>
                  </w:r>
                </w:p>
              </w:tc>
              <w:tc>
                <w:tcPr>
                  <w:tcW w:w="3774" w:type="pct"/>
                  <w:tcBorders>
                    <w:tl2br w:val="nil"/>
                    <w:tr2bl w:val="nil"/>
                  </w:tcBorders>
                  <w:noWrap w:val="0"/>
                  <w:vAlign w:val="center"/>
                </w:tcPr>
                <w:p w14:paraId="1CA19E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6A1F3CF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vMerge w:val="continue"/>
                  <w:tcBorders>
                    <w:tl2br w:val="nil"/>
                    <w:tr2bl w:val="nil"/>
                  </w:tcBorders>
                  <w:noWrap w:val="0"/>
                  <w:vAlign w:val="center"/>
                </w:tcPr>
                <w:p w14:paraId="4CDC961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78" w:type="pct"/>
                  <w:tcBorders>
                    <w:tl2br w:val="nil"/>
                    <w:tr2bl w:val="nil"/>
                  </w:tcBorders>
                  <w:noWrap w:val="0"/>
                  <w:vAlign w:val="center"/>
                </w:tcPr>
                <w:p w14:paraId="3149B5A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噪声治理</w:t>
                  </w:r>
                </w:p>
              </w:tc>
              <w:tc>
                <w:tcPr>
                  <w:tcW w:w="3774" w:type="pct"/>
                  <w:tcBorders>
                    <w:tl2br w:val="nil"/>
                    <w:tr2bl w:val="nil"/>
                  </w:tcBorders>
                  <w:noWrap w:val="0"/>
                  <w:vAlign w:val="center"/>
                </w:tcPr>
                <w:p w14:paraId="7121AD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采取基础减震、厂房隔声等措施。</w:t>
                  </w:r>
                </w:p>
              </w:tc>
            </w:tr>
            <w:tr w14:paraId="5E3A065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vMerge w:val="continue"/>
                  <w:tcBorders>
                    <w:tl2br w:val="nil"/>
                    <w:tr2bl w:val="nil"/>
                  </w:tcBorders>
                  <w:noWrap w:val="0"/>
                  <w:vAlign w:val="center"/>
                </w:tcPr>
                <w:p w14:paraId="3CB1012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78" w:type="pct"/>
                  <w:tcBorders>
                    <w:tl2br w:val="nil"/>
                    <w:tr2bl w:val="nil"/>
                  </w:tcBorders>
                  <w:noWrap w:val="0"/>
                  <w:vAlign w:val="center"/>
                </w:tcPr>
                <w:p w14:paraId="20D4278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固废治理</w:t>
                  </w:r>
                </w:p>
              </w:tc>
              <w:tc>
                <w:tcPr>
                  <w:tcW w:w="3774" w:type="pct"/>
                  <w:tcBorders>
                    <w:tl2br w:val="nil"/>
                    <w:tr2bl w:val="nil"/>
                  </w:tcBorders>
                  <w:noWrap w:val="0"/>
                  <w:vAlign w:val="center"/>
                </w:tcPr>
                <w:p w14:paraId="44FBFC0E">
                  <w:pPr>
                    <w:pStyle w:val="11"/>
                    <w:keepNext w:val="0"/>
                    <w:keepLines w:val="0"/>
                    <w:pageBreakBefore w:val="0"/>
                    <w:widowControl w:val="0"/>
                    <w:numPr>
                      <w:ilvl w:val="0"/>
                      <w:numId w:val="0"/>
                    </w:numPr>
                    <w:suppressLineNumbers w:val="0"/>
                    <w:kinsoku/>
                    <w:wordWrap/>
                    <w:overflowPunct/>
                    <w:topLinePunct w:val="0"/>
                    <w:autoSpaceDE/>
                    <w:autoSpaceDN/>
                    <w:bidi w:val="0"/>
                    <w:snapToGrid/>
                    <w:spacing w:before="0" w:beforeAutospacing="0" w:after="0" w:afterAutospacing="0" w:line="240" w:lineRule="auto"/>
                    <w:ind w:leftChars="0" w:right="0" w:rightChars="0"/>
                    <w:jc w:val="both"/>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库内暂存的危险废物定期交由有资质单位处置。</w:t>
                  </w:r>
                </w:p>
              </w:tc>
            </w:tr>
            <w:tr w14:paraId="26CCA26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47" w:type="pct"/>
                  <w:vMerge w:val="continue"/>
                  <w:tcBorders>
                    <w:tl2br w:val="nil"/>
                    <w:tr2bl w:val="nil"/>
                  </w:tcBorders>
                  <w:noWrap w:val="0"/>
                  <w:vAlign w:val="center"/>
                </w:tcPr>
                <w:p w14:paraId="6087D18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78" w:type="pct"/>
                  <w:tcBorders>
                    <w:tl2br w:val="nil"/>
                    <w:tr2bl w:val="nil"/>
                  </w:tcBorders>
                  <w:noWrap w:val="0"/>
                  <w:vAlign w:val="center"/>
                </w:tcPr>
                <w:p w14:paraId="005B94A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防渗</w:t>
                  </w:r>
                </w:p>
              </w:tc>
              <w:tc>
                <w:tcPr>
                  <w:tcW w:w="3774" w:type="pct"/>
                  <w:tcBorders>
                    <w:tl2br w:val="nil"/>
                    <w:tr2bl w:val="nil"/>
                  </w:tcBorders>
                  <w:noWrap w:val="0"/>
                  <w:vAlign w:val="center"/>
                </w:tcPr>
                <w:p w14:paraId="3C3BA07F">
                  <w:pPr>
                    <w:pStyle w:val="11"/>
                    <w:keepNext w:val="0"/>
                    <w:keepLines w:val="0"/>
                    <w:pageBreakBefore w:val="0"/>
                    <w:widowControl w:val="0"/>
                    <w:numPr>
                      <w:ilvl w:val="0"/>
                      <w:numId w:val="0"/>
                    </w:numPr>
                    <w:suppressLineNumbers w:val="0"/>
                    <w:kinsoku/>
                    <w:wordWrap/>
                    <w:overflowPunct/>
                    <w:topLinePunct w:val="0"/>
                    <w:autoSpaceDE/>
                    <w:autoSpaceDN/>
                    <w:bidi w:val="0"/>
                    <w:snapToGrid/>
                    <w:spacing w:before="0" w:beforeAutospacing="0" w:after="0" w:afterAutospacing="0" w:line="240" w:lineRule="auto"/>
                    <w:ind w:leftChars="0" w:right="0" w:right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color w:val="auto"/>
                      <w:sz w:val="21"/>
                      <w:szCs w:val="21"/>
                    </w:rPr>
                    <w:t>库内地面、导流槽、密闭集液池等均采用混凝土基础，上覆2mm厚HDPE防渗膜，上做压光水泥地面并涂刷环氧树脂涂层，渗透系数≤10</w:t>
                  </w:r>
                  <w:r>
                    <w:rPr>
                      <w:rFonts w:hint="default" w:ascii="Times New Roman" w:hAnsi="Times New Roman" w:cs="Times New Roman"/>
                      <w:color w:val="auto"/>
                      <w:sz w:val="21"/>
                      <w:szCs w:val="21"/>
                      <w:vertAlign w:val="superscript"/>
                    </w:rPr>
                    <w:t>-10</w:t>
                  </w:r>
                  <w:r>
                    <w:rPr>
                      <w:rFonts w:hint="default" w:ascii="Times New Roman" w:hAnsi="Times New Roman" w:cs="Times New Roman"/>
                      <w:color w:val="auto"/>
                      <w:sz w:val="21"/>
                      <w:szCs w:val="21"/>
                    </w:rPr>
                    <w:t>cm/s。</w:t>
                  </w:r>
                </w:p>
              </w:tc>
            </w:tr>
          </w:tbl>
          <w:p w14:paraId="756B8027">
            <w:pPr>
              <w:pStyle w:val="55"/>
              <w:spacing w:line="240" w:lineRule="auto"/>
              <w:ind w:left="0" w:leftChars="0" w:firstLine="0" w:firstLineChars="0"/>
              <w:jc w:val="both"/>
              <w:outlineLvl w:val="1"/>
              <w:rPr>
                <w:rFonts w:hint="default"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2.</w:t>
            </w:r>
            <w:r>
              <w:rPr>
                <w:rFonts w:hint="default" w:ascii="Times New Roman" w:hAnsi="Times New Roman" w:eastAsia="宋体" w:cs="Times New Roman"/>
                <w:b/>
                <w:bCs w:val="0"/>
                <w:color w:val="auto"/>
                <w:sz w:val="21"/>
                <w:szCs w:val="21"/>
                <w:highlight w:val="none"/>
                <w:lang w:val="en-US" w:eastAsia="zh-CN"/>
              </w:rPr>
              <w:t>现有工程主要设备</w:t>
            </w:r>
          </w:p>
          <w:p w14:paraId="68486FB4">
            <w:pPr>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w:t>
            </w:r>
            <w:r>
              <w:rPr>
                <w:rFonts w:hint="default" w:ascii="Times New Roman" w:hAnsi="Times New Roman" w:cs="Times New Roman"/>
                <w:b/>
                <w:color w:val="auto"/>
                <w:sz w:val="21"/>
                <w:szCs w:val="21"/>
                <w:lang w:val="en-US" w:eastAsia="zh-CN"/>
              </w:rPr>
              <w:t>2</w:t>
            </w:r>
            <w:r>
              <w:rPr>
                <w:rFonts w:hint="default" w:ascii="Times New Roman" w:hAnsi="Times New Roman" w:cs="Times New Roman"/>
                <w:b/>
                <w:color w:val="auto"/>
                <w:sz w:val="21"/>
                <w:szCs w:val="21"/>
              </w:rPr>
              <w:t>-</w:t>
            </w:r>
            <w:r>
              <w:rPr>
                <w:rFonts w:hint="default" w:ascii="Times New Roman" w:hAnsi="Times New Roman" w:cs="Times New Roman"/>
                <w:b/>
                <w:color w:val="auto"/>
                <w:sz w:val="21"/>
                <w:szCs w:val="21"/>
                <w:lang w:val="en-US" w:eastAsia="zh-CN"/>
              </w:rPr>
              <w:t>2 现有</w:t>
            </w:r>
            <w:r>
              <w:rPr>
                <w:rFonts w:hint="default" w:ascii="Times New Roman" w:hAnsi="Times New Roman" w:cs="Times New Roman"/>
                <w:b/>
                <w:color w:val="auto"/>
                <w:sz w:val="21"/>
                <w:szCs w:val="21"/>
              </w:rPr>
              <w:t>主要生产设备一览表</w:t>
            </w:r>
          </w:p>
          <w:tbl>
            <w:tblPr>
              <w:tblStyle w:val="77"/>
              <w:tblW w:w="4999" w:type="pct"/>
              <w:tblInd w:w="-13"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120"/>
              <w:gridCol w:w="2714"/>
              <w:gridCol w:w="2569"/>
              <w:gridCol w:w="2012"/>
            </w:tblGrid>
            <w:tr w14:paraId="78463F0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01700D6B">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612" w:type="pct"/>
                  <w:tcBorders>
                    <w:tl2br w:val="nil"/>
                    <w:tr2bl w:val="nil"/>
                  </w:tcBorders>
                  <w:noWrap w:val="0"/>
                  <w:vAlign w:val="center"/>
                </w:tcPr>
                <w:p w14:paraId="132F9CE1">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设备名称</w:t>
                  </w:r>
                </w:p>
              </w:tc>
              <w:tc>
                <w:tcPr>
                  <w:tcW w:w="1526" w:type="pct"/>
                  <w:tcBorders>
                    <w:tl2br w:val="nil"/>
                    <w:tr2bl w:val="nil"/>
                  </w:tcBorders>
                  <w:noWrap w:val="0"/>
                  <w:vAlign w:val="center"/>
                </w:tcPr>
                <w:p w14:paraId="3A9779D3">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规格/型号</w:t>
                  </w:r>
                </w:p>
              </w:tc>
              <w:tc>
                <w:tcPr>
                  <w:tcW w:w="1195" w:type="pct"/>
                  <w:tcBorders>
                    <w:tl2br w:val="nil"/>
                    <w:tr2bl w:val="nil"/>
                  </w:tcBorders>
                  <w:noWrap w:val="0"/>
                  <w:vAlign w:val="center"/>
                </w:tcPr>
                <w:p w14:paraId="69027820">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数量</w:t>
                  </w:r>
                </w:p>
              </w:tc>
            </w:tr>
            <w:tr w14:paraId="412E94B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0ED041F6">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612" w:type="pct"/>
                  <w:tcBorders>
                    <w:tl2br w:val="nil"/>
                    <w:tr2bl w:val="nil"/>
                  </w:tcBorders>
                  <w:noWrap w:val="0"/>
                  <w:vAlign w:val="center"/>
                </w:tcPr>
                <w:p w14:paraId="03D2306A">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环氧树脂篦子（导流槽安装）</w:t>
                  </w:r>
                </w:p>
              </w:tc>
              <w:tc>
                <w:tcPr>
                  <w:tcW w:w="1526" w:type="pct"/>
                  <w:tcBorders>
                    <w:tl2br w:val="nil"/>
                    <w:tr2bl w:val="nil"/>
                  </w:tcBorders>
                  <w:noWrap w:val="0"/>
                  <w:vAlign w:val="center"/>
                </w:tcPr>
                <w:p w14:paraId="1209CB97">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宽 30cm× 120m</w:t>
                  </w:r>
                </w:p>
              </w:tc>
              <w:tc>
                <w:tcPr>
                  <w:tcW w:w="1195" w:type="pct"/>
                  <w:tcBorders>
                    <w:tl2br w:val="nil"/>
                    <w:tr2bl w:val="nil"/>
                  </w:tcBorders>
                  <w:noWrap w:val="0"/>
                  <w:vAlign w:val="center"/>
                </w:tcPr>
                <w:p w14:paraId="096A7403">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0BBB1B4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6A1D9C4D">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612" w:type="pct"/>
                  <w:tcBorders>
                    <w:tl2br w:val="nil"/>
                    <w:tr2bl w:val="nil"/>
                  </w:tcBorders>
                  <w:noWrap w:val="0"/>
                  <w:vAlign w:val="center"/>
                </w:tcPr>
                <w:p w14:paraId="5A8D7B2C">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轴流风机</w:t>
                  </w:r>
                </w:p>
              </w:tc>
              <w:tc>
                <w:tcPr>
                  <w:tcW w:w="1526" w:type="pct"/>
                  <w:tcBorders>
                    <w:tl2br w:val="nil"/>
                    <w:tr2bl w:val="nil"/>
                  </w:tcBorders>
                  <w:noWrap w:val="0"/>
                  <w:vAlign w:val="center"/>
                </w:tcPr>
                <w:p w14:paraId="42E7CC0B">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防爆</w:t>
                  </w:r>
                </w:p>
              </w:tc>
              <w:tc>
                <w:tcPr>
                  <w:tcW w:w="1195" w:type="pct"/>
                  <w:tcBorders>
                    <w:tl2br w:val="nil"/>
                    <w:tr2bl w:val="nil"/>
                  </w:tcBorders>
                  <w:noWrap w:val="0"/>
                  <w:vAlign w:val="center"/>
                </w:tcPr>
                <w:p w14:paraId="18EE8257">
                  <w:pPr>
                    <w:bidi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4</w:t>
                  </w:r>
                </w:p>
              </w:tc>
            </w:tr>
            <w:tr w14:paraId="5D41CBE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2793DD97">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612" w:type="pct"/>
                  <w:tcBorders>
                    <w:tl2br w:val="nil"/>
                    <w:tr2bl w:val="nil"/>
                  </w:tcBorders>
                  <w:noWrap w:val="0"/>
                  <w:vAlign w:val="center"/>
                </w:tcPr>
                <w:p w14:paraId="7079A940">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防爆灯</w:t>
                  </w:r>
                </w:p>
              </w:tc>
              <w:tc>
                <w:tcPr>
                  <w:tcW w:w="1526" w:type="pct"/>
                  <w:tcBorders>
                    <w:tl2br w:val="nil"/>
                    <w:tr2bl w:val="nil"/>
                  </w:tcBorders>
                  <w:noWrap w:val="0"/>
                  <w:vAlign w:val="center"/>
                </w:tcPr>
                <w:p w14:paraId="0702FFDA">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防爆</w:t>
                  </w:r>
                </w:p>
              </w:tc>
              <w:tc>
                <w:tcPr>
                  <w:tcW w:w="1195" w:type="pct"/>
                  <w:tcBorders>
                    <w:tl2br w:val="nil"/>
                    <w:tr2bl w:val="nil"/>
                  </w:tcBorders>
                  <w:noWrap w:val="0"/>
                  <w:vAlign w:val="center"/>
                </w:tcPr>
                <w:p w14:paraId="5F16D305">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r>
            <w:tr w14:paraId="60094D2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6679517C">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612" w:type="pct"/>
                  <w:tcBorders>
                    <w:tl2br w:val="nil"/>
                    <w:tr2bl w:val="nil"/>
                  </w:tcBorders>
                  <w:noWrap w:val="0"/>
                  <w:vAlign w:val="center"/>
                </w:tcPr>
                <w:p w14:paraId="1B3C1ED8">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观测窗</w:t>
                  </w:r>
                </w:p>
              </w:tc>
              <w:tc>
                <w:tcPr>
                  <w:tcW w:w="1526" w:type="pct"/>
                  <w:tcBorders>
                    <w:tl2br w:val="nil"/>
                    <w:tr2bl w:val="nil"/>
                  </w:tcBorders>
                  <w:noWrap w:val="0"/>
                  <w:vAlign w:val="center"/>
                </w:tcPr>
                <w:p w14:paraId="5DA742D1">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1m</w:t>
                  </w:r>
                  <w:r>
                    <w:rPr>
                      <w:rFonts w:hint="default" w:ascii="Times New Roman" w:hAnsi="Times New Roman" w:cs="Times New Roman"/>
                      <w:color w:val="auto"/>
                      <w:sz w:val="21"/>
                      <w:szCs w:val="21"/>
                      <w:vertAlign w:val="superscript"/>
                    </w:rPr>
                    <w:t>2</w:t>
                  </w:r>
                </w:p>
              </w:tc>
              <w:tc>
                <w:tcPr>
                  <w:tcW w:w="1195" w:type="pct"/>
                  <w:tcBorders>
                    <w:tl2br w:val="nil"/>
                    <w:tr2bl w:val="nil"/>
                  </w:tcBorders>
                  <w:noWrap w:val="0"/>
                  <w:vAlign w:val="center"/>
                </w:tcPr>
                <w:p w14:paraId="26F4C762">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3E89341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21CDD457">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612" w:type="pct"/>
                  <w:tcBorders>
                    <w:tl2br w:val="nil"/>
                    <w:tr2bl w:val="nil"/>
                  </w:tcBorders>
                  <w:noWrap w:val="0"/>
                  <w:vAlign w:val="center"/>
                </w:tcPr>
                <w:p w14:paraId="08B40F94">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防火门</w:t>
                  </w:r>
                </w:p>
              </w:tc>
              <w:tc>
                <w:tcPr>
                  <w:tcW w:w="1526" w:type="pct"/>
                  <w:tcBorders>
                    <w:tl2br w:val="nil"/>
                    <w:tr2bl w:val="nil"/>
                  </w:tcBorders>
                  <w:noWrap w:val="0"/>
                  <w:vAlign w:val="center"/>
                </w:tcPr>
                <w:p w14:paraId="0BC79808">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双人双锁（定制）</w:t>
                  </w:r>
                </w:p>
              </w:tc>
              <w:tc>
                <w:tcPr>
                  <w:tcW w:w="1195" w:type="pct"/>
                  <w:tcBorders>
                    <w:tl2br w:val="nil"/>
                    <w:tr2bl w:val="nil"/>
                  </w:tcBorders>
                  <w:noWrap w:val="0"/>
                  <w:vAlign w:val="center"/>
                </w:tcPr>
                <w:p w14:paraId="02132573">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3A25418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5B536895">
                  <w:pPr>
                    <w:bidi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6</w:t>
                  </w:r>
                </w:p>
              </w:tc>
              <w:tc>
                <w:tcPr>
                  <w:tcW w:w="1612" w:type="pct"/>
                  <w:tcBorders>
                    <w:tl2br w:val="nil"/>
                    <w:tr2bl w:val="nil"/>
                  </w:tcBorders>
                  <w:noWrap w:val="0"/>
                  <w:vAlign w:val="center"/>
                </w:tcPr>
                <w:p w14:paraId="183E56A9">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监控</w:t>
                  </w:r>
                </w:p>
              </w:tc>
              <w:tc>
                <w:tcPr>
                  <w:tcW w:w="1526" w:type="pct"/>
                  <w:tcBorders>
                    <w:tl2br w:val="nil"/>
                    <w:tr2bl w:val="nil"/>
                  </w:tcBorders>
                  <w:noWrap w:val="0"/>
                  <w:vAlign w:val="center"/>
                </w:tcPr>
                <w:p w14:paraId="7C32247F">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海康</w:t>
                  </w:r>
                </w:p>
              </w:tc>
              <w:tc>
                <w:tcPr>
                  <w:tcW w:w="1195" w:type="pct"/>
                  <w:tcBorders>
                    <w:tl2br w:val="nil"/>
                    <w:tr2bl w:val="nil"/>
                  </w:tcBorders>
                  <w:noWrap w:val="0"/>
                  <w:vAlign w:val="center"/>
                </w:tcPr>
                <w:p w14:paraId="02BB20B7">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38CA5AC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763CFFD4">
                  <w:pPr>
                    <w:bidi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7</w:t>
                  </w:r>
                </w:p>
              </w:tc>
              <w:tc>
                <w:tcPr>
                  <w:tcW w:w="1612" w:type="pct"/>
                  <w:tcBorders>
                    <w:tl2br w:val="nil"/>
                    <w:tr2bl w:val="nil"/>
                  </w:tcBorders>
                  <w:noWrap w:val="0"/>
                  <w:vAlign w:val="center"/>
                </w:tcPr>
                <w:p w14:paraId="6D03E47D">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灭火器材</w:t>
                  </w:r>
                </w:p>
              </w:tc>
              <w:tc>
                <w:tcPr>
                  <w:tcW w:w="1526" w:type="pct"/>
                  <w:tcBorders>
                    <w:tl2br w:val="nil"/>
                    <w:tr2bl w:val="nil"/>
                  </w:tcBorders>
                  <w:noWrap w:val="0"/>
                  <w:vAlign w:val="center"/>
                </w:tcPr>
                <w:p w14:paraId="57F4F32A">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中为</w:t>
                  </w:r>
                </w:p>
              </w:tc>
              <w:tc>
                <w:tcPr>
                  <w:tcW w:w="1195" w:type="pct"/>
                  <w:tcBorders>
                    <w:tl2br w:val="nil"/>
                    <w:tr2bl w:val="nil"/>
                  </w:tcBorders>
                  <w:noWrap w:val="0"/>
                  <w:vAlign w:val="center"/>
                </w:tcPr>
                <w:p w14:paraId="2032E0C4">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bl>
          <w:p w14:paraId="7B25E1D0">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eastAsia="宋体"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lang w:val="en-US" w:eastAsia="zh-CN"/>
              </w:rPr>
              <w:t>现有工程危废暂存方案</w:t>
            </w:r>
          </w:p>
          <w:p w14:paraId="6D4729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本项目暂存的危险废物均为公司内部日常生产过程中产生，暂存方案见</w:t>
            </w:r>
            <w:r>
              <w:rPr>
                <w:rFonts w:hint="eastAsia" w:ascii="Times New Roman" w:hAnsi="Times New Roman" w:eastAsia="宋体" w:cs="Times New Roman"/>
                <w:color w:val="auto"/>
                <w:kern w:val="2"/>
                <w:sz w:val="24"/>
                <w:szCs w:val="24"/>
                <w:lang w:val="en-US" w:eastAsia="zh-CN" w:bidi="ar-SA"/>
              </w:rPr>
              <w:t>下</w:t>
            </w:r>
            <w:r>
              <w:rPr>
                <w:rFonts w:hint="default" w:ascii="Times New Roman" w:hAnsi="Times New Roman" w:eastAsia="宋体" w:cs="Times New Roman"/>
                <w:color w:val="auto"/>
                <w:kern w:val="2"/>
                <w:sz w:val="24"/>
                <w:szCs w:val="24"/>
                <w:lang w:val="en-US" w:eastAsia="zh-CN" w:bidi="ar-SA"/>
              </w:rPr>
              <w:t>表</w:t>
            </w:r>
            <w:r>
              <w:rPr>
                <w:rFonts w:hint="eastAsia" w:ascii="Times New Roman" w:hAnsi="Times New Roman" w:eastAsia="宋体" w:cs="Times New Roman"/>
                <w:color w:val="auto"/>
                <w:kern w:val="2"/>
                <w:sz w:val="24"/>
                <w:szCs w:val="24"/>
                <w:lang w:val="en-US" w:eastAsia="zh-CN" w:bidi="ar-SA"/>
              </w:rPr>
              <w:t>。</w:t>
            </w:r>
          </w:p>
          <w:p w14:paraId="5457E3F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pacing w:val="-2"/>
              </w:rPr>
            </w:pPr>
            <w:r>
              <w:rPr>
                <w:rFonts w:hint="default" w:ascii="Times New Roman" w:hAnsi="Times New Roman" w:eastAsia="宋体" w:cs="Times New Roman"/>
                <w:b/>
                <w:bCs/>
                <w:color w:val="auto"/>
                <w:spacing w:val="-2"/>
              </w:rPr>
              <w:t>表</w:t>
            </w:r>
            <w:r>
              <w:rPr>
                <w:rFonts w:hint="default" w:ascii="Times New Roman" w:hAnsi="Times New Roman" w:eastAsia="宋体" w:cs="Times New Roman"/>
                <w:color w:val="auto"/>
                <w:spacing w:val="-54"/>
              </w:rPr>
              <w:t xml:space="preserve"> </w:t>
            </w:r>
            <w:r>
              <w:rPr>
                <w:rFonts w:hint="default" w:ascii="Times New Roman" w:hAnsi="Times New Roman" w:eastAsia="宋体" w:cs="Times New Roman"/>
                <w:b/>
                <w:bCs/>
                <w:color w:val="auto"/>
                <w:spacing w:val="-2"/>
              </w:rPr>
              <w:t>2-3</w:t>
            </w:r>
            <w:r>
              <w:rPr>
                <w:rFonts w:hint="default" w:ascii="Times New Roman" w:hAnsi="Times New Roman" w:eastAsia="宋体" w:cs="Times New Roman"/>
                <w:b/>
                <w:bCs/>
                <w:color w:val="auto"/>
                <w:spacing w:val="-2"/>
                <w:lang w:val="en-US" w:eastAsia="zh-CN"/>
              </w:rPr>
              <w:t xml:space="preserve"> </w:t>
            </w:r>
            <w:r>
              <w:rPr>
                <w:rFonts w:hint="default" w:ascii="Times New Roman" w:hAnsi="Times New Roman" w:eastAsia="宋体" w:cs="Times New Roman"/>
                <w:b/>
                <w:bCs/>
                <w:color w:val="auto"/>
                <w:spacing w:val="-2"/>
              </w:rPr>
              <w:t>危险废物暂存方案</w:t>
            </w:r>
          </w:p>
          <w:tbl>
            <w:tblPr>
              <w:tblStyle w:val="77"/>
              <w:tblW w:w="4998" w:type="pct"/>
              <w:tblInd w:w="-13"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2189"/>
              <w:gridCol w:w="2265"/>
              <w:gridCol w:w="1849"/>
              <w:gridCol w:w="2111"/>
            </w:tblGrid>
            <w:tr w14:paraId="1954C57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1300" w:type="pct"/>
                  <w:tcBorders>
                    <w:tl2br w:val="nil"/>
                    <w:tr2bl w:val="nil"/>
                  </w:tcBorders>
                  <w:noWrap w:val="0"/>
                  <w:vAlign w:val="center"/>
                </w:tcPr>
                <w:p w14:paraId="66F05840">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pacing w:val="7"/>
                      <w:sz w:val="21"/>
                      <w:szCs w:val="21"/>
                    </w:rPr>
                    <w:t>物料名称</w:t>
                  </w:r>
                </w:p>
              </w:tc>
              <w:tc>
                <w:tcPr>
                  <w:tcW w:w="1345" w:type="pct"/>
                  <w:tcBorders>
                    <w:tl2br w:val="nil"/>
                    <w:tr2bl w:val="nil"/>
                  </w:tcBorders>
                  <w:noWrap w:val="0"/>
                  <w:vAlign w:val="center"/>
                </w:tcPr>
                <w:p w14:paraId="2A4C5146">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pacing w:val="4"/>
                      <w:sz w:val="21"/>
                      <w:szCs w:val="21"/>
                    </w:rPr>
                    <w:t>来源</w:t>
                  </w:r>
                </w:p>
              </w:tc>
              <w:tc>
                <w:tcPr>
                  <w:tcW w:w="1098" w:type="pct"/>
                  <w:tcBorders>
                    <w:tl2br w:val="nil"/>
                    <w:tr2bl w:val="nil"/>
                  </w:tcBorders>
                  <w:noWrap w:val="0"/>
                  <w:vAlign w:val="center"/>
                </w:tcPr>
                <w:p w14:paraId="44A54468">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pacing w:val="7"/>
                      <w:sz w:val="21"/>
                      <w:szCs w:val="21"/>
                    </w:rPr>
                    <w:t>年存储量</w:t>
                  </w:r>
                </w:p>
              </w:tc>
              <w:tc>
                <w:tcPr>
                  <w:tcW w:w="1254" w:type="pct"/>
                  <w:tcBorders>
                    <w:tl2br w:val="nil"/>
                    <w:tr2bl w:val="nil"/>
                  </w:tcBorders>
                  <w:noWrap w:val="0"/>
                  <w:vAlign w:val="center"/>
                </w:tcPr>
                <w:p w14:paraId="1265AE6C">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pacing w:val="7"/>
                      <w:sz w:val="21"/>
                      <w:szCs w:val="21"/>
                    </w:rPr>
                    <w:t>存储方式</w:t>
                  </w:r>
                </w:p>
              </w:tc>
            </w:tr>
            <w:tr w14:paraId="15B90AC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1300" w:type="pct"/>
                  <w:tcBorders>
                    <w:tl2br w:val="nil"/>
                    <w:tr2bl w:val="nil"/>
                  </w:tcBorders>
                  <w:noWrap w:val="0"/>
                  <w:vAlign w:val="center"/>
                </w:tcPr>
                <w:p w14:paraId="679C4E4D">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载金碳粉</w:t>
                  </w:r>
                </w:p>
              </w:tc>
              <w:tc>
                <w:tcPr>
                  <w:tcW w:w="1345" w:type="pct"/>
                  <w:tcBorders>
                    <w:tl2br w:val="nil"/>
                    <w:tr2bl w:val="nil"/>
                  </w:tcBorders>
                  <w:noWrap w:val="0"/>
                  <w:vAlign w:val="center"/>
                </w:tcPr>
                <w:p w14:paraId="1F005607">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选矿工序</w:t>
                  </w:r>
                </w:p>
              </w:tc>
              <w:tc>
                <w:tcPr>
                  <w:tcW w:w="1098" w:type="pct"/>
                  <w:tcBorders>
                    <w:tl2br w:val="nil"/>
                    <w:tr2bl w:val="nil"/>
                  </w:tcBorders>
                  <w:noWrap w:val="0"/>
                  <w:vAlign w:val="center"/>
                </w:tcPr>
                <w:p w14:paraId="07B97B0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500t</w:t>
                  </w:r>
                </w:p>
              </w:tc>
              <w:tc>
                <w:tcPr>
                  <w:tcW w:w="1254" w:type="pct"/>
                  <w:tcBorders>
                    <w:tl2br w:val="nil"/>
                    <w:tr2bl w:val="nil"/>
                  </w:tcBorders>
                  <w:noWrap w:val="0"/>
                  <w:vAlign w:val="center"/>
                </w:tcPr>
                <w:p w14:paraId="7E32BB63">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密闭吨袋包装</w:t>
                  </w:r>
                </w:p>
              </w:tc>
            </w:tr>
            <w:tr w14:paraId="26686E0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1300" w:type="pct"/>
                  <w:tcBorders>
                    <w:tl2br w:val="nil"/>
                    <w:tr2bl w:val="nil"/>
                  </w:tcBorders>
                  <w:noWrap w:val="0"/>
                  <w:vAlign w:val="center"/>
                </w:tcPr>
                <w:p w14:paraId="35CBE311">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灰皿</w:t>
                  </w:r>
                </w:p>
              </w:tc>
              <w:tc>
                <w:tcPr>
                  <w:tcW w:w="1345" w:type="pct"/>
                  <w:tcBorders>
                    <w:tl2br w:val="nil"/>
                    <w:tr2bl w:val="nil"/>
                  </w:tcBorders>
                  <w:noWrap w:val="0"/>
                  <w:vAlign w:val="center"/>
                </w:tcPr>
                <w:p w14:paraId="1A992BF9">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化验室</w:t>
                  </w:r>
                </w:p>
              </w:tc>
              <w:tc>
                <w:tcPr>
                  <w:tcW w:w="1098" w:type="pct"/>
                  <w:tcBorders>
                    <w:tl2br w:val="nil"/>
                    <w:tr2bl w:val="nil"/>
                  </w:tcBorders>
                  <w:noWrap w:val="0"/>
                  <w:vAlign w:val="center"/>
                </w:tcPr>
                <w:p w14:paraId="3786E4B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pacing w:val="-1"/>
                      <w:sz w:val="21"/>
                      <w:szCs w:val="21"/>
                      <w:lang w:val="en-US" w:eastAsia="zh-CN"/>
                    </w:rPr>
                    <w:t>10</w:t>
                  </w:r>
                  <w:r>
                    <w:rPr>
                      <w:rFonts w:hint="default" w:ascii="Times New Roman" w:hAnsi="Times New Roman" w:eastAsia="Times New Roman" w:cs="Times New Roman"/>
                      <w:color w:val="auto"/>
                      <w:spacing w:val="-1"/>
                      <w:sz w:val="21"/>
                      <w:szCs w:val="21"/>
                    </w:rPr>
                    <w:t>t</w:t>
                  </w:r>
                </w:p>
              </w:tc>
              <w:tc>
                <w:tcPr>
                  <w:tcW w:w="1254" w:type="pct"/>
                  <w:tcBorders>
                    <w:tl2br w:val="nil"/>
                    <w:tr2bl w:val="nil"/>
                  </w:tcBorders>
                  <w:noWrap w:val="0"/>
                  <w:vAlign w:val="center"/>
                </w:tcPr>
                <w:p w14:paraId="1D98DF2B">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袋装</w:t>
                  </w:r>
                </w:p>
              </w:tc>
            </w:tr>
          </w:tbl>
          <w:p w14:paraId="7508A2AF">
            <w:pPr>
              <w:pStyle w:val="76"/>
              <w:spacing w:before="28" w:line="219" w:lineRule="auto"/>
              <w:ind w:left="115"/>
              <w:rPr>
                <w:rFonts w:hint="default" w:ascii="Times New Roman" w:hAnsi="Times New Roman" w:cs="Times New Roman"/>
                <w:b/>
                <w:bCs/>
                <w:color w:val="auto"/>
                <w:spacing w:val="-5"/>
              </w:rPr>
            </w:pPr>
            <w:r>
              <w:rPr>
                <w:rFonts w:hint="default" w:ascii="Times New Roman" w:hAnsi="Times New Roman" w:eastAsia="Times New Roman" w:cs="Times New Roman"/>
                <w:b/>
                <w:bCs/>
                <w:color w:val="auto"/>
                <w:spacing w:val="-5"/>
              </w:rPr>
              <w:t>5</w:t>
            </w:r>
            <w:r>
              <w:rPr>
                <w:rFonts w:hint="default" w:ascii="Times New Roman" w:hAnsi="Times New Roman" w:eastAsia="Times New Roman" w:cs="Times New Roman"/>
                <w:b/>
                <w:bCs/>
                <w:color w:val="auto"/>
                <w:spacing w:val="-34"/>
              </w:rPr>
              <w:t xml:space="preserve"> </w:t>
            </w:r>
            <w:r>
              <w:rPr>
                <w:rFonts w:hint="default" w:ascii="Times New Roman" w:hAnsi="Times New Roman" w:cs="Times New Roman"/>
                <w:b/>
                <w:bCs/>
                <w:color w:val="auto"/>
                <w:spacing w:val="-5"/>
              </w:rPr>
              <w:t>、贮存废物危险特性</w:t>
            </w:r>
          </w:p>
          <w:p w14:paraId="3BC8749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bCs/>
                <w:color w:val="auto"/>
                <w:spacing w:val="-2"/>
              </w:rPr>
            </w:pPr>
            <w:r>
              <w:rPr>
                <w:rFonts w:hint="default" w:ascii="Times New Roman" w:hAnsi="Times New Roman" w:eastAsia="宋体" w:cs="Times New Roman"/>
                <w:b/>
                <w:bCs/>
                <w:color w:val="auto"/>
                <w:spacing w:val="-2"/>
              </w:rPr>
              <w:t>表 2-4危险废物特性一览表</w:t>
            </w:r>
          </w:p>
          <w:tbl>
            <w:tblPr>
              <w:tblStyle w:val="77"/>
              <w:tblW w:w="4998" w:type="pct"/>
              <w:tblInd w:w="-13"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702"/>
              <w:gridCol w:w="1922"/>
              <w:gridCol w:w="1162"/>
              <w:gridCol w:w="1397"/>
              <w:gridCol w:w="1061"/>
              <w:gridCol w:w="1170"/>
            </w:tblGrid>
            <w:tr w14:paraId="00CB9E6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454" w:hRule="atLeast"/>
              </w:trPr>
              <w:tc>
                <w:tcPr>
                  <w:tcW w:w="1011" w:type="pct"/>
                  <w:tcBorders>
                    <w:tl2br w:val="nil"/>
                    <w:tr2bl w:val="nil"/>
                  </w:tcBorders>
                  <w:noWrap w:val="0"/>
                  <w:vAlign w:val="center"/>
                </w:tcPr>
                <w:p w14:paraId="52CD2132">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类别</w:t>
                  </w:r>
                </w:p>
              </w:tc>
              <w:tc>
                <w:tcPr>
                  <w:tcW w:w="1142" w:type="pct"/>
                  <w:tcBorders>
                    <w:tl2br w:val="nil"/>
                    <w:tr2bl w:val="nil"/>
                  </w:tcBorders>
                  <w:noWrap w:val="0"/>
                  <w:vAlign w:val="center"/>
                </w:tcPr>
                <w:p w14:paraId="50AD783C">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行业来源</w:t>
                  </w:r>
                </w:p>
              </w:tc>
              <w:tc>
                <w:tcPr>
                  <w:tcW w:w="690" w:type="pct"/>
                  <w:tcBorders>
                    <w:tl2br w:val="nil"/>
                    <w:tr2bl w:val="nil"/>
                  </w:tcBorders>
                  <w:noWrap w:val="0"/>
                  <w:vAlign w:val="center"/>
                </w:tcPr>
                <w:p w14:paraId="75B2FFDD">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废物代码</w:t>
                  </w:r>
                </w:p>
              </w:tc>
              <w:tc>
                <w:tcPr>
                  <w:tcW w:w="830" w:type="pct"/>
                  <w:tcBorders>
                    <w:tl2br w:val="nil"/>
                    <w:tr2bl w:val="nil"/>
                  </w:tcBorders>
                  <w:noWrap w:val="0"/>
                  <w:vAlign w:val="center"/>
                </w:tcPr>
                <w:p w14:paraId="079F16DA">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危险废物</w:t>
                  </w:r>
                </w:p>
              </w:tc>
              <w:tc>
                <w:tcPr>
                  <w:tcW w:w="630" w:type="pct"/>
                  <w:tcBorders>
                    <w:tl2br w:val="nil"/>
                    <w:tr2bl w:val="nil"/>
                  </w:tcBorders>
                  <w:noWrap w:val="0"/>
                  <w:vAlign w:val="center"/>
                </w:tcPr>
                <w:p w14:paraId="45644BAF">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来源</w:t>
                  </w:r>
                </w:p>
              </w:tc>
              <w:tc>
                <w:tcPr>
                  <w:tcW w:w="695" w:type="pct"/>
                  <w:tcBorders>
                    <w:tl2br w:val="nil"/>
                    <w:tr2bl w:val="nil"/>
                  </w:tcBorders>
                  <w:noWrap w:val="0"/>
                  <w:vAlign w:val="center"/>
                </w:tcPr>
                <w:p w14:paraId="3375EA01">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危险特性</w:t>
                  </w:r>
                </w:p>
              </w:tc>
            </w:tr>
            <w:tr w14:paraId="7BE0DA7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1011" w:type="pct"/>
                  <w:tcBorders>
                    <w:tl2br w:val="nil"/>
                    <w:tr2bl w:val="nil"/>
                  </w:tcBorders>
                  <w:noWrap w:val="0"/>
                  <w:vAlign w:val="center"/>
                </w:tcPr>
                <w:p w14:paraId="046A6CA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HW33无机氰化物废物</w:t>
                  </w:r>
                </w:p>
              </w:tc>
              <w:tc>
                <w:tcPr>
                  <w:tcW w:w="1142" w:type="pct"/>
                  <w:tcBorders>
                    <w:tl2br w:val="nil"/>
                    <w:tr2bl w:val="nil"/>
                  </w:tcBorders>
                  <w:noWrap w:val="0"/>
                  <w:vAlign w:val="center"/>
                </w:tcPr>
                <w:p w14:paraId="619E2FE7">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贵金属矿采选</w:t>
                  </w:r>
                </w:p>
              </w:tc>
              <w:tc>
                <w:tcPr>
                  <w:tcW w:w="690" w:type="pct"/>
                  <w:tcBorders>
                    <w:tl2br w:val="nil"/>
                    <w:tr2bl w:val="nil"/>
                  </w:tcBorders>
                  <w:noWrap w:val="0"/>
                  <w:vAlign w:val="center"/>
                </w:tcPr>
                <w:p w14:paraId="74E18AD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092-003-33</w:t>
                  </w:r>
                </w:p>
              </w:tc>
              <w:tc>
                <w:tcPr>
                  <w:tcW w:w="830" w:type="pct"/>
                  <w:tcBorders>
                    <w:tl2br w:val="nil"/>
                    <w:tr2bl w:val="nil"/>
                  </w:tcBorders>
                  <w:noWrap w:val="0"/>
                  <w:vAlign w:val="center"/>
                </w:tcPr>
                <w:p w14:paraId="2E93C5B9">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载金碳粉</w:t>
                  </w:r>
                </w:p>
              </w:tc>
              <w:tc>
                <w:tcPr>
                  <w:tcW w:w="630" w:type="pct"/>
                  <w:tcBorders>
                    <w:tl2br w:val="nil"/>
                    <w:tr2bl w:val="nil"/>
                  </w:tcBorders>
                  <w:noWrap w:val="0"/>
                  <w:vAlign w:val="center"/>
                </w:tcPr>
                <w:p w14:paraId="2495B391">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选矿工序</w:t>
                  </w:r>
                </w:p>
              </w:tc>
              <w:tc>
                <w:tcPr>
                  <w:tcW w:w="695" w:type="pct"/>
                  <w:tcBorders>
                    <w:tl2br w:val="nil"/>
                    <w:tr2bl w:val="nil"/>
                  </w:tcBorders>
                  <w:noWrap w:val="0"/>
                  <w:vAlign w:val="center"/>
                </w:tcPr>
                <w:p w14:paraId="306058B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T</w:t>
                  </w:r>
                </w:p>
              </w:tc>
            </w:tr>
            <w:tr w14:paraId="09101C2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1011" w:type="pct"/>
                  <w:tcBorders>
                    <w:tl2br w:val="nil"/>
                    <w:tr2bl w:val="nil"/>
                  </w:tcBorders>
                  <w:noWrap w:val="0"/>
                  <w:vAlign w:val="center"/>
                </w:tcPr>
                <w:p w14:paraId="37F3A5C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HW31含铅废物</w:t>
                  </w:r>
                </w:p>
              </w:tc>
              <w:tc>
                <w:tcPr>
                  <w:tcW w:w="1142" w:type="pct"/>
                  <w:tcBorders>
                    <w:tl2br w:val="nil"/>
                    <w:tr2bl w:val="nil"/>
                  </w:tcBorders>
                  <w:noWrap w:val="0"/>
                  <w:vAlign w:val="center"/>
                </w:tcPr>
                <w:p w14:paraId="5EF0F24D">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工艺美术及礼仪用品制造</w:t>
                  </w:r>
                  <w:r>
                    <w:commentReference w:id="2"/>
                  </w:r>
                </w:p>
              </w:tc>
              <w:tc>
                <w:tcPr>
                  <w:tcW w:w="690" w:type="pct"/>
                  <w:tcBorders>
                    <w:tl2br w:val="nil"/>
                    <w:tr2bl w:val="nil"/>
                  </w:tcBorders>
                  <w:noWrap w:val="0"/>
                  <w:vAlign w:val="center"/>
                </w:tcPr>
                <w:p w14:paraId="3A8EF22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243-001-31</w:t>
                  </w:r>
                </w:p>
              </w:tc>
              <w:tc>
                <w:tcPr>
                  <w:tcW w:w="830" w:type="pct"/>
                  <w:tcBorders>
                    <w:tl2br w:val="nil"/>
                    <w:tr2bl w:val="nil"/>
                  </w:tcBorders>
                  <w:noWrap w:val="0"/>
                  <w:vAlign w:val="center"/>
                </w:tcPr>
                <w:p w14:paraId="699F49FC">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灰皿（含铅）</w:t>
                  </w:r>
                </w:p>
              </w:tc>
              <w:tc>
                <w:tcPr>
                  <w:tcW w:w="630" w:type="pct"/>
                  <w:tcBorders>
                    <w:tl2br w:val="nil"/>
                    <w:tr2bl w:val="nil"/>
                  </w:tcBorders>
                  <w:noWrap w:val="0"/>
                  <w:vAlign w:val="center"/>
                </w:tcPr>
                <w:p w14:paraId="4997ED3B">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化验室</w:t>
                  </w:r>
                </w:p>
              </w:tc>
              <w:tc>
                <w:tcPr>
                  <w:tcW w:w="695" w:type="pct"/>
                  <w:tcBorders>
                    <w:tl2br w:val="nil"/>
                    <w:tr2bl w:val="nil"/>
                  </w:tcBorders>
                  <w:noWrap w:val="0"/>
                  <w:vAlign w:val="center"/>
                </w:tcPr>
                <w:p w14:paraId="5078B6D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T</w:t>
                  </w:r>
                </w:p>
              </w:tc>
            </w:tr>
          </w:tbl>
          <w:p w14:paraId="4A5FBC6C">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三、扩建项目概况</w:t>
            </w:r>
          </w:p>
          <w:p w14:paraId="0B5DC4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1.工程概况</w:t>
            </w:r>
          </w:p>
          <w:p w14:paraId="505B81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（1）项目名称：</w:t>
            </w:r>
            <w:r>
              <w:rPr>
                <w:rFonts w:hint="eastAsia" w:ascii="Times New Roman" w:hAnsi="Times New Roman" w:eastAsia="宋体" w:cs="Times New Roman"/>
                <w:b w:val="0"/>
                <w:bCs w:val="0"/>
                <w:color w:val="auto"/>
                <w:kern w:val="2"/>
                <w:sz w:val="24"/>
                <w:szCs w:val="24"/>
                <w:highlight w:val="none"/>
                <w:lang w:val="en-US" w:eastAsia="zh-CN" w:bidi="ar-SA"/>
              </w:rPr>
              <w:t>内蒙古太平矿业有限公司危废暂存库扩建项目</w:t>
            </w:r>
          </w:p>
          <w:p w14:paraId="2E8F176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（2）建设单位：</w:t>
            </w:r>
            <w:r>
              <w:rPr>
                <w:rFonts w:hint="default" w:ascii="Times New Roman" w:hAnsi="Times New Roman" w:eastAsia="宋体" w:cs="Times New Roman"/>
                <w:b w:val="0"/>
                <w:bCs w:val="0"/>
                <w:color w:val="auto"/>
                <w:kern w:val="2"/>
                <w:sz w:val="24"/>
                <w:szCs w:val="24"/>
                <w:highlight w:val="none"/>
                <w:lang w:val="en-US" w:eastAsia="zh-CN" w:bidi="ar-SA"/>
              </w:rPr>
              <w:t>内蒙古太平矿业有限公司</w:t>
            </w:r>
          </w:p>
          <w:p w14:paraId="25BE1B9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（3）项目性质：扩建</w:t>
            </w:r>
          </w:p>
          <w:p w14:paraId="5A81CD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（4）建设地点：本期工程位于</w:t>
            </w:r>
            <w:r>
              <w:rPr>
                <w:rFonts w:hint="default" w:ascii="Times New Roman" w:hAnsi="Times New Roman" w:eastAsia="宋体" w:cs="Times New Roman"/>
                <w:b w:val="0"/>
                <w:bCs w:val="0"/>
                <w:color w:val="auto"/>
                <w:kern w:val="2"/>
                <w:sz w:val="24"/>
                <w:szCs w:val="24"/>
                <w:highlight w:val="none"/>
                <w:lang w:val="en-US" w:eastAsia="zh-CN" w:bidi="ar-SA"/>
              </w:rPr>
              <w:t>内蒙古太平矿业有限公司现有厂区内</w:t>
            </w:r>
            <w:r>
              <w:rPr>
                <w:rFonts w:hint="default" w:ascii="Times New Roman" w:hAnsi="Times New Roman" w:eastAsia="宋体" w:cs="Times New Roman"/>
                <w:color w:val="auto"/>
                <w:sz w:val="24"/>
                <w:szCs w:val="24"/>
                <w:lang w:val="en-US" w:eastAsia="zh-CN"/>
              </w:rPr>
              <w:t>，危废暂存库中心坐标为</w:t>
            </w:r>
            <w:r>
              <w:rPr>
                <w:rFonts w:hint="default" w:ascii="Times New Roman" w:hAnsi="Times New Roman" w:eastAsia="宋体" w:cs="Times New Roman"/>
                <w:b w:val="0"/>
                <w:bCs w:val="0"/>
                <w:color w:val="auto"/>
                <w:kern w:val="2"/>
                <w:sz w:val="24"/>
                <w:szCs w:val="24"/>
                <w:highlight w:val="none"/>
                <w:lang w:val="en-US" w:eastAsia="zh-CN" w:bidi="ar-SA"/>
              </w:rPr>
              <w:t>东经：</w:t>
            </w:r>
            <w:r>
              <w:rPr>
                <w:rFonts w:hint="default" w:ascii="Times New Roman" w:hAnsi="Times New Roman" w:eastAsia="宋体" w:cs="Times New Roman"/>
                <w:b w:val="0"/>
                <w:bCs w:val="0"/>
                <w:color w:val="auto"/>
                <w:sz w:val="24"/>
                <w:szCs w:val="24"/>
                <w:u w:val="none"/>
                <w:shd w:val="clear" w:color="auto" w:fill="auto"/>
                <w:vertAlign w:val="baseline"/>
                <w:lang w:eastAsia="zh-CN"/>
              </w:rPr>
              <w:t>东经10</w:t>
            </w:r>
            <w:r>
              <w:rPr>
                <w:rFonts w:hint="default" w:ascii="Times New Roman" w:hAnsi="Times New Roman" w:eastAsia="宋体" w:cs="Times New Roman"/>
                <w:b w:val="0"/>
                <w:bCs w:val="0"/>
                <w:color w:val="auto"/>
                <w:sz w:val="24"/>
                <w:szCs w:val="24"/>
                <w:u w:val="none"/>
                <w:shd w:val="clear" w:color="auto" w:fill="auto"/>
                <w:vertAlign w:val="baseline"/>
                <w:lang w:val="en-US" w:eastAsia="zh-CN"/>
              </w:rPr>
              <w:t>9</w:t>
            </w:r>
            <w:r>
              <w:rPr>
                <w:rFonts w:hint="default" w:ascii="Times New Roman" w:hAnsi="Times New Roman" w:eastAsia="宋体" w:cs="Times New Roman"/>
                <w:b w:val="0"/>
                <w:bCs w:val="0"/>
                <w:color w:val="auto"/>
                <w:sz w:val="24"/>
                <w:szCs w:val="24"/>
                <w:u w:val="none"/>
                <w:shd w:val="clear" w:color="auto" w:fill="auto"/>
                <w:vertAlign w:val="baseline"/>
                <w:lang w:eastAsia="zh-CN"/>
              </w:rPr>
              <w:t>度</w:t>
            </w:r>
            <w:r>
              <w:rPr>
                <w:rFonts w:hint="default" w:ascii="Times New Roman" w:hAnsi="Times New Roman" w:eastAsia="宋体" w:cs="Times New Roman"/>
                <w:b w:val="0"/>
                <w:bCs w:val="0"/>
                <w:color w:val="auto"/>
                <w:sz w:val="24"/>
                <w:szCs w:val="24"/>
                <w:u w:val="none"/>
                <w:shd w:val="clear" w:color="auto" w:fill="auto"/>
                <w:vertAlign w:val="baseline"/>
                <w:lang w:val="en-US" w:eastAsia="zh-CN"/>
              </w:rPr>
              <w:t>15</w:t>
            </w:r>
            <w:r>
              <w:rPr>
                <w:rFonts w:hint="default" w:ascii="Times New Roman" w:hAnsi="Times New Roman" w:eastAsia="宋体" w:cs="Times New Roman"/>
                <w:b w:val="0"/>
                <w:bCs w:val="0"/>
                <w:color w:val="auto"/>
                <w:sz w:val="24"/>
                <w:szCs w:val="24"/>
                <w:u w:val="none"/>
                <w:shd w:val="clear" w:color="auto" w:fill="auto"/>
                <w:vertAlign w:val="baseline"/>
                <w:lang w:eastAsia="zh-CN"/>
              </w:rPr>
              <w:t>分</w:t>
            </w:r>
            <w:r>
              <w:rPr>
                <w:rFonts w:hint="default" w:ascii="Times New Roman" w:hAnsi="Times New Roman" w:eastAsia="宋体" w:cs="Times New Roman"/>
                <w:b w:val="0"/>
                <w:bCs w:val="0"/>
                <w:color w:val="auto"/>
                <w:sz w:val="24"/>
                <w:szCs w:val="24"/>
                <w:u w:val="none"/>
                <w:shd w:val="clear" w:color="auto" w:fill="auto"/>
                <w:vertAlign w:val="baseline"/>
                <w:lang w:val="en-US" w:eastAsia="zh-CN"/>
              </w:rPr>
              <w:t>37.69</w:t>
            </w:r>
            <w:r>
              <w:rPr>
                <w:rFonts w:hint="default" w:ascii="Times New Roman" w:hAnsi="Times New Roman" w:eastAsia="宋体" w:cs="Times New Roman"/>
                <w:b w:val="0"/>
                <w:bCs w:val="0"/>
                <w:color w:val="auto"/>
                <w:sz w:val="24"/>
                <w:szCs w:val="24"/>
                <w:u w:val="none"/>
                <w:shd w:val="clear" w:color="auto" w:fill="auto"/>
                <w:vertAlign w:val="baseline"/>
                <w:lang w:eastAsia="zh-CN"/>
              </w:rPr>
              <w:t>秒；北纬4</w:t>
            </w:r>
            <w:r>
              <w:rPr>
                <w:rFonts w:hint="default" w:ascii="Times New Roman" w:hAnsi="Times New Roman" w:eastAsia="宋体" w:cs="Times New Roman"/>
                <w:b w:val="0"/>
                <w:bCs w:val="0"/>
                <w:color w:val="auto"/>
                <w:sz w:val="24"/>
                <w:szCs w:val="24"/>
                <w:u w:val="none"/>
                <w:shd w:val="clear" w:color="auto" w:fill="auto"/>
                <w:vertAlign w:val="baseline"/>
                <w:lang w:val="en-US" w:eastAsia="zh-CN"/>
              </w:rPr>
              <w:t>1</w:t>
            </w:r>
            <w:r>
              <w:rPr>
                <w:rFonts w:hint="default" w:ascii="Times New Roman" w:hAnsi="Times New Roman" w:eastAsia="宋体" w:cs="Times New Roman"/>
                <w:b w:val="0"/>
                <w:bCs w:val="0"/>
                <w:color w:val="auto"/>
                <w:sz w:val="24"/>
                <w:szCs w:val="24"/>
                <w:u w:val="none"/>
                <w:shd w:val="clear" w:color="auto" w:fill="auto"/>
                <w:vertAlign w:val="baseline"/>
                <w:lang w:eastAsia="zh-CN"/>
              </w:rPr>
              <w:t>度</w:t>
            </w:r>
            <w:r>
              <w:rPr>
                <w:rFonts w:hint="default" w:ascii="Times New Roman" w:hAnsi="Times New Roman" w:eastAsia="宋体" w:cs="Times New Roman"/>
                <w:b w:val="0"/>
                <w:bCs w:val="0"/>
                <w:color w:val="auto"/>
                <w:sz w:val="24"/>
                <w:szCs w:val="24"/>
                <w:u w:val="none"/>
                <w:shd w:val="clear" w:color="auto" w:fill="auto"/>
                <w:vertAlign w:val="baseline"/>
                <w:lang w:val="en-US" w:eastAsia="zh-CN"/>
              </w:rPr>
              <w:t>38</w:t>
            </w:r>
            <w:r>
              <w:rPr>
                <w:rFonts w:hint="default" w:ascii="Times New Roman" w:hAnsi="Times New Roman" w:eastAsia="宋体" w:cs="Times New Roman"/>
                <w:b w:val="0"/>
                <w:bCs w:val="0"/>
                <w:color w:val="auto"/>
                <w:sz w:val="24"/>
                <w:szCs w:val="24"/>
                <w:u w:val="none"/>
                <w:shd w:val="clear" w:color="auto" w:fill="auto"/>
                <w:vertAlign w:val="baseline"/>
                <w:lang w:eastAsia="zh-CN"/>
              </w:rPr>
              <w:t>分</w:t>
            </w:r>
            <w:r>
              <w:rPr>
                <w:rFonts w:hint="default" w:ascii="Times New Roman" w:hAnsi="Times New Roman" w:eastAsia="宋体" w:cs="Times New Roman"/>
                <w:b w:val="0"/>
                <w:bCs w:val="0"/>
                <w:color w:val="auto"/>
                <w:sz w:val="24"/>
                <w:szCs w:val="24"/>
                <w:u w:val="none"/>
                <w:shd w:val="clear" w:color="auto" w:fill="auto"/>
                <w:vertAlign w:val="baseline"/>
                <w:lang w:val="en-US" w:eastAsia="zh-CN"/>
              </w:rPr>
              <w:t>29.36</w:t>
            </w:r>
            <w:r>
              <w:rPr>
                <w:rFonts w:hint="default" w:ascii="Times New Roman" w:hAnsi="Times New Roman" w:eastAsia="宋体" w:cs="Times New Roman"/>
                <w:b w:val="0"/>
                <w:bCs w:val="0"/>
                <w:color w:val="auto"/>
                <w:sz w:val="24"/>
                <w:szCs w:val="24"/>
                <w:u w:val="none"/>
                <w:shd w:val="clear" w:color="auto" w:fill="auto"/>
                <w:vertAlign w:val="baseline"/>
                <w:lang w:eastAsia="zh-CN"/>
              </w:rPr>
              <w:t>秒</w:t>
            </w:r>
            <w:r>
              <w:rPr>
                <w:rFonts w:hint="default" w:ascii="Times New Roman" w:hAnsi="Times New Roman" w:eastAsia="宋体" w:cs="Times New Roman"/>
                <w:color w:val="auto"/>
                <w:sz w:val="24"/>
                <w:szCs w:val="24"/>
                <w:u w:val="none"/>
                <w:lang w:val="en-US" w:eastAsia="zh-CN"/>
              </w:rPr>
              <w:t>。</w:t>
            </w:r>
          </w:p>
          <w:p w14:paraId="23855F9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（5）总投资：总投资 </w:t>
            </w:r>
            <w:r>
              <w:rPr>
                <w:rFonts w:hint="eastAsia" w:ascii="Times New Roman" w:hAnsi="Times New Roman" w:eastAsia="宋体" w:cs="Times New Roman"/>
                <w:color w:val="auto"/>
                <w:sz w:val="24"/>
                <w:szCs w:val="24"/>
                <w:lang w:val="en-US" w:eastAsia="zh-CN"/>
              </w:rPr>
              <w:t>30</w:t>
            </w:r>
            <w:r>
              <w:rPr>
                <w:rFonts w:hint="default" w:ascii="Times New Roman" w:hAnsi="Times New Roman" w:eastAsia="宋体" w:cs="Times New Roman"/>
                <w:color w:val="auto"/>
                <w:sz w:val="24"/>
                <w:szCs w:val="24"/>
                <w:lang w:val="en-US" w:eastAsia="zh-CN"/>
              </w:rPr>
              <w:t>万元。</w:t>
            </w:r>
          </w:p>
          <w:p w14:paraId="6FE28D2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（6）施工期：2 个月</w:t>
            </w:r>
          </w:p>
          <w:p w14:paraId="2FF350A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2.建设规模及内容</w:t>
            </w:r>
          </w:p>
          <w:p w14:paraId="3F107CE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现有剩余290m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闲置氰化钠库房，全封闭结构，采用混凝土基础，本次危废暂存库利用该氰化钠库房进行改造，在库内设置硬质隔断，并进行防渗施工，作为危废暂存库使用，用于建设单位日常生产过程中产生的</w:t>
            </w:r>
            <w:r>
              <w:rPr>
                <w:rFonts w:hint="eastAsia"/>
                <w:color w:val="auto"/>
                <w:sz w:val="24"/>
                <w:szCs w:val="24"/>
                <w:lang w:val="en-US" w:eastAsia="zh-CN"/>
              </w:rPr>
              <w:t>载金炭粉、废灰皿、</w:t>
            </w:r>
            <w:r>
              <w:rPr>
                <w:rFonts w:hint="default" w:ascii="Times New Roman" w:hAnsi="Times New Roman" w:cs="Times New Roman"/>
                <w:color w:val="auto"/>
                <w:sz w:val="24"/>
                <w:szCs w:val="24"/>
                <w:highlight w:val="none"/>
                <w:vertAlign w:val="baseline"/>
                <w:lang w:val="en-US" w:eastAsia="zh-CN"/>
              </w:rPr>
              <w:t>废油漆、废油漆桶、废旧电瓶、废烧碱袋、废滤袋、</w:t>
            </w:r>
            <w:r>
              <w:rPr>
                <w:rFonts w:hint="eastAsia" w:ascii="Times New Roman" w:hAnsi="Times New Roman" w:eastAsia="宋体" w:cs="Times New Roman"/>
                <w:color w:val="auto"/>
                <w:kern w:val="24"/>
                <w:sz w:val="24"/>
                <w:szCs w:val="24"/>
                <w:highlight w:val="none"/>
                <w:lang w:val="en-US" w:eastAsia="zh-CN" w:bidi="ar"/>
              </w:rPr>
              <w:t>药剂瓶/药剂废包装</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eastAsia="宋体" w:cs="Times New Roman"/>
                <w:color w:val="auto"/>
                <w:kern w:val="24"/>
                <w:sz w:val="24"/>
                <w:szCs w:val="24"/>
                <w:highlight w:val="none"/>
                <w:lang w:val="en-US" w:eastAsia="zh-CN" w:bidi="ar"/>
              </w:rPr>
              <w:t>沾染实验药品的废消耗品</w:t>
            </w:r>
            <w:r>
              <w:rPr>
                <w:rFonts w:hint="default" w:ascii="Times New Roman" w:hAnsi="Times New Roman" w:cs="Times New Roman"/>
                <w:color w:val="auto"/>
                <w:sz w:val="24"/>
                <w:szCs w:val="24"/>
                <w:highlight w:val="none"/>
                <w:vertAlign w:val="baseline"/>
                <w:lang w:val="en-US" w:eastAsia="zh-CN"/>
              </w:rPr>
              <w:t>、</w:t>
            </w:r>
            <w:r>
              <w:rPr>
                <w:rFonts w:hint="eastAsia" w:ascii="Times New Roman" w:hAnsi="Times New Roman" w:cs="Times New Roman"/>
                <w:color w:val="auto"/>
                <w:sz w:val="24"/>
                <w:szCs w:val="24"/>
                <w:highlight w:val="none"/>
                <w:lang w:val="en-US" w:eastAsia="zh-CN"/>
              </w:rPr>
              <w:t>试金灰吹系统除尘灰</w:t>
            </w:r>
            <w:r>
              <w:rPr>
                <w:rFonts w:hint="default" w:ascii="Times New Roman" w:hAnsi="Times New Roman" w:cs="Times New Roman"/>
                <w:color w:val="auto"/>
                <w:sz w:val="24"/>
                <w:szCs w:val="24"/>
                <w:highlight w:val="none"/>
                <w:lang w:val="en-US" w:eastAsia="zh-CN"/>
              </w:rPr>
              <w:t>、水喷淋装置尘泥</w:t>
            </w:r>
            <w:r>
              <w:rPr>
                <w:rFonts w:hint="default" w:ascii="Times New Roman" w:hAnsi="Times New Roman" w:cs="Times New Roman"/>
                <w:color w:val="auto"/>
                <w:sz w:val="24"/>
                <w:szCs w:val="24"/>
                <w:highlight w:val="none"/>
                <w:vertAlign w:val="baseline"/>
                <w:lang w:val="en-US" w:eastAsia="zh-CN"/>
              </w:rPr>
              <w:t>、</w:t>
            </w:r>
            <w:r>
              <w:rPr>
                <w:rFonts w:hint="default" w:ascii="Times New Roman" w:hAnsi="Times New Roman" w:eastAsia="宋体" w:cs="Times New Roman"/>
                <w:color w:val="auto"/>
                <w:sz w:val="24"/>
                <w:szCs w:val="24"/>
                <w:highlight w:val="none"/>
              </w:rPr>
              <w:t>废SDG吸附剂</w:t>
            </w:r>
            <w:r>
              <w:rPr>
                <w:rFonts w:hint="default" w:ascii="Times New Roman" w:hAnsi="Times New Roman" w:eastAsia="宋体" w:cs="Times New Roman"/>
                <w:color w:val="auto"/>
                <w:sz w:val="24"/>
                <w:szCs w:val="24"/>
                <w:lang w:val="en-US" w:eastAsia="zh-CN"/>
              </w:rPr>
              <w:t>等危险废物的暂存，其余公辅工程依托现有。</w:t>
            </w:r>
          </w:p>
          <w:p w14:paraId="6F0278B0">
            <w:pPr>
              <w:pStyle w:val="9"/>
              <w:keepNext w:val="0"/>
              <w:keepLines w:val="0"/>
              <w:pageBreakBefore w:val="0"/>
              <w:widowControl w:val="0"/>
              <w:kinsoku/>
              <w:wordWrap/>
              <w:overflowPunct/>
              <w:topLinePunct w:val="0"/>
              <w:autoSpaceDE/>
              <w:autoSpaceDN/>
              <w:bidi w:val="0"/>
              <w:adjustRightInd/>
              <w:snapToGrid/>
              <w:spacing w:before="0" w:line="24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2-5 扩建后危废暂存库</w:t>
            </w:r>
            <w:r>
              <w:rPr>
                <w:rFonts w:hint="default" w:ascii="Times New Roman" w:hAnsi="Times New Roman" w:cs="Times New Roman"/>
                <w:b/>
                <w:bCs/>
                <w:color w:val="auto"/>
                <w:sz w:val="21"/>
                <w:szCs w:val="21"/>
              </w:rPr>
              <w:t>项目建设内容一览表</w:t>
            </w:r>
          </w:p>
          <w:tbl>
            <w:tblPr>
              <w:tblStyle w:val="25"/>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57" w:type="dxa"/>
                <w:bottom w:w="0" w:type="dxa"/>
                <w:right w:w="57" w:type="dxa"/>
              </w:tblCellMar>
            </w:tblPr>
            <w:tblGrid>
              <w:gridCol w:w="420"/>
              <w:gridCol w:w="687"/>
              <w:gridCol w:w="3409"/>
              <w:gridCol w:w="2869"/>
              <w:gridCol w:w="1029"/>
            </w:tblGrid>
            <w:tr w14:paraId="7D18D74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454" w:hRule="atLeast"/>
                <w:jc w:val="center"/>
              </w:trPr>
              <w:tc>
                <w:tcPr>
                  <w:tcW w:w="250" w:type="pct"/>
                  <w:tcBorders>
                    <w:tl2br w:val="nil"/>
                    <w:tr2bl w:val="nil"/>
                  </w:tcBorders>
                  <w:noWrap w:val="0"/>
                  <w:vAlign w:val="center"/>
                </w:tcPr>
                <w:p w14:paraId="33C63FD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2433" w:type="pct"/>
                  <w:gridSpan w:val="2"/>
                  <w:tcBorders>
                    <w:tl2br w:val="nil"/>
                    <w:tr2bl w:val="nil"/>
                  </w:tcBorders>
                  <w:noWrap w:val="0"/>
                  <w:vAlign w:val="center"/>
                </w:tcPr>
                <w:p w14:paraId="51E47D6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现有工程</w:t>
                  </w:r>
                  <w:r>
                    <w:rPr>
                      <w:rFonts w:hint="default" w:ascii="Times New Roman" w:hAnsi="Times New Roman" w:eastAsia="宋体" w:cs="Times New Roman"/>
                      <w:b/>
                      <w:bCs/>
                      <w:color w:val="auto"/>
                      <w:sz w:val="21"/>
                      <w:szCs w:val="21"/>
                      <w:highlight w:val="none"/>
                    </w:rPr>
                    <w:t>主要建设内容</w:t>
                  </w:r>
                </w:p>
              </w:tc>
              <w:tc>
                <w:tcPr>
                  <w:tcW w:w="1704" w:type="pct"/>
                  <w:tcBorders>
                    <w:tl2br w:val="nil"/>
                    <w:tr2bl w:val="nil"/>
                  </w:tcBorders>
                  <w:noWrap w:val="0"/>
                  <w:vAlign w:val="center"/>
                </w:tcPr>
                <w:p w14:paraId="755F435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改建工程建设内容</w:t>
                  </w:r>
                </w:p>
              </w:tc>
              <w:tc>
                <w:tcPr>
                  <w:tcW w:w="611" w:type="pct"/>
                  <w:tcBorders>
                    <w:tl2br w:val="nil"/>
                    <w:tr2bl w:val="nil"/>
                  </w:tcBorders>
                  <w:noWrap w:val="0"/>
                  <w:vAlign w:val="center"/>
                </w:tcPr>
                <w:p w14:paraId="20A73C6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备注</w:t>
                  </w:r>
                </w:p>
              </w:tc>
            </w:tr>
            <w:tr w14:paraId="2DE94C8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jc w:val="center"/>
              </w:trPr>
              <w:tc>
                <w:tcPr>
                  <w:tcW w:w="250" w:type="pct"/>
                  <w:tcBorders>
                    <w:tl2br w:val="nil"/>
                    <w:tr2bl w:val="nil"/>
                  </w:tcBorders>
                  <w:noWrap w:val="0"/>
                  <w:vAlign w:val="center"/>
                </w:tcPr>
                <w:p w14:paraId="100E147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主体</w:t>
                  </w:r>
                </w:p>
                <w:p w14:paraId="429CB9A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408" w:type="pct"/>
                  <w:tcBorders>
                    <w:tl2br w:val="nil"/>
                    <w:tr2bl w:val="nil"/>
                  </w:tcBorders>
                  <w:noWrap w:val="0"/>
                  <w:vAlign w:val="center"/>
                </w:tcPr>
                <w:p w14:paraId="5338A36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危废暂存库</w:t>
                  </w:r>
                </w:p>
              </w:tc>
              <w:tc>
                <w:tcPr>
                  <w:tcW w:w="2025" w:type="pct"/>
                  <w:tcBorders>
                    <w:tl2br w:val="nil"/>
                    <w:tr2bl w:val="nil"/>
                  </w:tcBorders>
                  <w:noWrap w:val="0"/>
                  <w:vAlign w:val="center"/>
                </w:tcPr>
                <w:p w14:paraId="16CFC1F7">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设有危废暂存库1座，全封闭彩钢结构，面积300m</w:t>
                  </w:r>
                  <w:r>
                    <w:rPr>
                      <w:rFonts w:hint="default" w:ascii="Times New Roman" w:hAnsi="Times New Roman" w:eastAsia="宋体" w:cs="Times New Roman"/>
                      <w:color w:val="auto"/>
                      <w:kern w:val="0"/>
                      <w:sz w:val="21"/>
                      <w:szCs w:val="21"/>
                      <w:highlight w:val="none"/>
                      <w:vertAlign w:val="super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，地面铺设2mm厚HDPE防渗膜，混凝土硬化，上做压光水泥地面保护层并涂刷环氧树脂防护层，渗透系数≤10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cm/s，裙角（0.4m 高度）采用墙面铺贴HDPE防渗膜并涂刷环氧树脂防护层作为防渗措施，渗透系数≤10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库内使用混凝土底座+彩钢结构作为隔断分隔出单独区域分别存放载金碳粉及灰皿。贮存设施、包装袋等按照HJ1276要求设置标志、标识。危废暂存间内四周留设200mm×200m贯通沟道作为导流槽，并与墙外1座容积2.4m</w:t>
                  </w:r>
                  <w:r>
                    <w:rPr>
                      <w:rFonts w:hint="default" w:ascii="Times New Roman" w:hAnsi="Times New Roman" w:eastAsia="宋体" w:cs="Times New Roman"/>
                      <w:color w:val="auto"/>
                      <w:kern w:val="0"/>
                      <w:sz w:val="21"/>
                      <w:szCs w:val="21"/>
                      <w:highlight w:val="none"/>
                      <w:vertAlign w:val="superscript"/>
                      <w:lang w:val="en-US" w:eastAsia="zh-CN" w:bidi="ar-SA"/>
                    </w:rPr>
                    <w:t>3</w:t>
                  </w:r>
                  <w:r>
                    <w:rPr>
                      <w:rFonts w:hint="default" w:ascii="Times New Roman" w:hAnsi="Times New Roman" w:eastAsia="宋体" w:cs="Times New Roman"/>
                      <w:color w:val="auto"/>
                      <w:kern w:val="0"/>
                      <w:sz w:val="21"/>
                      <w:szCs w:val="21"/>
                      <w:highlight w:val="none"/>
                      <w:lang w:val="en-US" w:eastAsia="zh-CN" w:bidi="ar-SA"/>
                    </w:rPr>
                    <w:t>密闭集液池联通，导流槽与集液池均采用混凝土基础+HDPE防渗膜防渗，渗透系数≤10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cm/s。库内配有干粉灭火器</w:t>
                  </w:r>
                </w:p>
              </w:tc>
              <w:tc>
                <w:tcPr>
                  <w:tcW w:w="1704" w:type="pct"/>
                  <w:tcBorders>
                    <w:tl2br w:val="nil"/>
                    <w:tr2bl w:val="nil"/>
                  </w:tcBorders>
                  <w:noWrap w:val="0"/>
                  <w:vAlign w:val="center"/>
                </w:tcPr>
                <w:p w14:paraId="069E8908">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将原有闲置氰化钠库剩余290m</w:t>
                  </w:r>
                  <w:r>
                    <w:rPr>
                      <w:rFonts w:hint="default" w:ascii="Times New Roman" w:hAnsi="Times New Roman" w:eastAsia="宋体" w:cs="Times New Roman"/>
                      <w:color w:val="auto"/>
                      <w:kern w:val="0"/>
                      <w:sz w:val="21"/>
                      <w:szCs w:val="21"/>
                      <w:highlight w:val="none"/>
                      <w:vertAlign w:val="super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改建为危废暂存库，地面铺设2mm厚HDPE防渗膜，混凝土硬化，上做压光水泥地面保护层并涂刷环氧树脂防护层，渗透系数≤10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cm/s，裙角（0.4m高度）采用墙面铺贴HDPE防渗膜并涂刷环氧树脂防护层作为防渗措施，渗透系数≤10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cm/s。库内使用混凝土底座+彩钢结构作为隔断分隔出单独区域分别存放载金碳粉</w:t>
                  </w:r>
                  <w:r>
                    <w:rPr>
                      <w:rFonts w:hint="eastAsia" w:ascii="Times New Roman" w:hAnsi="Times New Roman" w:eastAsia="宋体" w:cs="Times New Roman"/>
                      <w:color w:val="auto"/>
                      <w:kern w:val="0"/>
                      <w:sz w:val="21"/>
                      <w:szCs w:val="21"/>
                      <w:highlight w:val="none"/>
                      <w:lang w:val="en-US" w:eastAsia="zh-CN" w:bidi="ar-SA"/>
                    </w:rPr>
                    <w:t>、废</w:t>
                  </w:r>
                  <w:r>
                    <w:rPr>
                      <w:rFonts w:hint="default" w:ascii="Times New Roman" w:hAnsi="Times New Roman" w:eastAsia="宋体" w:cs="Times New Roman"/>
                      <w:color w:val="auto"/>
                      <w:kern w:val="0"/>
                      <w:sz w:val="21"/>
                      <w:szCs w:val="21"/>
                      <w:highlight w:val="none"/>
                      <w:lang w:val="en-US" w:eastAsia="zh-CN" w:bidi="ar-SA"/>
                    </w:rPr>
                    <w:t>灰皿</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cs="Times New Roman"/>
                      <w:color w:val="auto"/>
                      <w:sz w:val="21"/>
                      <w:szCs w:val="21"/>
                      <w:vertAlign w:val="baseline"/>
                      <w:lang w:val="en-US" w:eastAsia="zh-CN"/>
                    </w:rPr>
                    <w:t>废油漆、废油漆桶、废旧电瓶、废烧碱袋、废滤袋、</w:t>
                  </w:r>
                  <w:r>
                    <w:rPr>
                      <w:rFonts w:hint="eastAsia" w:ascii="Times New Roman" w:hAnsi="Times New Roman" w:eastAsia="宋体" w:cs="Times New Roman"/>
                      <w:color w:val="auto"/>
                      <w:kern w:val="24"/>
                      <w:sz w:val="21"/>
                      <w:szCs w:val="21"/>
                      <w:lang w:val="en-US" w:eastAsia="zh-CN" w:bidi="ar"/>
                    </w:rPr>
                    <w:t>药剂瓶/药剂废包装</w:t>
                  </w:r>
                  <w:r>
                    <w:rPr>
                      <w:rFonts w:hint="default" w:ascii="Times New Roman" w:hAnsi="Times New Roman" w:cs="Times New Roman"/>
                      <w:color w:val="auto"/>
                      <w:sz w:val="21"/>
                      <w:szCs w:val="21"/>
                      <w:vertAlign w:val="baseline"/>
                      <w:lang w:val="en-US" w:eastAsia="zh-CN"/>
                    </w:rPr>
                    <w:t>、</w:t>
                  </w:r>
                  <w:r>
                    <w:rPr>
                      <w:rFonts w:hint="default" w:ascii="Times New Roman" w:hAnsi="Times New Roman" w:eastAsia="宋体" w:cs="Times New Roman"/>
                      <w:color w:val="auto"/>
                      <w:kern w:val="24"/>
                      <w:sz w:val="21"/>
                      <w:szCs w:val="21"/>
                      <w:lang w:val="en-US" w:eastAsia="zh-CN" w:bidi="ar"/>
                    </w:rPr>
                    <w:t>沾染实验药品的废消耗品</w:t>
                  </w:r>
                  <w:r>
                    <w:rPr>
                      <w:rFonts w:hint="default" w:ascii="Times New Roman" w:hAnsi="Times New Roman" w:cs="Times New Roman"/>
                      <w:color w:val="auto"/>
                      <w:sz w:val="21"/>
                      <w:szCs w:val="21"/>
                      <w:vertAlign w:val="baseline"/>
                      <w:lang w:val="en-US" w:eastAsia="zh-CN"/>
                    </w:rPr>
                    <w:t>、</w:t>
                  </w:r>
                  <w:r>
                    <w:rPr>
                      <w:rFonts w:hint="default" w:ascii="Times New Roman" w:hAnsi="Times New Roman" w:cs="Times New Roman"/>
                      <w:color w:val="auto"/>
                      <w:sz w:val="21"/>
                      <w:szCs w:val="21"/>
                      <w:lang w:val="en-US" w:eastAsia="zh-CN"/>
                    </w:rPr>
                    <w:t>除尘灰、水喷淋装置尘泥</w:t>
                  </w:r>
                  <w:r>
                    <w:rPr>
                      <w:rFonts w:hint="default" w:ascii="Times New Roman" w:hAnsi="Times New Roman" w:cs="Times New Roman"/>
                      <w:color w:val="auto"/>
                      <w:sz w:val="21"/>
                      <w:szCs w:val="21"/>
                      <w:vertAlign w:val="baseline"/>
                      <w:lang w:val="en-US" w:eastAsia="zh-CN"/>
                    </w:rPr>
                    <w:t>、</w:t>
                  </w:r>
                  <w:r>
                    <w:rPr>
                      <w:rFonts w:hint="default" w:ascii="Times New Roman" w:hAnsi="Times New Roman" w:eastAsia="宋体" w:cs="Times New Roman"/>
                      <w:color w:val="auto"/>
                      <w:sz w:val="21"/>
                      <w:szCs w:val="21"/>
                    </w:rPr>
                    <w:t>废SDG吸附剂</w:t>
                  </w:r>
                  <w:r>
                    <w:rPr>
                      <w:rFonts w:hint="default" w:ascii="Times New Roman" w:hAnsi="Times New Roman" w:eastAsia="宋体" w:cs="Times New Roman"/>
                      <w:color w:val="auto"/>
                      <w:kern w:val="0"/>
                      <w:sz w:val="21"/>
                      <w:szCs w:val="21"/>
                      <w:highlight w:val="none"/>
                      <w:lang w:val="en-US" w:eastAsia="zh-CN" w:bidi="ar-SA"/>
                    </w:rPr>
                    <w:t>。贮存设施、包装袋等按照HJ1276要求设置标志、标识。危废暂存间内四周留设200mm×200m贯通沟道作为导流槽，并与库外</w:t>
                  </w:r>
                  <w:r>
                    <w:rPr>
                      <w:rFonts w:hint="eastAsia" w:ascii="Times New Roman" w:hAnsi="Times New Roman" w:eastAsia="宋体" w:cs="Times New Roman"/>
                      <w:color w:val="auto"/>
                      <w:kern w:val="0"/>
                      <w:sz w:val="21"/>
                      <w:szCs w:val="21"/>
                      <w:highlight w:val="none"/>
                      <w:lang w:val="en-US" w:eastAsia="zh-CN" w:bidi="ar-SA"/>
                    </w:rPr>
                    <w:t>现有危废库设置的</w:t>
                  </w:r>
                  <w:r>
                    <w:rPr>
                      <w:rFonts w:hint="default" w:ascii="Times New Roman" w:hAnsi="Times New Roman" w:eastAsia="宋体" w:cs="Times New Roman"/>
                      <w:color w:val="auto"/>
                      <w:kern w:val="0"/>
                      <w:sz w:val="21"/>
                      <w:szCs w:val="21"/>
                      <w:highlight w:val="none"/>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4</w:t>
                  </w:r>
                  <w:r>
                    <w:rPr>
                      <w:rFonts w:hint="default" w:ascii="Times New Roman" w:hAnsi="Times New Roman" w:eastAsia="宋体" w:cs="Times New Roman"/>
                      <w:color w:val="auto"/>
                      <w:kern w:val="0"/>
                      <w:sz w:val="21"/>
                      <w:szCs w:val="21"/>
                      <w:highlight w:val="none"/>
                      <w:lang w:val="en-US" w:eastAsia="zh-CN" w:bidi="ar-SA"/>
                    </w:rPr>
                    <w:t>m</w:t>
                  </w:r>
                  <w:r>
                    <w:rPr>
                      <w:rFonts w:hint="default" w:ascii="Times New Roman" w:hAnsi="Times New Roman" w:eastAsia="宋体" w:cs="Times New Roman"/>
                      <w:color w:val="auto"/>
                      <w:kern w:val="0"/>
                      <w:sz w:val="21"/>
                      <w:szCs w:val="21"/>
                      <w:highlight w:val="none"/>
                      <w:vertAlign w:val="superscript"/>
                      <w:lang w:val="en-US" w:eastAsia="zh-CN" w:bidi="ar-SA"/>
                    </w:rPr>
                    <w:t>3</w:t>
                  </w:r>
                  <w:r>
                    <w:rPr>
                      <w:rFonts w:hint="default" w:ascii="Times New Roman" w:hAnsi="Times New Roman" w:eastAsia="宋体" w:cs="Times New Roman"/>
                      <w:color w:val="auto"/>
                      <w:kern w:val="0"/>
                      <w:sz w:val="21"/>
                      <w:szCs w:val="21"/>
                      <w:highlight w:val="none"/>
                      <w:lang w:val="en-US" w:eastAsia="zh-CN" w:bidi="ar-SA"/>
                    </w:rPr>
                    <w:t>密闭集液池联通，导流槽与集液池均采用混凝土基础+HDPE防渗膜防渗，渗透系数≤10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cm/s。库内配有干粉灭火器</w:t>
                  </w:r>
                </w:p>
              </w:tc>
              <w:tc>
                <w:tcPr>
                  <w:tcW w:w="611" w:type="pct"/>
                  <w:tcBorders>
                    <w:tl2br w:val="nil"/>
                    <w:tr2bl w:val="nil"/>
                  </w:tcBorders>
                  <w:noWrap w:val="0"/>
                  <w:vAlign w:val="center"/>
                </w:tcPr>
                <w:p w14:paraId="0F7BC8F1">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改造</w:t>
                  </w:r>
                </w:p>
              </w:tc>
            </w:tr>
            <w:tr w14:paraId="3B2C9B3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jc w:val="center"/>
              </w:trPr>
              <w:tc>
                <w:tcPr>
                  <w:tcW w:w="250" w:type="pct"/>
                  <w:vMerge w:val="restart"/>
                  <w:tcBorders>
                    <w:tl2br w:val="nil"/>
                    <w:tr2bl w:val="nil"/>
                  </w:tcBorders>
                  <w:noWrap w:val="0"/>
                  <w:vAlign w:val="center"/>
                </w:tcPr>
                <w:p w14:paraId="7AF33A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w:t>
                  </w:r>
                </w:p>
                <w:p w14:paraId="557A3B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408" w:type="pct"/>
                  <w:tcBorders>
                    <w:tl2br w:val="nil"/>
                    <w:tr2bl w:val="nil"/>
                  </w:tcBorders>
                  <w:noWrap w:val="0"/>
                  <w:vAlign w:val="center"/>
                </w:tcPr>
                <w:p w14:paraId="28154A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供</w:t>
                  </w:r>
                  <w:r>
                    <w:rPr>
                      <w:rFonts w:hint="default" w:ascii="Times New Roman" w:hAnsi="Times New Roman" w:eastAsia="宋体" w:cs="Times New Roman"/>
                      <w:color w:val="auto"/>
                      <w:sz w:val="21"/>
                      <w:szCs w:val="21"/>
                      <w:highlight w:val="none"/>
                    </w:rPr>
                    <w:t>水</w:t>
                  </w:r>
                </w:p>
              </w:tc>
              <w:tc>
                <w:tcPr>
                  <w:tcW w:w="2025" w:type="pct"/>
                  <w:tcBorders>
                    <w:tl2br w:val="nil"/>
                    <w:tr2bl w:val="nil"/>
                  </w:tcBorders>
                  <w:noWrap w:val="0"/>
                  <w:vAlign w:val="center"/>
                </w:tcPr>
                <w:p w14:paraId="171B7F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项目不新增劳动定员且无需生产用水，故不新增生活用水及生产用水。</w:t>
                  </w:r>
                </w:p>
              </w:tc>
              <w:tc>
                <w:tcPr>
                  <w:tcW w:w="1704" w:type="pct"/>
                  <w:tcBorders>
                    <w:tl2br w:val="nil"/>
                    <w:tr2bl w:val="nil"/>
                  </w:tcBorders>
                  <w:noWrap w:val="0"/>
                  <w:vAlign w:val="center"/>
                </w:tcPr>
                <w:p w14:paraId="1C4302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项目不新增劳动定员且无需生产用水，故不新增生活用水及生产用水。</w:t>
                  </w:r>
                </w:p>
              </w:tc>
              <w:tc>
                <w:tcPr>
                  <w:tcW w:w="611" w:type="pct"/>
                  <w:tcBorders>
                    <w:tl2br w:val="nil"/>
                    <w:tr2bl w:val="nil"/>
                  </w:tcBorders>
                  <w:noWrap w:val="0"/>
                  <w:vAlign w:val="center"/>
                </w:tcPr>
                <w:p w14:paraId="3893E2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w:t>
                  </w:r>
                </w:p>
              </w:tc>
            </w:tr>
            <w:tr w14:paraId="22C3F81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jc w:val="center"/>
              </w:trPr>
              <w:tc>
                <w:tcPr>
                  <w:tcW w:w="250" w:type="pct"/>
                  <w:vMerge w:val="continue"/>
                  <w:tcBorders>
                    <w:tl2br w:val="nil"/>
                    <w:tr2bl w:val="nil"/>
                  </w:tcBorders>
                  <w:noWrap w:val="0"/>
                  <w:vAlign w:val="center"/>
                </w:tcPr>
                <w:p w14:paraId="755A2F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08" w:type="pct"/>
                  <w:tcBorders>
                    <w:tl2br w:val="nil"/>
                    <w:tr2bl w:val="nil"/>
                  </w:tcBorders>
                  <w:noWrap w:val="0"/>
                  <w:vAlign w:val="center"/>
                </w:tcPr>
                <w:p w14:paraId="53BCE0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排水</w:t>
                  </w:r>
                </w:p>
              </w:tc>
              <w:tc>
                <w:tcPr>
                  <w:tcW w:w="2025" w:type="pct"/>
                  <w:tcBorders>
                    <w:tl2br w:val="nil"/>
                    <w:tr2bl w:val="nil"/>
                  </w:tcBorders>
                  <w:noWrap w:val="0"/>
                  <w:vAlign w:val="center"/>
                </w:tcPr>
                <w:p w14:paraId="7D0A0A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0000FF"/>
                      <w:sz w:val="21"/>
                      <w:szCs w:val="21"/>
                      <w:highlight w:val="none"/>
                      <w:lang w:val="en-US" w:eastAsia="zh-CN"/>
                    </w:rPr>
                    <w:t>无生产废水产生及排放，</w:t>
                  </w:r>
                  <w:r>
                    <w:rPr>
                      <w:rFonts w:hint="default" w:ascii="Times New Roman" w:hAnsi="Times New Roman" w:eastAsia="宋体" w:cs="Times New Roman"/>
                      <w:color w:val="0000FF"/>
                      <w:sz w:val="21"/>
                      <w:szCs w:val="21"/>
                      <w:highlight w:val="none"/>
                    </w:rPr>
                    <w:t>库外</w:t>
                  </w:r>
                  <w:r>
                    <w:rPr>
                      <w:rFonts w:hint="eastAsia" w:ascii="Times New Roman" w:hAnsi="Times New Roman" w:eastAsia="宋体" w:cs="Times New Roman"/>
                      <w:color w:val="0000FF"/>
                      <w:sz w:val="21"/>
                      <w:szCs w:val="21"/>
                      <w:highlight w:val="none"/>
                      <w:lang w:val="en-US" w:eastAsia="zh-CN"/>
                    </w:rPr>
                    <w:t>清净</w:t>
                  </w:r>
                  <w:r>
                    <w:rPr>
                      <w:rFonts w:hint="default" w:ascii="Times New Roman" w:hAnsi="Times New Roman" w:eastAsia="宋体" w:cs="Times New Roman"/>
                      <w:color w:val="0000FF"/>
                      <w:sz w:val="21"/>
                      <w:szCs w:val="21"/>
                      <w:highlight w:val="none"/>
                    </w:rPr>
                    <w:t>雨水</w:t>
                  </w:r>
                  <w:r>
                    <w:rPr>
                      <w:rFonts w:hint="eastAsia" w:ascii="Times New Roman" w:hAnsi="Times New Roman" w:eastAsia="宋体" w:cs="Times New Roman"/>
                      <w:color w:val="0000FF"/>
                      <w:sz w:val="21"/>
                      <w:szCs w:val="21"/>
                      <w:highlight w:val="none"/>
                      <w:lang w:val="en-US" w:eastAsia="zh-CN"/>
                    </w:rPr>
                    <w:t>自然排放</w:t>
                  </w:r>
                  <w:r>
                    <w:rPr>
                      <w:rFonts w:hint="default" w:ascii="Times New Roman" w:hAnsi="Times New Roman" w:eastAsia="宋体" w:cs="Times New Roman"/>
                      <w:color w:val="0000FF"/>
                      <w:sz w:val="21"/>
                      <w:szCs w:val="21"/>
                      <w:highlight w:val="none"/>
                    </w:rPr>
                    <w:t>。</w:t>
                  </w:r>
                </w:p>
              </w:tc>
              <w:tc>
                <w:tcPr>
                  <w:tcW w:w="1704" w:type="pct"/>
                  <w:tcBorders>
                    <w:tl2br w:val="nil"/>
                    <w:tr2bl w:val="nil"/>
                  </w:tcBorders>
                  <w:noWrap w:val="0"/>
                  <w:vAlign w:val="center"/>
                </w:tcPr>
                <w:p w14:paraId="4EC07D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0000FF"/>
                      <w:sz w:val="21"/>
                      <w:szCs w:val="21"/>
                      <w:highlight w:val="none"/>
                      <w:lang w:val="en-US" w:eastAsia="zh-CN"/>
                    </w:rPr>
                    <w:t>无生产废水产生及排放，</w:t>
                  </w:r>
                  <w:r>
                    <w:rPr>
                      <w:rFonts w:hint="default" w:ascii="Times New Roman" w:hAnsi="Times New Roman" w:eastAsia="宋体" w:cs="Times New Roman"/>
                      <w:color w:val="0000FF"/>
                      <w:sz w:val="21"/>
                      <w:szCs w:val="21"/>
                      <w:highlight w:val="none"/>
                    </w:rPr>
                    <w:t>库外</w:t>
                  </w:r>
                  <w:r>
                    <w:rPr>
                      <w:rFonts w:hint="eastAsia" w:ascii="Times New Roman" w:hAnsi="Times New Roman" w:eastAsia="宋体" w:cs="Times New Roman"/>
                      <w:color w:val="0000FF"/>
                      <w:sz w:val="21"/>
                      <w:szCs w:val="21"/>
                      <w:highlight w:val="none"/>
                      <w:lang w:val="en-US" w:eastAsia="zh-CN"/>
                    </w:rPr>
                    <w:t>清净</w:t>
                  </w:r>
                  <w:r>
                    <w:rPr>
                      <w:rFonts w:hint="default" w:ascii="Times New Roman" w:hAnsi="Times New Roman" w:eastAsia="宋体" w:cs="Times New Roman"/>
                      <w:color w:val="0000FF"/>
                      <w:sz w:val="21"/>
                      <w:szCs w:val="21"/>
                      <w:highlight w:val="none"/>
                    </w:rPr>
                    <w:t>雨水</w:t>
                  </w:r>
                  <w:r>
                    <w:rPr>
                      <w:rFonts w:hint="eastAsia" w:ascii="Times New Roman" w:hAnsi="Times New Roman" w:eastAsia="宋体" w:cs="Times New Roman"/>
                      <w:color w:val="0000FF"/>
                      <w:sz w:val="21"/>
                      <w:szCs w:val="21"/>
                      <w:highlight w:val="none"/>
                      <w:lang w:val="en-US" w:eastAsia="zh-CN"/>
                    </w:rPr>
                    <w:t>自然排放</w:t>
                  </w:r>
                  <w:r>
                    <w:rPr>
                      <w:rFonts w:hint="default" w:ascii="Times New Roman" w:hAnsi="Times New Roman" w:eastAsia="宋体" w:cs="Times New Roman"/>
                      <w:color w:val="0000FF"/>
                      <w:sz w:val="21"/>
                      <w:szCs w:val="21"/>
                      <w:highlight w:val="none"/>
                    </w:rPr>
                    <w:t>。</w:t>
                  </w:r>
                </w:p>
              </w:tc>
              <w:tc>
                <w:tcPr>
                  <w:tcW w:w="611" w:type="pct"/>
                  <w:tcBorders>
                    <w:tl2br w:val="nil"/>
                    <w:tr2bl w:val="nil"/>
                  </w:tcBorders>
                  <w:noWrap w:val="0"/>
                  <w:vAlign w:val="center"/>
                </w:tcPr>
                <w:p w14:paraId="4E4526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新建</w:t>
                  </w:r>
                </w:p>
              </w:tc>
            </w:tr>
            <w:tr w14:paraId="6842602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jc w:val="center"/>
              </w:trPr>
              <w:tc>
                <w:tcPr>
                  <w:tcW w:w="250" w:type="pct"/>
                  <w:vMerge w:val="continue"/>
                  <w:tcBorders>
                    <w:tl2br w:val="nil"/>
                    <w:tr2bl w:val="nil"/>
                  </w:tcBorders>
                  <w:noWrap w:val="0"/>
                  <w:vAlign w:val="center"/>
                </w:tcPr>
                <w:p w14:paraId="425032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08" w:type="pct"/>
                  <w:tcBorders>
                    <w:tl2br w:val="nil"/>
                    <w:tr2bl w:val="nil"/>
                  </w:tcBorders>
                  <w:noWrap w:val="0"/>
                  <w:vAlign w:val="center"/>
                </w:tcPr>
                <w:p w14:paraId="4B31DE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通风</w:t>
                  </w:r>
                </w:p>
              </w:tc>
              <w:tc>
                <w:tcPr>
                  <w:tcW w:w="2025" w:type="pct"/>
                  <w:tcBorders>
                    <w:tl2br w:val="nil"/>
                    <w:tr2bl w:val="nil"/>
                  </w:tcBorders>
                  <w:noWrap w:val="0"/>
                  <w:vAlign w:val="center"/>
                </w:tcPr>
                <w:p w14:paraId="41A24F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配置4台防爆轴流风机。</w:t>
                  </w:r>
                </w:p>
              </w:tc>
              <w:tc>
                <w:tcPr>
                  <w:tcW w:w="1704" w:type="pct"/>
                  <w:tcBorders>
                    <w:tl2br w:val="nil"/>
                    <w:tr2bl w:val="nil"/>
                  </w:tcBorders>
                  <w:noWrap w:val="0"/>
                  <w:vAlign w:val="center"/>
                </w:tcPr>
                <w:p w14:paraId="765FB5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配置4台防爆轴流风机。</w:t>
                  </w:r>
                </w:p>
              </w:tc>
              <w:tc>
                <w:tcPr>
                  <w:tcW w:w="611" w:type="pct"/>
                  <w:tcBorders>
                    <w:tl2br w:val="nil"/>
                    <w:tr2bl w:val="nil"/>
                  </w:tcBorders>
                  <w:noWrap w:val="0"/>
                  <w:vAlign w:val="center"/>
                </w:tcPr>
                <w:p w14:paraId="407220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新增</w:t>
                  </w:r>
                </w:p>
              </w:tc>
            </w:tr>
            <w:tr w14:paraId="29BD154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jc w:val="center"/>
              </w:trPr>
              <w:tc>
                <w:tcPr>
                  <w:tcW w:w="250" w:type="pct"/>
                  <w:vMerge w:val="continue"/>
                  <w:tcBorders>
                    <w:tl2br w:val="nil"/>
                    <w:tr2bl w:val="nil"/>
                  </w:tcBorders>
                  <w:noWrap w:val="0"/>
                  <w:vAlign w:val="center"/>
                </w:tcPr>
                <w:p w14:paraId="04E58B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08" w:type="pct"/>
                  <w:tcBorders>
                    <w:tl2br w:val="nil"/>
                    <w:tr2bl w:val="nil"/>
                  </w:tcBorders>
                  <w:noWrap w:val="0"/>
                  <w:vAlign w:val="center"/>
                </w:tcPr>
                <w:p w14:paraId="5C2A64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照明</w:t>
                  </w:r>
                </w:p>
              </w:tc>
              <w:tc>
                <w:tcPr>
                  <w:tcW w:w="2025" w:type="pct"/>
                  <w:tcBorders>
                    <w:tl2br w:val="nil"/>
                    <w:tr2bl w:val="nil"/>
                  </w:tcBorders>
                  <w:noWrap w:val="0"/>
                  <w:vAlign w:val="center"/>
                </w:tcPr>
                <w:p w14:paraId="40E296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vertAlign w:val="baseline"/>
                      <w:lang w:val="en-US" w:eastAsia="zh-CN" w:bidi="ar"/>
                    </w:rPr>
                    <w:t>配置6</w:t>
                  </w:r>
                  <w:r>
                    <w:rPr>
                      <w:rFonts w:hint="eastAsia" w:ascii="Times New Roman" w:hAnsi="Times New Roman" w:eastAsia="宋体" w:cs="Times New Roman"/>
                      <w:color w:val="auto"/>
                      <w:kern w:val="0"/>
                      <w:sz w:val="21"/>
                      <w:szCs w:val="21"/>
                      <w:vertAlign w:val="baseline"/>
                      <w:lang w:val="en-US" w:eastAsia="zh-CN" w:bidi="ar"/>
                    </w:rPr>
                    <w:t>盏</w:t>
                  </w:r>
                  <w:r>
                    <w:rPr>
                      <w:rFonts w:hint="default" w:ascii="Times New Roman" w:hAnsi="Times New Roman" w:eastAsia="宋体" w:cs="Times New Roman"/>
                      <w:color w:val="auto"/>
                      <w:kern w:val="0"/>
                      <w:sz w:val="21"/>
                      <w:szCs w:val="21"/>
                      <w:vertAlign w:val="baseline"/>
                      <w:lang w:val="en-US" w:eastAsia="zh-CN" w:bidi="ar"/>
                    </w:rPr>
                    <w:t>防爆照明灯具。</w:t>
                  </w:r>
                </w:p>
              </w:tc>
              <w:tc>
                <w:tcPr>
                  <w:tcW w:w="1704" w:type="pct"/>
                  <w:tcBorders>
                    <w:tl2br w:val="nil"/>
                    <w:tr2bl w:val="nil"/>
                  </w:tcBorders>
                  <w:noWrap w:val="0"/>
                  <w:vAlign w:val="center"/>
                </w:tcPr>
                <w:p w14:paraId="2506C2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vertAlign w:val="baseline"/>
                      <w:lang w:val="en-US" w:eastAsia="zh-CN" w:bidi="ar"/>
                    </w:rPr>
                    <w:t>配置6</w:t>
                  </w:r>
                  <w:r>
                    <w:rPr>
                      <w:rFonts w:hint="eastAsia" w:ascii="Times New Roman" w:hAnsi="Times New Roman" w:eastAsia="宋体" w:cs="Times New Roman"/>
                      <w:color w:val="auto"/>
                      <w:kern w:val="0"/>
                      <w:sz w:val="21"/>
                      <w:szCs w:val="21"/>
                      <w:vertAlign w:val="baseline"/>
                      <w:lang w:val="en-US" w:eastAsia="zh-CN" w:bidi="ar"/>
                    </w:rPr>
                    <w:t>盏</w:t>
                  </w:r>
                  <w:r>
                    <w:rPr>
                      <w:rFonts w:hint="default" w:ascii="Times New Roman" w:hAnsi="Times New Roman" w:eastAsia="宋体" w:cs="Times New Roman"/>
                      <w:color w:val="auto"/>
                      <w:kern w:val="0"/>
                      <w:sz w:val="21"/>
                      <w:szCs w:val="21"/>
                      <w:vertAlign w:val="baseline"/>
                      <w:lang w:val="en-US" w:eastAsia="zh-CN" w:bidi="ar"/>
                    </w:rPr>
                    <w:t>防爆照明灯具。</w:t>
                  </w:r>
                </w:p>
              </w:tc>
              <w:tc>
                <w:tcPr>
                  <w:tcW w:w="611" w:type="pct"/>
                  <w:tcBorders>
                    <w:tl2br w:val="nil"/>
                    <w:tr2bl w:val="nil"/>
                  </w:tcBorders>
                  <w:noWrap w:val="0"/>
                  <w:vAlign w:val="center"/>
                </w:tcPr>
                <w:p w14:paraId="673E0D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新增</w:t>
                  </w:r>
                </w:p>
              </w:tc>
            </w:tr>
            <w:tr w14:paraId="65AB121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jc w:val="center"/>
              </w:trPr>
              <w:tc>
                <w:tcPr>
                  <w:tcW w:w="250" w:type="pct"/>
                  <w:vMerge w:val="continue"/>
                  <w:tcBorders>
                    <w:tl2br w:val="nil"/>
                    <w:tr2bl w:val="nil"/>
                  </w:tcBorders>
                  <w:noWrap w:val="0"/>
                  <w:vAlign w:val="center"/>
                </w:tcPr>
                <w:p w14:paraId="21C048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08" w:type="pct"/>
                  <w:tcBorders>
                    <w:tl2br w:val="nil"/>
                    <w:tr2bl w:val="nil"/>
                  </w:tcBorders>
                  <w:noWrap w:val="0"/>
                  <w:vAlign w:val="center"/>
                </w:tcPr>
                <w:p w14:paraId="771567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消防</w:t>
                  </w:r>
                </w:p>
              </w:tc>
              <w:tc>
                <w:tcPr>
                  <w:tcW w:w="2025" w:type="pct"/>
                  <w:tcBorders>
                    <w:tl2br w:val="nil"/>
                    <w:tr2bl w:val="nil"/>
                  </w:tcBorders>
                  <w:noWrap w:val="0"/>
                  <w:vAlign w:val="center"/>
                </w:tcPr>
                <w:p w14:paraId="556C45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库内配置干粉灭火器。</w:t>
                  </w:r>
                </w:p>
              </w:tc>
              <w:tc>
                <w:tcPr>
                  <w:tcW w:w="1704" w:type="pct"/>
                  <w:tcBorders>
                    <w:tl2br w:val="nil"/>
                    <w:tr2bl w:val="nil"/>
                  </w:tcBorders>
                  <w:noWrap w:val="0"/>
                  <w:vAlign w:val="center"/>
                </w:tcPr>
                <w:p w14:paraId="77C52C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库内配置干粉灭火器。</w:t>
                  </w:r>
                </w:p>
              </w:tc>
              <w:tc>
                <w:tcPr>
                  <w:tcW w:w="611" w:type="pct"/>
                  <w:tcBorders>
                    <w:tl2br w:val="nil"/>
                    <w:tr2bl w:val="nil"/>
                  </w:tcBorders>
                  <w:noWrap w:val="0"/>
                  <w:vAlign w:val="center"/>
                </w:tcPr>
                <w:p w14:paraId="19B5E2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新增</w:t>
                  </w:r>
                </w:p>
              </w:tc>
            </w:tr>
            <w:tr w14:paraId="28FAB36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3480" w:hRule="atLeast"/>
                <w:jc w:val="center"/>
              </w:trPr>
              <w:tc>
                <w:tcPr>
                  <w:tcW w:w="250" w:type="pct"/>
                  <w:vMerge w:val="restart"/>
                  <w:tcBorders>
                    <w:tl2br w:val="nil"/>
                    <w:tr2bl w:val="nil"/>
                  </w:tcBorders>
                  <w:noWrap w:val="0"/>
                  <w:vAlign w:val="center"/>
                </w:tcPr>
                <w:p w14:paraId="7596A99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环保工程</w:t>
                  </w:r>
                </w:p>
              </w:tc>
              <w:tc>
                <w:tcPr>
                  <w:tcW w:w="408" w:type="pct"/>
                  <w:tcBorders>
                    <w:tl2br w:val="nil"/>
                    <w:tr2bl w:val="nil"/>
                  </w:tcBorders>
                  <w:noWrap w:val="0"/>
                  <w:vAlign w:val="center"/>
                </w:tcPr>
                <w:p w14:paraId="5BC2901C">
                  <w:pPr>
                    <w:keepNext w:val="0"/>
                    <w:keepLines w:val="0"/>
                    <w:pageBreakBefore w:val="0"/>
                    <w:widowControl w:val="0"/>
                    <w:suppressLineNumbers w:val="0"/>
                    <w:tabs>
                      <w:tab w:val="left" w:pos="1260"/>
                    </w:tabs>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废气治理</w:t>
                  </w:r>
                </w:p>
              </w:tc>
              <w:tc>
                <w:tcPr>
                  <w:tcW w:w="2025" w:type="pct"/>
                  <w:tcBorders>
                    <w:tl2br w:val="nil"/>
                    <w:tr2bl w:val="nil"/>
                  </w:tcBorders>
                  <w:noWrap w:val="0"/>
                  <w:vAlign w:val="center"/>
                </w:tcPr>
                <w:p w14:paraId="235D7CC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运营期暂存的危险废物包括载金碳粉、灰皿，均为固体废物，且均采用密封包装，运营期库内无废气产生，库内设置轴流风机通风；运营期保持场内运输道路清洁、定期洒水抑尘、选用合格运输车辆等措施减少汽车尾气及运输扬尘产生。</w:t>
                  </w:r>
                </w:p>
              </w:tc>
              <w:tc>
                <w:tcPr>
                  <w:tcW w:w="1704" w:type="pct"/>
                  <w:tcBorders>
                    <w:tl2br w:val="nil"/>
                    <w:tr2bl w:val="nil"/>
                  </w:tcBorders>
                  <w:noWrap w:val="0"/>
                  <w:vAlign w:val="center"/>
                </w:tcPr>
                <w:p w14:paraId="11C47CF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项目运营期暂存的危险废物包括</w:t>
                  </w:r>
                  <w:r>
                    <w:rPr>
                      <w:rFonts w:hint="default" w:ascii="Times New Roman" w:hAnsi="Times New Roman" w:eastAsia="宋体" w:cs="Times New Roman"/>
                      <w:color w:val="auto"/>
                      <w:kern w:val="0"/>
                      <w:sz w:val="21"/>
                      <w:szCs w:val="21"/>
                      <w:highlight w:val="none"/>
                      <w:lang w:val="en-US" w:eastAsia="zh-CN" w:bidi="ar-SA"/>
                    </w:rPr>
                    <w:t>载金碳粉</w:t>
                  </w:r>
                  <w:r>
                    <w:rPr>
                      <w:rFonts w:hint="eastAsia" w:ascii="Times New Roman" w:hAnsi="Times New Roman" w:eastAsia="宋体" w:cs="Times New Roman"/>
                      <w:color w:val="auto"/>
                      <w:kern w:val="0"/>
                      <w:sz w:val="21"/>
                      <w:szCs w:val="21"/>
                      <w:highlight w:val="none"/>
                      <w:lang w:val="en-US" w:eastAsia="zh-CN" w:bidi="ar-SA"/>
                    </w:rPr>
                    <w:t>、废</w:t>
                  </w:r>
                  <w:r>
                    <w:rPr>
                      <w:rFonts w:hint="default" w:ascii="Times New Roman" w:hAnsi="Times New Roman" w:eastAsia="宋体" w:cs="Times New Roman"/>
                      <w:color w:val="auto"/>
                      <w:kern w:val="0"/>
                      <w:sz w:val="21"/>
                      <w:szCs w:val="21"/>
                      <w:highlight w:val="none"/>
                      <w:lang w:val="en-US" w:eastAsia="zh-CN" w:bidi="ar-SA"/>
                    </w:rPr>
                    <w:t>灰皿</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cs="Times New Roman"/>
                      <w:color w:val="auto"/>
                      <w:sz w:val="21"/>
                      <w:szCs w:val="21"/>
                      <w:vertAlign w:val="baseline"/>
                      <w:lang w:val="en-US" w:eastAsia="zh-CN"/>
                    </w:rPr>
                    <w:t>废油漆、废油漆桶、废旧电瓶、废烧碱袋、废滤袋、</w:t>
                  </w:r>
                  <w:r>
                    <w:rPr>
                      <w:rFonts w:hint="eastAsia" w:ascii="Times New Roman" w:hAnsi="Times New Roman" w:eastAsia="宋体" w:cs="Times New Roman"/>
                      <w:color w:val="auto"/>
                      <w:kern w:val="24"/>
                      <w:sz w:val="21"/>
                      <w:szCs w:val="21"/>
                      <w:lang w:val="en-US" w:eastAsia="zh-CN" w:bidi="ar"/>
                    </w:rPr>
                    <w:t>药剂瓶/药剂废包装</w:t>
                  </w:r>
                  <w:r>
                    <w:rPr>
                      <w:rFonts w:hint="default" w:ascii="Times New Roman" w:hAnsi="Times New Roman" w:cs="Times New Roman"/>
                      <w:color w:val="auto"/>
                      <w:sz w:val="21"/>
                      <w:szCs w:val="21"/>
                      <w:vertAlign w:val="baseline"/>
                      <w:lang w:val="en-US" w:eastAsia="zh-CN"/>
                    </w:rPr>
                    <w:t>、</w:t>
                  </w:r>
                  <w:r>
                    <w:rPr>
                      <w:rFonts w:hint="default" w:ascii="Times New Roman" w:hAnsi="Times New Roman" w:eastAsia="宋体" w:cs="Times New Roman"/>
                      <w:color w:val="auto"/>
                      <w:kern w:val="24"/>
                      <w:sz w:val="21"/>
                      <w:szCs w:val="21"/>
                      <w:lang w:val="en-US" w:eastAsia="zh-CN" w:bidi="ar"/>
                    </w:rPr>
                    <w:t>沾染实验药品的废消耗品</w:t>
                  </w:r>
                  <w:r>
                    <w:rPr>
                      <w:rFonts w:hint="default" w:ascii="Times New Roman" w:hAnsi="Times New Roman" w:cs="Times New Roman"/>
                      <w:color w:val="auto"/>
                      <w:sz w:val="21"/>
                      <w:szCs w:val="21"/>
                      <w:vertAlign w:val="baseline"/>
                      <w:lang w:val="en-US" w:eastAsia="zh-CN"/>
                    </w:rPr>
                    <w:t>、</w:t>
                  </w:r>
                  <w:r>
                    <w:rPr>
                      <w:rFonts w:hint="default" w:ascii="Times New Roman" w:hAnsi="Times New Roman" w:cs="Times New Roman"/>
                      <w:color w:val="auto"/>
                      <w:sz w:val="21"/>
                      <w:szCs w:val="21"/>
                      <w:lang w:val="en-US" w:eastAsia="zh-CN"/>
                    </w:rPr>
                    <w:t>除尘灰、水喷淋装置尘泥</w:t>
                  </w:r>
                  <w:r>
                    <w:rPr>
                      <w:rFonts w:hint="default" w:ascii="Times New Roman" w:hAnsi="Times New Roman" w:cs="Times New Roman"/>
                      <w:color w:val="auto"/>
                      <w:sz w:val="21"/>
                      <w:szCs w:val="21"/>
                      <w:vertAlign w:val="baseline"/>
                      <w:lang w:val="en-US" w:eastAsia="zh-CN"/>
                    </w:rPr>
                    <w:t>、</w:t>
                  </w:r>
                  <w:r>
                    <w:rPr>
                      <w:rFonts w:hint="default" w:ascii="Times New Roman" w:hAnsi="Times New Roman" w:eastAsia="宋体" w:cs="Times New Roman"/>
                      <w:color w:val="auto"/>
                      <w:sz w:val="21"/>
                      <w:szCs w:val="21"/>
                    </w:rPr>
                    <w:t>废SDG吸附剂</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highlight w:val="none"/>
                      <w:lang w:val="en-US" w:eastAsia="zh-CN"/>
                    </w:rPr>
                    <w:t>均采用密封包装，运营期库内无废气产生，库内设置轴流风机通风；运营期保持场内运输道路清洁、定期洒水抑尘、选用合格运输车辆等措施减少汽车尾气及运输扬尘产生。</w:t>
                  </w:r>
                </w:p>
              </w:tc>
              <w:tc>
                <w:tcPr>
                  <w:tcW w:w="611" w:type="pct"/>
                  <w:tcBorders>
                    <w:tl2br w:val="nil"/>
                    <w:tr2bl w:val="nil"/>
                  </w:tcBorders>
                  <w:noWrap w:val="0"/>
                  <w:vAlign w:val="center"/>
                </w:tcPr>
                <w:p w14:paraId="5A64B5E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5A786FC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jc w:val="center"/>
              </w:trPr>
              <w:tc>
                <w:tcPr>
                  <w:tcW w:w="250" w:type="pct"/>
                  <w:vMerge w:val="continue"/>
                  <w:tcBorders>
                    <w:tl2br w:val="nil"/>
                    <w:tr2bl w:val="nil"/>
                  </w:tcBorders>
                  <w:noWrap w:val="0"/>
                  <w:vAlign w:val="center"/>
                </w:tcPr>
                <w:p w14:paraId="4880F66D">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08" w:type="pct"/>
                  <w:tcBorders>
                    <w:tl2br w:val="nil"/>
                    <w:tr2bl w:val="nil"/>
                  </w:tcBorders>
                  <w:noWrap w:val="0"/>
                  <w:vAlign w:val="center"/>
                </w:tcPr>
                <w:p w14:paraId="3378D34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噪声治理</w:t>
                  </w:r>
                </w:p>
              </w:tc>
              <w:tc>
                <w:tcPr>
                  <w:tcW w:w="2025" w:type="pct"/>
                  <w:tcBorders>
                    <w:tl2br w:val="nil"/>
                    <w:tr2bl w:val="nil"/>
                  </w:tcBorders>
                  <w:noWrap w:val="0"/>
                  <w:vAlign w:val="center"/>
                </w:tcPr>
                <w:p w14:paraId="1D839F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采取基础减震、厂房隔声等措施。</w:t>
                  </w:r>
                </w:p>
              </w:tc>
              <w:tc>
                <w:tcPr>
                  <w:tcW w:w="1704" w:type="pct"/>
                  <w:tcBorders>
                    <w:tl2br w:val="nil"/>
                    <w:tr2bl w:val="nil"/>
                  </w:tcBorders>
                  <w:noWrap w:val="0"/>
                  <w:vAlign w:val="center"/>
                </w:tcPr>
                <w:p w14:paraId="0E410A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采取基础减震、厂房隔声等措施。</w:t>
                  </w:r>
                </w:p>
              </w:tc>
              <w:tc>
                <w:tcPr>
                  <w:tcW w:w="611" w:type="pct"/>
                  <w:tcBorders>
                    <w:tl2br w:val="nil"/>
                    <w:tr2bl w:val="nil"/>
                  </w:tcBorders>
                  <w:noWrap w:val="0"/>
                  <w:vAlign w:val="center"/>
                </w:tcPr>
                <w:p w14:paraId="7CAFCC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3FF36A4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jc w:val="center"/>
              </w:trPr>
              <w:tc>
                <w:tcPr>
                  <w:tcW w:w="250" w:type="pct"/>
                  <w:vMerge w:val="continue"/>
                  <w:tcBorders>
                    <w:tl2br w:val="nil"/>
                    <w:tr2bl w:val="nil"/>
                  </w:tcBorders>
                  <w:noWrap w:val="0"/>
                  <w:vAlign w:val="center"/>
                </w:tcPr>
                <w:p w14:paraId="70884B3D">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08" w:type="pct"/>
                  <w:tcBorders>
                    <w:tl2br w:val="nil"/>
                    <w:tr2bl w:val="nil"/>
                  </w:tcBorders>
                  <w:noWrap w:val="0"/>
                  <w:vAlign w:val="center"/>
                </w:tcPr>
                <w:p w14:paraId="44BD16F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固废治理</w:t>
                  </w:r>
                </w:p>
              </w:tc>
              <w:tc>
                <w:tcPr>
                  <w:tcW w:w="2025" w:type="pct"/>
                  <w:tcBorders>
                    <w:tl2br w:val="nil"/>
                    <w:tr2bl w:val="nil"/>
                  </w:tcBorders>
                  <w:noWrap w:val="0"/>
                  <w:vAlign w:val="center"/>
                </w:tcPr>
                <w:p w14:paraId="30D88CB7">
                  <w:pPr>
                    <w:pStyle w:val="11"/>
                    <w:keepNext w:val="0"/>
                    <w:keepLines w:val="0"/>
                    <w:pageBreakBefore w:val="0"/>
                    <w:widowControl w:val="0"/>
                    <w:numPr>
                      <w:ilvl w:val="0"/>
                      <w:numId w:val="0"/>
                    </w:numPr>
                    <w:suppressLineNumbers w:val="0"/>
                    <w:kinsoku/>
                    <w:wordWrap/>
                    <w:overflowPunct/>
                    <w:topLinePunct w:val="0"/>
                    <w:autoSpaceDE/>
                    <w:autoSpaceDN/>
                    <w:bidi w:val="0"/>
                    <w:snapToGrid/>
                    <w:spacing w:before="0" w:beforeAutospacing="0" w:after="0" w:afterAutospacing="0" w:line="240" w:lineRule="auto"/>
                    <w:ind w:leftChars="0" w:right="0" w:rightChars="0"/>
                    <w:jc w:val="both"/>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库内暂存的危险废物定期交由有资质单位处置。</w:t>
                  </w:r>
                </w:p>
              </w:tc>
              <w:tc>
                <w:tcPr>
                  <w:tcW w:w="1704" w:type="pct"/>
                  <w:tcBorders>
                    <w:tl2br w:val="nil"/>
                    <w:tr2bl w:val="nil"/>
                  </w:tcBorders>
                  <w:noWrap w:val="0"/>
                  <w:vAlign w:val="center"/>
                </w:tcPr>
                <w:p w14:paraId="4F6E6F17">
                  <w:pPr>
                    <w:pStyle w:val="11"/>
                    <w:keepNext w:val="0"/>
                    <w:keepLines w:val="0"/>
                    <w:pageBreakBefore w:val="0"/>
                    <w:widowControl w:val="0"/>
                    <w:numPr>
                      <w:ilvl w:val="0"/>
                      <w:numId w:val="0"/>
                    </w:numPr>
                    <w:suppressLineNumbers w:val="0"/>
                    <w:kinsoku/>
                    <w:wordWrap/>
                    <w:overflowPunct/>
                    <w:topLinePunct w:val="0"/>
                    <w:autoSpaceDE/>
                    <w:autoSpaceDN/>
                    <w:bidi w:val="0"/>
                    <w:snapToGrid/>
                    <w:spacing w:before="0" w:beforeAutospacing="0" w:after="0" w:afterAutospacing="0" w:line="240" w:lineRule="auto"/>
                    <w:ind w:leftChars="0" w:right="0" w:right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库内暂存的危险废物定期交由有资质单位处置。</w:t>
                  </w:r>
                </w:p>
              </w:tc>
              <w:tc>
                <w:tcPr>
                  <w:tcW w:w="611" w:type="pct"/>
                  <w:tcBorders>
                    <w:tl2br w:val="nil"/>
                    <w:tr2bl w:val="nil"/>
                  </w:tcBorders>
                  <w:noWrap w:val="0"/>
                  <w:vAlign w:val="center"/>
                </w:tcPr>
                <w:p w14:paraId="7694741C">
                  <w:pPr>
                    <w:pStyle w:val="11"/>
                    <w:keepNext w:val="0"/>
                    <w:keepLines w:val="0"/>
                    <w:pageBreakBefore w:val="0"/>
                    <w:widowControl w:val="0"/>
                    <w:numPr>
                      <w:ilvl w:val="0"/>
                      <w:numId w:val="0"/>
                    </w:numPr>
                    <w:suppressLineNumbers w:val="0"/>
                    <w:kinsoku/>
                    <w:wordWrap/>
                    <w:overflowPunct/>
                    <w:topLinePunct w:val="0"/>
                    <w:autoSpaceDE/>
                    <w:autoSpaceDN/>
                    <w:bidi w:val="0"/>
                    <w:snapToGrid/>
                    <w:spacing w:before="0" w:beforeAutospacing="0" w:after="0" w:afterAutospacing="0" w:line="240" w:lineRule="auto"/>
                    <w:ind w:leftChars="0" w:right="0" w:right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r w14:paraId="673C83B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jc w:val="center"/>
              </w:trPr>
              <w:tc>
                <w:tcPr>
                  <w:tcW w:w="250" w:type="pct"/>
                  <w:vMerge w:val="continue"/>
                  <w:tcBorders>
                    <w:tl2br w:val="nil"/>
                    <w:tr2bl w:val="nil"/>
                  </w:tcBorders>
                  <w:noWrap w:val="0"/>
                  <w:vAlign w:val="center"/>
                </w:tcPr>
                <w:p w14:paraId="2DA6BC1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408" w:type="pct"/>
                  <w:tcBorders>
                    <w:tl2br w:val="nil"/>
                    <w:tr2bl w:val="nil"/>
                  </w:tcBorders>
                  <w:noWrap w:val="0"/>
                  <w:vAlign w:val="center"/>
                </w:tcPr>
                <w:p w14:paraId="5CE7208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防渗</w:t>
                  </w:r>
                </w:p>
              </w:tc>
              <w:tc>
                <w:tcPr>
                  <w:tcW w:w="2025" w:type="pct"/>
                  <w:tcBorders>
                    <w:tl2br w:val="nil"/>
                    <w:tr2bl w:val="nil"/>
                  </w:tcBorders>
                  <w:noWrap w:val="0"/>
                  <w:vAlign w:val="center"/>
                </w:tcPr>
                <w:p w14:paraId="2A9AF808">
                  <w:pPr>
                    <w:pStyle w:val="11"/>
                    <w:keepNext w:val="0"/>
                    <w:keepLines w:val="0"/>
                    <w:pageBreakBefore w:val="0"/>
                    <w:widowControl w:val="0"/>
                    <w:numPr>
                      <w:ilvl w:val="0"/>
                      <w:numId w:val="0"/>
                    </w:numPr>
                    <w:suppressLineNumbers w:val="0"/>
                    <w:kinsoku/>
                    <w:wordWrap/>
                    <w:overflowPunct/>
                    <w:topLinePunct w:val="0"/>
                    <w:autoSpaceDE/>
                    <w:autoSpaceDN/>
                    <w:bidi w:val="0"/>
                    <w:snapToGrid/>
                    <w:spacing w:before="0" w:beforeAutospacing="0" w:after="0" w:afterAutospacing="0" w:line="240" w:lineRule="auto"/>
                    <w:ind w:leftChars="0" w:right="0" w:right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color w:val="auto"/>
                      <w:sz w:val="21"/>
                      <w:szCs w:val="21"/>
                    </w:rPr>
                    <w:t>库内地面、导流槽、密闭集液池等均采用混凝土基础，上覆2mm厚HDPE防渗膜，上做压光水泥地面并涂刷环氧树脂涂层，渗透系数≤10</w:t>
                  </w:r>
                  <w:r>
                    <w:rPr>
                      <w:rFonts w:hint="default" w:ascii="Times New Roman" w:hAnsi="Times New Roman" w:cs="Times New Roman"/>
                      <w:color w:val="auto"/>
                      <w:sz w:val="21"/>
                      <w:szCs w:val="21"/>
                      <w:vertAlign w:val="superscript"/>
                    </w:rPr>
                    <w:t>-10</w:t>
                  </w:r>
                  <w:r>
                    <w:rPr>
                      <w:rFonts w:hint="default" w:ascii="Times New Roman" w:hAnsi="Times New Roman" w:cs="Times New Roman"/>
                      <w:color w:val="auto"/>
                      <w:sz w:val="21"/>
                      <w:szCs w:val="21"/>
                    </w:rPr>
                    <w:t>cm/s。</w:t>
                  </w:r>
                </w:p>
              </w:tc>
              <w:tc>
                <w:tcPr>
                  <w:tcW w:w="1704" w:type="pct"/>
                  <w:tcBorders>
                    <w:tl2br w:val="nil"/>
                    <w:tr2bl w:val="nil"/>
                  </w:tcBorders>
                  <w:noWrap w:val="0"/>
                  <w:vAlign w:val="center"/>
                </w:tcPr>
                <w:p w14:paraId="4D226AAE">
                  <w:pPr>
                    <w:pStyle w:val="11"/>
                    <w:keepNext w:val="0"/>
                    <w:keepLines w:val="0"/>
                    <w:pageBreakBefore w:val="0"/>
                    <w:widowControl w:val="0"/>
                    <w:numPr>
                      <w:ilvl w:val="0"/>
                      <w:numId w:val="0"/>
                    </w:numPr>
                    <w:suppressLineNumbers w:val="0"/>
                    <w:kinsoku/>
                    <w:wordWrap/>
                    <w:overflowPunct/>
                    <w:topLinePunct w:val="0"/>
                    <w:autoSpaceDE/>
                    <w:autoSpaceDN/>
                    <w:bidi w:val="0"/>
                    <w:snapToGrid/>
                    <w:spacing w:before="0" w:beforeAutospacing="0" w:after="0" w:afterAutospacing="0" w:line="240" w:lineRule="auto"/>
                    <w:ind w:leftChars="0" w:right="0" w:right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库内地面、导流槽、密闭集液池等均采用混凝土基础，上覆2mm厚HDPE防渗膜，上做压光水泥地面并涂刷环氧树脂涂层，渗透系数≤10</w:t>
                  </w:r>
                  <w:r>
                    <w:rPr>
                      <w:rFonts w:hint="default" w:ascii="Times New Roman" w:hAnsi="Times New Roman" w:cs="Times New Roman"/>
                      <w:color w:val="auto"/>
                      <w:sz w:val="21"/>
                      <w:szCs w:val="21"/>
                      <w:vertAlign w:val="superscript"/>
                    </w:rPr>
                    <w:t>-10</w:t>
                  </w:r>
                  <w:r>
                    <w:rPr>
                      <w:rFonts w:hint="default" w:ascii="Times New Roman" w:hAnsi="Times New Roman" w:cs="Times New Roman"/>
                      <w:color w:val="auto"/>
                      <w:sz w:val="21"/>
                      <w:szCs w:val="21"/>
                    </w:rPr>
                    <w:t>cm/s。</w:t>
                  </w:r>
                </w:p>
              </w:tc>
              <w:tc>
                <w:tcPr>
                  <w:tcW w:w="611" w:type="pct"/>
                  <w:tcBorders>
                    <w:tl2br w:val="nil"/>
                    <w:tr2bl w:val="nil"/>
                  </w:tcBorders>
                  <w:noWrap w:val="0"/>
                  <w:vAlign w:val="center"/>
                </w:tcPr>
                <w:p w14:paraId="4E99D390">
                  <w:pPr>
                    <w:pStyle w:val="11"/>
                    <w:keepNext w:val="0"/>
                    <w:keepLines w:val="0"/>
                    <w:pageBreakBefore w:val="0"/>
                    <w:widowControl w:val="0"/>
                    <w:numPr>
                      <w:ilvl w:val="0"/>
                      <w:numId w:val="0"/>
                    </w:numPr>
                    <w:suppressLineNumbers w:val="0"/>
                    <w:kinsoku/>
                    <w:wordWrap/>
                    <w:overflowPunct/>
                    <w:topLinePunct w:val="0"/>
                    <w:autoSpaceDE/>
                    <w:autoSpaceDN/>
                    <w:bidi w:val="0"/>
                    <w:snapToGrid/>
                    <w:spacing w:before="0" w:beforeAutospacing="0" w:after="0" w:afterAutospacing="0" w:line="240" w:lineRule="auto"/>
                    <w:ind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改造</w:t>
                  </w:r>
                </w:p>
              </w:tc>
            </w:tr>
          </w:tbl>
          <w:p w14:paraId="62CA076B">
            <w:pPr>
              <w:pStyle w:val="5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val="0"/>
                <w:bCs/>
                <w:color w:val="auto"/>
                <w:sz w:val="24"/>
                <w:szCs w:val="24"/>
                <w:highlight w:val="none"/>
                <w:lang w:val="en-US" w:eastAsia="zh-CN"/>
              </w:rPr>
              <w:t>3.主要生产设备</w:t>
            </w:r>
          </w:p>
          <w:p w14:paraId="64C447F6">
            <w:pPr>
              <w:pStyle w:val="55"/>
              <w:spacing w:line="240" w:lineRule="auto"/>
              <w:ind w:left="0" w:leftChars="0" w:firstLine="0" w:firstLineChars="0"/>
              <w:jc w:val="center"/>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表2-</w:t>
            </w:r>
            <w:r>
              <w:rPr>
                <w:rFonts w:hint="eastAsia" w:ascii="Times New Roman" w:hAnsi="Times New Roman" w:cs="Times New Roman"/>
                <w:b/>
                <w:bCs w:val="0"/>
                <w:color w:val="auto"/>
                <w:sz w:val="21"/>
                <w:szCs w:val="21"/>
                <w:highlight w:val="none"/>
                <w:lang w:val="en-US" w:eastAsia="zh-CN"/>
              </w:rPr>
              <w:t>6</w:t>
            </w:r>
            <w:r>
              <w:rPr>
                <w:rFonts w:hint="default" w:ascii="Times New Roman" w:hAnsi="Times New Roman" w:cs="Times New Roman"/>
                <w:b/>
                <w:bCs w:val="0"/>
                <w:color w:val="auto"/>
                <w:sz w:val="21"/>
                <w:szCs w:val="21"/>
                <w:highlight w:val="none"/>
                <w:lang w:val="en-US" w:eastAsia="zh-CN"/>
              </w:rPr>
              <w:t xml:space="preserve"> 危废库项目新增设备一览表</w:t>
            </w:r>
          </w:p>
          <w:tbl>
            <w:tblPr>
              <w:tblStyle w:val="77"/>
              <w:tblW w:w="4999" w:type="pct"/>
              <w:tblInd w:w="-13"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120"/>
              <w:gridCol w:w="2714"/>
              <w:gridCol w:w="2569"/>
              <w:gridCol w:w="2012"/>
            </w:tblGrid>
            <w:tr w14:paraId="5A1CEF3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4E2E99B9">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612" w:type="pct"/>
                  <w:tcBorders>
                    <w:tl2br w:val="nil"/>
                    <w:tr2bl w:val="nil"/>
                  </w:tcBorders>
                  <w:noWrap w:val="0"/>
                  <w:vAlign w:val="center"/>
                </w:tcPr>
                <w:p w14:paraId="4B127783">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设备名称</w:t>
                  </w:r>
                </w:p>
              </w:tc>
              <w:tc>
                <w:tcPr>
                  <w:tcW w:w="1526" w:type="pct"/>
                  <w:tcBorders>
                    <w:tl2br w:val="nil"/>
                    <w:tr2bl w:val="nil"/>
                  </w:tcBorders>
                  <w:noWrap w:val="0"/>
                  <w:vAlign w:val="center"/>
                </w:tcPr>
                <w:p w14:paraId="74100DBD">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规格/型号</w:t>
                  </w:r>
                </w:p>
              </w:tc>
              <w:tc>
                <w:tcPr>
                  <w:tcW w:w="1195" w:type="pct"/>
                  <w:tcBorders>
                    <w:tl2br w:val="nil"/>
                    <w:tr2bl w:val="nil"/>
                  </w:tcBorders>
                  <w:noWrap w:val="0"/>
                  <w:vAlign w:val="center"/>
                </w:tcPr>
                <w:p w14:paraId="521BA5AC">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数量</w:t>
                  </w:r>
                </w:p>
              </w:tc>
            </w:tr>
            <w:tr w14:paraId="3B3A626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61906C2B">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612" w:type="pct"/>
                  <w:tcBorders>
                    <w:tl2br w:val="nil"/>
                    <w:tr2bl w:val="nil"/>
                  </w:tcBorders>
                  <w:noWrap w:val="0"/>
                  <w:vAlign w:val="center"/>
                </w:tcPr>
                <w:p w14:paraId="6ABE5CF9">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环氧树脂篦子（导流槽安装）</w:t>
                  </w:r>
                </w:p>
              </w:tc>
              <w:tc>
                <w:tcPr>
                  <w:tcW w:w="1526" w:type="pct"/>
                  <w:tcBorders>
                    <w:tl2br w:val="nil"/>
                    <w:tr2bl w:val="nil"/>
                  </w:tcBorders>
                  <w:noWrap w:val="0"/>
                  <w:vAlign w:val="center"/>
                </w:tcPr>
                <w:p w14:paraId="5E637775">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宽30cm× 120m</w:t>
                  </w:r>
                </w:p>
              </w:tc>
              <w:tc>
                <w:tcPr>
                  <w:tcW w:w="1195" w:type="pct"/>
                  <w:tcBorders>
                    <w:tl2br w:val="nil"/>
                    <w:tr2bl w:val="nil"/>
                  </w:tcBorders>
                  <w:noWrap w:val="0"/>
                  <w:vAlign w:val="center"/>
                </w:tcPr>
                <w:p w14:paraId="40F54A3F">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7FDB2B6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11FA6817">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612" w:type="pct"/>
                  <w:tcBorders>
                    <w:tl2br w:val="nil"/>
                    <w:tr2bl w:val="nil"/>
                  </w:tcBorders>
                  <w:noWrap w:val="0"/>
                  <w:vAlign w:val="center"/>
                </w:tcPr>
                <w:p w14:paraId="744AFBA2">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轴流风机</w:t>
                  </w:r>
                </w:p>
              </w:tc>
              <w:tc>
                <w:tcPr>
                  <w:tcW w:w="1526" w:type="pct"/>
                  <w:tcBorders>
                    <w:tl2br w:val="nil"/>
                    <w:tr2bl w:val="nil"/>
                  </w:tcBorders>
                  <w:noWrap w:val="0"/>
                  <w:vAlign w:val="center"/>
                </w:tcPr>
                <w:p w14:paraId="42FDDC38">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防爆</w:t>
                  </w:r>
                </w:p>
              </w:tc>
              <w:tc>
                <w:tcPr>
                  <w:tcW w:w="1195" w:type="pct"/>
                  <w:tcBorders>
                    <w:tl2br w:val="nil"/>
                    <w:tr2bl w:val="nil"/>
                  </w:tcBorders>
                  <w:noWrap w:val="0"/>
                  <w:vAlign w:val="center"/>
                </w:tcPr>
                <w:p w14:paraId="1FD49A47">
                  <w:pPr>
                    <w:bidi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4</w:t>
                  </w:r>
                </w:p>
              </w:tc>
            </w:tr>
            <w:tr w14:paraId="0E4D8E9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697154D6">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612" w:type="pct"/>
                  <w:tcBorders>
                    <w:tl2br w:val="nil"/>
                    <w:tr2bl w:val="nil"/>
                  </w:tcBorders>
                  <w:noWrap w:val="0"/>
                  <w:vAlign w:val="center"/>
                </w:tcPr>
                <w:p w14:paraId="3AAA6A90">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防爆灯</w:t>
                  </w:r>
                </w:p>
              </w:tc>
              <w:tc>
                <w:tcPr>
                  <w:tcW w:w="1526" w:type="pct"/>
                  <w:tcBorders>
                    <w:tl2br w:val="nil"/>
                    <w:tr2bl w:val="nil"/>
                  </w:tcBorders>
                  <w:noWrap w:val="0"/>
                  <w:vAlign w:val="center"/>
                </w:tcPr>
                <w:p w14:paraId="37873217">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防爆</w:t>
                  </w:r>
                </w:p>
              </w:tc>
              <w:tc>
                <w:tcPr>
                  <w:tcW w:w="1195" w:type="pct"/>
                  <w:tcBorders>
                    <w:tl2br w:val="nil"/>
                    <w:tr2bl w:val="nil"/>
                  </w:tcBorders>
                  <w:noWrap w:val="0"/>
                  <w:vAlign w:val="center"/>
                </w:tcPr>
                <w:p w14:paraId="15C4CE07">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r>
            <w:tr w14:paraId="28D5DA8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79AF4DB4">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612" w:type="pct"/>
                  <w:tcBorders>
                    <w:tl2br w:val="nil"/>
                    <w:tr2bl w:val="nil"/>
                  </w:tcBorders>
                  <w:noWrap w:val="0"/>
                  <w:vAlign w:val="center"/>
                </w:tcPr>
                <w:p w14:paraId="6402D785">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观测窗</w:t>
                  </w:r>
                </w:p>
              </w:tc>
              <w:tc>
                <w:tcPr>
                  <w:tcW w:w="1526" w:type="pct"/>
                  <w:tcBorders>
                    <w:tl2br w:val="nil"/>
                    <w:tr2bl w:val="nil"/>
                  </w:tcBorders>
                  <w:noWrap w:val="0"/>
                  <w:vAlign w:val="center"/>
                </w:tcPr>
                <w:p w14:paraId="33C34FDA">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1m</w:t>
                  </w:r>
                  <w:r>
                    <w:rPr>
                      <w:rFonts w:hint="default" w:ascii="Times New Roman" w:hAnsi="Times New Roman" w:cs="Times New Roman"/>
                      <w:color w:val="auto"/>
                      <w:sz w:val="21"/>
                      <w:szCs w:val="21"/>
                      <w:vertAlign w:val="superscript"/>
                    </w:rPr>
                    <w:t>2</w:t>
                  </w:r>
                </w:p>
              </w:tc>
              <w:tc>
                <w:tcPr>
                  <w:tcW w:w="1195" w:type="pct"/>
                  <w:tcBorders>
                    <w:tl2br w:val="nil"/>
                    <w:tr2bl w:val="nil"/>
                  </w:tcBorders>
                  <w:noWrap w:val="0"/>
                  <w:vAlign w:val="center"/>
                </w:tcPr>
                <w:p w14:paraId="43D71CEB">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5E97941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0E362EC6">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612" w:type="pct"/>
                  <w:tcBorders>
                    <w:tl2br w:val="nil"/>
                    <w:tr2bl w:val="nil"/>
                  </w:tcBorders>
                  <w:noWrap w:val="0"/>
                  <w:vAlign w:val="center"/>
                </w:tcPr>
                <w:p w14:paraId="298381D3">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防火门</w:t>
                  </w:r>
                </w:p>
              </w:tc>
              <w:tc>
                <w:tcPr>
                  <w:tcW w:w="1526" w:type="pct"/>
                  <w:tcBorders>
                    <w:tl2br w:val="nil"/>
                    <w:tr2bl w:val="nil"/>
                  </w:tcBorders>
                  <w:noWrap w:val="0"/>
                  <w:vAlign w:val="center"/>
                </w:tcPr>
                <w:p w14:paraId="03A4D847">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双人双锁（定制）</w:t>
                  </w:r>
                </w:p>
              </w:tc>
              <w:tc>
                <w:tcPr>
                  <w:tcW w:w="1195" w:type="pct"/>
                  <w:tcBorders>
                    <w:tl2br w:val="nil"/>
                    <w:tr2bl w:val="nil"/>
                  </w:tcBorders>
                  <w:noWrap w:val="0"/>
                  <w:vAlign w:val="center"/>
                </w:tcPr>
                <w:p w14:paraId="7BD85DBB">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38E56EC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7FABB315">
                  <w:pPr>
                    <w:bidi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6</w:t>
                  </w:r>
                </w:p>
              </w:tc>
              <w:tc>
                <w:tcPr>
                  <w:tcW w:w="1612" w:type="pct"/>
                  <w:tcBorders>
                    <w:tl2br w:val="nil"/>
                    <w:tr2bl w:val="nil"/>
                  </w:tcBorders>
                  <w:noWrap w:val="0"/>
                  <w:vAlign w:val="center"/>
                </w:tcPr>
                <w:p w14:paraId="5195CD19">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监控</w:t>
                  </w:r>
                </w:p>
              </w:tc>
              <w:tc>
                <w:tcPr>
                  <w:tcW w:w="1526" w:type="pct"/>
                  <w:tcBorders>
                    <w:tl2br w:val="nil"/>
                    <w:tr2bl w:val="nil"/>
                  </w:tcBorders>
                  <w:noWrap w:val="0"/>
                  <w:vAlign w:val="center"/>
                </w:tcPr>
                <w:p w14:paraId="6857D414">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海康</w:t>
                  </w:r>
                </w:p>
              </w:tc>
              <w:tc>
                <w:tcPr>
                  <w:tcW w:w="1195" w:type="pct"/>
                  <w:tcBorders>
                    <w:tl2br w:val="nil"/>
                    <w:tr2bl w:val="nil"/>
                  </w:tcBorders>
                  <w:noWrap w:val="0"/>
                  <w:vAlign w:val="center"/>
                </w:tcPr>
                <w:p w14:paraId="16EF3750">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30F8850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665" w:type="pct"/>
                  <w:tcBorders>
                    <w:tl2br w:val="nil"/>
                    <w:tr2bl w:val="nil"/>
                  </w:tcBorders>
                  <w:noWrap w:val="0"/>
                  <w:vAlign w:val="center"/>
                </w:tcPr>
                <w:p w14:paraId="4672731A">
                  <w:pPr>
                    <w:bidi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7</w:t>
                  </w:r>
                </w:p>
              </w:tc>
              <w:tc>
                <w:tcPr>
                  <w:tcW w:w="1612" w:type="pct"/>
                  <w:tcBorders>
                    <w:tl2br w:val="nil"/>
                    <w:tr2bl w:val="nil"/>
                  </w:tcBorders>
                  <w:noWrap w:val="0"/>
                  <w:vAlign w:val="center"/>
                </w:tcPr>
                <w:p w14:paraId="04ED404A">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灭火器材</w:t>
                  </w:r>
                </w:p>
              </w:tc>
              <w:tc>
                <w:tcPr>
                  <w:tcW w:w="1526" w:type="pct"/>
                  <w:tcBorders>
                    <w:tl2br w:val="nil"/>
                    <w:tr2bl w:val="nil"/>
                  </w:tcBorders>
                  <w:noWrap w:val="0"/>
                  <w:vAlign w:val="center"/>
                </w:tcPr>
                <w:p w14:paraId="1E60B6CB">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中为</w:t>
                  </w:r>
                </w:p>
              </w:tc>
              <w:tc>
                <w:tcPr>
                  <w:tcW w:w="1195" w:type="pct"/>
                  <w:tcBorders>
                    <w:tl2br w:val="nil"/>
                    <w:tr2bl w:val="nil"/>
                  </w:tcBorders>
                  <w:noWrap w:val="0"/>
                  <w:vAlign w:val="center"/>
                </w:tcPr>
                <w:p w14:paraId="5AB96F54">
                  <w:pPr>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bl>
          <w:p w14:paraId="1DE64954">
            <w:pPr>
              <w:pStyle w:val="5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cs="Times New Roman"/>
                <w:b w:val="0"/>
                <w:bCs/>
                <w:color w:val="auto"/>
                <w:sz w:val="24"/>
                <w:szCs w:val="24"/>
                <w:highlight w:val="none"/>
                <w:lang w:val="en-US" w:eastAsia="zh-CN"/>
              </w:rPr>
            </w:pPr>
            <w:r>
              <w:rPr>
                <w:rFonts w:hint="eastAsia" w:ascii="Times New Roman" w:hAnsi="Times New Roman" w:cs="Times New Roman"/>
                <w:b w:val="0"/>
                <w:bCs/>
                <w:color w:val="auto"/>
                <w:sz w:val="24"/>
                <w:szCs w:val="24"/>
                <w:highlight w:val="none"/>
                <w:lang w:val="en-US" w:eastAsia="zh-CN"/>
              </w:rPr>
              <w:t>4.危废</w:t>
            </w:r>
            <w:r>
              <w:rPr>
                <w:rFonts w:hint="default" w:ascii="Times New Roman" w:hAnsi="Times New Roman" w:cs="Times New Roman"/>
                <w:b w:val="0"/>
                <w:bCs/>
                <w:color w:val="auto"/>
                <w:sz w:val="24"/>
                <w:szCs w:val="24"/>
                <w:highlight w:val="none"/>
                <w:lang w:val="en-US" w:eastAsia="zh-CN"/>
              </w:rPr>
              <w:t>存储方案</w:t>
            </w:r>
          </w:p>
          <w:p w14:paraId="5B5E09FE">
            <w:pPr>
              <w:pStyle w:val="5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val="0"/>
                <w:bCs/>
                <w:color w:val="auto"/>
                <w:sz w:val="24"/>
                <w:szCs w:val="24"/>
                <w:highlight w:val="none"/>
                <w:lang w:val="en-US" w:eastAsia="zh-CN"/>
              </w:rPr>
              <w:t>本项目暂存的危险废物均为公司内部日常生产过程中产生，贮存方案如下。</w:t>
            </w:r>
          </w:p>
          <w:p w14:paraId="6FEED203">
            <w:pPr>
              <w:pStyle w:val="55"/>
              <w:spacing w:line="240" w:lineRule="auto"/>
              <w:ind w:left="0" w:leftChars="0" w:firstLine="0" w:firstLineChars="0"/>
              <w:jc w:val="center"/>
              <w:outlineLvl w:val="1"/>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表2-11 危险废物贮存方案</w:t>
            </w:r>
          </w:p>
          <w:tbl>
            <w:tblPr>
              <w:tblStyle w:val="26"/>
              <w:tblW w:w="5000" w:type="pct"/>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57" w:type="dxa"/>
                <w:bottom w:w="0" w:type="dxa"/>
                <w:right w:w="57" w:type="dxa"/>
              </w:tblCellMar>
            </w:tblPr>
            <w:tblGrid>
              <w:gridCol w:w="984"/>
              <w:gridCol w:w="689"/>
              <w:gridCol w:w="1046"/>
              <w:gridCol w:w="906"/>
              <w:gridCol w:w="1434"/>
              <w:gridCol w:w="866"/>
              <w:gridCol w:w="844"/>
              <w:gridCol w:w="669"/>
              <w:gridCol w:w="979"/>
            </w:tblGrid>
            <w:tr w14:paraId="4048A00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69E79F95">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储存的危废名称</w:t>
                  </w:r>
                </w:p>
              </w:tc>
              <w:tc>
                <w:tcPr>
                  <w:tcW w:w="409" w:type="pct"/>
                  <w:tcBorders>
                    <w:tl2br w:val="nil"/>
                    <w:tr2bl w:val="nil"/>
                  </w:tcBorders>
                  <w:noWrap w:val="0"/>
                  <w:vAlign w:val="center"/>
                </w:tcPr>
                <w:p w14:paraId="1C401201">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危废代码</w:t>
                  </w:r>
                </w:p>
              </w:tc>
              <w:tc>
                <w:tcPr>
                  <w:tcW w:w="621" w:type="pct"/>
                  <w:tcBorders>
                    <w:tl2br w:val="nil"/>
                    <w:tr2bl w:val="nil"/>
                  </w:tcBorders>
                  <w:noWrap w:val="0"/>
                  <w:vAlign w:val="center"/>
                </w:tcPr>
                <w:p w14:paraId="663E1063">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包装形式</w:t>
                  </w:r>
                </w:p>
              </w:tc>
              <w:tc>
                <w:tcPr>
                  <w:tcW w:w="538" w:type="pct"/>
                  <w:tcBorders>
                    <w:tl2br w:val="nil"/>
                    <w:tr2bl w:val="nil"/>
                  </w:tcBorders>
                  <w:noWrap w:val="0"/>
                  <w:vAlign w:val="center"/>
                </w:tcPr>
                <w:p w14:paraId="5F4A0CC4">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年产生量（吨）</w:t>
                  </w:r>
                </w:p>
              </w:tc>
              <w:tc>
                <w:tcPr>
                  <w:tcW w:w="851" w:type="pct"/>
                  <w:tcBorders>
                    <w:tl2br w:val="nil"/>
                    <w:tr2bl w:val="nil"/>
                  </w:tcBorders>
                  <w:noWrap w:val="0"/>
                  <w:vAlign w:val="center"/>
                </w:tcPr>
                <w:p w14:paraId="0C9A3346">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产生环节</w:t>
                  </w:r>
                </w:p>
              </w:tc>
              <w:tc>
                <w:tcPr>
                  <w:tcW w:w="514" w:type="pct"/>
                  <w:tcBorders>
                    <w:tl2br w:val="nil"/>
                    <w:tr2bl w:val="nil"/>
                  </w:tcBorders>
                  <w:noWrap w:val="0"/>
                  <w:vAlign w:val="center"/>
                </w:tcPr>
                <w:p w14:paraId="74A59103">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储存区域面积（m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p>
              </w:tc>
              <w:tc>
                <w:tcPr>
                  <w:tcW w:w="501" w:type="pct"/>
                  <w:tcBorders>
                    <w:tl2br w:val="nil"/>
                    <w:tr2bl w:val="nil"/>
                  </w:tcBorders>
                  <w:noWrap w:val="0"/>
                  <w:vAlign w:val="center"/>
                </w:tcPr>
                <w:p w14:paraId="0CCBE66B">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最大储存量（吨）</w:t>
                  </w:r>
                </w:p>
              </w:tc>
              <w:tc>
                <w:tcPr>
                  <w:tcW w:w="397" w:type="pct"/>
                  <w:tcBorders>
                    <w:tl2br w:val="nil"/>
                    <w:tr2bl w:val="nil"/>
                  </w:tcBorders>
                  <w:noWrap w:val="0"/>
                  <w:vAlign w:val="center"/>
                </w:tcPr>
                <w:p w14:paraId="0152A840">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储存周期</w:t>
                  </w:r>
                </w:p>
              </w:tc>
              <w:tc>
                <w:tcPr>
                  <w:tcW w:w="581" w:type="pct"/>
                  <w:tcBorders>
                    <w:tl2br w:val="nil"/>
                    <w:tr2bl w:val="nil"/>
                  </w:tcBorders>
                  <w:noWrap w:val="0"/>
                  <w:vAlign w:val="center"/>
                </w:tcPr>
                <w:p w14:paraId="10DDBD02">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去向</w:t>
                  </w:r>
                </w:p>
              </w:tc>
            </w:tr>
            <w:tr w14:paraId="47224A3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754DAC2A">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载金</w:t>
                  </w:r>
                  <w:r>
                    <w:rPr>
                      <w:rFonts w:hint="eastAsia" w:ascii="Times New Roman" w:hAnsi="Times New Roman" w:cs="Times New Roman"/>
                      <w:color w:val="auto"/>
                      <w:sz w:val="21"/>
                      <w:szCs w:val="21"/>
                      <w:vertAlign w:val="baseline"/>
                      <w:lang w:val="en-US" w:eastAsia="zh-CN"/>
                    </w:rPr>
                    <w:t>炭</w:t>
                  </w:r>
                  <w:r>
                    <w:rPr>
                      <w:rFonts w:hint="default" w:ascii="Times New Roman" w:hAnsi="Times New Roman" w:cs="Times New Roman"/>
                      <w:color w:val="auto"/>
                      <w:sz w:val="21"/>
                      <w:szCs w:val="21"/>
                      <w:vertAlign w:val="baseline"/>
                      <w:lang w:val="en-US" w:eastAsia="zh-CN"/>
                    </w:rPr>
                    <w:t>粉</w:t>
                  </w:r>
                </w:p>
              </w:tc>
              <w:tc>
                <w:tcPr>
                  <w:tcW w:w="409" w:type="pct"/>
                  <w:tcBorders>
                    <w:tl2br w:val="nil"/>
                    <w:tr2bl w:val="nil"/>
                  </w:tcBorders>
                  <w:noWrap w:val="0"/>
                  <w:vAlign w:val="center"/>
                </w:tcPr>
                <w:p w14:paraId="522CA589">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HW33</w:t>
                  </w:r>
                </w:p>
              </w:tc>
              <w:tc>
                <w:tcPr>
                  <w:tcW w:w="621" w:type="pct"/>
                  <w:tcBorders>
                    <w:tl2br w:val="nil"/>
                    <w:tr2bl w:val="nil"/>
                  </w:tcBorders>
                  <w:noWrap w:val="0"/>
                  <w:vAlign w:val="center"/>
                </w:tcPr>
                <w:p w14:paraId="1BAB7911">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吨袋</w:t>
                  </w:r>
                </w:p>
              </w:tc>
              <w:tc>
                <w:tcPr>
                  <w:tcW w:w="538" w:type="pct"/>
                  <w:tcBorders>
                    <w:tl2br w:val="nil"/>
                    <w:tr2bl w:val="nil"/>
                  </w:tcBorders>
                  <w:noWrap w:val="0"/>
                  <w:vAlign w:val="center"/>
                </w:tcPr>
                <w:p w14:paraId="7FAE07E3">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800</w:t>
                  </w:r>
                </w:p>
              </w:tc>
              <w:tc>
                <w:tcPr>
                  <w:tcW w:w="851" w:type="pct"/>
                  <w:tcBorders>
                    <w:tl2br w:val="nil"/>
                    <w:tr2bl w:val="nil"/>
                  </w:tcBorders>
                  <w:noWrap w:val="0"/>
                  <w:vAlign w:val="center"/>
                </w:tcPr>
                <w:p w14:paraId="66F0E63E">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吸附解析过程</w:t>
                  </w:r>
                </w:p>
              </w:tc>
              <w:tc>
                <w:tcPr>
                  <w:tcW w:w="514" w:type="pct"/>
                  <w:tcBorders>
                    <w:tl2br w:val="nil"/>
                    <w:tr2bl w:val="nil"/>
                  </w:tcBorders>
                  <w:noWrap w:val="0"/>
                  <w:vAlign w:val="center"/>
                </w:tcPr>
                <w:p w14:paraId="2CF18B0D">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150</w:t>
                  </w:r>
                </w:p>
              </w:tc>
              <w:tc>
                <w:tcPr>
                  <w:tcW w:w="501" w:type="pct"/>
                  <w:tcBorders>
                    <w:tl2br w:val="nil"/>
                    <w:tr2bl w:val="nil"/>
                  </w:tcBorders>
                  <w:noWrap w:val="0"/>
                  <w:vAlign w:val="center"/>
                </w:tcPr>
                <w:p w14:paraId="0FFC4BA6">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400</w:t>
                  </w:r>
                </w:p>
              </w:tc>
              <w:tc>
                <w:tcPr>
                  <w:tcW w:w="397" w:type="pct"/>
                  <w:tcBorders>
                    <w:tl2br w:val="nil"/>
                    <w:tr2bl w:val="nil"/>
                  </w:tcBorders>
                  <w:noWrap w:val="0"/>
                  <w:vAlign w:val="center"/>
                </w:tcPr>
                <w:p w14:paraId="1F00E131">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半</w:t>
                  </w:r>
                  <w:r>
                    <w:rPr>
                      <w:rFonts w:hint="default" w:ascii="Times New Roman" w:hAnsi="Times New Roman" w:cs="Times New Roman"/>
                      <w:color w:val="auto"/>
                      <w:sz w:val="21"/>
                      <w:szCs w:val="21"/>
                      <w:vertAlign w:val="baseline"/>
                      <w:lang w:val="en-US" w:eastAsia="zh-CN"/>
                    </w:rPr>
                    <w:t>年</w:t>
                  </w:r>
                </w:p>
              </w:tc>
              <w:tc>
                <w:tcPr>
                  <w:tcW w:w="581" w:type="pct"/>
                  <w:tcBorders>
                    <w:tl2br w:val="nil"/>
                    <w:tr2bl w:val="nil"/>
                  </w:tcBorders>
                  <w:noWrap w:val="0"/>
                  <w:vAlign w:val="center"/>
                </w:tcPr>
                <w:p w14:paraId="04F23B87">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湖南众兴环保科技有限公司</w:t>
                  </w:r>
                </w:p>
              </w:tc>
            </w:tr>
            <w:tr w14:paraId="0182448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66476D06">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废油漆</w:t>
                  </w:r>
                </w:p>
              </w:tc>
              <w:tc>
                <w:tcPr>
                  <w:tcW w:w="409" w:type="pct"/>
                  <w:tcBorders>
                    <w:tl2br w:val="nil"/>
                    <w:tr2bl w:val="nil"/>
                  </w:tcBorders>
                  <w:noWrap w:val="0"/>
                  <w:vAlign w:val="center"/>
                </w:tcPr>
                <w:p w14:paraId="3249ECF7">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HW12</w:t>
                  </w:r>
                </w:p>
              </w:tc>
              <w:tc>
                <w:tcPr>
                  <w:tcW w:w="621" w:type="pct"/>
                  <w:tcBorders>
                    <w:tl2br w:val="nil"/>
                    <w:tr2bl w:val="nil"/>
                  </w:tcBorders>
                  <w:noWrap w:val="0"/>
                  <w:vAlign w:val="center"/>
                </w:tcPr>
                <w:p w14:paraId="4A3B32D5">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桶</w:t>
                  </w:r>
                </w:p>
              </w:tc>
              <w:tc>
                <w:tcPr>
                  <w:tcW w:w="538" w:type="pct"/>
                  <w:tcBorders>
                    <w:tl2br w:val="nil"/>
                    <w:tr2bl w:val="nil"/>
                  </w:tcBorders>
                  <w:noWrap w:val="0"/>
                  <w:vAlign w:val="center"/>
                </w:tcPr>
                <w:p w14:paraId="06D3D294">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2.44</w:t>
                  </w:r>
                </w:p>
              </w:tc>
              <w:tc>
                <w:tcPr>
                  <w:tcW w:w="851" w:type="pct"/>
                  <w:tcBorders>
                    <w:tl2br w:val="nil"/>
                    <w:tr2bl w:val="nil"/>
                  </w:tcBorders>
                  <w:noWrap w:val="0"/>
                  <w:vAlign w:val="center"/>
                </w:tcPr>
                <w:p w14:paraId="62D13EF1">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公司补漆</w:t>
                  </w:r>
                  <w:r>
                    <w:rPr>
                      <w:rFonts w:hint="eastAsia"/>
                      <w:color w:val="auto"/>
                      <w:lang w:val="en-US" w:eastAsia="zh-CN"/>
                    </w:rPr>
                    <w:t>剩余油漆</w:t>
                  </w:r>
                </w:p>
              </w:tc>
              <w:tc>
                <w:tcPr>
                  <w:tcW w:w="514" w:type="pct"/>
                  <w:vMerge w:val="restart"/>
                  <w:tcBorders>
                    <w:tl2br w:val="nil"/>
                    <w:tr2bl w:val="nil"/>
                  </w:tcBorders>
                  <w:noWrap w:val="0"/>
                  <w:vAlign w:val="center"/>
                </w:tcPr>
                <w:p w14:paraId="553D651C">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w:t>
                  </w:r>
                </w:p>
              </w:tc>
              <w:tc>
                <w:tcPr>
                  <w:tcW w:w="501" w:type="pct"/>
                  <w:tcBorders>
                    <w:tl2br w:val="nil"/>
                    <w:tr2bl w:val="nil"/>
                  </w:tcBorders>
                  <w:noWrap w:val="0"/>
                  <w:vAlign w:val="center"/>
                </w:tcPr>
                <w:p w14:paraId="45A61BBB">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1.5</w:t>
                  </w:r>
                </w:p>
              </w:tc>
              <w:tc>
                <w:tcPr>
                  <w:tcW w:w="397" w:type="pct"/>
                  <w:tcBorders>
                    <w:tl2br w:val="nil"/>
                    <w:tr2bl w:val="nil"/>
                  </w:tcBorders>
                  <w:noWrap w:val="0"/>
                  <w:vAlign w:val="center"/>
                </w:tcPr>
                <w:p w14:paraId="534B13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半</w:t>
                  </w:r>
                  <w:r>
                    <w:rPr>
                      <w:rFonts w:hint="default" w:ascii="Times New Roman" w:hAnsi="Times New Roman" w:cs="Times New Roman"/>
                      <w:color w:val="auto"/>
                      <w:sz w:val="21"/>
                      <w:szCs w:val="21"/>
                      <w:vertAlign w:val="baseline"/>
                      <w:lang w:val="en-US" w:eastAsia="zh-CN"/>
                    </w:rPr>
                    <w:t>年</w:t>
                  </w:r>
                </w:p>
              </w:tc>
              <w:tc>
                <w:tcPr>
                  <w:tcW w:w="581" w:type="pct"/>
                  <w:vMerge w:val="restart"/>
                  <w:tcBorders>
                    <w:tl2br w:val="nil"/>
                    <w:tr2bl w:val="nil"/>
                  </w:tcBorders>
                  <w:noWrap w:val="0"/>
                  <w:vAlign w:val="center"/>
                </w:tcPr>
                <w:p w14:paraId="52C76187">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内蒙古新鼎环境科技有限责任公司</w:t>
                  </w:r>
                </w:p>
              </w:tc>
            </w:tr>
            <w:tr w14:paraId="3D6E379E">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4F04247E">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废油漆桶</w:t>
                  </w:r>
                </w:p>
              </w:tc>
              <w:tc>
                <w:tcPr>
                  <w:tcW w:w="409" w:type="pct"/>
                  <w:tcBorders>
                    <w:tl2br w:val="nil"/>
                    <w:tr2bl w:val="nil"/>
                  </w:tcBorders>
                  <w:noWrap w:val="0"/>
                  <w:vAlign w:val="center"/>
                </w:tcPr>
                <w:p w14:paraId="573ED00F">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HW49</w:t>
                  </w:r>
                </w:p>
              </w:tc>
              <w:tc>
                <w:tcPr>
                  <w:tcW w:w="621" w:type="pct"/>
                  <w:tcBorders>
                    <w:tl2br w:val="nil"/>
                    <w:tr2bl w:val="nil"/>
                  </w:tcBorders>
                  <w:noWrap w:val="0"/>
                  <w:vAlign w:val="center"/>
                </w:tcPr>
                <w:p w14:paraId="0BF9D4A4">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桶</w:t>
                  </w:r>
                </w:p>
              </w:tc>
              <w:tc>
                <w:tcPr>
                  <w:tcW w:w="538" w:type="pct"/>
                  <w:tcBorders>
                    <w:tl2br w:val="nil"/>
                    <w:tr2bl w:val="nil"/>
                  </w:tcBorders>
                  <w:noWrap w:val="0"/>
                  <w:vAlign w:val="center"/>
                </w:tcPr>
                <w:p w14:paraId="3FF183CD">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2.486</w:t>
                  </w:r>
                </w:p>
              </w:tc>
              <w:tc>
                <w:tcPr>
                  <w:tcW w:w="851" w:type="pct"/>
                  <w:tcBorders>
                    <w:tl2br w:val="nil"/>
                    <w:tr2bl w:val="nil"/>
                  </w:tcBorders>
                  <w:noWrap w:val="0"/>
                  <w:vAlign w:val="center"/>
                </w:tcPr>
                <w:p w14:paraId="4926D2A1">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使用油漆后剩余</w:t>
                  </w:r>
                </w:p>
              </w:tc>
              <w:tc>
                <w:tcPr>
                  <w:tcW w:w="514" w:type="pct"/>
                  <w:vMerge w:val="continue"/>
                  <w:tcBorders>
                    <w:tl2br w:val="nil"/>
                    <w:tr2bl w:val="nil"/>
                  </w:tcBorders>
                  <w:noWrap w:val="0"/>
                  <w:vAlign w:val="center"/>
                </w:tcPr>
                <w:p w14:paraId="2039B02F">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p>
              </w:tc>
              <w:tc>
                <w:tcPr>
                  <w:tcW w:w="501" w:type="pct"/>
                  <w:tcBorders>
                    <w:tl2br w:val="nil"/>
                    <w:tr2bl w:val="nil"/>
                  </w:tcBorders>
                  <w:noWrap w:val="0"/>
                  <w:vAlign w:val="center"/>
                </w:tcPr>
                <w:p w14:paraId="6D5AD1F0">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1.5</w:t>
                  </w:r>
                </w:p>
              </w:tc>
              <w:tc>
                <w:tcPr>
                  <w:tcW w:w="397" w:type="pct"/>
                  <w:tcBorders>
                    <w:tl2br w:val="nil"/>
                    <w:tr2bl w:val="nil"/>
                  </w:tcBorders>
                  <w:noWrap w:val="0"/>
                  <w:vAlign w:val="center"/>
                </w:tcPr>
                <w:p w14:paraId="500450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半</w:t>
                  </w:r>
                  <w:r>
                    <w:rPr>
                      <w:rFonts w:hint="default" w:ascii="Times New Roman" w:hAnsi="Times New Roman" w:cs="Times New Roman"/>
                      <w:color w:val="auto"/>
                      <w:sz w:val="21"/>
                      <w:szCs w:val="21"/>
                      <w:vertAlign w:val="baseline"/>
                      <w:lang w:val="en-US" w:eastAsia="zh-CN"/>
                    </w:rPr>
                    <w:t>年</w:t>
                  </w:r>
                </w:p>
              </w:tc>
              <w:tc>
                <w:tcPr>
                  <w:tcW w:w="581" w:type="pct"/>
                  <w:vMerge w:val="continue"/>
                  <w:tcBorders>
                    <w:tl2br w:val="nil"/>
                    <w:tr2bl w:val="nil"/>
                  </w:tcBorders>
                  <w:noWrap w:val="0"/>
                  <w:vAlign w:val="center"/>
                </w:tcPr>
                <w:p w14:paraId="4F9CD0C5">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r>
            <w:tr w14:paraId="27D8267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50E66BD4">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废旧电瓶</w:t>
                  </w:r>
                </w:p>
              </w:tc>
              <w:tc>
                <w:tcPr>
                  <w:tcW w:w="409" w:type="pct"/>
                  <w:tcBorders>
                    <w:tl2br w:val="nil"/>
                    <w:tr2bl w:val="nil"/>
                  </w:tcBorders>
                  <w:noWrap w:val="0"/>
                  <w:vAlign w:val="center"/>
                </w:tcPr>
                <w:p w14:paraId="4260AB4D">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HW31</w:t>
                  </w:r>
                </w:p>
              </w:tc>
              <w:tc>
                <w:tcPr>
                  <w:tcW w:w="621" w:type="pct"/>
                  <w:tcBorders>
                    <w:tl2br w:val="nil"/>
                    <w:tr2bl w:val="nil"/>
                  </w:tcBorders>
                  <w:noWrap w:val="0"/>
                  <w:vAlign w:val="center"/>
                </w:tcPr>
                <w:p w14:paraId="0F966ACA">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托盘</w:t>
                  </w:r>
                  <w:r>
                    <w:rPr>
                      <w:rFonts w:hint="default" w:ascii="Times New Roman" w:hAnsi="Times New Roman" w:cs="Times New Roman"/>
                      <w:color w:val="auto"/>
                      <w:sz w:val="21"/>
                      <w:szCs w:val="21"/>
                      <w:vertAlign w:val="baseline"/>
                      <w:lang w:val="en-US" w:eastAsia="zh-CN"/>
                    </w:rPr>
                    <w:t>散装</w:t>
                  </w:r>
                </w:p>
              </w:tc>
              <w:tc>
                <w:tcPr>
                  <w:tcW w:w="538" w:type="pct"/>
                  <w:tcBorders>
                    <w:tl2br w:val="nil"/>
                    <w:tr2bl w:val="nil"/>
                  </w:tcBorders>
                  <w:noWrap w:val="0"/>
                  <w:vAlign w:val="center"/>
                </w:tcPr>
                <w:p w14:paraId="07D6C434">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2.4</w:t>
                  </w:r>
                </w:p>
              </w:tc>
              <w:tc>
                <w:tcPr>
                  <w:tcW w:w="851" w:type="pct"/>
                  <w:tcBorders>
                    <w:tl2br w:val="nil"/>
                    <w:tr2bl w:val="nil"/>
                  </w:tcBorders>
                  <w:noWrap w:val="0"/>
                  <w:vAlign w:val="center"/>
                </w:tcPr>
                <w:p w14:paraId="4A2E2AF9">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运输小车旧电池</w:t>
                  </w:r>
                </w:p>
              </w:tc>
              <w:tc>
                <w:tcPr>
                  <w:tcW w:w="514" w:type="pct"/>
                  <w:vMerge w:val="restart"/>
                  <w:tcBorders>
                    <w:tl2br w:val="nil"/>
                    <w:tr2bl w:val="nil"/>
                  </w:tcBorders>
                  <w:noWrap w:val="0"/>
                  <w:vAlign w:val="center"/>
                </w:tcPr>
                <w:p w14:paraId="76661D57">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20</w:t>
                  </w:r>
                </w:p>
              </w:tc>
              <w:tc>
                <w:tcPr>
                  <w:tcW w:w="501" w:type="pct"/>
                  <w:tcBorders>
                    <w:tl2br w:val="nil"/>
                    <w:tr2bl w:val="nil"/>
                  </w:tcBorders>
                  <w:noWrap w:val="0"/>
                  <w:vAlign w:val="center"/>
                </w:tcPr>
                <w:p w14:paraId="421233A5">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1.2</w:t>
                  </w:r>
                </w:p>
              </w:tc>
              <w:tc>
                <w:tcPr>
                  <w:tcW w:w="397" w:type="pct"/>
                  <w:tcBorders>
                    <w:tl2br w:val="nil"/>
                    <w:tr2bl w:val="nil"/>
                  </w:tcBorders>
                  <w:noWrap w:val="0"/>
                  <w:vAlign w:val="center"/>
                </w:tcPr>
                <w:p w14:paraId="14DEB3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半</w:t>
                  </w:r>
                  <w:r>
                    <w:rPr>
                      <w:rFonts w:hint="default" w:ascii="Times New Roman" w:hAnsi="Times New Roman" w:cs="Times New Roman"/>
                      <w:color w:val="auto"/>
                      <w:sz w:val="21"/>
                      <w:szCs w:val="21"/>
                      <w:vertAlign w:val="baseline"/>
                      <w:lang w:val="en-US" w:eastAsia="zh-CN"/>
                    </w:rPr>
                    <w:t>年</w:t>
                  </w:r>
                </w:p>
              </w:tc>
              <w:tc>
                <w:tcPr>
                  <w:tcW w:w="581" w:type="pct"/>
                  <w:tcBorders>
                    <w:tl2br w:val="nil"/>
                    <w:tr2bl w:val="nil"/>
                  </w:tcBorders>
                  <w:noWrap w:val="0"/>
                  <w:vAlign w:val="center"/>
                </w:tcPr>
                <w:p w14:paraId="1A7FBC87">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内蒙古新鼎环境科技有限责任公司</w:t>
                  </w:r>
                </w:p>
              </w:tc>
            </w:tr>
            <w:tr w14:paraId="53A2053E">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6721D43F">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废灰皿</w:t>
                  </w:r>
                </w:p>
              </w:tc>
              <w:tc>
                <w:tcPr>
                  <w:tcW w:w="409" w:type="pct"/>
                  <w:tcBorders>
                    <w:tl2br w:val="nil"/>
                    <w:tr2bl w:val="nil"/>
                  </w:tcBorders>
                  <w:noWrap w:val="0"/>
                  <w:vAlign w:val="center"/>
                </w:tcPr>
                <w:p w14:paraId="4F410A16">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Times New Roman" w:cs="Times New Roman"/>
                      <w:color w:val="auto"/>
                      <w:sz w:val="21"/>
                      <w:szCs w:val="21"/>
                    </w:rPr>
                    <w:t>HW31</w:t>
                  </w:r>
                </w:p>
              </w:tc>
              <w:tc>
                <w:tcPr>
                  <w:tcW w:w="621" w:type="pct"/>
                  <w:tcBorders>
                    <w:tl2br w:val="nil"/>
                    <w:tr2bl w:val="nil"/>
                  </w:tcBorders>
                  <w:noWrap w:val="0"/>
                  <w:vAlign w:val="center"/>
                </w:tcPr>
                <w:p w14:paraId="68F472DF">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吨袋</w:t>
                  </w:r>
                </w:p>
              </w:tc>
              <w:tc>
                <w:tcPr>
                  <w:tcW w:w="538" w:type="pct"/>
                  <w:tcBorders>
                    <w:tl2br w:val="nil"/>
                    <w:tr2bl w:val="nil"/>
                  </w:tcBorders>
                  <w:noWrap w:val="0"/>
                  <w:vAlign w:val="center"/>
                </w:tcPr>
                <w:p w14:paraId="02D0E113">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9.12</w:t>
                  </w:r>
                </w:p>
              </w:tc>
              <w:tc>
                <w:tcPr>
                  <w:tcW w:w="851" w:type="pct"/>
                  <w:tcBorders>
                    <w:tl2br w:val="nil"/>
                    <w:tr2bl w:val="nil"/>
                  </w:tcBorders>
                  <w:noWrap w:val="0"/>
                  <w:vAlign w:val="center"/>
                </w:tcPr>
                <w:p w14:paraId="3ACDBD10">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化验室火试金工艺产生</w:t>
                  </w:r>
                </w:p>
              </w:tc>
              <w:tc>
                <w:tcPr>
                  <w:tcW w:w="514" w:type="pct"/>
                  <w:vMerge w:val="continue"/>
                  <w:tcBorders>
                    <w:tl2br w:val="nil"/>
                    <w:tr2bl w:val="nil"/>
                  </w:tcBorders>
                  <w:noWrap w:val="0"/>
                  <w:vAlign w:val="center"/>
                </w:tcPr>
                <w:p w14:paraId="66CAC525">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p>
              </w:tc>
              <w:tc>
                <w:tcPr>
                  <w:tcW w:w="501" w:type="pct"/>
                  <w:tcBorders>
                    <w:tl2br w:val="nil"/>
                    <w:tr2bl w:val="nil"/>
                  </w:tcBorders>
                  <w:noWrap w:val="0"/>
                  <w:vAlign w:val="center"/>
                </w:tcPr>
                <w:p w14:paraId="2947C611">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w:t>
                  </w:r>
                </w:p>
              </w:tc>
              <w:tc>
                <w:tcPr>
                  <w:tcW w:w="397" w:type="pct"/>
                  <w:tcBorders>
                    <w:tl2br w:val="nil"/>
                    <w:tr2bl w:val="nil"/>
                  </w:tcBorders>
                  <w:noWrap w:val="0"/>
                  <w:vAlign w:val="center"/>
                </w:tcPr>
                <w:p w14:paraId="24E8AC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半</w:t>
                  </w:r>
                  <w:r>
                    <w:rPr>
                      <w:rFonts w:hint="default" w:ascii="Times New Roman" w:hAnsi="Times New Roman" w:cs="Times New Roman"/>
                      <w:color w:val="auto"/>
                      <w:sz w:val="21"/>
                      <w:szCs w:val="21"/>
                      <w:vertAlign w:val="baseline"/>
                      <w:lang w:val="en-US" w:eastAsia="zh-CN"/>
                    </w:rPr>
                    <w:t>年</w:t>
                  </w:r>
                </w:p>
              </w:tc>
              <w:tc>
                <w:tcPr>
                  <w:tcW w:w="581" w:type="pct"/>
                  <w:vMerge w:val="restart"/>
                  <w:tcBorders>
                    <w:tl2br w:val="nil"/>
                    <w:tr2bl w:val="nil"/>
                  </w:tcBorders>
                  <w:noWrap w:val="0"/>
                  <w:vAlign w:val="center"/>
                </w:tcPr>
                <w:p w14:paraId="76DAAEEC">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内蒙古忠信再生资源科技有限责任公司</w:t>
                  </w:r>
                </w:p>
              </w:tc>
            </w:tr>
            <w:tr w14:paraId="27AA1A2E">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44BE16D1">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sz w:val="21"/>
                      <w:szCs w:val="21"/>
                      <w:lang w:val="en-US" w:eastAsia="zh-CN"/>
                    </w:rPr>
                    <w:t>除尘灰、水喷淋装置尘泥</w:t>
                  </w:r>
                </w:p>
              </w:tc>
              <w:tc>
                <w:tcPr>
                  <w:tcW w:w="409" w:type="pct"/>
                  <w:tcBorders>
                    <w:tl2br w:val="nil"/>
                    <w:tr2bl w:val="nil"/>
                  </w:tcBorders>
                  <w:noWrap w:val="0"/>
                  <w:vAlign w:val="center"/>
                </w:tcPr>
                <w:p w14:paraId="0B344C21">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HW31</w:t>
                  </w:r>
                </w:p>
              </w:tc>
              <w:tc>
                <w:tcPr>
                  <w:tcW w:w="621" w:type="pct"/>
                  <w:tcBorders>
                    <w:tl2br w:val="nil"/>
                    <w:tr2bl w:val="nil"/>
                  </w:tcBorders>
                  <w:noWrap w:val="0"/>
                  <w:vAlign w:val="center"/>
                </w:tcPr>
                <w:p w14:paraId="148A9E90">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吨袋</w:t>
                  </w:r>
                </w:p>
              </w:tc>
              <w:tc>
                <w:tcPr>
                  <w:tcW w:w="538" w:type="pct"/>
                  <w:tcBorders>
                    <w:tl2br w:val="nil"/>
                    <w:tr2bl w:val="nil"/>
                  </w:tcBorders>
                  <w:noWrap w:val="0"/>
                  <w:vAlign w:val="center"/>
                </w:tcPr>
                <w:p w14:paraId="37E222C7">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0.05025</w:t>
                  </w:r>
                </w:p>
              </w:tc>
              <w:tc>
                <w:tcPr>
                  <w:tcW w:w="851" w:type="pct"/>
                  <w:tcBorders>
                    <w:tl2br w:val="nil"/>
                    <w:tr2bl w:val="nil"/>
                  </w:tcBorders>
                  <w:noWrap w:val="0"/>
                  <w:vAlign w:val="center"/>
                </w:tcPr>
                <w:p w14:paraId="5FCD9D7A">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废气处理</w:t>
                  </w:r>
                </w:p>
              </w:tc>
              <w:tc>
                <w:tcPr>
                  <w:tcW w:w="514" w:type="pct"/>
                  <w:vMerge w:val="continue"/>
                  <w:tcBorders>
                    <w:tl2br w:val="nil"/>
                    <w:tr2bl w:val="nil"/>
                  </w:tcBorders>
                  <w:noWrap w:val="0"/>
                  <w:vAlign w:val="center"/>
                </w:tcPr>
                <w:p w14:paraId="7A9A451E">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p>
              </w:tc>
              <w:tc>
                <w:tcPr>
                  <w:tcW w:w="501" w:type="pct"/>
                  <w:tcBorders>
                    <w:tl2br w:val="nil"/>
                    <w:tr2bl w:val="nil"/>
                  </w:tcBorders>
                  <w:noWrap w:val="0"/>
                  <w:vAlign w:val="center"/>
                </w:tcPr>
                <w:p w14:paraId="4AA178EB">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0.03</w:t>
                  </w:r>
                </w:p>
              </w:tc>
              <w:tc>
                <w:tcPr>
                  <w:tcW w:w="397" w:type="pct"/>
                  <w:tcBorders>
                    <w:tl2br w:val="nil"/>
                    <w:tr2bl w:val="nil"/>
                  </w:tcBorders>
                  <w:noWrap w:val="0"/>
                  <w:vAlign w:val="center"/>
                </w:tcPr>
                <w:p w14:paraId="0CA7C0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半</w:t>
                  </w:r>
                  <w:r>
                    <w:rPr>
                      <w:rFonts w:hint="default" w:ascii="Times New Roman" w:hAnsi="Times New Roman" w:cs="Times New Roman"/>
                      <w:color w:val="auto"/>
                      <w:sz w:val="21"/>
                      <w:szCs w:val="21"/>
                      <w:vertAlign w:val="baseline"/>
                      <w:lang w:val="en-US" w:eastAsia="zh-CN"/>
                    </w:rPr>
                    <w:t>年</w:t>
                  </w:r>
                </w:p>
              </w:tc>
              <w:tc>
                <w:tcPr>
                  <w:tcW w:w="581" w:type="pct"/>
                  <w:vMerge w:val="continue"/>
                  <w:tcBorders>
                    <w:tl2br w:val="nil"/>
                    <w:tr2bl w:val="nil"/>
                  </w:tcBorders>
                  <w:noWrap w:val="0"/>
                  <w:vAlign w:val="center"/>
                </w:tcPr>
                <w:p w14:paraId="34DDE122">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vertAlign w:val="baseline"/>
                      <w:lang w:val="en-US" w:eastAsia="zh-CN" w:bidi="ar-SA"/>
                    </w:rPr>
                  </w:pPr>
                </w:p>
              </w:tc>
            </w:tr>
            <w:tr w14:paraId="45A6ED3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6BFEA244">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废烧碱袋</w:t>
                  </w:r>
                </w:p>
              </w:tc>
              <w:tc>
                <w:tcPr>
                  <w:tcW w:w="409" w:type="pct"/>
                  <w:tcBorders>
                    <w:tl2br w:val="nil"/>
                    <w:tr2bl w:val="nil"/>
                  </w:tcBorders>
                  <w:noWrap w:val="0"/>
                  <w:vAlign w:val="center"/>
                </w:tcPr>
                <w:p w14:paraId="6C055519">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HW49</w:t>
                  </w:r>
                </w:p>
              </w:tc>
              <w:tc>
                <w:tcPr>
                  <w:tcW w:w="621" w:type="pct"/>
                  <w:tcBorders>
                    <w:tl2br w:val="nil"/>
                    <w:tr2bl w:val="nil"/>
                  </w:tcBorders>
                  <w:noWrap w:val="0"/>
                  <w:vAlign w:val="center"/>
                </w:tcPr>
                <w:p w14:paraId="060985F3">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吨袋</w:t>
                  </w:r>
                </w:p>
              </w:tc>
              <w:tc>
                <w:tcPr>
                  <w:tcW w:w="538" w:type="pct"/>
                  <w:tcBorders>
                    <w:tl2br w:val="nil"/>
                    <w:tr2bl w:val="nil"/>
                  </w:tcBorders>
                  <w:noWrap w:val="0"/>
                  <w:vAlign w:val="center"/>
                </w:tcPr>
                <w:p w14:paraId="617E2F30">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2.3</w:t>
                  </w:r>
                </w:p>
              </w:tc>
              <w:tc>
                <w:tcPr>
                  <w:tcW w:w="851" w:type="pct"/>
                  <w:tcBorders>
                    <w:tl2br w:val="nil"/>
                    <w:tr2bl w:val="nil"/>
                  </w:tcBorders>
                  <w:noWrap w:val="0"/>
                  <w:vAlign w:val="center"/>
                </w:tcPr>
                <w:p w14:paraId="6A554D96">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选冶厂使用烧碱剩余包装</w:t>
                  </w:r>
                </w:p>
              </w:tc>
              <w:tc>
                <w:tcPr>
                  <w:tcW w:w="514" w:type="pct"/>
                  <w:vMerge w:val="restart"/>
                  <w:tcBorders>
                    <w:tl2br w:val="nil"/>
                    <w:tr2bl w:val="nil"/>
                  </w:tcBorders>
                  <w:noWrap w:val="0"/>
                  <w:vAlign w:val="center"/>
                </w:tcPr>
                <w:p w14:paraId="5D81AA1D">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100</w:t>
                  </w:r>
                </w:p>
              </w:tc>
              <w:tc>
                <w:tcPr>
                  <w:tcW w:w="501" w:type="pct"/>
                  <w:tcBorders>
                    <w:tl2br w:val="nil"/>
                    <w:tr2bl w:val="nil"/>
                  </w:tcBorders>
                  <w:noWrap w:val="0"/>
                  <w:vAlign w:val="center"/>
                </w:tcPr>
                <w:p w14:paraId="5D56382C">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1.2</w:t>
                  </w:r>
                </w:p>
              </w:tc>
              <w:tc>
                <w:tcPr>
                  <w:tcW w:w="397" w:type="pct"/>
                  <w:tcBorders>
                    <w:tl2br w:val="nil"/>
                    <w:tr2bl w:val="nil"/>
                  </w:tcBorders>
                  <w:noWrap w:val="0"/>
                  <w:vAlign w:val="center"/>
                </w:tcPr>
                <w:p w14:paraId="7E8098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半</w:t>
                  </w:r>
                  <w:r>
                    <w:rPr>
                      <w:rFonts w:hint="default" w:ascii="Times New Roman" w:hAnsi="Times New Roman" w:cs="Times New Roman"/>
                      <w:color w:val="auto"/>
                      <w:sz w:val="21"/>
                      <w:szCs w:val="21"/>
                      <w:vertAlign w:val="baseline"/>
                      <w:lang w:val="en-US" w:eastAsia="zh-CN"/>
                    </w:rPr>
                    <w:t>年</w:t>
                  </w:r>
                </w:p>
              </w:tc>
              <w:tc>
                <w:tcPr>
                  <w:tcW w:w="581" w:type="pct"/>
                  <w:vMerge w:val="continue"/>
                  <w:tcBorders>
                    <w:tl2br w:val="nil"/>
                    <w:tr2bl w:val="nil"/>
                  </w:tcBorders>
                  <w:noWrap w:val="0"/>
                  <w:vAlign w:val="center"/>
                </w:tcPr>
                <w:p w14:paraId="77B4E366">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r>
            <w:tr w14:paraId="258999A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30B82F6B">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废滤袋</w:t>
                  </w:r>
                </w:p>
              </w:tc>
              <w:tc>
                <w:tcPr>
                  <w:tcW w:w="409" w:type="pct"/>
                  <w:tcBorders>
                    <w:tl2br w:val="nil"/>
                    <w:tr2bl w:val="nil"/>
                  </w:tcBorders>
                  <w:noWrap w:val="0"/>
                  <w:vAlign w:val="center"/>
                </w:tcPr>
                <w:p w14:paraId="06A9E4A5">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HW49</w:t>
                  </w:r>
                </w:p>
              </w:tc>
              <w:tc>
                <w:tcPr>
                  <w:tcW w:w="621" w:type="pct"/>
                  <w:tcBorders>
                    <w:tl2br w:val="nil"/>
                    <w:tr2bl w:val="nil"/>
                  </w:tcBorders>
                  <w:noWrap w:val="0"/>
                  <w:vAlign w:val="center"/>
                </w:tcPr>
                <w:p w14:paraId="6FE06851">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吨袋</w:t>
                  </w:r>
                </w:p>
              </w:tc>
              <w:tc>
                <w:tcPr>
                  <w:tcW w:w="538" w:type="pct"/>
                  <w:tcBorders>
                    <w:tl2br w:val="nil"/>
                    <w:tr2bl w:val="nil"/>
                  </w:tcBorders>
                  <w:noWrap w:val="0"/>
                  <w:vAlign w:val="center"/>
                </w:tcPr>
                <w:p w14:paraId="71977D37">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0.3</w:t>
                  </w:r>
                </w:p>
              </w:tc>
              <w:tc>
                <w:tcPr>
                  <w:tcW w:w="851" w:type="pct"/>
                  <w:tcBorders>
                    <w:tl2br w:val="nil"/>
                    <w:tr2bl w:val="nil"/>
                  </w:tcBorders>
                  <w:noWrap w:val="0"/>
                  <w:vAlign w:val="center"/>
                </w:tcPr>
                <w:p w14:paraId="4AF0BAE0">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质检部除尘设备所用滤袋</w:t>
                  </w:r>
                </w:p>
              </w:tc>
              <w:tc>
                <w:tcPr>
                  <w:tcW w:w="514" w:type="pct"/>
                  <w:vMerge w:val="continue"/>
                  <w:tcBorders>
                    <w:tl2br w:val="nil"/>
                    <w:tr2bl w:val="nil"/>
                  </w:tcBorders>
                  <w:noWrap w:val="0"/>
                  <w:vAlign w:val="center"/>
                </w:tcPr>
                <w:p w14:paraId="39B7F091">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p>
              </w:tc>
              <w:tc>
                <w:tcPr>
                  <w:tcW w:w="501" w:type="pct"/>
                  <w:tcBorders>
                    <w:tl2br w:val="nil"/>
                    <w:tr2bl w:val="nil"/>
                  </w:tcBorders>
                  <w:noWrap w:val="0"/>
                  <w:vAlign w:val="center"/>
                </w:tcPr>
                <w:p w14:paraId="7320ADD9">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0.15</w:t>
                  </w:r>
                </w:p>
              </w:tc>
              <w:tc>
                <w:tcPr>
                  <w:tcW w:w="397" w:type="pct"/>
                  <w:tcBorders>
                    <w:tl2br w:val="nil"/>
                    <w:tr2bl w:val="nil"/>
                  </w:tcBorders>
                  <w:noWrap w:val="0"/>
                  <w:vAlign w:val="center"/>
                </w:tcPr>
                <w:p w14:paraId="6EF143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半</w:t>
                  </w:r>
                  <w:r>
                    <w:rPr>
                      <w:rFonts w:hint="default" w:ascii="Times New Roman" w:hAnsi="Times New Roman" w:cs="Times New Roman"/>
                      <w:color w:val="auto"/>
                      <w:sz w:val="21"/>
                      <w:szCs w:val="21"/>
                      <w:vertAlign w:val="baseline"/>
                      <w:lang w:val="en-US" w:eastAsia="zh-CN"/>
                    </w:rPr>
                    <w:t>年</w:t>
                  </w:r>
                </w:p>
              </w:tc>
              <w:tc>
                <w:tcPr>
                  <w:tcW w:w="581" w:type="pct"/>
                  <w:vMerge w:val="continue"/>
                  <w:tcBorders>
                    <w:tl2br w:val="nil"/>
                    <w:tr2bl w:val="nil"/>
                  </w:tcBorders>
                  <w:noWrap w:val="0"/>
                  <w:vAlign w:val="center"/>
                </w:tcPr>
                <w:p w14:paraId="4E311BD1">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r>
            <w:tr w14:paraId="4A38DA7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71AFFAEB">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color w:val="auto"/>
                      <w:sz w:val="21"/>
                      <w:szCs w:val="21"/>
                    </w:rPr>
                    <w:t>废SDG吸附剂</w:t>
                  </w:r>
                </w:p>
              </w:tc>
              <w:tc>
                <w:tcPr>
                  <w:tcW w:w="409" w:type="pct"/>
                  <w:tcBorders>
                    <w:tl2br w:val="nil"/>
                    <w:tr2bl w:val="nil"/>
                  </w:tcBorders>
                  <w:noWrap w:val="0"/>
                  <w:vAlign w:val="center"/>
                </w:tcPr>
                <w:p w14:paraId="439D3F46">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eastAsia="宋体" w:cs="Times New Roman"/>
                      <w:color w:val="auto"/>
                      <w:sz w:val="20"/>
                      <w:szCs w:val="20"/>
                    </w:rPr>
                    <w:t>HW49</w:t>
                  </w:r>
                </w:p>
              </w:tc>
              <w:tc>
                <w:tcPr>
                  <w:tcW w:w="621" w:type="pct"/>
                  <w:tcBorders>
                    <w:tl2br w:val="nil"/>
                    <w:tr2bl w:val="nil"/>
                  </w:tcBorders>
                  <w:noWrap w:val="0"/>
                  <w:vAlign w:val="center"/>
                </w:tcPr>
                <w:p w14:paraId="10052DFA">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eastAsia" w:ascii="Times New Roman" w:hAnsi="Times New Roman" w:cs="Times New Roman"/>
                      <w:color w:val="auto"/>
                      <w:kern w:val="2"/>
                      <w:sz w:val="21"/>
                      <w:szCs w:val="21"/>
                      <w:vertAlign w:val="baseline"/>
                      <w:lang w:val="en-US" w:eastAsia="zh-CN" w:bidi="ar-SA"/>
                    </w:rPr>
                    <w:t>吨袋</w:t>
                  </w:r>
                </w:p>
              </w:tc>
              <w:tc>
                <w:tcPr>
                  <w:tcW w:w="538" w:type="pct"/>
                  <w:tcBorders>
                    <w:tl2br w:val="nil"/>
                    <w:tr2bl w:val="nil"/>
                  </w:tcBorders>
                  <w:noWrap w:val="0"/>
                  <w:vAlign w:val="center"/>
                </w:tcPr>
                <w:p w14:paraId="3376F5B5">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0.8</w:t>
                  </w:r>
                </w:p>
              </w:tc>
              <w:tc>
                <w:tcPr>
                  <w:tcW w:w="851" w:type="pct"/>
                  <w:tcBorders>
                    <w:tl2br w:val="nil"/>
                    <w:tr2bl w:val="nil"/>
                  </w:tcBorders>
                  <w:noWrap w:val="0"/>
                  <w:vAlign w:val="center"/>
                </w:tcPr>
                <w:p w14:paraId="382EF814">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废气处理</w:t>
                  </w:r>
                </w:p>
              </w:tc>
              <w:tc>
                <w:tcPr>
                  <w:tcW w:w="514" w:type="pct"/>
                  <w:vMerge w:val="continue"/>
                  <w:tcBorders>
                    <w:tl2br w:val="nil"/>
                    <w:tr2bl w:val="nil"/>
                  </w:tcBorders>
                  <w:noWrap w:val="0"/>
                  <w:vAlign w:val="center"/>
                </w:tcPr>
                <w:p w14:paraId="0949E536">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p>
              </w:tc>
              <w:tc>
                <w:tcPr>
                  <w:tcW w:w="501" w:type="pct"/>
                  <w:tcBorders>
                    <w:tl2br w:val="nil"/>
                    <w:tr2bl w:val="nil"/>
                  </w:tcBorders>
                  <w:noWrap w:val="0"/>
                  <w:vAlign w:val="center"/>
                </w:tcPr>
                <w:p w14:paraId="00992D86">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0.4</w:t>
                  </w:r>
                </w:p>
              </w:tc>
              <w:tc>
                <w:tcPr>
                  <w:tcW w:w="397" w:type="pct"/>
                  <w:tcBorders>
                    <w:tl2br w:val="nil"/>
                    <w:tr2bl w:val="nil"/>
                  </w:tcBorders>
                  <w:noWrap w:val="0"/>
                  <w:vAlign w:val="center"/>
                </w:tcPr>
                <w:p w14:paraId="645F7A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半</w:t>
                  </w:r>
                  <w:r>
                    <w:rPr>
                      <w:rFonts w:hint="default" w:ascii="Times New Roman" w:hAnsi="Times New Roman" w:cs="Times New Roman"/>
                      <w:color w:val="auto"/>
                      <w:sz w:val="21"/>
                      <w:szCs w:val="21"/>
                      <w:vertAlign w:val="baseline"/>
                      <w:lang w:val="en-US" w:eastAsia="zh-CN"/>
                    </w:rPr>
                    <w:t>年</w:t>
                  </w:r>
                </w:p>
              </w:tc>
              <w:tc>
                <w:tcPr>
                  <w:tcW w:w="581" w:type="pct"/>
                  <w:vMerge w:val="continue"/>
                  <w:tcBorders>
                    <w:tl2br w:val="nil"/>
                    <w:tr2bl w:val="nil"/>
                  </w:tcBorders>
                  <w:noWrap w:val="0"/>
                  <w:vAlign w:val="center"/>
                </w:tcPr>
                <w:p w14:paraId="38AAF6BE">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p>
              </w:tc>
            </w:tr>
            <w:tr w14:paraId="6D268A7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4A043382">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eastAsia="宋体" w:cs="Times New Roman"/>
                      <w:color w:val="auto"/>
                      <w:kern w:val="24"/>
                      <w:sz w:val="21"/>
                      <w:szCs w:val="21"/>
                      <w:lang w:val="en-US" w:eastAsia="zh-CN" w:bidi="ar"/>
                    </w:rPr>
                    <w:t>药剂瓶/药剂废包装</w:t>
                  </w:r>
                </w:p>
              </w:tc>
              <w:tc>
                <w:tcPr>
                  <w:tcW w:w="409" w:type="pct"/>
                  <w:tcBorders>
                    <w:tl2br w:val="nil"/>
                    <w:tr2bl w:val="nil"/>
                  </w:tcBorders>
                  <w:noWrap w:val="0"/>
                  <w:vAlign w:val="center"/>
                </w:tcPr>
                <w:p w14:paraId="16F07CEE">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sz w:val="20"/>
                      <w:szCs w:val="20"/>
                    </w:rPr>
                    <w:t>HW49</w:t>
                  </w:r>
                </w:p>
              </w:tc>
              <w:tc>
                <w:tcPr>
                  <w:tcW w:w="621" w:type="pct"/>
                  <w:tcBorders>
                    <w:tl2br w:val="nil"/>
                    <w:tr2bl w:val="nil"/>
                  </w:tcBorders>
                  <w:noWrap w:val="0"/>
                  <w:vAlign w:val="center"/>
                </w:tcPr>
                <w:p w14:paraId="0FE9DB6A">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吨袋</w:t>
                  </w:r>
                </w:p>
              </w:tc>
              <w:tc>
                <w:tcPr>
                  <w:tcW w:w="538" w:type="pct"/>
                  <w:tcBorders>
                    <w:tl2br w:val="nil"/>
                    <w:tr2bl w:val="nil"/>
                  </w:tcBorders>
                  <w:noWrap w:val="0"/>
                  <w:vAlign w:val="center"/>
                </w:tcPr>
                <w:p w14:paraId="3194A653">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0.1</w:t>
                  </w:r>
                </w:p>
              </w:tc>
              <w:tc>
                <w:tcPr>
                  <w:tcW w:w="851" w:type="pct"/>
                  <w:tcBorders>
                    <w:tl2br w:val="nil"/>
                    <w:tr2bl w:val="nil"/>
                  </w:tcBorders>
                  <w:noWrap w:val="0"/>
                  <w:vAlign w:val="center"/>
                </w:tcPr>
                <w:p w14:paraId="54D0E30B">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化验过程</w:t>
                  </w:r>
                </w:p>
              </w:tc>
              <w:tc>
                <w:tcPr>
                  <w:tcW w:w="514" w:type="pct"/>
                  <w:vMerge w:val="continue"/>
                  <w:tcBorders>
                    <w:tl2br w:val="nil"/>
                    <w:tr2bl w:val="nil"/>
                  </w:tcBorders>
                  <w:noWrap w:val="0"/>
                  <w:vAlign w:val="center"/>
                </w:tcPr>
                <w:p w14:paraId="5BC4A30F">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p>
              </w:tc>
              <w:tc>
                <w:tcPr>
                  <w:tcW w:w="501" w:type="pct"/>
                  <w:tcBorders>
                    <w:tl2br w:val="nil"/>
                    <w:tr2bl w:val="nil"/>
                  </w:tcBorders>
                  <w:noWrap w:val="0"/>
                  <w:vAlign w:val="center"/>
                </w:tcPr>
                <w:p w14:paraId="2B7B48DC">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0.05</w:t>
                  </w:r>
                </w:p>
              </w:tc>
              <w:tc>
                <w:tcPr>
                  <w:tcW w:w="397" w:type="pct"/>
                  <w:tcBorders>
                    <w:tl2br w:val="nil"/>
                    <w:tr2bl w:val="nil"/>
                  </w:tcBorders>
                  <w:noWrap w:val="0"/>
                  <w:vAlign w:val="center"/>
                </w:tcPr>
                <w:p w14:paraId="5E8382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半</w:t>
                  </w:r>
                  <w:r>
                    <w:rPr>
                      <w:rFonts w:hint="default" w:ascii="Times New Roman" w:hAnsi="Times New Roman" w:cs="Times New Roman"/>
                      <w:color w:val="auto"/>
                      <w:sz w:val="21"/>
                      <w:szCs w:val="21"/>
                      <w:vertAlign w:val="baseline"/>
                      <w:lang w:val="en-US" w:eastAsia="zh-CN"/>
                    </w:rPr>
                    <w:t>年</w:t>
                  </w:r>
                </w:p>
              </w:tc>
              <w:tc>
                <w:tcPr>
                  <w:tcW w:w="581" w:type="pct"/>
                  <w:vMerge w:val="continue"/>
                  <w:tcBorders>
                    <w:tl2br w:val="nil"/>
                    <w:tr2bl w:val="nil"/>
                  </w:tcBorders>
                  <w:noWrap w:val="0"/>
                  <w:vAlign w:val="center"/>
                </w:tcPr>
                <w:p w14:paraId="39BA212E">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p>
              </w:tc>
            </w:tr>
            <w:tr w14:paraId="369A1D7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57" w:type="dxa"/>
                  <w:bottom w:w="0" w:type="dxa"/>
                  <w:right w:w="57" w:type="dxa"/>
                </w:tblCellMar>
              </w:tblPrEx>
              <w:trPr>
                <w:trHeight w:val="454" w:hRule="atLeast"/>
              </w:trPr>
              <w:tc>
                <w:tcPr>
                  <w:tcW w:w="584" w:type="pct"/>
                  <w:tcBorders>
                    <w:tl2br w:val="nil"/>
                    <w:tr2bl w:val="nil"/>
                  </w:tcBorders>
                  <w:noWrap w:val="0"/>
                  <w:vAlign w:val="center"/>
                </w:tcPr>
                <w:p w14:paraId="2114ED1F">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24"/>
                      <w:sz w:val="21"/>
                      <w:szCs w:val="21"/>
                      <w:lang w:val="en-US" w:eastAsia="zh-CN" w:bidi="ar"/>
                    </w:rPr>
                    <w:t>沾染实验药品的废消耗品</w:t>
                  </w:r>
                </w:p>
              </w:tc>
              <w:tc>
                <w:tcPr>
                  <w:tcW w:w="409" w:type="pct"/>
                  <w:tcBorders>
                    <w:tl2br w:val="nil"/>
                    <w:tr2bl w:val="nil"/>
                  </w:tcBorders>
                  <w:noWrap w:val="0"/>
                  <w:vAlign w:val="center"/>
                </w:tcPr>
                <w:p w14:paraId="3706BFF5">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sz w:val="20"/>
                      <w:szCs w:val="20"/>
                    </w:rPr>
                    <w:t>HW49</w:t>
                  </w:r>
                </w:p>
              </w:tc>
              <w:tc>
                <w:tcPr>
                  <w:tcW w:w="621" w:type="pct"/>
                  <w:tcBorders>
                    <w:tl2br w:val="nil"/>
                    <w:tr2bl w:val="nil"/>
                  </w:tcBorders>
                  <w:noWrap w:val="0"/>
                  <w:vAlign w:val="center"/>
                </w:tcPr>
                <w:p w14:paraId="4AB9EE90">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吨袋</w:t>
                  </w:r>
                </w:p>
              </w:tc>
              <w:tc>
                <w:tcPr>
                  <w:tcW w:w="538" w:type="pct"/>
                  <w:tcBorders>
                    <w:tl2br w:val="nil"/>
                    <w:tr2bl w:val="nil"/>
                  </w:tcBorders>
                  <w:noWrap w:val="0"/>
                  <w:vAlign w:val="center"/>
                </w:tcPr>
                <w:p w14:paraId="4B82D20F">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0.3</w:t>
                  </w:r>
                </w:p>
              </w:tc>
              <w:tc>
                <w:tcPr>
                  <w:tcW w:w="851" w:type="pct"/>
                  <w:tcBorders>
                    <w:tl2br w:val="nil"/>
                    <w:tr2bl w:val="nil"/>
                  </w:tcBorders>
                  <w:noWrap w:val="0"/>
                  <w:vAlign w:val="center"/>
                </w:tcPr>
                <w:p w14:paraId="47A6E755">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化验过程</w:t>
                  </w:r>
                </w:p>
              </w:tc>
              <w:tc>
                <w:tcPr>
                  <w:tcW w:w="514" w:type="pct"/>
                  <w:vMerge w:val="continue"/>
                  <w:tcBorders>
                    <w:tl2br w:val="nil"/>
                    <w:tr2bl w:val="nil"/>
                  </w:tcBorders>
                  <w:noWrap w:val="0"/>
                  <w:vAlign w:val="center"/>
                </w:tcPr>
                <w:p w14:paraId="66E252D0">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p>
              </w:tc>
              <w:tc>
                <w:tcPr>
                  <w:tcW w:w="501" w:type="pct"/>
                  <w:tcBorders>
                    <w:tl2br w:val="nil"/>
                    <w:tr2bl w:val="nil"/>
                  </w:tcBorders>
                  <w:noWrap w:val="0"/>
                  <w:vAlign w:val="center"/>
                </w:tcPr>
                <w:p w14:paraId="24A9C173">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0.15</w:t>
                  </w:r>
                </w:p>
              </w:tc>
              <w:tc>
                <w:tcPr>
                  <w:tcW w:w="397" w:type="pct"/>
                  <w:tcBorders>
                    <w:tl2br w:val="nil"/>
                    <w:tr2bl w:val="nil"/>
                  </w:tcBorders>
                  <w:noWrap w:val="0"/>
                  <w:vAlign w:val="center"/>
                </w:tcPr>
                <w:p w14:paraId="063AAD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半</w:t>
                  </w:r>
                  <w:r>
                    <w:rPr>
                      <w:rFonts w:hint="default" w:ascii="Times New Roman" w:hAnsi="Times New Roman" w:cs="Times New Roman"/>
                      <w:color w:val="auto"/>
                      <w:sz w:val="21"/>
                      <w:szCs w:val="21"/>
                      <w:vertAlign w:val="baseline"/>
                      <w:lang w:val="en-US" w:eastAsia="zh-CN"/>
                    </w:rPr>
                    <w:t>年</w:t>
                  </w:r>
                </w:p>
              </w:tc>
              <w:tc>
                <w:tcPr>
                  <w:tcW w:w="581" w:type="pct"/>
                  <w:vMerge w:val="continue"/>
                  <w:tcBorders>
                    <w:tl2br w:val="nil"/>
                    <w:tr2bl w:val="nil"/>
                  </w:tcBorders>
                  <w:noWrap w:val="0"/>
                  <w:vAlign w:val="center"/>
                </w:tcPr>
                <w:p w14:paraId="74B6514A">
                  <w:pPr>
                    <w:pStyle w:val="2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color w:val="auto"/>
                      <w:sz w:val="21"/>
                      <w:szCs w:val="21"/>
                      <w:vertAlign w:val="baseline"/>
                      <w:lang w:val="en-US" w:eastAsia="zh-CN"/>
                    </w:rPr>
                  </w:pPr>
                </w:p>
              </w:tc>
            </w:tr>
          </w:tbl>
          <w:p w14:paraId="05E5A179">
            <w:pPr>
              <w:pStyle w:val="5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cs="Times New Roman"/>
                <w:b w:val="0"/>
                <w:bCs/>
                <w:color w:val="auto"/>
                <w:sz w:val="24"/>
                <w:szCs w:val="24"/>
                <w:highlight w:val="none"/>
                <w:lang w:val="en-US" w:eastAsia="zh-CN"/>
              </w:rPr>
            </w:pPr>
            <w:r>
              <w:rPr>
                <w:rFonts w:hint="eastAsia" w:ascii="Times New Roman" w:hAnsi="Times New Roman" w:cs="Times New Roman"/>
                <w:b w:val="0"/>
                <w:bCs/>
                <w:color w:val="auto"/>
                <w:sz w:val="24"/>
                <w:szCs w:val="24"/>
                <w:highlight w:val="none"/>
                <w:lang w:val="en-US" w:eastAsia="zh-CN"/>
              </w:rPr>
              <w:t>5</w:t>
            </w:r>
            <w:r>
              <w:rPr>
                <w:rFonts w:hint="default" w:ascii="Times New Roman" w:hAnsi="Times New Roman" w:cs="Times New Roman"/>
                <w:b w:val="0"/>
                <w:bCs/>
                <w:color w:val="auto"/>
                <w:sz w:val="24"/>
                <w:szCs w:val="24"/>
                <w:highlight w:val="none"/>
                <w:lang w:val="en-US" w:eastAsia="zh-CN"/>
              </w:rPr>
              <w:t>.公用工程</w:t>
            </w:r>
          </w:p>
          <w:p w14:paraId="4ECEA917">
            <w:pPr>
              <w:keepNext w:val="0"/>
              <w:keepLines w:val="0"/>
              <w:pageBreakBefore w:val="0"/>
              <w:widowControl w:val="0"/>
              <w:kinsoku/>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给排水</w:t>
            </w:r>
          </w:p>
          <w:p w14:paraId="56EA0FF4">
            <w:pPr>
              <w:adjustRightInd w:val="0"/>
              <w:snapToGrid w:val="0"/>
              <w:spacing w:line="360" w:lineRule="auto"/>
              <w:ind w:firstLine="480" w:firstLineChars="200"/>
              <w:jc w:val="left"/>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本项目不新增劳动定员，所需人员由现有员工中调剂，运营期过程中不新增用水，无废水产生。</w:t>
            </w:r>
          </w:p>
          <w:p w14:paraId="53BE6F96">
            <w:pPr>
              <w:adjustRightInd w:val="0"/>
              <w:snapToGrid w:val="0"/>
              <w:spacing w:line="360" w:lineRule="auto"/>
              <w:ind w:firstLine="480" w:firstLineChars="200"/>
              <w:jc w:val="left"/>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供电</w:t>
            </w:r>
          </w:p>
          <w:p w14:paraId="73FCDE24">
            <w:pPr>
              <w:adjustRightInd w:val="0"/>
              <w:snapToGrid w:val="0"/>
              <w:spacing w:line="360" w:lineRule="auto"/>
              <w:ind w:firstLine="480" w:firstLineChars="200"/>
              <w:jc w:val="left"/>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由厂区现有供电系统供给</w:t>
            </w:r>
            <w:r>
              <w:rPr>
                <w:rFonts w:hint="eastAsia" w:ascii="Times New Roman" w:hAnsi="Times New Roman" w:eastAsia="宋体" w:cs="Times New Roman"/>
                <w:b w:val="0"/>
                <w:bCs w:val="0"/>
                <w:color w:val="auto"/>
                <w:sz w:val="24"/>
                <w:szCs w:val="24"/>
                <w:highlight w:val="none"/>
                <w:lang w:val="en-US" w:eastAsia="zh-CN"/>
              </w:rPr>
              <w:t>。</w:t>
            </w:r>
          </w:p>
          <w:p w14:paraId="762B75D4">
            <w:pPr>
              <w:adjustRightInd w:val="0"/>
              <w:snapToGrid w:val="0"/>
              <w:spacing w:line="360" w:lineRule="auto"/>
              <w:ind w:firstLine="480" w:firstLineChars="200"/>
              <w:jc w:val="left"/>
              <w:rPr>
                <w:rFonts w:hint="eastAsia"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eastAsia" w:ascii="Times New Roman" w:hAnsi="Times New Roman" w:cs="Times New Roman"/>
                <w:b w:val="0"/>
                <w:bCs w:val="0"/>
                <w:color w:val="auto"/>
                <w:sz w:val="24"/>
                <w:szCs w:val="24"/>
                <w:lang w:val="en-US" w:eastAsia="zh-CN"/>
              </w:rPr>
              <w:t>通风</w:t>
            </w:r>
          </w:p>
          <w:p w14:paraId="2B90B2C9">
            <w:pPr>
              <w:pStyle w:val="5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库内设置</w:t>
            </w:r>
            <w:r>
              <w:rPr>
                <w:rFonts w:hint="eastAsia"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台防爆轴流风机为危废暂存间通风。</w:t>
            </w:r>
          </w:p>
          <w:p w14:paraId="7C88859C">
            <w:pPr>
              <w:pStyle w:val="5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cs="Times New Roman"/>
                <w:b w:val="0"/>
                <w:bCs/>
                <w:color w:val="auto"/>
                <w:sz w:val="24"/>
                <w:szCs w:val="24"/>
                <w:highlight w:val="none"/>
                <w:lang w:val="en-US" w:eastAsia="zh-CN"/>
              </w:rPr>
            </w:pPr>
            <w:r>
              <w:rPr>
                <w:rFonts w:hint="eastAsia" w:ascii="Times New Roman" w:hAnsi="Times New Roman" w:cs="Times New Roman"/>
                <w:b w:val="0"/>
                <w:bCs/>
                <w:color w:val="auto"/>
                <w:sz w:val="24"/>
                <w:szCs w:val="24"/>
                <w:highlight w:val="none"/>
                <w:lang w:val="en-US" w:eastAsia="zh-CN"/>
              </w:rPr>
              <w:t>8</w:t>
            </w:r>
            <w:r>
              <w:rPr>
                <w:rFonts w:hint="default" w:ascii="Times New Roman" w:hAnsi="Times New Roman" w:cs="Times New Roman"/>
                <w:b w:val="0"/>
                <w:bCs/>
                <w:color w:val="auto"/>
                <w:sz w:val="24"/>
                <w:szCs w:val="24"/>
                <w:highlight w:val="none"/>
                <w:lang w:val="en-US" w:eastAsia="zh-CN"/>
              </w:rPr>
              <w:t>.劳动定员及工作制度</w:t>
            </w:r>
          </w:p>
          <w:p w14:paraId="6425476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rPr>
              <w:t>项目不新增劳动定员，所需人员在企业现有员工中调剂，年工作 365d。</w:t>
            </w:r>
          </w:p>
        </w:tc>
      </w:tr>
      <w:tr w14:paraId="7C7B64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90" w:hRule="atLeast"/>
          <w:jc w:val="center"/>
        </w:trPr>
        <w:tc>
          <w:tcPr>
            <w:tcW w:w="446" w:type="pct"/>
            <w:noWrap w:val="0"/>
            <w:vAlign w:val="center"/>
          </w:tcPr>
          <w:p w14:paraId="41495A5F">
            <w:pPr>
              <w:pStyle w:val="23"/>
              <w:adjustRightInd w:val="0"/>
              <w:snapToGrid w:val="0"/>
              <w:spacing w:before="0" w:beforeAutospacing="0" w:after="0" w:afterAutospacing="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工艺流程和产排污环节</w:t>
            </w:r>
          </w:p>
        </w:tc>
        <w:tc>
          <w:tcPr>
            <w:tcW w:w="4553" w:type="pct"/>
            <w:noWrap w:val="0"/>
            <w:vAlign w:val="top"/>
          </w:tcPr>
          <w:p w14:paraId="6C737F9A">
            <w:pPr>
              <w:pStyle w:val="9"/>
              <w:keepNext w:val="0"/>
              <w:keepLines w:val="0"/>
              <w:pageBreakBefore w:val="0"/>
              <w:widowControl w:val="0"/>
              <w:kinsoku/>
              <w:wordWrap/>
              <w:overflowPunct/>
              <w:topLinePunct w:val="0"/>
              <w:autoSpaceDE/>
              <w:autoSpaceDN/>
              <w:bidi w:val="0"/>
              <w:spacing w:before="0" w:beforeLines="0"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一、施工期工艺流程及产排污分析</w:t>
            </w:r>
          </w:p>
          <w:p w14:paraId="4A2129AE">
            <w:pPr>
              <w:pStyle w:val="9"/>
              <w:keepNext w:val="0"/>
              <w:keepLines w:val="0"/>
              <w:pageBreakBefore w:val="0"/>
              <w:widowControl w:val="0"/>
              <w:kinsoku/>
              <w:wordWrap/>
              <w:overflowPunct/>
              <w:topLinePunct w:val="0"/>
              <w:autoSpaceDE/>
              <w:autoSpaceDN/>
              <w:bidi w:val="0"/>
              <w:spacing w:before="0" w:beforeLines="0"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1.施工期工艺流程</w:t>
            </w:r>
          </w:p>
          <w:p w14:paraId="560CDDE3">
            <w:pPr>
              <w:pStyle w:val="101"/>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jc w:val="both"/>
              <w:textAlignment w:val="auto"/>
              <w:rPr>
                <w:rFonts w:hint="default" w:ascii="Times New Roman" w:hAnsi="Times New Roman" w:eastAsia="宋体" w:cs="Times New Roman"/>
                <w:b w:val="0"/>
                <w:bCs w:val="0"/>
                <w:color w:val="auto"/>
                <w:sz w:val="24"/>
                <w:szCs w:val="24"/>
                <w:lang w:val="en-US" w:eastAsia="zh-CN" w:bidi="ar-SA"/>
              </w:rPr>
            </w:pPr>
            <w:r>
              <w:rPr>
                <w:rFonts w:hint="default" w:ascii="Times New Roman" w:hAnsi="Times New Roman" w:eastAsia="宋体" w:cs="Times New Roman"/>
                <w:b w:val="0"/>
                <w:bCs w:val="0"/>
                <w:color w:val="auto"/>
                <w:sz w:val="24"/>
                <w:szCs w:val="24"/>
                <w:lang w:val="en-US" w:eastAsia="zh-CN" w:bidi="ar-SA"/>
              </w:rPr>
              <w:t>施工期主要对厂内现有1座290m</w:t>
            </w:r>
            <w:r>
              <w:rPr>
                <w:rFonts w:hint="default" w:ascii="Times New Roman" w:hAnsi="Times New Roman" w:eastAsia="宋体" w:cs="Times New Roman"/>
                <w:b w:val="0"/>
                <w:bCs w:val="0"/>
                <w:color w:val="auto"/>
                <w:sz w:val="24"/>
                <w:szCs w:val="24"/>
                <w:vertAlign w:val="superscript"/>
                <w:lang w:val="en-US" w:eastAsia="zh-CN" w:bidi="ar-SA"/>
              </w:rPr>
              <w:t>2</w:t>
            </w:r>
            <w:r>
              <w:rPr>
                <w:rFonts w:hint="default" w:ascii="Times New Roman" w:hAnsi="Times New Roman" w:eastAsia="宋体" w:cs="Times New Roman"/>
                <w:b w:val="0"/>
                <w:bCs w:val="0"/>
                <w:color w:val="auto"/>
                <w:sz w:val="24"/>
                <w:szCs w:val="24"/>
                <w:lang w:val="en-US" w:eastAsia="zh-CN" w:bidi="ar-SA"/>
              </w:rPr>
              <w:t>氰化钠库进行改造，作为危废暂存库，主体工程依托现有，仅对基础、导流槽、集液池等进行防渗施工，施工期主要工程内容包括防渗膜的铺设、保护层的施工等，施工活动均在现有库房内进行，工程量较少，施工期短暂，对环境影响轻微。</w:t>
            </w:r>
          </w:p>
          <w:p w14:paraId="5EE0CDE7">
            <w:pPr>
              <w:pStyle w:val="43"/>
              <w:keepNext w:val="0"/>
              <w:keepLines w:val="0"/>
              <w:pageBreakBefore w:val="0"/>
              <w:widowControl w:val="0"/>
              <w:kinsoku/>
              <w:overflowPunct/>
              <w:topLinePunct w:val="0"/>
              <w:bidi w:val="0"/>
              <w:adjustRightIn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2.施工期产排污分析</w:t>
            </w:r>
          </w:p>
          <w:p w14:paraId="792B2163">
            <w:pPr>
              <w:pStyle w:val="43"/>
              <w:keepNext w:val="0"/>
              <w:keepLines w:val="0"/>
              <w:pageBreakBefore w:val="0"/>
              <w:widowControl w:val="0"/>
              <w:kinsoku/>
              <w:overflowPunct/>
              <w:topLinePunct w:val="0"/>
              <w:bidi w:val="0"/>
              <w:adjustRightIn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（1）废气</w:t>
            </w:r>
          </w:p>
          <w:p w14:paraId="31D63B57">
            <w:pPr>
              <w:pStyle w:val="43"/>
              <w:keepNext w:val="0"/>
              <w:keepLines w:val="0"/>
              <w:pageBreakBefore w:val="0"/>
              <w:widowControl w:val="0"/>
              <w:kinsoku/>
              <w:overflowPunct/>
              <w:topLinePunct w:val="0"/>
              <w:bidi w:val="0"/>
              <w:adjustRightIn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项目施工期废气主要为危废暂存库地面防渗工程的施工和设备安装产生的施工扬尘等。</w:t>
            </w:r>
          </w:p>
          <w:p w14:paraId="463A8C20">
            <w:pPr>
              <w:pStyle w:val="43"/>
              <w:keepNext w:val="0"/>
              <w:keepLines w:val="0"/>
              <w:pageBreakBefore w:val="0"/>
              <w:widowControl w:val="0"/>
              <w:kinsoku/>
              <w:overflowPunct/>
              <w:topLinePunct w:val="0"/>
              <w:bidi w:val="0"/>
              <w:adjustRightIn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（2）固体废物</w:t>
            </w:r>
          </w:p>
          <w:p w14:paraId="4B8BFDF0">
            <w:pPr>
              <w:pStyle w:val="43"/>
              <w:keepNext w:val="0"/>
              <w:keepLines w:val="0"/>
              <w:pageBreakBefore w:val="0"/>
              <w:widowControl w:val="0"/>
              <w:kinsoku/>
              <w:overflowPunct/>
              <w:topLinePunct w:val="0"/>
              <w:bidi w:val="0"/>
              <w:adjustRightIn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项目施工期固废主要包括建筑垃圾及施工人员生活垃圾。</w:t>
            </w:r>
          </w:p>
          <w:p w14:paraId="4D2D9BA7">
            <w:pPr>
              <w:pStyle w:val="43"/>
              <w:keepNext w:val="0"/>
              <w:keepLines w:val="0"/>
              <w:pageBreakBefore w:val="0"/>
              <w:widowControl w:val="0"/>
              <w:kinsoku/>
              <w:overflowPunct/>
              <w:topLinePunct w:val="0"/>
              <w:bidi w:val="0"/>
              <w:adjustRightIn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（3）噪声</w:t>
            </w:r>
          </w:p>
          <w:p w14:paraId="34C14529">
            <w:pPr>
              <w:pStyle w:val="43"/>
              <w:keepNext w:val="0"/>
              <w:keepLines w:val="0"/>
              <w:pageBreakBefore w:val="0"/>
              <w:widowControl w:val="0"/>
              <w:kinsoku/>
              <w:overflowPunct/>
              <w:topLinePunct w:val="0"/>
              <w:bidi w:val="0"/>
              <w:adjustRightIn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施工期噪声主要来源于施工机械、施工车辆交通运输噪声。</w:t>
            </w:r>
          </w:p>
          <w:p w14:paraId="5720D4E4">
            <w:pPr>
              <w:pStyle w:val="43"/>
              <w:keepNext w:val="0"/>
              <w:keepLines w:val="0"/>
              <w:pageBreakBefore w:val="0"/>
              <w:widowControl w:val="0"/>
              <w:kinsoku/>
              <w:overflowPunct/>
              <w:topLinePunct w:val="0"/>
              <w:bidi w:val="0"/>
              <w:adjustRightIn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（4）废水</w:t>
            </w:r>
          </w:p>
          <w:p w14:paraId="7336806E">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b/>
                <w:bCs/>
                <w:color w:val="auto"/>
                <w:spacing w:val="-5"/>
                <w:sz w:val="24"/>
                <w:szCs w:val="24"/>
                <w:highlight w:val="none"/>
                <w:lang w:val="en-US" w:eastAsia="zh-CN"/>
              </w:rPr>
            </w:pPr>
            <w:r>
              <w:rPr>
                <w:rFonts w:hint="default" w:ascii="Times New Roman" w:hAnsi="Times New Roman" w:cs="Times New Roman"/>
                <w:color w:val="auto"/>
                <w:sz w:val="24"/>
                <w:szCs w:val="24"/>
                <w:lang w:val="en-US" w:eastAsia="zh-CN"/>
              </w:rPr>
              <w:t>项目施工期废水主要包括施工废水及施工人员生活污水，施工期施工废水主要是混凝土搅拌水和少量的养护废水，主要污染因子为SS。</w:t>
            </w:r>
          </w:p>
          <w:p w14:paraId="43C514D0">
            <w:pPr>
              <w:pStyle w:val="55"/>
              <w:keepNext w:val="0"/>
              <w:keepLines w:val="0"/>
              <w:pageBreakBefore w:val="0"/>
              <w:kinsoku/>
              <w:wordWrap/>
              <w:overflowPunct/>
              <w:topLinePunct w:val="0"/>
              <w:autoSpaceDE/>
              <w:autoSpaceDN/>
              <w:bidi w:val="0"/>
              <w:ind w:leftChars="0"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color w:val="auto"/>
                <w:sz w:val="24"/>
                <w:szCs w:val="24"/>
                <w:lang w:val="en-US" w:eastAsia="zh-CN"/>
              </w:rPr>
              <w:t>二、</w:t>
            </w:r>
            <w:r>
              <w:rPr>
                <w:rFonts w:hint="default" w:ascii="Times New Roman" w:hAnsi="Times New Roman" w:cs="Times New Roman"/>
                <w:color w:val="auto"/>
                <w:sz w:val="24"/>
                <w:szCs w:val="24"/>
              </w:rPr>
              <w:t>运营期工艺流程</w:t>
            </w:r>
            <w:r>
              <w:rPr>
                <w:rFonts w:hint="default" w:ascii="Times New Roman" w:hAnsi="Times New Roman" w:cs="Times New Roman"/>
                <w:color w:val="auto"/>
                <w:sz w:val="24"/>
                <w:szCs w:val="24"/>
                <w:lang w:val="en-US" w:eastAsia="zh-CN"/>
              </w:rPr>
              <w:t>及产污环节</w:t>
            </w:r>
            <w:r>
              <w:rPr>
                <w:rFonts w:hint="default" w:ascii="Times New Roman" w:hAnsi="Times New Roman" w:cs="Times New Roman"/>
                <w:color w:val="auto"/>
                <w:sz w:val="24"/>
                <w:szCs w:val="24"/>
              </w:rPr>
              <w:t>简述：</w:t>
            </w:r>
          </w:p>
          <w:p w14:paraId="28322B7C">
            <w:pPr>
              <w:pStyle w:val="43"/>
              <w:keepNext w:val="0"/>
              <w:keepLines w:val="0"/>
              <w:pageBreakBefore w:val="0"/>
              <w:widowControl w:val="0"/>
              <w:kinsoku/>
              <w:overflowPunct/>
              <w:topLinePunct w:val="0"/>
              <w:bidi w:val="0"/>
              <w:adjustRightInd w:val="0"/>
              <w:spacing w:line="360" w:lineRule="auto"/>
              <w:ind w:firstLine="476" w:firstLineChars="200"/>
              <w:textAlignment w:val="auto"/>
              <w:rPr>
                <w:rFonts w:hint="default" w:ascii="Times New Roman" w:hAnsi="Times New Roman" w:eastAsia="宋体" w:cs="Times New Roman"/>
                <w:color w:val="auto"/>
                <w:spacing w:val="-1"/>
                <w:sz w:val="24"/>
                <w:szCs w:val="24"/>
                <w:lang w:val="en-US" w:eastAsia="zh-CN"/>
              </w:rPr>
            </w:pPr>
            <w:r>
              <w:rPr>
                <w:rFonts w:hint="eastAsia" w:ascii="Times New Roman" w:hAnsi="Times New Roman" w:eastAsia="宋体" w:cs="Times New Roman"/>
                <w:color w:val="auto"/>
                <w:spacing w:val="-1"/>
                <w:sz w:val="24"/>
                <w:szCs w:val="24"/>
                <w:lang w:val="en-US" w:eastAsia="zh-CN"/>
              </w:rPr>
              <w:t>1.</w:t>
            </w:r>
            <w:r>
              <w:rPr>
                <w:rFonts w:hint="default" w:ascii="Times New Roman" w:hAnsi="Times New Roman" w:eastAsia="宋体" w:cs="Times New Roman"/>
                <w:color w:val="auto"/>
                <w:spacing w:val="-1"/>
                <w:sz w:val="24"/>
                <w:szCs w:val="24"/>
                <w:lang w:val="en-US" w:eastAsia="zh-CN"/>
              </w:rPr>
              <w:t>危废暂存库</w:t>
            </w:r>
          </w:p>
          <w:p w14:paraId="669BC917">
            <w:pPr>
              <w:pStyle w:val="43"/>
              <w:keepNext w:val="0"/>
              <w:keepLines w:val="0"/>
              <w:pageBreakBefore w:val="0"/>
              <w:widowControl w:val="0"/>
              <w:kinsoku/>
              <w:overflowPunct/>
              <w:topLinePunct w:val="0"/>
              <w:bidi w:val="0"/>
              <w:adjustRightInd w:val="0"/>
              <w:spacing w:line="360" w:lineRule="auto"/>
              <w:ind w:firstLine="476" w:firstLineChars="200"/>
              <w:textAlignment w:val="auto"/>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本项目仅为危险废物的收集、场内转运、暂存，不涉及后续外运、处置等工作，运营期各产污环节收集到的危险废物采用密闭包装袋封装后运至本项目暂存间内分区暂存，定期交</w:t>
            </w:r>
            <w:r>
              <w:rPr>
                <w:rFonts w:hint="eastAsia" w:ascii="Times New Roman" w:hAnsi="Times New Roman" w:eastAsia="宋体" w:cs="Times New Roman"/>
                <w:color w:val="auto"/>
                <w:spacing w:val="-1"/>
                <w:sz w:val="24"/>
                <w:szCs w:val="24"/>
                <w:lang w:val="en-US" w:eastAsia="zh-CN"/>
              </w:rPr>
              <w:t>由</w:t>
            </w:r>
            <w:r>
              <w:rPr>
                <w:rFonts w:hint="default" w:ascii="Times New Roman" w:hAnsi="Times New Roman" w:eastAsia="宋体" w:cs="Times New Roman"/>
                <w:color w:val="auto"/>
                <w:spacing w:val="-1"/>
                <w:sz w:val="24"/>
                <w:szCs w:val="24"/>
                <w:lang w:val="en-US" w:eastAsia="zh-CN"/>
              </w:rPr>
              <w:t>有资质单位处置。</w:t>
            </w:r>
          </w:p>
          <w:p w14:paraId="21C15D02">
            <w:pPr>
              <w:pStyle w:val="43"/>
              <w:keepNext w:val="0"/>
              <w:keepLines w:val="0"/>
              <w:pageBreakBefore w:val="0"/>
              <w:widowControl w:val="0"/>
              <w:kinsoku/>
              <w:overflowPunct/>
              <w:topLinePunct w:val="0"/>
              <w:bidi w:val="0"/>
              <w:adjustRightInd w:val="0"/>
              <w:spacing w:line="360" w:lineRule="auto"/>
              <w:ind w:firstLine="476" w:firstLineChars="200"/>
              <w:textAlignment w:val="auto"/>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highlight w:val="none"/>
                <w:lang w:val="en-US" w:eastAsia="zh-CN"/>
              </w:rPr>
              <w:t>项目暂存的危废均采用密封袋</w:t>
            </w:r>
            <w:r>
              <w:rPr>
                <w:rFonts w:hint="eastAsia" w:ascii="Times New Roman" w:hAnsi="Times New Roman" w:eastAsia="宋体" w:cs="Times New Roman"/>
                <w:color w:val="auto"/>
                <w:spacing w:val="-1"/>
                <w:sz w:val="24"/>
                <w:szCs w:val="24"/>
                <w:highlight w:val="none"/>
                <w:lang w:val="en-US" w:eastAsia="zh-CN"/>
              </w:rPr>
              <w:t>或密封桶</w:t>
            </w:r>
            <w:r>
              <w:rPr>
                <w:rFonts w:hint="default" w:ascii="Times New Roman" w:hAnsi="Times New Roman" w:eastAsia="宋体" w:cs="Times New Roman"/>
                <w:color w:val="auto"/>
                <w:spacing w:val="-1"/>
                <w:sz w:val="24"/>
                <w:szCs w:val="24"/>
                <w:highlight w:val="none"/>
                <w:lang w:val="en-US" w:eastAsia="zh-CN"/>
              </w:rPr>
              <w:t>包装</w:t>
            </w:r>
            <w:r>
              <w:rPr>
                <w:rFonts w:hint="default" w:ascii="Times New Roman" w:hAnsi="Times New Roman" w:eastAsia="宋体" w:cs="Times New Roman"/>
                <w:color w:val="auto"/>
                <w:spacing w:val="-1"/>
                <w:sz w:val="24"/>
                <w:szCs w:val="24"/>
                <w:lang w:val="en-US" w:eastAsia="zh-CN"/>
              </w:rPr>
              <w:t>，不在库内分装，运营期无废气产生；管理人员在公司现有员工中调剂，不新增生活污水、生活垃圾等产生；运营期主要污染源为风机运行产生的噪声。</w:t>
            </w:r>
          </w:p>
          <w:p w14:paraId="3E5B21DE">
            <w:pPr>
              <w:pStyle w:val="43"/>
              <w:keepNext w:val="0"/>
              <w:keepLines w:val="0"/>
              <w:pageBreakBefore w:val="0"/>
              <w:widowControl w:val="0"/>
              <w:kinsoku/>
              <w:overflowPunct/>
              <w:topLinePunct w:val="0"/>
              <w:bidi w:val="0"/>
              <w:adjustRightInd w:val="0"/>
              <w:spacing w:line="360" w:lineRule="auto"/>
              <w:ind w:firstLine="476" w:firstLineChars="200"/>
              <w:textAlignment w:val="auto"/>
              <w:rPr>
                <w:rFonts w:hint="eastAsia" w:ascii="Times New Roman" w:hAnsi="Times New Roman" w:cs="Times New Roman"/>
                <w:bCs/>
                <w:color w:val="auto"/>
                <w:sz w:val="24"/>
                <w:szCs w:val="24"/>
                <w:highlight w:val="none"/>
                <w:lang w:val="en-US" w:eastAsia="zh-CN"/>
              </w:rPr>
            </w:pPr>
            <w:r>
              <w:rPr>
                <w:rFonts w:hint="eastAsia" w:ascii="Times New Roman" w:hAnsi="Times New Roman" w:eastAsia="宋体" w:cs="Times New Roman"/>
                <w:color w:val="auto"/>
                <w:spacing w:val="-1"/>
                <w:sz w:val="24"/>
                <w:szCs w:val="24"/>
                <w:lang w:val="en-US" w:eastAsia="zh-CN"/>
              </w:rPr>
              <w:t>原有300m</w:t>
            </w:r>
            <w:r>
              <w:rPr>
                <w:rFonts w:hint="eastAsia" w:ascii="Times New Roman" w:hAnsi="Times New Roman" w:eastAsia="宋体" w:cs="Times New Roman"/>
                <w:color w:val="auto"/>
                <w:spacing w:val="-1"/>
                <w:sz w:val="24"/>
                <w:szCs w:val="24"/>
                <w:vertAlign w:val="superscript"/>
                <w:lang w:val="en-US" w:eastAsia="zh-CN"/>
              </w:rPr>
              <w:t>2</w:t>
            </w:r>
            <w:r>
              <w:rPr>
                <w:rFonts w:hint="eastAsia" w:ascii="Times New Roman" w:hAnsi="Times New Roman" w:eastAsia="宋体" w:cs="Times New Roman"/>
                <w:color w:val="auto"/>
                <w:spacing w:val="-1"/>
                <w:sz w:val="24"/>
                <w:szCs w:val="24"/>
                <w:lang w:val="en-US" w:eastAsia="zh-CN"/>
              </w:rPr>
              <w:t>危废库储存</w:t>
            </w:r>
            <w:r>
              <w:rPr>
                <w:rFonts w:hint="default" w:ascii="Times New Roman" w:hAnsi="Times New Roman" w:eastAsia="宋体" w:cs="Times New Roman"/>
                <w:color w:val="auto"/>
                <w:kern w:val="0"/>
                <w:sz w:val="24"/>
                <w:szCs w:val="24"/>
                <w:highlight w:val="none"/>
                <w:lang w:val="en-US" w:eastAsia="zh-CN" w:bidi="ar-SA"/>
              </w:rPr>
              <w:t>载金碳粉</w:t>
            </w:r>
            <w:r>
              <w:rPr>
                <w:rFonts w:hint="eastAsia" w:ascii="Times New Roman" w:hAnsi="Times New Roman" w:eastAsia="宋体" w:cs="Times New Roman"/>
                <w:color w:val="auto"/>
                <w:kern w:val="0"/>
                <w:sz w:val="24"/>
                <w:szCs w:val="24"/>
                <w:highlight w:val="none"/>
                <w:lang w:val="en-US" w:eastAsia="zh-CN" w:bidi="ar-SA"/>
              </w:rPr>
              <w:t>、废</w:t>
            </w:r>
            <w:r>
              <w:rPr>
                <w:rFonts w:hint="default" w:ascii="Times New Roman" w:hAnsi="Times New Roman" w:eastAsia="宋体" w:cs="Times New Roman"/>
                <w:color w:val="auto"/>
                <w:kern w:val="0"/>
                <w:sz w:val="24"/>
                <w:szCs w:val="24"/>
                <w:highlight w:val="none"/>
                <w:lang w:val="en-US" w:eastAsia="zh-CN" w:bidi="ar-SA"/>
              </w:rPr>
              <w:t>灰皿</w:t>
            </w:r>
            <w:r>
              <w:rPr>
                <w:rFonts w:hint="eastAsia" w:ascii="Times New Roman" w:hAnsi="Times New Roman" w:eastAsia="宋体" w:cs="Times New Roman"/>
                <w:color w:val="auto"/>
                <w:kern w:val="0"/>
                <w:sz w:val="24"/>
                <w:szCs w:val="24"/>
                <w:highlight w:val="none"/>
                <w:lang w:val="en-US" w:eastAsia="zh-CN" w:bidi="ar-SA"/>
              </w:rPr>
              <w:t>，本次改造290m</w:t>
            </w:r>
            <w:r>
              <w:rPr>
                <w:rFonts w:hint="eastAsia" w:ascii="Times New Roman" w:hAnsi="Times New Roman" w:eastAsia="宋体" w:cs="Times New Roman"/>
                <w:color w:val="auto"/>
                <w:kern w:val="0"/>
                <w:sz w:val="24"/>
                <w:szCs w:val="24"/>
                <w:highlight w:val="none"/>
                <w:vertAlign w:val="superscript"/>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危废库</w:t>
            </w:r>
            <w:r>
              <w:rPr>
                <w:rFonts w:hint="eastAsia" w:ascii="Times New Roman" w:cs="Times New Roman"/>
                <w:color w:val="auto"/>
                <w:kern w:val="0"/>
                <w:sz w:val="24"/>
                <w:szCs w:val="24"/>
                <w:highlight w:val="none"/>
                <w:lang w:val="en-US" w:eastAsia="zh-CN" w:bidi="ar-SA"/>
              </w:rPr>
              <w:t>分区</w:t>
            </w:r>
            <w:r>
              <w:rPr>
                <w:rFonts w:hint="eastAsia" w:ascii="Times New Roman" w:hAnsi="Times New Roman" w:eastAsia="宋体" w:cs="Times New Roman"/>
                <w:color w:val="auto"/>
                <w:kern w:val="0"/>
                <w:sz w:val="24"/>
                <w:szCs w:val="24"/>
                <w:highlight w:val="none"/>
                <w:lang w:val="en-US" w:eastAsia="zh-CN" w:bidi="ar-SA"/>
              </w:rPr>
              <w:t>暂存</w:t>
            </w:r>
            <w:r>
              <w:rPr>
                <w:rFonts w:hint="default" w:ascii="Times New Roman" w:hAnsi="Times New Roman" w:eastAsia="宋体" w:cs="Times New Roman"/>
                <w:color w:val="auto"/>
                <w:kern w:val="0"/>
                <w:sz w:val="24"/>
                <w:szCs w:val="24"/>
                <w:highlight w:val="none"/>
                <w:lang w:val="en-US" w:eastAsia="zh-CN" w:bidi="ar-SA"/>
              </w:rPr>
              <w:t>载金</w:t>
            </w:r>
            <w:r>
              <w:rPr>
                <w:rFonts w:hint="eastAsia" w:ascii="Times New Roman" w:hAnsi="Times New Roman" w:eastAsia="宋体" w:cs="Times New Roman"/>
                <w:color w:val="auto"/>
                <w:kern w:val="0"/>
                <w:sz w:val="24"/>
                <w:szCs w:val="24"/>
                <w:highlight w:val="none"/>
                <w:lang w:val="en-US" w:eastAsia="zh-CN" w:bidi="ar-SA"/>
              </w:rPr>
              <w:t>炭</w:t>
            </w:r>
            <w:r>
              <w:rPr>
                <w:rFonts w:hint="default" w:ascii="Times New Roman" w:hAnsi="Times New Roman" w:eastAsia="宋体" w:cs="Times New Roman"/>
                <w:color w:val="auto"/>
                <w:kern w:val="0"/>
                <w:sz w:val="24"/>
                <w:szCs w:val="24"/>
                <w:highlight w:val="none"/>
                <w:lang w:val="en-US" w:eastAsia="zh-CN" w:bidi="ar-SA"/>
              </w:rPr>
              <w:t>粉</w:t>
            </w:r>
            <w:r>
              <w:rPr>
                <w:rFonts w:hint="eastAsia" w:ascii="Times New Roman" w:hAnsi="Times New Roman" w:eastAsia="宋体" w:cs="Times New Roman"/>
                <w:color w:val="auto"/>
                <w:kern w:val="0"/>
                <w:sz w:val="24"/>
                <w:szCs w:val="24"/>
                <w:highlight w:val="none"/>
                <w:lang w:val="en-US" w:eastAsia="zh-CN" w:bidi="ar-SA"/>
              </w:rPr>
              <w:t>、废</w:t>
            </w:r>
            <w:r>
              <w:rPr>
                <w:rFonts w:hint="default" w:ascii="Times New Roman" w:hAnsi="Times New Roman" w:eastAsia="宋体" w:cs="Times New Roman"/>
                <w:color w:val="auto"/>
                <w:kern w:val="0"/>
                <w:sz w:val="24"/>
                <w:szCs w:val="24"/>
                <w:highlight w:val="none"/>
                <w:lang w:val="en-US" w:eastAsia="zh-CN" w:bidi="ar-SA"/>
              </w:rPr>
              <w:t>灰皿</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cs="Times New Roman"/>
                <w:color w:val="auto"/>
                <w:sz w:val="24"/>
                <w:szCs w:val="24"/>
                <w:vertAlign w:val="baseline"/>
                <w:lang w:val="en-US" w:eastAsia="zh-CN"/>
              </w:rPr>
              <w:t>废油漆、废油漆桶、废旧电瓶、废烧碱袋、废滤袋、</w:t>
            </w:r>
            <w:r>
              <w:rPr>
                <w:rFonts w:hint="eastAsia" w:ascii="Times New Roman" w:hAnsi="Times New Roman" w:eastAsia="宋体" w:cs="Times New Roman"/>
                <w:color w:val="auto"/>
                <w:kern w:val="24"/>
                <w:sz w:val="24"/>
                <w:szCs w:val="24"/>
                <w:lang w:val="en-US" w:eastAsia="zh-CN" w:bidi="ar"/>
              </w:rPr>
              <w:t>药剂瓶/药剂废包装</w:t>
            </w:r>
            <w:r>
              <w:rPr>
                <w:rFonts w:hint="default" w:ascii="Times New Roman" w:hAnsi="Times New Roman" w:cs="Times New Roman"/>
                <w:color w:val="auto"/>
                <w:sz w:val="24"/>
                <w:szCs w:val="24"/>
                <w:vertAlign w:val="baseline"/>
                <w:lang w:val="en-US" w:eastAsia="zh-CN"/>
              </w:rPr>
              <w:t>、</w:t>
            </w:r>
            <w:r>
              <w:rPr>
                <w:rFonts w:hint="default" w:ascii="Times New Roman" w:hAnsi="Times New Roman" w:eastAsia="宋体" w:cs="Times New Roman"/>
                <w:color w:val="auto"/>
                <w:kern w:val="24"/>
                <w:sz w:val="24"/>
                <w:szCs w:val="24"/>
                <w:lang w:val="en-US" w:eastAsia="zh-CN" w:bidi="ar"/>
              </w:rPr>
              <w:t>沾染实验药品的废消耗品</w:t>
            </w:r>
            <w:r>
              <w:rPr>
                <w:rFonts w:hint="default" w:ascii="Times New Roman" w:hAnsi="Times New Roman" w:cs="Times New Roman"/>
                <w:color w:val="auto"/>
                <w:sz w:val="24"/>
                <w:szCs w:val="24"/>
                <w:vertAlign w:val="baseline"/>
                <w:lang w:val="en-US" w:eastAsia="zh-CN"/>
              </w:rPr>
              <w:t>、</w:t>
            </w:r>
            <w:r>
              <w:rPr>
                <w:rFonts w:hint="eastAsia" w:ascii="Times New Roman" w:cs="Times New Roman"/>
                <w:color w:val="auto"/>
                <w:sz w:val="24"/>
                <w:szCs w:val="24"/>
                <w:vertAlign w:val="baseline"/>
                <w:lang w:val="en-US" w:eastAsia="zh-CN"/>
              </w:rPr>
              <w:t>试金灰吹系统</w:t>
            </w:r>
            <w:r>
              <w:rPr>
                <w:rFonts w:hint="default" w:ascii="Times New Roman" w:hAnsi="Times New Roman" w:cs="Times New Roman"/>
                <w:color w:val="auto"/>
                <w:sz w:val="24"/>
                <w:szCs w:val="24"/>
                <w:lang w:val="en-US" w:eastAsia="zh-CN"/>
              </w:rPr>
              <w:t>除尘灰、水喷淋装置尘泥</w:t>
            </w:r>
            <w:r>
              <w:rPr>
                <w:rFonts w:hint="default" w:ascii="Times New Roman" w:hAnsi="Times New Roman" w:cs="Times New Roman"/>
                <w:color w:val="auto"/>
                <w:sz w:val="24"/>
                <w:szCs w:val="24"/>
                <w:vertAlign w:val="baseline"/>
                <w:lang w:val="en-US" w:eastAsia="zh-CN"/>
              </w:rPr>
              <w:t>、</w:t>
            </w:r>
            <w:r>
              <w:rPr>
                <w:rFonts w:hint="default" w:ascii="Times New Roman" w:hAnsi="Times New Roman" w:eastAsia="宋体" w:cs="Times New Roman"/>
                <w:color w:val="auto"/>
                <w:sz w:val="24"/>
                <w:szCs w:val="24"/>
              </w:rPr>
              <w:t>废SDG吸附剂</w:t>
            </w:r>
            <w:r>
              <w:rPr>
                <w:rFonts w:hint="eastAsia" w:ascii="Times New Roman" w:cs="Times New Roman"/>
                <w:color w:val="auto"/>
                <w:sz w:val="24"/>
                <w:szCs w:val="24"/>
                <w:lang w:eastAsia="zh-CN"/>
              </w:rPr>
              <w:t>，</w:t>
            </w:r>
            <w:r>
              <w:rPr>
                <w:rFonts w:hint="default" w:ascii="Times New Roman" w:hAnsi="Times New Roman" w:eastAsia="宋体" w:cs="Times New Roman"/>
                <w:color w:val="auto"/>
                <w:kern w:val="0"/>
                <w:sz w:val="24"/>
                <w:szCs w:val="24"/>
                <w:highlight w:val="none"/>
                <w:lang w:val="en-US" w:eastAsia="zh-CN" w:bidi="ar-SA"/>
              </w:rPr>
              <w:t>使用混凝土底座+彩钢结构作为隔断</w:t>
            </w:r>
            <w:r>
              <w:rPr>
                <w:rFonts w:hint="eastAsia" w:ascii="Times New Roman" w:hAnsi="Times New Roman" w:eastAsia="宋体" w:cs="Times New Roman"/>
                <w:color w:val="auto"/>
                <w:kern w:val="0"/>
                <w:sz w:val="24"/>
                <w:szCs w:val="24"/>
                <w:highlight w:val="none"/>
                <w:lang w:val="en-US" w:eastAsia="zh-CN" w:bidi="ar-SA"/>
              </w:rPr>
              <w:t>进行分区</w:t>
            </w:r>
            <w:r>
              <w:rPr>
                <w:rFonts w:hint="default" w:ascii="Times New Roman" w:hAnsi="Times New Roman" w:cs="Times New Roman"/>
                <w:bCs/>
                <w:color w:val="auto"/>
                <w:sz w:val="24"/>
                <w:szCs w:val="24"/>
                <w:highlight w:val="none"/>
                <w:lang w:val="en-US" w:eastAsia="zh-CN"/>
              </w:rPr>
              <w:t>。</w:t>
            </w:r>
            <w:r>
              <w:rPr>
                <w:rFonts w:hint="eastAsia" w:ascii="Times New Roman" w:hAnsi="Times New Roman" w:cs="Times New Roman"/>
                <w:bCs/>
                <w:color w:val="auto"/>
                <w:sz w:val="24"/>
                <w:szCs w:val="24"/>
                <w:highlight w:val="none"/>
                <w:lang w:val="en-US" w:eastAsia="zh-CN"/>
              </w:rPr>
              <w:t>本次改造290m</w:t>
            </w:r>
            <w:r>
              <w:rPr>
                <w:rFonts w:hint="eastAsia" w:ascii="Times New Roman" w:hAnsi="Times New Roman" w:cs="Times New Roman"/>
                <w:bCs/>
                <w:color w:val="auto"/>
                <w:sz w:val="24"/>
                <w:szCs w:val="24"/>
                <w:highlight w:val="none"/>
                <w:vertAlign w:val="superscript"/>
                <w:lang w:val="en-US" w:eastAsia="zh-CN"/>
              </w:rPr>
              <w:t>2</w:t>
            </w:r>
            <w:r>
              <w:rPr>
                <w:rFonts w:hint="eastAsia" w:ascii="Times New Roman" w:hAnsi="Times New Roman" w:cs="Times New Roman"/>
                <w:bCs/>
                <w:color w:val="auto"/>
                <w:sz w:val="24"/>
                <w:szCs w:val="24"/>
                <w:highlight w:val="none"/>
                <w:lang w:val="en-US" w:eastAsia="zh-CN"/>
              </w:rPr>
              <w:t>危废库各危废分区暂存如下：</w:t>
            </w:r>
          </w:p>
          <w:p w14:paraId="628EE97E">
            <w:pPr>
              <w:pStyle w:val="43"/>
              <w:keepNext w:val="0"/>
              <w:keepLines w:val="0"/>
              <w:pageBreakBefore w:val="0"/>
              <w:widowControl w:val="0"/>
              <w:kinsoku/>
              <w:overflowPunct/>
              <w:topLinePunct w:val="0"/>
              <w:bidi w:val="0"/>
              <w:adjustRightInd w:val="0"/>
              <w:spacing w:line="360" w:lineRule="auto"/>
              <w:jc w:val="center"/>
              <w:textAlignment w:val="auto"/>
              <w:rPr>
                <w:color w:val="auto"/>
              </w:rPr>
            </w:pPr>
            <w:r>
              <w:rPr>
                <w:color w:val="auto"/>
              </w:rPr>
              <w:drawing>
                <wp:inline distT="0" distB="0" distL="114300" distR="114300">
                  <wp:extent cx="5029200" cy="3286125"/>
                  <wp:effectExtent l="0" t="0" r="0" b="9525"/>
                  <wp:docPr id="13"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85"/>
                          <pic:cNvPicPr>
                            <a:picLocks noChangeAspect="1"/>
                          </pic:cNvPicPr>
                        </pic:nvPicPr>
                        <pic:blipFill>
                          <a:blip r:embed="rId11"/>
                          <a:stretch>
                            <a:fillRect/>
                          </a:stretch>
                        </pic:blipFill>
                        <pic:spPr>
                          <a:xfrm>
                            <a:off x="0" y="0"/>
                            <a:ext cx="5029200" cy="3286125"/>
                          </a:xfrm>
                          <a:prstGeom prst="rect">
                            <a:avLst/>
                          </a:prstGeom>
                          <a:noFill/>
                          <a:ln>
                            <a:noFill/>
                          </a:ln>
                        </pic:spPr>
                      </pic:pic>
                    </a:graphicData>
                  </a:graphic>
                </wp:inline>
              </w:drawing>
            </w:r>
          </w:p>
          <w:p w14:paraId="07FF51F0">
            <w:pPr>
              <w:pStyle w:val="43"/>
              <w:keepNext w:val="0"/>
              <w:keepLines w:val="0"/>
              <w:pageBreakBefore w:val="0"/>
              <w:widowControl w:val="0"/>
              <w:kinsoku/>
              <w:overflowPunct/>
              <w:topLinePunct w:val="0"/>
              <w:bidi w:val="0"/>
              <w:adjustRightInd w:val="0"/>
              <w:spacing w:line="360" w:lineRule="auto"/>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sz w:val="21"/>
                <w:szCs w:val="21"/>
                <w:lang w:val="en-US" w:eastAsia="zh-CN"/>
              </w:rPr>
              <w:t>图2-2 本次</w:t>
            </w:r>
            <w:r>
              <w:rPr>
                <w:rFonts w:hint="eastAsia" w:ascii="Times New Roman" w:hAnsi="Times New Roman" w:cs="Times New Roman"/>
                <w:b/>
                <w:bCs/>
                <w:color w:val="auto"/>
                <w:sz w:val="21"/>
                <w:szCs w:val="21"/>
                <w:lang w:val="en-US" w:eastAsia="zh-CN"/>
              </w:rPr>
              <w:t>改造</w:t>
            </w:r>
            <w:r>
              <w:rPr>
                <w:rFonts w:hint="default" w:ascii="Times New Roman" w:hAnsi="Times New Roman" w:cs="Times New Roman"/>
                <w:b/>
                <w:bCs/>
                <w:color w:val="auto"/>
                <w:sz w:val="21"/>
                <w:szCs w:val="21"/>
                <w:lang w:val="en-US" w:eastAsia="zh-CN"/>
              </w:rPr>
              <w:t>290m</w:t>
            </w:r>
            <w:r>
              <w:rPr>
                <w:rFonts w:hint="default" w:ascii="Times New Roman" w:hAnsi="Times New Roman" w:cs="Times New Roman"/>
                <w:b/>
                <w:bCs/>
                <w:color w:val="auto"/>
                <w:sz w:val="21"/>
                <w:szCs w:val="21"/>
                <w:vertAlign w:val="superscript"/>
                <w:lang w:val="en-US" w:eastAsia="zh-CN"/>
              </w:rPr>
              <w:t>2</w:t>
            </w:r>
            <w:r>
              <w:rPr>
                <w:rFonts w:hint="default" w:ascii="Times New Roman" w:hAnsi="Times New Roman" w:cs="Times New Roman"/>
                <w:b/>
                <w:bCs/>
                <w:color w:val="auto"/>
                <w:sz w:val="21"/>
                <w:szCs w:val="21"/>
                <w:lang w:val="en-US" w:eastAsia="zh-CN"/>
              </w:rPr>
              <w:t>危废库分区暂存图</w:t>
            </w:r>
          </w:p>
          <w:p w14:paraId="69ADD0CE">
            <w:pPr>
              <w:adjustRightInd w:val="0"/>
              <w:snapToGrid w:val="0"/>
              <w:spacing w:line="360" w:lineRule="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
                <w:bCs w:val="0"/>
                <w:color w:val="auto"/>
                <w:sz w:val="24"/>
                <w:szCs w:val="24"/>
                <w:highlight w:val="none"/>
                <w:lang w:val="en-US" w:eastAsia="zh-CN"/>
              </w:rPr>
              <w:t>4.产污环节分析</w:t>
            </w:r>
          </w:p>
          <w:p w14:paraId="2182FD32">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根据工艺流程分析，本项目</w:t>
            </w:r>
            <w:r>
              <w:rPr>
                <w:rFonts w:hint="default" w:ascii="Times New Roman" w:hAnsi="Times New Roman" w:eastAsia="宋体" w:cs="Times New Roman"/>
                <w:bCs/>
                <w:color w:val="auto"/>
                <w:sz w:val="24"/>
                <w:szCs w:val="24"/>
                <w:highlight w:val="none"/>
                <w:lang w:eastAsia="zh-CN"/>
              </w:rPr>
              <w:t>运营</w:t>
            </w:r>
            <w:r>
              <w:rPr>
                <w:rFonts w:hint="default" w:ascii="Times New Roman" w:hAnsi="Times New Roman" w:eastAsia="宋体" w:cs="Times New Roman"/>
                <w:bCs/>
                <w:color w:val="auto"/>
                <w:sz w:val="24"/>
                <w:szCs w:val="24"/>
                <w:highlight w:val="none"/>
              </w:rPr>
              <w:t>期主要</w:t>
            </w:r>
            <w:r>
              <w:rPr>
                <w:rFonts w:hint="default" w:ascii="Times New Roman" w:hAnsi="Times New Roman" w:eastAsia="宋体" w:cs="Times New Roman"/>
                <w:bCs/>
                <w:color w:val="auto"/>
                <w:sz w:val="24"/>
                <w:szCs w:val="24"/>
                <w:highlight w:val="none"/>
                <w:lang w:val="en-US" w:eastAsia="zh-CN"/>
              </w:rPr>
              <w:t>产污环节</w:t>
            </w:r>
            <w:r>
              <w:rPr>
                <w:rFonts w:hint="default" w:ascii="Times New Roman" w:hAnsi="Times New Roman" w:eastAsia="宋体" w:cs="Times New Roman"/>
                <w:bCs/>
                <w:color w:val="auto"/>
                <w:sz w:val="24"/>
                <w:szCs w:val="24"/>
                <w:highlight w:val="none"/>
              </w:rPr>
              <w:t>及采用的污染防治措施详见</w:t>
            </w:r>
            <w:r>
              <w:rPr>
                <w:rFonts w:hint="default" w:ascii="Times New Roman" w:hAnsi="Times New Roman" w:eastAsia="宋体" w:cs="Times New Roman"/>
                <w:bCs/>
                <w:color w:val="auto"/>
                <w:sz w:val="24"/>
                <w:szCs w:val="24"/>
                <w:highlight w:val="none"/>
                <w:lang w:val="en-US" w:eastAsia="zh-CN"/>
              </w:rPr>
              <w:t>下</w:t>
            </w:r>
            <w:r>
              <w:rPr>
                <w:rFonts w:hint="default" w:ascii="Times New Roman" w:hAnsi="Times New Roman" w:eastAsia="宋体" w:cs="Times New Roman"/>
                <w:bCs/>
                <w:color w:val="auto"/>
                <w:sz w:val="24"/>
                <w:szCs w:val="24"/>
                <w:highlight w:val="none"/>
              </w:rPr>
              <w:t>表。</w:t>
            </w:r>
          </w:p>
          <w:p w14:paraId="3773AF52">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2-13</w:t>
            </w:r>
            <w:r>
              <w:rPr>
                <w:rFonts w:hint="default" w:ascii="Times New Roman" w:hAnsi="Times New Roman" w:eastAsia="宋体" w:cs="Times New Roman"/>
                <w:b/>
                <w:bCs/>
                <w:color w:val="auto"/>
                <w:sz w:val="21"/>
                <w:szCs w:val="21"/>
                <w:highlight w:val="none"/>
              </w:rPr>
              <w:t xml:space="preserve"> 项目</w:t>
            </w:r>
            <w:r>
              <w:rPr>
                <w:rFonts w:hint="default" w:ascii="Times New Roman" w:hAnsi="Times New Roman" w:eastAsia="宋体" w:cs="Times New Roman"/>
                <w:b/>
                <w:bCs/>
                <w:color w:val="auto"/>
                <w:sz w:val="21"/>
                <w:szCs w:val="21"/>
                <w:highlight w:val="none"/>
                <w:lang w:val="en-US" w:eastAsia="zh-CN"/>
              </w:rPr>
              <w:t>主要产污环节及采用污染防治措施</w:t>
            </w:r>
            <w:r>
              <w:rPr>
                <w:rFonts w:hint="default" w:ascii="Times New Roman" w:hAnsi="Times New Roman" w:eastAsia="宋体" w:cs="Times New Roman"/>
                <w:b/>
                <w:bCs/>
                <w:color w:val="auto"/>
                <w:sz w:val="21"/>
                <w:szCs w:val="21"/>
                <w:highlight w:val="none"/>
              </w:rPr>
              <w:t>一览表</w:t>
            </w:r>
          </w:p>
          <w:tbl>
            <w:tblPr>
              <w:tblStyle w:val="25"/>
              <w:tblW w:w="4997"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0" w:type="dxa"/>
                <w:bottom w:w="0" w:type="dxa"/>
                <w:right w:w="0" w:type="dxa"/>
              </w:tblCellMar>
            </w:tblPr>
            <w:tblGrid>
              <w:gridCol w:w="515"/>
              <w:gridCol w:w="1198"/>
              <w:gridCol w:w="1328"/>
              <w:gridCol w:w="1919"/>
              <w:gridCol w:w="3452"/>
            </w:tblGrid>
            <w:tr w14:paraId="17D0D29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jc w:val="center"/>
              </w:trPr>
              <w:tc>
                <w:tcPr>
                  <w:tcW w:w="306" w:type="pct"/>
                  <w:tcBorders>
                    <w:tl2br w:val="nil"/>
                    <w:tr2bl w:val="nil"/>
                  </w:tcBorders>
                  <w:noWrap w:val="0"/>
                  <w:vAlign w:val="center"/>
                </w:tcPr>
                <w:p w14:paraId="7B4FD358">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污染</w:t>
                  </w:r>
                </w:p>
                <w:p w14:paraId="26E0621E">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类别</w:t>
                  </w:r>
                </w:p>
              </w:tc>
              <w:tc>
                <w:tcPr>
                  <w:tcW w:w="712" w:type="pct"/>
                  <w:tcBorders>
                    <w:tl2br w:val="nil"/>
                    <w:tr2bl w:val="nil"/>
                  </w:tcBorders>
                  <w:noWrap w:val="0"/>
                  <w:vAlign w:val="center"/>
                </w:tcPr>
                <w:p w14:paraId="5D938BD1">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产污环节</w:t>
                  </w:r>
                </w:p>
              </w:tc>
              <w:tc>
                <w:tcPr>
                  <w:tcW w:w="789" w:type="pct"/>
                  <w:tcBorders>
                    <w:tl2br w:val="nil"/>
                    <w:tr2bl w:val="nil"/>
                  </w:tcBorders>
                  <w:noWrap w:val="0"/>
                  <w:vAlign w:val="center"/>
                </w:tcPr>
                <w:p w14:paraId="06040621">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污染源</w:t>
                  </w:r>
                </w:p>
                <w:p w14:paraId="2B55E6DE">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名称</w:t>
                  </w:r>
                </w:p>
              </w:tc>
              <w:tc>
                <w:tcPr>
                  <w:tcW w:w="1140" w:type="pct"/>
                  <w:tcBorders>
                    <w:tl2br w:val="nil"/>
                    <w:tr2bl w:val="nil"/>
                  </w:tcBorders>
                  <w:noWrap w:val="0"/>
                  <w:vAlign w:val="center"/>
                </w:tcPr>
                <w:p w14:paraId="3900B2D4">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主要污染物</w:t>
                  </w:r>
                </w:p>
              </w:tc>
              <w:tc>
                <w:tcPr>
                  <w:tcW w:w="2051" w:type="pct"/>
                  <w:tcBorders>
                    <w:tl2br w:val="nil"/>
                    <w:tr2bl w:val="nil"/>
                  </w:tcBorders>
                  <w:noWrap w:val="0"/>
                  <w:vAlign w:val="center"/>
                </w:tcPr>
                <w:p w14:paraId="4FB4F55A">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拟采取的措施</w:t>
                  </w:r>
                </w:p>
              </w:tc>
            </w:tr>
            <w:tr w14:paraId="4ACA91C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1906" w:hRule="atLeast"/>
                <w:jc w:val="center"/>
              </w:trPr>
              <w:tc>
                <w:tcPr>
                  <w:tcW w:w="306" w:type="pct"/>
                  <w:tcBorders>
                    <w:tl2br w:val="nil"/>
                    <w:tr2bl w:val="nil"/>
                  </w:tcBorders>
                  <w:noWrap w:val="0"/>
                  <w:vAlign w:val="center"/>
                </w:tcPr>
                <w:p w14:paraId="5ABFDAEF">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712" w:type="pct"/>
                  <w:tcBorders>
                    <w:tl2br w:val="nil"/>
                    <w:tr2bl w:val="nil"/>
                  </w:tcBorders>
                  <w:noWrap w:val="0"/>
                  <w:vAlign w:val="center"/>
                </w:tcPr>
                <w:p w14:paraId="4B8EB3F4">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员工日常</w:t>
                  </w:r>
                </w:p>
              </w:tc>
              <w:tc>
                <w:tcPr>
                  <w:tcW w:w="789" w:type="pct"/>
                  <w:tcBorders>
                    <w:tl2br w:val="nil"/>
                    <w:tr2bl w:val="nil"/>
                  </w:tcBorders>
                  <w:noWrap w:val="0"/>
                  <w:vAlign w:val="center"/>
                </w:tcPr>
                <w:p w14:paraId="4BF726F9">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w:t>
                  </w:r>
                </w:p>
              </w:tc>
              <w:tc>
                <w:tcPr>
                  <w:tcW w:w="1140" w:type="pct"/>
                  <w:tcBorders>
                    <w:tl2br w:val="nil"/>
                    <w:tr2bl w:val="nil"/>
                  </w:tcBorders>
                  <w:noWrap w:val="0"/>
                  <w:vAlign w:val="center"/>
                </w:tcPr>
                <w:p w14:paraId="41B03541">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pH、</w:t>
                  </w:r>
                  <w:r>
                    <w:rPr>
                      <w:rFonts w:hint="default" w:ascii="Times New Roman" w:hAnsi="Times New Roman" w:eastAsia="宋体" w:cs="Times New Roman"/>
                      <w:color w:val="auto"/>
                      <w:kern w:val="0"/>
                      <w:sz w:val="21"/>
                      <w:szCs w:val="21"/>
                      <w:highlight w:val="none"/>
                      <w:lang w:val="en-US" w:eastAsia="zh-CN"/>
                    </w:rPr>
                    <w:t>COD</w:t>
                  </w:r>
                  <w:r>
                    <w:rPr>
                      <w:rFonts w:hint="default" w:ascii="Times New Roman" w:hAnsi="Times New Roman" w:eastAsia="宋体" w:cs="Times New Roman"/>
                      <w:color w:val="auto"/>
                      <w:kern w:val="0"/>
                      <w:sz w:val="21"/>
                      <w:szCs w:val="21"/>
                      <w:highlight w:val="none"/>
                      <w:vertAlign w:val="subscript"/>
                      <w:lang w:val="en-US" w:eastAsia="zh-CN"/>
                    </w:rPr>
                    <w:t>Cr</w:t>
                  </w: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、SS、</w:t>
                  </w:r>
                  <w:r>
                    <w:rPr>
                      <w:rFonts w:hint="default" w:ascii="Times New Roman" w:hAnsi="Times New Roman" w:eastAsia="宋体" w:cs="Times New Roman"/>
                      <w:color w:val="auto"/>
                      <w:sz w:val="21"/>
                      <w:szCs w:val="21"/>
                      <w:highlight w:val="none"/>
                      <w:lang w:val="en-US" w:eastAsia="zh-CN"/>
                    </w:rPr>
                    <w:t>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--N</w:t>
                  </w:r>
                </w:p>
              </w:tc>
              <w:tc>
                <w:tcPr>
                  <w:tcW w:w="2051" w:type="pct"/>
                  <w:tcBorders>
                    <w:tl2br w:val="nil"/>
                    <w:tr2bl w:val="nil"/>
                  </w:tcBorders>
                  <w:noWrap w:val="0"/>
                  <w:vAlign w:val="center"/>
                </w:tcPr>
                <w:p w14:paraId="06C23BCA">
                  <w:pPr>
                    <w:keepNext w:val="0"/>
                    <w:keepLines w:val="0"/>
                    <w:pageBreakBefore w:val="0"/>
                    <w:kinsoku w:val="0"/>
                    <w:wordWrap/>
                    <w:overflowPunct w:val="0"/>
                    <w:topLinePunct w:val="0"/>
                    <w:autoSpaceDE w:val="0"/>
                    <w:autoSpaceDN w:val="0"/>
                    <w:bidi w:val="0"/>
                    <w:adjustRightInd w:val="0"/>
                    <w:snapToGrid w:val="0"/>
                    <w:spacing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lang w:val="en-US" w:eastAsia="zh-CN"/>
                    </w:rPr>
                    <w:t>排入厂区现有生活污水处理站，处理后水作为道路和排土场洒水不外排</w:t>
                  </w:r>
                  <w:r>
                    <w:rPr>
                      <w:rFonts w:hint="eastAsia" w:ascii="Times New Roman" w:hAnsi="Times New Roman" w:cs="Times New Roman"/>
                      <w:color w:val="auto"/>
                      <w:sz w:val="21"/>
                      <w:szCs w:val="21"/>
                      <w:lang w:val="en-US" w:eastAsia="zh-CN"/>
                    </w:rPr>
                    <w:t>，厂区现有</w:t>
                  </w:r>
                  <w:r>
                    <w:rPr>
                      <w:rFonts w:hint="default" w:ascii="Times New Roman" w:hAnsi="Times New Roman" w:eastAsia="宋体" w:cs="Times New Roman"/>
                      <w:color w:val="auto"/>
                      <w:sz w:val="21"/>
                      <w:szCs w:val="21"/>
                      <w:highlight w:val="none"/>
                    </w:rPr>
                    <w:t>生活污水处理站为一体化污水处理设施，处理工艺采用生物接触氧化法，处理能力100m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d</w:t>
                  </w:r>
                  <w:r>
                    <w:rPr>
                      <w:rFonts w:hint="default" w:ascii="Times New Roman" w:hAnsi="Times New Roman" w:eastAsia="宋体" w:cs="Times New Roman"/>
                      <w:color w:val="auto"/>
                      <w:sz w:val="21"/>
                      <w:szCs w:val="21"/>
                      <w:highlight w:val="none"/>
                    </w:rPr>
                    <w:t>。</w:t>
                  </w:r>
                </w:p>
              </w:tc>
            </w:tr>
            <w:tr w14:paraId="44745FC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jc w:val="center"/>
              </w:trPr>
              <w:tc>
                <w:tcPr>
                  <w:tcW w:w="306" w:type="pct"/>
                  <w:tcBorders>
                    <w:tl2br w:val="nil"/>
                    <w:tr2bl w:val="nil"/>
                  </w:tcBorders>
                  <w:noWrap w:val="0"/>
                  <w:vAlign w:val="center"/>
                </w:tcPr>
                <w:p w14:paraId="5FDFB53A">
                  <w:pPr>
                    <w:keepNext w:val="0"/>
                    <w:keepLines w:val="0"/>
                    <w:pageBreakBefore w:val="0"/>
                    <w:widowControl/>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712" w:type="pct"/>
                  <w:tcBorders>
                    <w:tl2br w:val="nil"/>
                    <w:tr2bl w:val="nil"/>
                  </w:tcBorders>
                  <w:noWrap w:val="0"/>
                  <w:vAlign w:val="center"/>
                </w:tcPr>
                <w:p w14:paraId="580412A9">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员工日常</w:t>
                  </w:r>
                </w:p>
              </w:tc>
              <w:tc>
                <w:tcPr>
                  <w:tcW w:w="789" w:type="pct"/>
                  <w:tcBorders>
                    <w:tl2br w:val="nil"/>
                    <w:tr2bl w:val="nil"/>
                  </w:tcBorders>
                  <w:noWrap w:val="0"/>
                  <w:vAlign w:val="center"/>
                </w:tcPr>
                <w:p w14:paraId="4D6F6015">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1140" w:type="pct"/>
                  <w:tcBorders>
                    <w:tl2br w:val="nil"/>
                    <w:tr2bl w:val="nil"/>
                  </w:tcBorders>
                  <w:noWrap w:val="0"/>
                  <w:vAlign w:val="center"/>
                </w:tcPr>
                <w:p w14:paraId="4F688AE1">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果皮、食物渣等</w:t>
                  </w:r>
                </w:p>
              </w:tc>
              <w:tc>
                <w:tcPr>
                  <w:tcW w:w="2051" w:type="pct"/>
                  <w:tcBorders>
                    <w:tl2br w:val="nil"/>
                    <w:tr2bl w:val="nil"/>
                  </w:tcBorders>
                  <w:noWrap w:val="0"/>
                  <w:vAlign w:val="center"/>
                </w:tcPr>
                <w:p w14:paraId="6C84527D">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lang w:val="en-US" w:eastAsia="zh-CN" w:bidi="ar"/>
                    </w:rPr>
                    <w:t>由垃圾箱收集后统一堆放到厂区生活垃圾固定堆放点，由当地环卫部门统一收集处理</w:t>
                  </w:r>
                </w:p>
              </w:tc>
            </w:tr>
            <w:tr w14:paraId="1DB532B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jc w:val="center"/>
              </w:trPr>
              <w:tc>
                <w:tcPr>
                  <w:tcW w:w="306" w:type="pct"/>
                  <w:tcBorders>
                    <w:tl2br w:val="nil"/>
                    <w:tr2bl w:val="nil"/>
                  </w:tcBorders>
                  <w:noWrap w:val="0"/>
                  <w:vAlign w:val="center"/>
                </w:tcPr>
                <w:p w14:paraId="73F4F19D">
                  <w:pPr>
                    <w:keepNext w:val="0"/>
                    <w:keepLines w:val="0"/>
                    <w:pageBreakBefore w:val="0"/>
                    <w:widowControl/>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712" w:type="pct"/>
                  <w:tcBorders>
                    <w:tl2br w:val="nil"/>
                    <w:tr2bl w:val="nil"/>
                  </w:tcBorders>
                  <w:noWrap w:val="0"/>
                  <w:vAlign w:val="center"/>
                </w:tcPr>
                <w:p w14:paraId="090A7308">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生产设备、 活牛</w:t>
                  </w:r>
                </w:p>
              </w:tc>
              <w:tc>
                <w:tcPr>
                  <w:tcW w:w="789" w:type="pct"/>
                  <w:tcBorders>
                    <w:tl2br w:val="nil"/>
                    <w:tr2bl w:val="nil"/>
                  </w:tcBorders>
                  <w:noWrap w:val="0"/>
                  <w:vAlign w:val="center"/>
                </w:tcPr>
                <w:p w14:paraId="25DA1835">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设备噪声</w:t>
                  </w:r>
                </w:p>
              </w:tc>
              <w:tc>
                <w:tcPr>
                  <w:tcW w:w="1140" w:type="pct"/>
                  <w:tcBorders>
                    <w:tl2br w:val="nil"/>
                    <w:tr2bl w:val="nil"/>
                  </w:tcBorders>
                  <w:noWrap w:val="0"/>
                  <w:vAlign w:val="center"/>
                </w:tcPr>
                <w:p w14:paraId="188854DD">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等效连续A声级</w:t>
                  </w:r>
                </w:p>
              </w:tc>
              <w:tc>
                <w:tcPr>
                  <w:tcW w:w="2051" w:type="pct"/>
                  <w:tcBorders>
                    <w:tl2br w:val="nil"/>
                    <w:tr2bl w:val="nil"/>
                  </w:tcBorders>
                  <w:noWrap w:val="0"/>
                  <w:vAlign w:val="center"/>
                </w:tcPr>
                <w:p w14:paraId="7069D40D">
                  <w:pPr>
                    <w:keepNext w:val="0"/>
                    <w:keepLines w:val="0"/>
                    <w:pageBreakBefore w:val="0"/>
                    <w:wordWrap/>
                    <w:topLinePunct w:val="0"/>
                    <w:bidi w:val="0"/>
                    <w:spacing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选购低噪声设备，采取消声</w:t>
                  </w:r>
                  <w:r>
                    <w:rPr>
                      <w:rFonts w:hint="default" w:ascii="Times New Roman" w:hAnsi="Times New Roman" w:eastAsia="宋体" w:cs="Times New Roman"/>
                      <w:bCs/>
                      <w:color w:val="auto"/>
                      <w:sz w:val="21"/>
                      <w:szCs w:val="21"/>
                      <w:highlight w:val="none"/>
                    </w:rPr>
                    <w:t>等</w:t>
                  </w:r>
                  <w:r>
                    <w:rPr>
                      <w:rFonts w:hint="eastAsia" w:ascii="Times New Roman" w:hAnsi="Times New Roman" w:eastAsia="宋体" w:cs="Times New Roman"/>
                      <w:bCs/>
                      <w:color w:val="auto"/>
                      <w:sz w:val="21"/>
                      <w:szCs w:val="21"/>
                      <w:highlight w:val="none"/>
                      <w:lang w:val="en-US" w:eastAsia="zh-CN"/>
                    </w:rPr>
                    <w:t>降噪</w:t>
                  </w:r>
                  <w:r>
                    <w:rPr>
                      <w:rFonts w:hint="default" w:ascii="Times New Roman" w:hAnsi="Times New Roman" w:eastAsia="宋体" w:cs="Times New Roman"/>
                      <w:bCs/>
                      <w:color w:val="auto"/>
                      <w:sz w:val="21"/>
                      <w:szCs w:val="21"/>
                      <w:highlight w:val="none"/>
                    </w:rPr>
                    <w:t>措施</w:t>
                  </w:r>
                </w:p>
              </w:tc>
            </w:tr>
          </w:tbl>
          <w:p w14:paraId="6D7AD874">
            <w:pPr>
              <w:adjustRightInd w:val="0"/>
              <w:snapToGrid w:val="0"/>
              <w:rPr>
                <w:rFonts w:hint="default" w:ascii="Times New Roman" w:hAnsi="Times New Roman" w:eastAsia="宋体" w:cs="Times New Roman"/>
                <w:bCs/>
                <w:color w:val="auto"/>
                <w:sz w:val="24"/>
                <w:szCs w:val="24"/>
                <w:highlight w:val="none"/>
              </w:rPr>
            </w:pPr>
          </w:p>
        </w:tc>
      </w:tr>
      <w:tr w14:paraId="1A0BF3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102" w:hRule="atLeast"/>
          <w:jc w:val="center"/>
        </w:trPr>
        <w:tc>
          <w:tcPr>
            <w:tcW w:w="446" w:type="pct"/>
            <w:noWrap w:val="0"/>
            <w:vAlign w:val="center"/>
          </w:tcPr>
          <w:p w14:paraId="3C41D151">
            <w:pPr>
              <w:pStyle w:val="23"/>
              <w:adjustRightInd w:val="0"/>
              <w:snapToGrid w:val="0"/>
              <w:spacing w:before="0" w:beforeAutospacing="0" w:after="0" w:afterAutospacing="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kern w:val="2"/>
                <w:sz w:val="24"/>
                <w:szCs w:val="24"/>
                <w:highlight w:val="none"/>
              </w:rPr>
              <w:t>与项目有关的原有环境污染问题</w:t>
            </w:r>
          </w:p>
        </w:tc>
        <w:tc>
          <w:tcPr>
            <w:tcW w:w="4553" w:type="pct"/>
            <w:noWrap w:val="0"/>
            <w:vAlign w:val="center"/>
          </w:tcPr>
          <w:p w14:paraId="2A8F404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与项目有关的原有环境问题：</w:t>
            </w:r>
          </w:p>
          <w:p w14:paraId="3F3FA496">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现有项目为</w:t>
            </w:r>
            <w:r>
              <w:rPr>
                <w:rFonts w:hint="default" w:ascii="Times New Roman" w:hAnsi="Times New Roman" w:eastAsia="宋体" w:cs="Times New Roman"/>
                <w:b w:val="0"/>
                <w:bCs/>
                <w:color w:val="auto"/>
                <w:sz w:val="24"/>
                <w:szCs w:val="24"/>
                <w:highlight w:val="none"/>
              </w:rPr>
              <w:t>内蒙古太平矿业有限公司危废暂存库改造项目</w:t>
            </w:r>
            <w:r>
              <w:rPr>
                <w:rFonts w:hint="default"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于2023年10月13日取得巴彦淖尔市生态环境局乌拉特中旗分局《关于内蒙古太平矿业有限公司危废暂存库改造项目环境影响报告表的批复》（乌中环审发〔2023〕18号）；2023年11月5日，获得《内蒙古太平矿业有限公司危废暂存库改造项目竣工环境保护验收报告意见》。</w:t>
            </w:r>
          </w:p>
          <w:p w14:paraId="3BC20C3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lang w:eastAsia="zh-CN"/>
              </w:rPr>
              <w:t>1.</w:t>
            </w:r>
            <w:r>
              <w:rPr>
                <w:rFonts w:hint="default" w:ascii="Times New Roman" w:hAnsi="Times New Roman" w:cs="Times New Roman"/>
                <w:bCs/>
                <w:color w:val="auto"/>
                <w:sz w:val="24"/>
                <w:szCs w:val="24"/>
              </w:rPr>
              <w:t>废水</w:t>
            </w:r>
          </w:p>
          <w:p w14:paraId="7925318D">
            <w:pPr>
              <w:pStyle w:val="7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现有工程运营期存储的废物均贮存在密封包装袋内并放置在专用托盘上，正常工况下无废水产生，事故状态下消防废水经集液池收集后交由有资质单位处置</w:t>
            </w:r>
            <w:r>
              <w:rPr>
                <w:rFonts w:hint="default" w:ascii="Times New Roman" w:hAnsi="Times New Roman" w:eastAsia="宋体" w:cs="Times New Roman"/>
                <w:i w:val="0"/>
                <w:iCs w:val="0"/>
                <w:caps w:val="0"/>
                <w:color w:val="auto"/>
                <w:spacing w:val="0"/>
                <w:sz w:val="24"/>
                <w:szCs w:val="24"/>
                <w:shd w:val="clear" w:color="auto" w:fill="FFFFFF"/>
                <w:lang w:eastAsia="zh-CN"/>
              </w:rPr>
              <w:t>。</w:t>
            </w:r>
          </w:p>
          <w:p w14:paraId="19B0A15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lang w:eastAsia="zh-CN"/>
              </w:rPr>
              <w:t>2.</w:t>
            </w:r>
            <w:r>
              <w:rPr>
                <w:rFonts w:hint="default" w:ascii="Times New Roman" w:hAnsi="Times New Roman" w:cs="Times New Roman"/>
                <w:bCs/>
                <w:color w:val="auto"/>
                <w:sz w:val="24"/>
                <w:szCs w:val="24"/>
              </w:rPr>
              <w:t>废气</w:t>
            </w:r>
          </w:p>
          <w:p w14:paraId="5AF80C5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cs="Times New Roman"/>
                <w:bCs/>
                <w:color w:val="auto"/>
                <w:sz w:val="24"/>
                <w:szCs w:val="24"/>
                <w:lang w:val="en-US" w:eastAsia="zh-CN"/>
              </w:rPr>
              <w:t>现有工程运营过程无废气产生，危废库内设置轴流风机通风；运营期保持场内运输道路清洁、定期洒水抑尘、选用合格运输车辆等措施减少汽车尾气及运输扬尘产生</w:t>
            </w:r>
            <w:r>
              <w:rPr>
                <w:rFonts w:hint="default" w:ascii="Times New Roman" w:hAnsi="Times New Roman" w:eastAsia="宋体" w:cs="Times New Roman"/>
                <w:b w:val="0"/>
                <w:bCs w:val="0"/>
                <w:color w:val="auto"/>
                <w:sz w:val="24"/>
                <w:szCs w:val="24"/>
                <w:highlight w:val="none"/>
                <w:lang w:val="en-US" w:eastAsia="zh-CN"/>
              </w:rPr>
              <w:t>。</w:t>
            </w:r>
          </w:p>
          <w:p w14:paraId="512A6A7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lang w:eastAsia="zh-CN"/>
              </w:rPr>
              <w:t>3.</w:t>
            </w:r>
            <w:r>
              <w:rPr>
                <w:rFonts w:hint="default" w:ascii="Times New Roman" w:hAnsi="Times New Roman" w:eastAsia="宋体" w:cs="Times New Roman"/>
                <w:bCs/>
                <w:color w:val="auto"/>
                <w:sz w:val="24"/>
                <w:szCs w:val="24"/>
              </w:rPr>
              <w:t>噪声</w:t>
            </w:r>
          </w:p>
          <w:p w14:paraId="288E0E9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color w:val="auto"/>
                <w:sz w:val="24"/>
                <w:szCs w:val="24"/>
              </w:rPr>
            </w:pPr>
            <w:r>
              <w:rPr>
                <w:rFonts w:hint="default" w:ascii="Times New Roman" w:hAnsi="Times New Roman" w:cs="Times New Roman"/>
                <w:bCs/>
                <w:color w:val="auto"/>
                <w:sz w:val="24"/>
                <w:szCs w:val="24"/>
              </w:rPr>
              <w:t>根据</w:t>
            </w:r>
            <w:r>
              <w:rPr>
                <w:rFonts w:hint="default" w:ascii="Times New Roman" w:hAnsi="Times New Roman" w:cs="Times New Roman"/>
                <w:bCs/>
                <w:color w:val="auto"/>
                <w:sz w:val="24"/>
                <w:szCs w:val="24"/>
                <w:lang w:val="en-US" w:eastAsia="zh-CN"/>
              </w:rPr>
              <w:t>项目竣工验收检测报告</w:t>
            </w:r>
            <w:r>
              <w:rPr>
                <w:rFonts w:hint="default" w:ascii="Times New Roman" w:hAnsi="Times New Roman" w:eastAsia="宋体" w:cs="Times New Roman"/>
                <w:bCs/>
                <w:color w:val="auto"/>
                <w:sz w:val="24"/>
                <w:szCs w:val="24"/>
              </w:rPr>
              <w:t>，厂区东、南、西、北厂界昼间噪声等效声级</w:t>
            </w:r>
            <w:r>
              <w:rPr>
                <w:rFonts w:hint="default" w:ascii="Times New Roman" w:hAnsi="Times New Roman" w:eastAsia="宋体" w:cs="Times New Roman"/>
                <w:bCs/>
                <w:color w:val="auto"/>
                <w:sz w:val="24"/>
                <w:szCs w:val="24"/>
                <w:lang w:val="en-US" w:eastAsia="zh-CN"/>
              </w:rPr>
              <w:t>最大值为59.8</w:t>
            </w:r>
            <w:r>
              <w:rPr>
                <w:rFonts w:hint="default" w:ascii="Times New Roman" w:hAnsi="Times New Roman" w:eastAsia="宋体" w:cs="Times New Roman"/>
                <w:color w:val="auto"/>
                <w:sz w:val="24"/>
                <w:szCs w:val="24"/>
              </w:rPr>
              <w:t>dB</w:t>
            </w:r>
            <w:r>
              <w:rPr>
                <w:rFonts w:hint="default" w:ascii="Times New Roman" w:hAnsi="Times New Roman" w:eastAsia="宋体" w:cs="Times New Roman"/>
                <w:color w:val="auto"/>
                <w:spacing w:val="3"/>
                <w:sz w:val="24"/>
                <w:szCs w:val="24"/>
              </w:rPr>
              <w:t xml:space="preserve"> (</w:t>
            </w:r>
            <w:r>
              <w:rPr>
                <w:rFonts w:hint="default" w:ascii="Times New Roman" w:hAnsi="Times New Roman" w:eastAsia="宋体" w:cs="Times New Roman"/>
                <w:color w:val="auto"/>
                <w:sz w:val="24"/>
                <w:szCs w:val="24"/>
              </w:rPr>
              <w:t>A</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bCs/>
                <w:color w:val="auto"/>
                <w:sz w:val="24"/>
                <w:szCs w:val="24"/>
              </w:rPr>
              <w:t>，夜间噪声等效声级</w:t>
            </w:r>
            <w:r>
              <w:rPr>
                <w:rFonts w:hint="default" w:ascii="Times New Roman" w:hAnsi="Times New Roman" w:eastAsia="宋体" w:cs="Times New Roman"/>
                <w:bCs/>
                <w:color w:val="auto"/>
                <w:sz w:val="24"/>
                <w:szCs w:val="24"/>
                <w:lang w:val="en-US" w:eastAsia="zh-CN"/>
              </w:rPr>
              <w:t>最大值</w:t>
            </w:r>
            <w:r>
              <w:rPr>
                <w:rFonts w:hint="default" w:ascii="Times New Roman" w:hAnsi="Times New Roman" w:eastAsia="宋体" w:cs="Times New Roman"/>
                <w:bCs/>
                <w:color w:val="auto"/>
                <w:sz w:val="24"/>
                <w:szCs w:val="24"/>
              </w:rPr>
              <w:t>为</w:t>
            </w:r>
            <w:r>
              <w:rPr>
                <w:rFonts w:hint="default" w:ascii="Times New Roman" w:hAnsi="Times New Roman" w:eastAsia="宋体" w:cs="Times New Roman"/>
                <w:bCs/>
                <w:color w:val="auto"/>
                <w:sz w:val="24"/>
                <w:szCs w:val="24"/>
                <w:lang w:val="en-US" w:eastAsia="zh-CN"/>
              </w:rPr>
              <w:t>51.4</w:t>
            </w:r>
            <w:r>
              <w:rPr>
                <w:rFonts w:hint="default" w:ascii="Times New Roman" w:hAnsi="Times New Roman" w:eastAsia="宋体" w:cs="Times New Roman"/>
                <w:color w:val="auto"/>
                <w:sz w:val="24"/>
                <w:szCs w:val="24"/>
              </w:rPr>
              <w:t>dB</w:t>
            </w:r>
            <w:r>
              <w:rPr>
                <w:rFonts w:hint="default" w:ascii="Times New Roman" w:hAnsi="Times New Roman" w:eastAsia="宋体" w:cs="Times New Roman"/>
                <w:color w:val="auto"/>
                <w:spacing w:val="3"/>
                <w:sz w:val="24"/>
                <w:szCs w:val="24"/>
              </w:rPr>
              <w:t xml:space="preserve"> (</w:t>
            </w:r>
            <w:r>
              <w:rPr>
                <w:rFonts w:hint="default" w:ascii="Times New Roman" w:hAnsi="Times New Roman" w:eastAsia="宋体" w:cs="Times New Roman"/>
                <w:color w:val="auto"/>
                <w:sz w:val="24"/>
                <w:szCs w:val="24"/>
              </w:rPr>
              <w:t>A</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bCs/>
                <w:color w:val="auto"/>
                <w:sz w:val="24"/>
                <w:szCs w:val="24"/>
              </w:rPr>
              <w:t>，符合《工业企业厂界环境噪声排放标准》（GB12348-2008）</w:t>
            </w:r>
            <w:r>
              <w:rPr>
                <w:rFonts w:hint="default" w:ascii="Times New Roman" w:hAnsi="Times New Roman" w:eastAsia="宋体" w:cs="Times New Roman"/>
                <w:bCs/>
                <w:color w:val="auto"/>
                <w:sz w:val="24"/>
                <w:szCs w:val="24"/>
                <w:lang w:val="en-US" w:eastAsia="zh-CN"/>
              </w:rPr>
              <w:t>2</w:t>
            </w:r>
            <w:r>
              <w:rPr>
                <w:rFonts w:hint="default" w:ascii="Times New Roman" w:hAnsi="Times New Roman" w:eastAsia="宋体" w:cs="Times New Roman"/>
                <w:bCs/>
                <w:color w:val="auto"/>
                <w:sz w:val="24"/>
                <w:szCs w:val="24"/>
              </w:rPr>
              <w:t>类标准，不存在声环境问题。</w:t>
            </w:r>
          </w:p>
          <w:p w14:paraId="1980785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lang w:eastAsia="zh-CN"/>
              </w:rPr>
              <w:t>4.</w:t>
            </w:r>
            <w:r>
              <w:rPr>
                <w:rFonts w:hint="default" w:ascii="Times New Roman" w:hAnsi="Times New Roman" w:eastAsia="宋体" w:cs="Times New Roman"/>
                <w:b w:val="0"/>
                <w:bCs/>
                <w:color w:val="auto"/>
                <w:sz w:val="24"/>
                <w:szCs w:val="24"/>
              </w:rPr>
              <w:t>固体废物</w:t>
            </w:r>
          </w:p>
          <w:p w14:paraId="5F427AC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lang w:val="en-US" w:eastAsia="zh-CN"/>
              </w:rPr>
              <w:t>目前</w:t>
            </w:r>
            <w:r>
              <w:rPr>
                <w:rFonts w:hint="default" w:ascii="Times New Roman" w:hAnsi="Times New Roman" w:cs="Times New Roman"/>
                <w:bCs/>
                <w:color w:val="auto"/>
                <w:sz w:val="24"/>
                <w:szCs w:val="24"/>
              </w:rPr>
              <w:t>项目危废暂存库已存入载金碳粉</w:t>
            </w:r>
            <w:r>
              <w:rPr>
                <w:rFonts w:hint="eastAsia" w:ascii="Times New Roman" w:hAnsi="Times New Roman" w:cs="Times New Roman"/>
                <w:bCs/>
                <w:color w:val="auto"/>
                <w:sz w:val="24"/>
                <w:szCs w:val="24"/>
                <w:lang w:val="en-US" w:eastAsia="zh-CN"/>
              </w:rPr>
              <w:t>118.28t</w:t>
            </w:r>
            <w:r>
              <w:rPr>
                <w:rFonts w:hint="default" w:ascii="Times New Roman" w:hAnsi="Times New Roman" w:cs="Times New Roman"/>
                <w:bCs/>
                <w:color w:val="auto"/>
                <w:sz w:val="24"/>
                <w:szCs w:val="24"/>
              </w:rPr>
              <w:t>，灰皿0.1t，危废暂存库已严格按照防渗方案进行了改造，利用库房现有混凝土基础，并铺设2mm厚HDPE 防渗膜，上做压光水泥地面保护层并涂刷环氧树脂防护层，渗透系数≤10</w:t>
            </w:r>
            <w:r>
              <w:rPr>
                <w:rFonts w:hint="eastAsia" w:ascii="Times New Roman" w:hAnsi="Times New Roman" w:cs="Times New Roman"/>
                <w:bCs/>
                <w:color w:val="auto"/>
                <w:sz w:val="24"/>
                <w:szCs w:val="24"/>
                <w:vertAlign w:val="superscript"/>
                <w:lang w:val="en-US" w:eastAsia="zh-CN"/>
              </w:rPr>
              <w:t>-10</w:t>
            </w:r>
            <w:r>
              <w:rPr>
                <w:rFonts w:hint="default" w:ascii="Times New Roman" w:hAnsi="Times New Roman" w:cs="Times New Roman"/>
                <w:bCs/>
                <w:color w:val="auto"/>
                <w:sz w:val="24"/>
                <w:szCs w:val="24"/>
              </w:rPr>
              <w:t>cm/s。设置0.4m高防渗墙裙。周围设置导流槽及集液池，与危废库地面做同样防渗措施。</w:t>
            </w:r>
          </w:p>
          <w:p w14:paraId="548D9F9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通过采取以上防渗措施，项目</w:t>
            </w:r>
            <w:r>
              <w:rPr>
                <w:rFonts w:hint="default" w:ascii="Times New Roman" w:hAnsi="Times New Roman" w:cs="Times New Roman"/>
                <w:bCs/>
                <w:color w:val="auto"/>
                <w:sz w:val="24"/>
                <w:szCs w:val="24"/>
                <w:lang w:val="en-US" w:eastAsia="zh-CN"/>
              </w:rPr>
              <w:t>储存</w:t>
            </w:r>
            <w:r>
              <w:rPr>
                <w:rFonts w:hint="default" w:ascii="Times New Roman" w:hAnsi="Times New Roman" w:cs="Times New Roman"/>
                <w:bCs/>
                <w:color w:val="auto"/>
                <w:sz w:val="24"/>
                <w:szCs w:val="24"/>
              </w:rPr>
              <w:t>的危废不会对周边环境产生不利影响。</w:t>
            </w:r>
          </w:p>
          <w:p w14:paraId="1BBC7D46">
            <w:pPr>
              <w:pStyle w:val="7"/>
              <w:keepNext w:val="0"/>
              <w:keepLines w:val="0"/>
              <w:pageBreakBefore w:val="0"/>
              <w:widowControl w:val="0"/>
              <w:kinsoku/>
              <w:wordWrap/>
              <w:overflowPunct/>
              <w:topLinePunct w:val="0"/>
              <w:autoSpaceDE/>
              <w:autoSpaceDN/>
              <w:bidi w:val="0"/>
              <w:spacing w:after="0" w:line="360" w:lineRule="auto"/>
              <w:ind w:left="0" w:leftChars="0" w:firstLine="480" w:firstLineChars="200"/>
              <w:textAlignment w:val="auto"/>
              <w:rPr>
                <w:rFonts w:hint="default" w:ascii="Times New Roman" w:hAnsi="Times New Roman" w:cs="Times New Roman"/>
                <w:bCs/>
                <w:color w:val="auto"/>
                <w:sz w:val="24"/>
                <w:szCs w:val="24"/>
                <w:lang w:val="en-US" w:eastAsia="zh-CN"/>
              </w:rPr>
            </w:pPr>
            <w:r>
              <w:rPr>
                <w:rFonts w:hint="eastAsia" w:ascii="Times New Roman" w:hAnsi="Times New Roman" w:cs="Times New Roman"/>
                <w:bCs/>
                <w:color w:val="auto"/>
                <w:sz w:val="24"/>
                <w:szCs w:val="24"/>
                <w:lang w:val="en-US" w:eastAsia="zh-CN"/>
              </w:rPr>
              <w:t>5.</w:t>
            </w:r>
            <w:r>
              <w:rPr>
                <w:rFonts w:hint="default" w:ascii="Times New Roman" w:hAnsi="Times New Roman" w:cs="Times New Roman"/>
                <w:bCs/>
                <w:color w:val="auto"/>
                <w:sz w:val="24"/>
                <w:szCs w:val="24"/>
                <w:lang w:val="en-US" w:eastAsia="zh-CN"/>
              </w:rPr>
              <w:t>现存主要环境问题</w:t>
            </w:r>
          </w:p>
          <w:p w14:paraId="38E3CA76">
            <w:pPr>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公司在生产过程中除载金</w:t>
            </w:r>
            <w:r>
              <w:rPr>
                <w:rFonts w:hint="eastAsia" w:ascii="Times New Roman" w:hAnsi="Times New Roman" w:cs="Times New Roman"/>
                <w:color w:val="auto"/>
                <w:sz w:val="24"/>
                <w:szCs w:val="24"/>
                <w:lang w:val="en-US" w:eastAsia="zh-CN"/>
              </w:rPr>
              <w:t>炭</w:t>
            </w:r>
            <w:r>
              <w:rPr>
                <w:rFonts w:hint="default" w:ascii="Times New Roman" w:hAnsi="Times New Roman" w:cs="Times New Roman"/>
                <w:color w:val="auto"/>
                <w:sz w:val="24"/>
                <w:szCs w:val="24"/>
                <w:lang w:val="en-US" w:eastAsia="zh-CN"/>
              </w:rPr>
              <w:t>粉、灰皿外还产生其他危险废物，均暂存于剩余未改造的氰化钠库内，氰化钠库虽已按照相关规定进行了防渗处理，不符合《危险废物贮存污染控制标准》（GB18597-2023）中“4.1 产生、收集、贮存、利用、处置危险废物的单位应建造危险废物贮存设施或设置贮存场所，并根据需要选择贮存设施类型”的规定。</w:t>
            </w:r>
          </w:p>
          <w:p w14:paraId="6454CB64">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6.</w:t>
            </w:r>
            <w:r>
              <w:rPr>
                <w:rFonts w:hint="default" w:ascii="Times New Roman" w:hAnsi="Times New Roman" w:eastAsia="宋体" w:cs="Times New Roman"/>
                <w:bCs/>
                <w:color w:val="auto"/>
                <w:sz w:val="24"/>
                <w:szCs w:val="24"/>
                <w:lang w:val="en-US" w:eastAsia="zh-CN"/>
              </w:rPr>
              <w:t>拟采取的整改措施</w:t>
            </w:r>
          </w:p>
          <w:p w14:paraId="1C46B587">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color w:val="auto"/>
                <w:lang w:val="en-US" w:eastAsia="zh-CN"/>
              </w:rPr>
            </w:pPr>
            <w:r>
              <w:rPr>
                <w:rFonts w:hint="default" w:ascii="Times New Roman" w:hAnsi="Times New Roman" w:eastAsia="宋体" w:cs="Times New Roman"/>
                <w:bCs/>
                <w:color w:val="auto"/>
                <w:sz w:val="24"/>
                <w:szCs w:val="24"/>
                <w:lang w:val="en-US" w:eastAsia="zh-CN"/>
              </w:rPr>
              <w:t>本次拟对厂内剩余的290m</w:t>
            </w:r>
            <w:r>
              <w:rPr>
                <w:rFonts w:hint="default" w:ascii="Times New Roman" w:hAnsi="Times New Roman" w:eastAsia="宋体" w:cs="Times New Roman"/>
                <w:bCs/>
                <w:color w:val="auto"/>
                <w:sz w:val="24"/>
                <w:szCs w:val="24"/>
                <w:vertAlign w:val="superscript"/>
                <w:lang w:val="en-US" w:eastAsia="zh-CN"/>
              </w:rPr>
              <w:t>2</w:t>
            </w:r>
            <w:r>
              <w:rPr>
                <w:rFonts w:hint="default" w:ascii="Times New Roman" w:hAnsi="Times New Roman" w:eastAsia="宋体" w:cs="Times New Roman"/>
                <w:bCs/>
                <w:color w:val="auto"/>
                <w:sz w:val="24"/>
                <w:szCs w:val="24"/>
                <w:lang w:val="en-US" w:eastAsia="zh-CN"/>
              </w:rPr>
              <w:t>氰化钠库进行改造，利用剩余的290m</w:t>
            </w:r>
            <w:r>
              <w:rPr>
                <w:rFonts w:hint="default" w:ascii="Times New Roman" w:hAnsi="Times New Roman" w:eastAsia="宋体" w:cs="Times New Roman"/>
                <w:bCs/>
                <w:color w:val="auto"/>
                <w:sz w:val="24"/>
                <w:szCs w:val="24"/>
                <w:vertAlign w:val="superscript"/>
                <w:lang w:val="en-US" w:eastAsia="zh-CN"/>
              </w:rPr>
              <w:t>2</w:t>
            </w:r>
            <w:r>
              <w:rPr>
                <w:rFonts w:hint="default" w:ascii="Times New Roman" w:hAnsi="Times New Roman" w:eastAsia="宋体" w:cs="Times New Roman"/>
                <w:bCs/>
                <w:color w:val="auto"/>
                <w:sz w:val="24"/>
                <w:szCs w:val="24"/>
                <w:lang w:val="en-US" w:eastAsia="zh-CN"/>
              </w:rPr>
              <w:t>作为危险废物暂存间，并进行防渗施工，作为专用的危废暂存间用于其他危险危废的暂存。</w:t>
            </w:r>
          </w:p>
        </w:tc>
      </w:tr>
    </w:tbl>
    <w:p w14:paraId="12905526">
      <w:pPr>
        <w:pStyle w:val="23"/>
        <w:jc w:val="center"/>
        <w:rPr>
          <w:rFonts w:hint="default" w:ascii="Times New Roman" w:hAnsi="Times New Roman" w:eastAsia="宋体" w:cs="Times New Roman"/>
          <w:snapToGrid w:val="0"/>
          <w:color w:val="auto"/>
          <w:sz w:val="36"/>
          <w:szCs w:val="36"/>
          <w:highlight w:val="none"/>
        </w:rPr>
        <w:sectPr>
          <w:pgSz w:w="11906" w:h="16838"/>
          <w:pgMar w:top="1701" w:right="1304" w:bottom="1701" w:left="1304"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2FB4BAD5">
      <w:pPr>
        <w:pStyle w:val="23"/>
        <w:adjustRightInd w:val="0"/>
        <w:snapToGrid w:val="0"/>
        <w:spacing w:before="0" w:beforeAutospacing="0" w:after="0" w:afterAutospacing="0" w:line="14" w:lineRule="auto"/>
        <w:jc w:val="center"/>
        <w:outlineLvl w:val="0"/>
        <w:rPr>
          <w:rFonts w:hint="default" w:ascii="Times New Roman" w:hAnsi="Times New Roman" w:eastAsia="宋体" w:cs="Times New Roman"/>
          <w:snapToGrid w:val="0"/>
          <w:color w:val="auto"/>
          <w:sz w:val="30"/>
          <w:szCs w:val="30"/>
          <w:highlight w:val="none"/>
        </w:rPr>
      </w:pPr>
    </w:p>
    <w:p w14:paraId="1A4667CB">
      <w:pPr>
        <w:pStyle w:val="23"/>
        <w:jc w:val="center"/>
        <w:outlineLvl w:val="0"/>
        <w:rPr>
          <w:rFonts w:hint="default" w:ascii="Times New Roman" w:hAnsi="Times New Roman" w:eastAsia="宋体" w:cs="Times New Roman"/>
          <w:snapToGrid w:val="0"/>
          <w:color w:val="auto"/>
          <w:sz w:val="30"/>
          <w:szCs w:val="30"/>
          <w:highlight w:val="none"/>
        </w:rPr>
      </w:pPr>
      <w:r>
        <w:rPr>
          <w:rFonts w:hint="default" w:ascii="Times New Roman" w:hAnsi="Times New Roman" w:eastAsia="宋体" w:cs="Times New Roman"/>
          <w:snapToGrid w:val="0"/>
          <w:color w:val="auto"/>
          <w:sz w:val="30"/>
          <w:szCs w:val="30"/>
          <w:highlight w:val="none"/>
        </w:rPr>
        <w:t>三、区域环境质量现状、环境保护目标及评价标准</w:t>
      </w:r>
    </w:p>
    <w:tbl>
      <w:tblPr>
        <w:tblStyle w:val="25"/>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5"/>
        <w:gridCol w:w="8668"/>
      </w:tblGrid>
      <w:tr w14:paraId="19BE26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469" w:hRule="atLeast"/>
          <w:jc w:val="center"/>
        </w:trPr>
        <w:tc>
          <w:tcPr>
            <w:tcW w:w="444" w:type="pct"/>
            <w:noWrap w:val="0"/>
            <w:vAlign w:val="center"/>
          </w:tcPr>
          <w:p w14:paraId="6DDB8A93">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区域</w:t>
            </w:r>
          </w:p>
          <w:p w14:paraId="47F4A40D">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环境</w:t>
            </w:r>
          </w:p>
          <w:p w14:paraId="428F6908">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质量</w:t>
            </w:r>
          </w:p>
          <w:p w14:paraId="2564090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4"/>
                <w:szCs w:val="24"/>
                <w:highlight w:val="none"/>
              </w:rPr>
              <w:t>现状</w:t>
            </w:r>
          </w:p>
        </w:tc>
        <w:tc>
          <w:tcPr>
            <w:tcW w:w="4555" w:type="pct"/>
            <w:noWrap w:val="0"/>
            <w:vAlign w:val="center"/>
          </w:tcPr>
          <w:p w14:paraId="75FCC1C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1.</w:t>
            </w:r>
            <w:r>
              <w:rPr>
                <w:rFonts w:hint="default" w:ascii="Times New Roman" w:hAnsi="Times New Roman" w:eastAsia="宋体" w:cs="Times New Roman"/>
                <w:color w:val="auto"/>
                <w:sz w:val="24"/>
                <w:szCs w:val="24"/>
                <w:highlight w:val="none"/>
              </w:rPr>
              <w:t>环境空气质量现状</w:t>
            </w:r>
          </w:p>
          <w:p w14:paraId="347A5D22">
            <w:pPr>
              <w:widowControl/>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）区域环境质量达标情况判定</w:t>
            </w:r>
          </w:p>
          <w:p w14:paraId="28CD4DC7">
            <w:pPr>
              <w:widowControl/>
              <w:spacing w:line="360" w:lineRule="auto"/>
              <w:ind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根据《环境影响评价技术导则-大气环境》（HJ2.2-2018）相关要求，本项目环境空气质量现状引用巴彦淖尔市生态环境局202</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月发布的巴彦淖尔市生态环境状况公报（20</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年），20</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w:t>
            </w:r>
            <w:r>
              <w:rPr>
                <w:rFonts w:hint="default" w:ascii="Times New Roman" w:hAnsi="Times New Roman" w:cs="Times New Roman"/>
                <w:color w:val="auto"/>
                <w:sz w:val="24"/>
                <w:szCs w:val="24"/>
                <w:highlight w:val="none"/>
              </w:rPr>
              <w:t>乌拉特中旗海流图镇</w:t>
            </w:r>
            <w:r>
              <w:rPr>
                <w:rFonts w:hint="default" w:ascii="Times New Roman" w:hAnsi="Times New Roman" w:eastAsia="宋体" w:cs="Times New Roman"/>
                <w:color w:val="auto"/>
                <w:sz w:val="24"/>
                <w:szCs w:val="24"/>
                <w:highlight w:val="none"/>
              </w:rPr>
              <w:t>环境空气质量现状统计见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w:t>
            </w:r>
            <w:r>
              <w:rPr>
                <w:rFonts w:hint="default" w:ascii="Times New Roman" w:hAnsi="Times New Roman" w:eastAsia="宋体" w:cs="Times New Roman"/>
                <w:color w:val="auto"/>
                <w:sz w:val="24"/>
                <w:szCs w:val="24"/>
                <w:highlight w:val="none"/>
                <w:lang w:eastAsia="zh-CN"/>
              </w:rPr>
              <w:t>。</w:t>
            </w:r>
          </w:p>
          <w:p w14:paraId="5DA3073D">
            <w:pPr>
              <w:ind w:firstLine="482"/>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zh-CN"/>
              </w:rPr>
              <w:t>表</w:t>
            </w:r>
            <w:r>
              <w:rPr>
                <w:rFonts w:hint="default" w:ascii="Times New Roman" w:hAnsi="Times New Roman" w:eastAsia="宋体" w:cs="Times New Roman"/>
                <w:b/>
                <w:bCs/>
                <w:color w:val="auto"/>
                <w:highlight w:val="none"/>
                <w:lang w:val="en-US" w:eastAsia="zh-CN"/>
              </w:rPr>
              <w:t xml:space="preserve">3-1 </w:t>
            </w:r>
            <w:r>
              <w:rPr>
                <w:rFonts w:hint="default" w:ascii="Times New Roman" w:hAnsi="Times New Roman" w:eastAsia="宋体" w:cs="Times New Roman"/>
                <w:b/>
                <w:bCs/>
                <w:color w:val="auto"/>
                <w:highlight w:val="none"/>
              </w:rPr>
              <w:t>20</w:t>
            </w:r>
            <w:r>
              <w:rPr>
                <w:rFonts w:hint="default" w:ascii="Times New Roman" w:hAnsi="Times New Roman" w:eastAsia="宋体" w:cs="Times New Roman"/>
                <w:b/>
                <w:bCs/>
                <w:color w:val="auto"/>
                <w:highlight w:val="none"/>
                <w:lang w:val="en-US" w:eastAsia="zh-CN"/>
              </w:rPr>
              <w:t>24</w:t>
            </w:r>
            <w:r>
              <w:rPr>
                <w:rFonts w:hint="default" w:ascii="Times New Roman" w:hAnsi="Times New Roman" w:eastAsia="宋体" w:cs="Times New Roman"/>
                <w:b/>
                <w:bCs/>
                <w:color w:val="auto"/>
                <w:highlight w:val="none"/>
              </w:rPr>
              <w:t>年</w:t>
            </w:r>
            <w:r>
              <w:rPr>
                <w:rFonts w:hint="eastAsia" w:ascii="Times New Roman" w:hAnsi="Times New Roman" w:eastAsia="宋体" w:cs="Times New Roman"/>
                <w:b/>
                <w:bCs/>
                <w:color w:val="auto"/>
                <w:highlight w:val="none"/>
                <w:lang w:val="en-US" w:eastAsia="zh-CN"/>
              </w:rPr>
              <w:t>海流图镇</w:t>
            </w:r>
            <w:r>
              <w:rPr>
                <w:rFonts w:hint="default" w:ascii="Times New Roman" w:hAnsi="Times New Roman" w:eastAsia="宋体" w:cs="Times New Roman"/>
                <w:b/>
                <w:bCs/>
                <w:color w:val="auto"/>
                <w:highlight w:val="none"/>
              </w:rPr>
              <w:t>环境空气质量现状统计一览表</w:t>
            </w:r>
          </w:p>
          <w:tbl>
            <w:tblPr>
              <w:tblStyle w:val="2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812"/>
              <w:gridCol w:w="900"/>
              <w:gridCol w:w="1590"/>
              <w:gridCol w:w="825"/>
              <w:gridCol w:w="1760"/>
              <w:gridCol w:w="842"/>
            </w:tblGrid>
            <w:tr w14:paraId="77804D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9" w:type="pct"/>
                  <w:noWrap w:val="0"/>
                  <w:vAlign w:val="center"/>
                </w:tcPr>
                <w:p w14:paraId="37BD7749">
                  <w:pPr>
                    <w:pStyle w:val="104"/>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污染物</w:t>
                  </w:r>
                </w:p>
              </w:tc>
              <w:tc>
                <w:tcPr>
                  <w:tcW w:w="1076" w:type="pct"/>
                  <w:noWrap w:val="0"/>
                  <w:vAlign w:val="center"/>
                </w:tcPr>
                <w:p w14:paraId="7F6C107C">
                  <w:pPr>
                    <w:pStyle w:val="104"/>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年评价指标</w:t>
                  </w:r>
                </w:p>
              </w:tc>
              <w:tc>
                <w:tcPr>
                  <w:tcW w:w="534" w:type="pct"/>
                  <w:noWrap w:val="0"/>
                  <w:vAlign w:val="center"/>
                </w:tcPr>
                <w:p w14:paraId="6D6B3CD2">
                  <w:pPr>
                    <w:pStyle w:val="104"/>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lang w:val="en-US" w:eastAsia="zh-CN"/>
                    </w:rPr>
                    <w:t>浓度值</w:t>
                  </w:r>
                  <w:r>
                    <w:rPr>
                      <w:rFonts w:hint="default" w:ascii="Times New Roman" w:hAnsi="Times New Roman" w:cs="Times New Roman"/>
                      <w:b w:val="0"/>
                      <w:bCs w:val="0"/>
                      <w:color w:val="auto"/>
                      <w:highlight w:val="none"/>
                    </w:rPr>
                    <w:t>μg/m</w:t>
                  </w:r>
                  <w:r>
                    <w:rPr>
                      <w:rFonts w:hint="default" w:ascii="Times New Roman" w:hAnsi="Times New Roman" w:cs="Times New Roman"/>
                      <w:b w:val="0"/>
                      <w:bCs w:val="0"/>
                      <w:color w:val="auto"/>
                      <w:highlight w:val="none"/>
                      <w:vertAlign w:val="superscript"/>
                    </w:rPr>
                    <w:t>3</w:t>
                  </w:r>
                </w:p>
              </w:tc>
              <w:tc>
                <w:tcPr>
                  <w:tcW w:w="944" w:type="pct"/>
                  <w:noWrap w:val="0"/>
                  <w:vAlign w:val="center"/>
                </w:tcPr>
                <w:p w14:paraId="655F3422">
                  <w:pPr>
                    <w:pStyle w:val="104"/>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color w:val="auto"/>
                      <w:sz w:val="21"/>
                      <w:szCs w:val="21"/>
                      <w:highlight w:val="none"/>
                    </w:rPr>
                    <w:t>GB3095-20</w:t>
                  </w:r>
                  <w:r>
                    <w:rPr>
                      <w:rFonts w:hint="default" w:ascii="Times New Roman" w:hAnsi="Times New Roman" w:eastAsia="宋体" w:cs="Times New Roman"/>
                      <w:b w:val="0"/>
                      <w:bCs w:val="0"/>
                      <w:color w:val="auto"/>
                      <w:sz w:val="21"/>
                      <w:szCs w:val="21"/>
                      <w:highlight w:val="none"/>
                      <w:lang w:val="en-US" w:eastAsia="zh-CN"/>
                    </w:rPr>
                    <w:t>12</w:t>
                  </w:r>
                  <w:r>
                    <w:rPr>
                      <w:rFonts w:hint="default" w:ascii="Times New Roman" w:hAnsi="Times New Roman" w:eastAsia="宋体" w:cs="Times New Roman"/>
                      <w:b w:val="0"/>
                      <w:bCs w:val="0"/>
                      <w:color w:val="auto"/>
                      <w:sz w:val="21"/>
                      <w:szCs w:val="21"/>
                      <w:highlight w:val="none"/>
                    </w:rPr>
                    <w:t>标准值（μg/m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w:t>
                  </w:r>
                </w:p>
              </w:tc>
              <w:tc>
                <w:tcPr>
                  <w:tcW w:w="489" w:type="pct"/>
                  <w:noWrap w:val="0"/>
                  <w:vAlign w:val="center"/>
                </w:tcPr>
                <w:p w14:paraId="1968595C">
                  <w:pPr>
                    <w:pStyle w:val="104"/>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达标情况</w:t>
                  </w:r>
                </w:p>
              </w:tc>
              <w:tc>
                <w:tcPr>
                  <w:tcW w:w="1045" w:type="pct"/>
                  <w:noWrap w:val="0"/>
                  <w:vAlign w:val="center"/>
                </w:tcPr>
                <w:p w14:paraId="57D429B8">
                  <w:pPr>
                    <w:keepNext w:val="0"/>
                    <w:keepLines w:val="0"/>
                    <w:pageBreakBefore w:val="0"/>
                    <w:widowControl w:val="0"/>
                    <w:kinsoku/>
                    <w:wordWrap/>
                    <w:overflowPunct/>
                    <w:topLinePunct w:val="0"/>
                    <w:bidi w:val="0"/>
                    <w:snapToGrid/>
                    <w:spacing w:line="240" w:lineRule="auto"/>
                    <w:ind w:firstLine="105" w:firstLineChars="50"/>
                    <w:jc w:val="center"/>
                    <w:textAlignment w:val="auto"/>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color w:val="auto"/>
                      <w:highlight w:val="none"/>
                    </w:rPr>
                    <w:t>GB3095-20</w:t>
                  </w:r>
                  <w:r>
                    <w:rPr>
                      <w:rFonts w:hint="default" w:ascii="Times New Roman" w:hAnsi="Times New Roman" w:eastAsia="宋体" w:cs="Times New Roman"/>
                      <w:b w:val="0"/>
                      <w:bCs w:val="0"/>
                      <w:color w:val="auto"/>
                      <w:highlight w:val="none"/>
                      <w:lang w:val="en-US" w:eastAsia="zh-CN"/>
                    </w:rPr>
                    <w:t>26过渡阶段浓度限值</w:t>
                  </w:r>
                  <w:r>
                    <w:rPr>
                      <w:rFonts w:hint="default" w:ascii="Times New Roman" w:hAnsi="Times New Roman" w:eastAsia="宋体" w:cs="Times New Roman"/>
                      <w:b w:val="0"/>
                      <w:bCs w:val="0"/>
                      <w:color w:val="auto"/>
                      <w:highlight w:val="none"/>
                    </w:rPr>
                    <w:t>（μg/m</w:t>
                  </w:r>
                  <w:r>
                    <w:rPr>
                      <w:rFonts w:hint="default" w:ascii="Times New Roman" w:hAnsi="Times New Roman" w:eastAsia="宋体" w:cs="Times New Roman"/>
                      <w:b w:val="0"/>
                      <w:bCs w:val="0"/>
                      <w:color w:val="auto"/>
                      <w:highlight w:val="none"/>
                      <w:vertAlign w:val="superscript"/>
                    </w:rPr>
                    <w:t>3</w:t>
                  </w:r>
                  <w:r>
                    <w:rPr>
                      <w:rFonts w:hint="default" w:ascii="Times New Roman" w:hAnsi="Times New Roman" w:eastAsia="宋体" w:cs="Times New Roman"/>
                      <w:b w:val="0"/>
                      <w:bCs w:val="0"/>
                      <w:color w:val="auto"/>
                      <w:highlight w:val="none"/>
                    </w:rPr>
                    <w:t>）</w:t>
                  </w:r>
                </w:p>
              </w:tc>
              <w:tc>
                <w:tcPr>
                  <w:tcW w:w="500" w:type="pct"/>
                  <w:noWrap w:val="0"/>
                  <w:vAlign w:val="center"/>
                </w:tcPr>
                <w:p w14:paraId="4C028F9E">
                  <w:pPr>
                    <w:pStyle w:val="104"/>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达标情况</w:t>
                  </w:r>
                </w:p>
              </w:tc>
            </w:tr>
            <w:tr w14:paraId="30CD14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9" w:type="pct"/>
                  <w:noWrap w:val="0"/>
                  <w:vAlign w:val="center"/>
                </w:tcPr>
                <w:p w14:paraId="177F637C">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p>
              </w:tc>
              <w:tc>
                <w:tcPr>
                  <w:tcW w:w="1076" w:type="pct"/>
                  <w:noWrap w:val="0"/>
                  <w:vAlign w:val="center"/>
                </w:tcPr>
                <w:p w14:paraId="5200E178">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w:t>
                  </w:r>
                </w:p>
              </w:tc>
              <w:tc>
                <w:tcPr>
                  <w:tcW w:w="534" w:type="pct"/>
                  <w:noWrap w:val="0"/>
                  <w:vAlign w:val="center"/>
                </w:tcPr>
                <w:p w14:paraId="6D2342F6">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944" w:type="pct"/>
                  <w:noWrap w:val="0"/>
                  <w:vAlign w:val="center"/>
                </w:tcPr>
                <w:p w14:paraId="03ECE475">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489" w:type="pct"/>
                  <w:noWrap w:val="0"/>
                  <w:vAlign w:val="center"/>
                </w:tcPr>
                <w:p w14:paraId="0B148B52">
                  <w:pPr>
                    <w:keepNext w:val="0"/>
                    <w:keepLines w:val="0"/>
                    <w:pageBreakBefore w:val="0"/>
                    <w:widowControl w:val="0"/>
                    <w:kinsoku/>
                    <w:wordWrap/>
                    <w:overflowPunct/>
                    <w:topLinePunct w:val="0"/>
                    <w:bidi w:val="0"/>
                    <w:snapToGrid/>
                    <w:spacing w:line="240" w:lineRule="auto"/>
                    <w:ind w:firstLine="105" w:firstLineChars="5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rPr>
                    <w:t>达标</w:t>
                  </w:r>
                </w:p>
              </w:tc>
              <w:tc>
                <w:tcPr>
                  <w:tcW w:w="1045" w:type="pct"/>
                  <w:noWrap w:val="0"/>
                  <w:vAlign w:val="center"/>
                </w:tcPr>
                <w:p w14:paraId="42DF5777">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60</w:t>
                  </w:r>
                </w:p>
              </w:tc>
              <w:tc>
                <w:tcPr>
                  <w:tcW w:w="500" w:type="pct"/>
                  <w:noWrap w:val="0"/>
                  <w:vAlign w:val="center"/>
                </w:tcPr>
                <w:p w14:paraId="57BE67C0">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0DE6E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9" w:type="pct"/>
                  <w:noWrap w:val="0"/>
                  <w:vAlign w:val="center"/>
                </w:tcPr>
                <w:p w14:paraId="69E1E9D1">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p>
              </w:tc>
              <w:tc>
                <w:tcPr>
                  <w:tcW w:w="1076" w:type="pct"/>
                  <w:noWrap w:val="0"/>
                  <w:vAlign w:val="center"/>
                </w:tcPr>
                <w:p w14:paraId="6838B2A4">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w:t>
                  </w:r>
                </w:p>
              </w:tc>
              <w:tc>
                <w:tcPr>
                  <w:tcW w:w="534" w:type="pct"/>
                  <w:noWrap w:val="0"/>
                  <w:vAlign w:val="center"/>
                </w:tcPr>
                <w:p w14:paraId="318B3E0F">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944" w:type="pct"/>
                  <w:noWrap w:val="0"/>
                  <w:vAlign w:val="center"/>
                </w:tcPr>
                <w:p w14:paraId="6D6571C3">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489" w:type="pct"/>
                  <w:noWrap w:val="0"/>
                  <w:vAlign w:val="center"/>
                </w:tcPr>
                <w:p w14:paraId="685F7000">
                  <w:pPr>
                    <w:keepNext w:val="0"/>
                    <w:keepLines w:val="0"/>
                    <w:pageBreakBefore w:val="0"/>
                    <w:widowControl w:val="0"/>
                    <w:kinsoku/>
                    <w:wordWrap/>
                    <w:overflowPunct/>
                    <w:topLinePunct w:val="0"/>
                    <w:bidi w:val="0"/>
                    <w:snapToGrid/>
                    <w:spacing w:line="240" w:lineRule="auto"/>
                    <w:ind w:firstLine="105" w:firstLineChars="5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rPr>
                    <w:t>达标</w:t>
                  </w:r>
                </w:p>
              </w:tc>
              <w:tc>
                <w:tcPr>
                  <w:tcW w:w="1045" w:type="pct"/>
                  <w:noWrap w:val="0"/>
                  <w:vAlign w:val="center"/>
                </w:tcPr>
                <w:p w14:paraId="5024D6DC">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40</w:t>
                  </w:r>
                </w:p>
              </w:tc>
              <w:tc>
                <w:tcPr>
                  <w:tcW w:w="500" w:type="pct"/>
                  <w:noWrap w:val="0"/>
                  <w:vAlign w:val="center"/>
                </w:tcPr>
                <w:p w14:paraId="36D3E9BD">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082928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9" w:type="pct"/>
                  <w:noWrap w:val="0"/>
                  <w:vAlign w:val="center"/>
                </w:tcPr>
                <w:p w14:paraId="61F26CAD">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p>
              </w:tc>
              <w:tc>
                <w:tcPr>
                  <w:tcW w:w="1076" w:type="pct"/>
                  <w:noWrap w:val="0"/>
                  <w:vAlign w:val="center"/>
                </w:tcPr>
                <w:p w14:paraId="3989D4C7">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w:t>
                  </w:r>
                </w:p>
              </w:tc>
              <w:tc>
                <w:tcPr>
                  <w:tcW w:w="534" w:type="pct"/>
                  <w:noWrap w:val="0"/>
                  <w:vAlign w:val="center"/>
                </w:tcPr>
                <w:p w14:paraId="355682D9">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38</w:t>
                  </w:r>
                </w:p>
              </w:tc>
              <w:tc>
                <w:tcPr>
                  <w:tcW w:w="944" w:type="pct"/>
                  <w:noWrap w:val="0"/>
                  <w:vAlign w:val="center"/>
                </w:tcPr>
                <w:p w14:paraId="577EDA88">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489" w:type="pct"/>
                  <w:noWrap w:val="0"/>
                  <w:vAlign w:val="center"/>
                </w:tcPr>
                <w:p w14:paraId="5E090D2C">
                  <w:pPr>
                    <w:keepNext w:val="0"/>
                    <w:keepLines w:val="0"/>
                    <w:pageBreakBefore w:val="0"/>
                    <w:widowControl w:val="0"/>
                    <w:kinsoku/>
                    <w:wordWrap/>
                    <w:overflowPunct/>
                    <w:topLinePunct w:val="0"/>
                    <w:bidi w:val="0"/>
                    <w:snapToGrid/>
                    <w:spacing w:line="240" w:lineRule="auto"/>
                    <w:ind w:firstLine="105" w:firstLineChars="5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rPr>
                    <w:t>达标</w:t>
                  </w:r>
                </w:p>
              </w:tc>
              <w:tc>
                <w:tcPr>
                  <w:tcW w:w="1045" w:type="pct"/>
                  <w:noWrap w:val="0"/>
                  <w:vAlign w:val="center"/>
                </w:tcPr>
                <w:p w14:paraId="100EBC35">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60</w:t>
                  </w:r>
                </w:p>
              </w:tc>
              <w:tc>
                <w:tcPr>
                  <w:tcW w:w="500" w:type="pct"/>
                  <w:noWrap w:val="0"/>
                  <w:vAlign w:val="center"/>
                </w:tcPr>
                <w:p w14:paraId="45E947CA">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43677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9" w:type="pct"/>
                  <w:noWrap w:val="0"/>
                  <w:vAlign w:val="center"/>
                </w:tcPr>
                <w:p w14:paraId="11E50798">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p>
              </w:tc>
              <w:tc>
                <w:tcPr>
                  <w:tcW w:w="1076" w:type="pct"/>
                  <w:noWrap w:val="0"/>
                  <w:vAlign w:val="center"/>
                </w:tcPr>
                <w:p w14:paraId="1A037D49">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w:t>
                  </w:r>
                </w:p>
              </w:tc>
              <w:tc>
                <w:tcPr>
                  <w:tcW w:w="534" w:type="pct"/>
                  <w:noWrap w:val="0"/>
                  <w:vAlign w:val="center"/>
                </w:tcPr>
                <w:p w14:paraId="213CC802">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17</w:t>
                  </w:r>
                </w:p>
              </w:tc>
              <w:tc>
                <w:tcPr>
                  <w:tcW w:w="944" w:type="pct"/>
                  <w:noWrap w:val="0"/>
                  <w:vAlign w:val="center"/>
                </w:tcPr>
                <w:p w14:paraId="300A6084">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35</w:t>
                  </w:r>
                </w:p>
              </w:tc>
              <w:tc>
                <w:tcPr>
                  <w:tcW w:w="489" w:type="pct"/>
                  <w:noWrap w:val="0"/>
                  <w:vAlign w:val="center"/>
                </w:tcPr>
                <w:p w14:paraId="12CDCFAE">
                  <w:pPr>
                    <w:keepNext w:val="0"/>
                    <w:keepLines w:val="0"/>
                    <w:pageBreakBefore w:val="0"/>
                    <w:widowControl w:val="0"/>
                    <w:kinsoku/>
                    <w:wordWrap/>
                    <w:overflowPunct/>
                    <w:topLinePunct w:val="0"/>
                    <w:bidi w:val="0"/>
                    <w:snapToGrid/>
                    <w:spacing w:line="240" w:lineRule="auto"/>
                    <w:ind w:firstLine="105" w:firstLineChars="5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rPr>
                    <w:t>达标</w:t>
                  </w:r>
                </w:p>
              </w:tc>
              <w:tc>
                <w:tcPr>
                  <w:tcW w:w="1045" w:type="pct"/>
                  <w:noWrap w:val="0"/>
                  <w:vAlign w:val="center"/>
                </w:tcPr>
                <w:p w14:paraId="1040F320">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30</w:t>
                  </w:r>
                </w:p>
              </w:tc>
              <w:tc>
                <w:tcPr>
                  <w:tcW w:w="500" w:type="pct"/>
                  <w:noWrap w:val="0"/>
                  <w:vAlign w:val="center"/>
                </w:tcPr>
                <w:p w14:paraId="38D0F6FC">
                  <w:pPr>
                    <w:pStyle w:val="104"/>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2107B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9" w:type="pct"/>
                  <w:noWrap w:val="0"/>
                  <w:vAlign w:val="center"/>
                </w:tcPr>
                <w:p w14:paraId="5518A9E3">
                  <w:pPr>
                    <w:pStyle w:val="104"/>
                    <w:ind w:firstLine="0" w:firstLineChars="0"/>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p>
              </w:tc>
              <w:tc>
                <w:tcPr>
                  <w:tcW w:w="1076" w:type="pct"/>
                  <w:noWrap w:val="0"/>
                  <w:vAlign w:val="center"/>
                </w:tcPr>
                <w:p w14:paraId="3BD6154C">
                  <w:pPr>
                    <w:pStyle w:val="104"/>
                    <w:ind w:firstLine="0" w:firstLineChars="0"/>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cs="Times New Roman"/>
                      <w:color w:val="auto"/>
                      <w:highlight w:val="none"/>
                    </w:rPr>
                    <w:t>日最大8小时平均第90百分位数</w:t>
                  </w:r>
                </w:p>
              </w:tc>
              <w:tc>
                <w:tcPr>
                  <w:tcW w:w="534" w:type="pct"/>
                  <w:noWrap w:val="0"/>
                  <w:vAlign w:val="center"/>
                </w:tcPr>
                <w:p w14:paraId="0F792349">
                  <w:pPr>
                    <w:pStyle w:val="104"/>
                    <w:ind w:firstLine="0" w:firstLineChars="0"/>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cs="Times New Roman"/>
                      <w:color w:val="auto"/>
                      <w:highlight w:val="none"/>
                    </w:rPr>
                    <w:t>144</w:t>
                  </w:r>
                </w:p>
              </w:tc>
              <w:tc>
                <w:tcPr>
                  <w:tcW w:w="944" w:type="pct"/>
                  <w:noWrap w:val="0"/>
                  <w:vAlign w:val="center"/>
                </w:tcPr>
                <w:p w14:paraId="7F2154F3">
                  <w:pPr>
                    <w:pStyle w:val="104"/>
                    <w:ind w:firstLine="0" w:firstLineChars="0"/>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cs="Times New Roman"/>
                      <w:color w:val="auto"/>
                      <w:highlight w:val="none"/>
                    </w:rPr>
                    <w:t>160</w:t>
                  </w:r>
                </w:p>
              </w:tc>
              <w:tc>
                <w:tcPr>
                  <w:tcW w:w="489" w:type="pct"/>
                  <w:noWrap w:val="0"/>
                  <w:vAlign w:val="center"/>
                </w:tcPr>
                <w:p w14:paraId="4DB0B2C3">
                  <w:pPr>
                    <w:keepNext w:val="0"/>
                    <w:keepLines w:val="0"/>
                    <w:pageBreakBefore w:val="0"/>
                    <w:widowControl w:val="0"/>
                    <w:kinsoku/>
                    <w:wordWrap/>
                    <w:overflowPunct/>
                    <w:topLinePunct w:val="0"/>
                    <w:bidi w:val="0"/>
                    <w:snapToGrid/>
                    <w:spacing w:line="240" w:lineRule="auto"/>
                    <w:ind w:firstLine="105" w:firstLineChars="5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rPr>
                    <w:t>达标</w:t>
                  </w:r>
                </w:p>
              </w:tc>
              <w:tc>
                <w:tcPr>
                  <w:tcW w:w="1045" w:type="pct"/>
                  <w:noWrap w:val="0"/>
                  <w:vAlign w:val="center"/>
                </w:tcPr>
                <w:p w14:paraId="5C18EBAC">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rPr>
                    <w:t>160</w:t>
                  </w:r>
                </w:p>
              </w:tc>
              <w:tc>
                <w:tcPr>
                  <w:tcW w:w="500" w:type="pct"/>
                  <w:noWrap w:val="0"/>
                  <w:vAlign w:val="center"/>
                </w:tcPr>
                <w:p w14:paraId="37664F3F">
                  <w:pPr>
                    <w:pStyle w:val="104"/>
                    <w:ind w:firstLine="0" w:firstLineChars="0"/>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cs="Times New Roman"/>
                      <w:color w:val="auto"/>
                      <w:highlight w:val="none"/>
                    </w:rPr>
                    <w:t>达标</w:t>
                  </w:r>
                </w:p>
              </w:tc>
            </w:tr>
            <w:tr w14:paraId="7B7937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9" w:type="pct"/>
                  <w:noWrap w:val="0"/>
                  <w:vAlign w:val="center"/>
                </w:tcPr>
                <w:p w14:paraId="59D2C721">
                  <w:pPr>
                    <w:pStyle w:val="104"/>
                    <w:ind w:firstLine="0" w:firstLineChars="0"/>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cs="Times New Roman"/>
                      <w:color w:val="auto"/>
                      <w:highlight w:val="none"/>
                    </w:rPr>
                    <w:t>CO</w:t>
                  </w:r>
                </w:p>
              </w:tc>
              <w:tc>
                <w:tcPr>
                  <w:tcW w:w="1076" w:type="pct"/>
                  <w:noWrap w:val="0"/>
                  <w:vAlign w:val="center"/>
                </w:tcPr>
                <w:p w14:paraId="6EB65897">
                  <w:pPr>
                    <w:pStyle w:val="104"/>
                    <w:ind w:firstLine="0" w:firstLineChars="0"/>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cs="Times New Roman"/>
                      <w:color w:val="auto"/>
                      <w:highlight w:val="none"/>
                    </w:rPr>
                    <w:t>全年24小时平均第95百分位数</w:t>
                  </w:r>
                </w:p>
              </w:tc>
              <w:tc>
                <w:tcPr>
                  <w:tcW w:w="534" w:type="pct"/>
                  <w:noWrap w:val="0"/>
                  <w:vAlign w:val="center"/>
                </w:tcPr>
                <w:p w14:paraId="6D24001C">
                  <w:pPr>
                    <w:pStyle w:val="104"/>
                    <w:ind w:firstLine="0" w:firstLineChars="0"/>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cs="Times New Roman"/>
                      <w:color w:val="auto"/>
                      <w:highlight w:val="none"/>
                    </w:rPr>
                    <w:t>800</w:t>
                  </w:r>
                </w:p>
              </w:tc>
              <w:tc>
                <w:tcPr>
                  <w:tcW w:w="944" w:type="pct"/>
                  <w:noWrap w:val="0"/>
                  <w:vAlign w:val="center"/>
                </w:tcPr>
                <w:p w14:paraId="57BCECAA">
                  <w:pPr>
                    <w:pStyle w:val="104"/>
                    <w:ind w:firstLine="0" w:firstLineChars="0"/>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cs="Times New Roman"/>
                      <w:color w:val="auto"/>
                      <w:highlight w:val="none"/>
                    </w:rPr>
                    <w:t>4000</w:t>
                  </w:r>
                </w:p>
              </w:tc>
              <w:tc>
                <w:tcPr>
                  <w:tcW w:w="489" w:type="pct"/>
                  <w:noWrap w:val="0"/>
                  <w:vAlign w:val="center"/>
                </w:tcPr>
                <w:p w14:paraId="7C8B9A21">
                  <w:pPr>
                    <w:keepNext w:val="0"/>
                    <w:keepLines w:val="0"/>
                    <w:pageBreakBefore w:val="0"/>
                    <w:widowControl w:val="0"/>
                    <w:kinsoku/>
                    <w:wordWrap/>
                    <w:overflowPunct/>
                    <w:topLinePunct w:val="0"/>
                    <w:bidi w:val="0"/>
                    <w:snapToGrid/>
                    <w:spacing w:line="240" w:lineRule="auto"/>
                    <w:ind w:firstLine="105" w:firstLineChars="5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rPr>
                    <w:t>达标</w:t>
                  </w:r>
                </w:p>
              </w:tc>
              <w:tc>
                <w:tcPr>
                  <w:tcW w:w="1045" w:type="pct"/>
                  <w:noWrap w:val="0"/>
                  <w:vAlign w:val="center"/>
                </w:tcPr>
                <w:p w14:paraId="18D6C828">
                  <w:pPr>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rPr>
                    <w:t>4000</w:t>
                  </w:r>
                </w:p>
              </w:tc>
              <w:tc>
                <w:tcPr>
                  <w:tcW w:w="500" w:type="pct"/>
                  <w:noWrap w:val="0"/>
                  <w:vAlign w:val="center"/>
                </w:tcPr>
                <w:p w14:paraId="5A11B79D">
                  <w:pPr>
                    <w:pStyle w:val="104"/>
                    <w:ind w:firstLine="0" w:firstLineChars="0"/>
                    <w:rPr>
                      <w:rFonts w:hint="default" w:ascii="Times New Roman" w:hAnsi="Times New Roman" w:cs="Times New Roman"/>
                      <w:color w:val="auto"/>
                      <w:kern w:val="0"/>
                      <w:sz w:val="21"/>
                      <w:szCs w:val="24"/>
                      <w:highlight w:val="none"/>
                      <w:lang w:val="en-US" w:eastAsia="zh-CN" w:bidi="ar-SA"/>
                    </w:rPr>
                  </w:pPr>
                  <w:r>
                    <w:rPr>
                      <w:rFonts w:hint="default" w:ascii="Times New Roman" w:hAnsi="Times New Roman" w:cs="Times New Roman"/>
                      <w:color w:val="auto"/>
                      <w:highlight w:val="none"/>
                    </w:rPr>
                    <w:t>达标</w:t>
                  </w:r>
                </w:p>
              </w:tc>
            </w:tr>
          </w:tbl>
          <w:p w14:paraId="442C7248">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根据区域环境空气现状评价表可知，20</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年度</w:t>
            </w:r>
            <w:r>
              <w:rPr>
                <w:rFonts w:hint="default" w:ascii="Times New Roman" w:hAnsi="Times New Roman" w:eastAsia="宋体" w:cs="Times New Roman"/>
                <w:color w:val="auto"/>
                <w:sz w:val="24"/>
                <w:szCs w:val="24"/>
                <w:highlight w:val="none"/>
                <w:lang w:val="en-US" w:eastAsia="zh-CN"/>
              </w:rPr>
              <w:t>乌拉特中旗海流图镇</w:t>
            </w:r>
            <w:r>
              <w:rPr>
                <w:rFonts w:hint="default" w:ascii="Times New Roman" w:hAnsi="Times New Roman" w:eastAsia="宋体" w:cs="Times New Roman"/>
                <w:color w:val="auto"/>
                <w:sz w:val="24"/>
                <w:szCs w:val="24"/>
                <w:highlight w:val="none"/>
              </w:rPr>
              <w:t>环境空气质量综合评价达到《环境空气质量标准》（GB3095-2012）二级标准要求，</w:t>
            </w:r>
            <w:r>
              <w:rPr>
                <w:rFonts w:hint="default" w:ascii="Times New Roman" w:hAnsi="Times New Roman" w:eastAsia="宋体" w:cs="Times New Roman"/>
                <w:color w:val="auto"/>
                <w:sz w:val="24"/>
                <w:szCs w:val="24"/>
                <w:highlight w:val="none"/>
                <w:lang w:val="en-US" w:eastAsia="zh-CN"/>
              </w:rPr>
              <w:t>判定</w:t>
            </w:r>
            <w:r>
              <w:rPr>
                <w:rFonts w:hint="default" w:ascii="Times New Roman" w:hAnsi="Times New Roman" w:eastAsia="宋体" w:cs="Times New Roman"/>
                <w:color w:val="auto"/>
                <w:sz w:val="24"/>
                <w:szCs w:val="24"/>
                <w:highlight w:val="none"/>
              </w:rPr>
              <w:t>环境空气质量属于达标区域。</w:t>
            </w:r>
            <w:r>
              <w:rPr>
                <w:rFonts w:hint="eastAsia" w:ascii="Times New Roman" w:hAnsi="Times New Roman" w:eastAsia="宋体" w:cs="Times New Roman"/>
                <w:color w:val="auto"/>
                <w:sz w:val="24"/>
                <w:szCs w:val="24"/>
                <w:highlight w:val="none"/>
                <w:lang w:val="en-US" w:eastAsia="zh-CN"/>
              </w:rPr>
              <w:t>根据2026年3月1日实施的</w:t>
            </w:r>
            <w:r>
              <w:rPr>
                <w:rFonts w:hint="default" w:ascii="Times New Roman" w:hAnsi="Times New Roman" w:eastAsia="宋体" w:cs="Times New Roman"/>
                <w:color w:val="auto"/>
                <w:sz w:val="24"/>
                <w:szCs w:val="24"/>
                <w:highlight w:val="none"/>
              </w:rPr>
              <w:t>《环境空气质量标准》（GB3095-20</w:t>
            </w:r>
            <w:r>
              <w:rPr>
                <w:rFonts w:hint="eastAsia" w:ascii="Times New Roman" w:hAnsi="Times New Roman" w:eastAsia="宋体" w:cs="Times New Roman"/>
                <w:color w:val="auto"/>
                <w:sz w:val="24"/>
                <w:szCs w:val="24"/>
                <w:highlight w:val="none"/>
                <w:lang w:val="en-US" w:eastAsia="zh-CN"/>
              </w:rPr>
              <w:t>26</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w:t>
            </w:r>
            <w:r>
              <w:rPr>
                <w:rFonts w:hint="default"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年度</w:t>
            </w:r>
            <w:r>
              <w:rPr>
                <w:rFonts w:hint="eastAsia" w:ascii="Times New Roman" w:hAnsi="Times New Roman" w:eastAsia="宋体" w:cs="Times New Roman"/>
                <w:color w:val="auto"/>
                <w:sz w:val="24"/>
                <w:szCs w:val="24"/>
                <w:highlight w:val="none"/>
                <w:lang w:val="en-US" w:eastAsia="zh-CN"/>
              </w:rPr>
              <w:t>乌拉特中旗海流图镇</w:t>
            </w:r>
            <w:r>
              <w:rPr>
                <w:rFonts w:hint="default" w:ascii="Times New Roman" w:hAnsi="Times New Roman" w:eastAsia="宋体" w:cs="Times New Roman"/>
                <w:color w:val="auto"/>
                <w:sz w:val="24"/>
                <w:szCs w:val="24"/>
                <w:highlight w:val="none"/>
              </w:rPr>
              <w:t>环境空气质量达到《环境空气质量标准》（GB3095-20</w:t>
            </w:r>
            <w:r>
              <w:rPr>
                <w:rFonts w:hint="eastAsia" w:ascii="Times New Roman" w:hAnsi="Times New Roman" w:eastAsia="宋体" w:cs="Times New Roman"/>
                <w:color w:val="auto"/>
                <w:sz w:val="24"/>
                <w:szCs w:val="24"/>
                <w:highlight w:val="none"/>
                <w:lang w:val="en-US" w:eastAsia="zh-CN"/>
              </w:rPr>
              <w:t>26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 w:val="0"/>
                <w:bCs w:val="0"/>
                <w:color w:val="auto"/>
                <w:sz w:val="24"/>
                <w:szCs w:val="24"/>
                <w:highlight w:val="none"/>
                <w:lang w:val="en-US" w:eastAsia="zh-CN"/>
              </w:rPr>
              <w:t>过渡阶段浓度限值</w:t>
            </w:r>
            <w:r>
              <w:rPr>
                <w:rFonts w:hint="default" w:ascii="Times New Roman" w:hAnsi="Times New Roman" w:eastAsia="宋体" w:cs="Times New Roman"/>
                <w:color w:val="auto"/>
                <w:sz w:val="24"/>
                <w:szCs w:val="24"/>
                <w:highlight w:val="none"/>
              </w:rPr>
              <w:t>要求。</w:t>
            </w:r>
          </w:p>
          <w:p w14:paraId="26F26AE4">
            <w:pPr>
              <w:keepNext w:val="0"/>
              <w:keepLines w:val="0"/>
              <w:pageBreakBefore w:val="0"/>
              <w:widowControl w:val="0"/>
              <w:tabs>
                <w:tab w:val="left" w:pos="180"/>
              </w:tabs>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2.地下水环境质量现状</w:t>
            </w:r>
          </w:p>
          <w:p w14:paraId="1E6060F8">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为掌握项目区地下水环境质量现状，本项目引用《内蒙古太平矿业有限公司浩尧尔忽洞金矿年开采825万吨金矿石建设项目环境影响报告书》中地下水的监测数据，检测时间为2024年11月29日。</w:t>
            </w:r>
            <w:r>
              <w:rPr>
                <w:rFonts w:hint="eastAsia" w:ascii="Times New Roman" w:hAnsi="Times New Roman" w:eastAsia="宋体" w:cs="Times New Roman"/>
                <w:color w:val="auto"/>
                <w:sz w:val="24"/>
                <w:szCs w:val="24"/>
                <w:highlight w:val="none"/>
                <w:lang w:val="en-US" w:eastAsia="zh-CN"/>
              </w:rPr>
              <w:t>监测点位</w:t>
            </w:r>
            <w:r>
              <w:rPr>
                <w:rFonts w:hint="default" w:ascii="Times New Roman" w:hAnsi="Times New Roman" w:eastAsia="宋体" w:cs="Times New Roman"/>
                <w:color w:val="auto"/>
                <w:sz w:val="24"/>
                <w:szCs w:val="24"/>
                <w:highlight w:val="none"/>
                <w:lang w:val="en-US" w:eastAsia="zh-CN"/>
              </w:rPr>
              <w:t>情况见下表，检测结果统计表见下表。</w:t>
            </w:r>
          </w:p>
          <w:p w14:paraId="2B226EB2">
            <w:pPr>
              <w:keepNext w:val="0"/>
              <w:keepLines w:val="0"/>
              <w:widowControl w:val="0"/>
              <w:suppressLineNumbers w:val="0"/>
              <w:spacing w:before="0" w:beforeAutospacing="0" w:after="0" w:afterAutospacing="0"/>
              <w:ind w:right="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表3-</w:t>
            </w:r>
            <w:r>
              <w:rPr>
                <w:rFonts w:hint="eastAsia" w:ascii="Times New Roman" w:hAnsi="Times New Roman" w:eastAsia="宋体" w:cs="Times New Roman"/>
                <w:b/>
                <w:bCs/>
                <w:color w:val="auto"/>
                <w:lang w:val="en-US" w:eastAsia="zh-CN"/>
              </w:rPr>
              <w:t>2</w:t>
            </w:r>
            <w:r>
              <w:rPr>
                <w:rFonts w:hint="default" w:ascii="Times New Roman" w:hAnsi="Times New Roman" w:eastAsia="宋体" w:cs="Times New Roman"/>
                <w:b/>
                <w:bCs/>
                <w:color w:val="auto"/>
                <w:lang w:val="en-US" w:eastAsia="zh-CN"/>
              </w:rPr>
              <w:t xml:space="preserve"> 地下水环境质量现状监测点位基本信息表（引用）</w:t>
            </w:r>
          </w:p>
          <w:tbl>
            <w:tblPr>
              <w:tblStyle w:val="77"/>
              <w:tblW w:w="4998" w:type="pct"/>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881"/>
              <w:gridCol w:w="1679"/>
              <w:gridCol w:w="4399"/>
              <w:gridCol w:w="749"/>
              <w:gridCol w:w="711"/>
            </w:tblGrid>
            <w:tr w14:paraId="6310F80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523" w:type="pct"/>
                  <w:tcBorders>
                    <w:tl2br w:val="nil"/>
                    <w:tr2bl w:val="nil"/>
                  </w:tcBorders>
                  <w:noWrap w:val="0"/>
                  <w:vAlign w:val="center"/>
                </w:tcPr>
                <w:p w14:paraId="213CF045">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检测</w:t>
                  </w:r>
                  <w:r>
                    <w:rPr>
                      <w:rFonts w:hint="default" w:ascii="Times New Roman" w:hAnsi="Times New Roman" w:eastAsia="宋体" w:cs="Times New Roman"/>
                      <w:b/>
                      <w:bCs/>
                      <w:color w:val="auto"/>
                      <w:spacing w:val="-5"/>
                      <w:sz w:val="21"/>
                      <w:szCs w:val="21"/>
                    </w:rPr>
                    <w:t>点名</w:t>
                  </w:r>
                  <w:r>
                    <w:rPr>
                      <w:rFonts w:hint="default" w:ascii="Times New Roman" w:hAnsi="Times New Roman" w:eastAsia="宋体" w:cs="Times New Roman"/>
                      <w:b/>
                      <w:bCs/>
                      <w:color w:val="auto"/>
                      <w:sz w:val="21"/>
                      <w:szCs w:val="21"/>
                    </w:rPr>
                    <w:t>称</w:t>
                  </w:r>
                </w:p>
              </w:tc>
              <w:tc>
                <w:tcPr>
                  <w:tcW w:w="997" w:type="pct"/>
                  <w:tcBorders>
                    <w:tl2br w:val="nil"/>
                    <w:tr2bl w:val="nil"/>
                  </w:tcBorders>
                  <w:noWrap w:val="0"/>
                  <w:vAlign w:val="center"/>
                </w:tcPr>
                <w:p w14:paraId="34ADE8A5">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1"/>
                      <w:sz w:val="21"/>
                      <w:szCs w:val="21"/>
                    </w:rPr>
                    <w:t>检测点坐标</w:t>
                  </w:r>
                </w:p>
              </w:tc>
              <w:tc>
                <w:tcPr>
                  <w:tcW w:w="2612" w:type="pct"/>
                  <w:tcBorders>
                    <w:tl2br w:val="nil"/>
                    <w:tr2bl w:val="nil"/>
                  </w:tcBorders>
                  <w:noWrap w:val="0"/>
                  <w:vAlign w:val="center"/>
                </w:tcPr>
                <w:p w14:paraId="6AC8A588">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1"/>
                      <w:sz w:val="21"/>
                      <w:szCs w:val="21"/>
                    </w:rPr>
                    <w:t>监测因子</w:t>
                  </w:r>
                </w:p>
              </w:tc>
              <w:tc>
                <w:tcPr>
                  <w:tcW w:w="445" w:type="pct"/>
                  <w:tcBorders>
                    <w:tl2br w:val="nil"/>
                    <w:tr2bl w:val="nil"/>
                  </w:tcBorders>
                  <w:noWrap w:val="0"/>
                  <w:vAlign w:val="center"/>
                </w:tcPr>
                <w:p w14:paraId="73BBDC54">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相对厂址方位</w:t>
                  </w:r>
                </w:p>
              </w:tc>
              <w:tc>
                <w:tcPr>
                  <w:tcW w:w="422" w:type="pct"/>
                  <w:tcBorders>
                    <w:tl2br w:val="nil"/>
                    <w:tr2bl w:val="nil"/>
                  </w:tcBorders>
                  <w:noWrap w:val="0"/>
                  <w:vAlign w:val="center"/>
                </w:tcPr>
                <w:p w14:paraId="28640BB4">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相对</w:t>
                  </w:r>
                  <w:r>
                    <w:rPr>
                      <w:rFonts w:hint="default" w:ascii="Times New Roman" w:hAnsi="Times New Roman" w:eastAsia="宋体" w:cs="Times New Roman"/>
                      <w:b/>
                      <w:bCs/>
                      <w:color w:val="auto"/>
                      <w:spacing w:val="-3"/>
                      <w:sz w:val="21"/>
                      <w:szCs w:val="21"/>
                    </w:rPr>
                    <w:t>厂界</w:t>
                  </w:r>
                  <w:r>
                    <w:rPr>
                      <w:rFonts w:hint="default" w:ascii="Times New Roman" w:hAnsi="Times New Roman" w:eastAsia="宋体" w:cs="Times New Roman"/>
                      <w:b/>
                      <w:bCs/>
                      <w:color w:val="auto"/>
                      <w:spacing w:val="-2"/>
                      <w:sz w:val="21"/>
                      <w:szCs w:val="21"/>
                    </w:rPr>
                    <w:t>距离/km</w:t>
                  </w:r>
                </w:p>
              </w:tc>
            </w:tr>
            <w:tr w14:paraId="5416CD2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523" w:type="pct"/>
                  <w:tcBorders>
                    <w:tl2br w:val="nil"/>
                    <w:tr2bl w:val="nil"/>
                  </w:tcBorders>
                  <w:noWrap w:val="0"/>
                  <w:vAlign w:val="center"/>
                </w:tcPr>
                <w:p w14:paraId="5CCE842A">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W4</w:t>
                  </w:r>
                </w:p>
              </w:tc>
              <w:tc>
                <w:tcPr>
                  <w:tcW w:w="997" w:type="pct"/>
                  <w:tcBorders>
                    <w:tl2br w:val="nil"/>
                    <w:tr2bl w:val="nil"/>
                  </w:tcBorders>
                  <w:noWrap w:val="0"/>
                  <w:vAlign w:val="center"/>
                </w:tcPr>
                <w:p w14:paraId="17C280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E</w:t>
                  </w:r>
                  <w:r>
                    <w:rPr>
                      <w:rFonts w:hint="default" w:ascii="Times New Roman" w:hAnsi="Times New Roman" w:cs="Times New Roman"/>
                      <w:color w:val="auto"/>
                      <w:highlight w:val="none"/>
                    </w:rPr>
                    <w:t>109°15′24.12″</w:t>
                  </w:r>
                </w:p>
                <w:p w14:paraId="584270F3">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N</w:t>
                  </w:r>
                  <w:r>
                    <w:rPr>
                      <w:rFonts w:hint="default" w:ascii="Times New Roman" w:hAnsi="Times New Roman" w:cs="Times New Roman"/>
                      <w:color w:val="auto"/>
                      <w:sz w:val="21"/>
                      <w:szCs w:val="21"/>
                      <w:highlight w:val="none"/>
                    </w:rPr>
                    <w:t>41°38′16.65″</w:t>
                  </w:r>
                </w:p>
              </w:tc>
              <w:tc>
                <w:tcPr>
                  <w:tcW w:w="2612" w:type="pct"/>
                  <w:tcBorders>
                    <w:tl2br w:val="nil"/>
                    <w:tr2bl w:val="nil"/>
                  </w:tcBorders>
                  <w:noWrap w:val="0"/>
                  <w:vAlign w:val="center"/>
                </w:tcPr>
                <w:p w14:paraId="26441BBD">
                  <w:pPr>
                    <w:rPr>
                      <w:rFonts w:hint="default" w:ascii="Times New Roman" w:hAnsi="Times New Roman" w:cs="Times New Roman"/>
                      <w:color w:val="auto"/>
                      <w:highlight w:val="none"/>
                    </w:rPr>
                  </w:pP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p>
                <w:p w14:paraId="60FAF545">
                  <w:pPr>
                    <w:ind w:firstLine="480"/>
                    <w:rPr>
                      <w:rFonts w:hint="default" w:ascii="Times New Roman" w:hAnsi="Times New Roman" w:eastAsia="宋体" w:cs="Times New Roman"/>
                      <w:color w:val="auto"/>
                      <w:sz w:val="21"/>
                      <w:szCs w:val="21"/>
                    </w:rPr>
                  </w:pPr>
                  <w:r>
                    <w:rPr>
                      <w:rFonts w:hint="default" w:ascii="Times New Roman" w:hAnsi="Times New Roman" w:cs="Times New Roman"/>
                      <w:color w:val="auto"/>
                      <w:highlight w:val="none"/>
                    </w:rPr>
                    <w:t>色度、浊度、臭和味、肉眼可见物、</w:t>
                  </w:r>
                  <w:r>
                    <w:rPr>
                      <w:rFonts w:hint="default" w:ascii="Times New Roman" w:hAnsi="Times New Roman" w:cs="Times New Roman"/>
                      <w:color w:val="auto"/>
                      <w:highlight w:val="none"/>
                      <w:lang w:val="en-US" w:eastAsia="zh-CN"/>
                    </w:rPr>
                    <w:t>p</w:t>
                  </w:r>
                  <w:r>
                    <w:rPr>
                      <w:rFonts w:hint="default" w:ascii="Times New Roman" w:hAnsi="Times New Roman" w:cs="Times New Roman"/>
                      <w:color w:val="auto"/>
                      <w:highlight w:val="none"/>
                    </w:rPr>
                    <w:t>H、总硬度、溶解性总固体、铁、锰、铜、锌、铝、挥发性酚类、阴离子表面活性剂（LAS）、耗氧量（COD</w:t>
                  </w:r>
                  <w:r>
                    <w:rPr>
                      <w:rFonts w:hint="default" w:ascii="Times New Roman" w:hAnsi="Times New Roman" w:cs="Times New Roman"/>
                      <w:color w:val="auto"/>
                      <w:highlight w:val="none"/>
                      <w:vertAlign w:val="subscript"/>
                    </w:rPr>
                    <w:t>Mn</w:t>
                  </w:r>
                  <w:r>
                    <w:rPr>
                      <w:rFonts w:hint="default" w:ascii="Times New Roman" w:hAnsi="Times New Roman" w:cs="Times New Roman"/>
                      <w:color w:val="auto"/>
                      <w:highlight w:val="none"/>
                    </w:rPr>
                    <w:t>法，以O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计）、氨氮、硫化物、总大肠菌群、细菌总数、亚硝酸盐、硝酸盐、氰化物、氟化物、碘化物、汞、砷、硒、镉、铬（六价）、铅、三氯甲烷、四氯化碳、苯、甲苯。</w:t>
                  </w:r>
                </w:p>
              </w:tc>
              <w:tc>
                <w:tcPr>
                  <w:tcW w:w="445" w:type="pct"/>
                  <w:tcBorders>
                    <w:tl2br w:val="nil"/>
                    <w:tr2bl w:val="nil"/>
                  </w:tcBorders>
                  <w:noWrap w:val="0"/>
                  <w:vAlign w:val="center"/>
                </w:tcPr>
                <w:p w14:paraId="500C1C62">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1"/>
                      <w:sz w:val="21"/>
                      <w:szCs w:val="21"/>
                      <w:lang w:val="en-US" w:eastAsia="zh-CN"/>
                    </w:rPr>
                    <w:t>WS</w:t>
                  </w:r>
                </w:p>
              </w:tc>
              <w:tc>
                <w:tcPr>
                  <w:tcW w:w="422" w:type="pct"/>
                  <w:tcBorders>
                    <w:tl2br w:val="nil"/>
                    <w:tr2bl w:val="nil"/>
                  </w:tcBorders>
                  <w:noWrap w:val="0"/>
                  <w:vAlign w:val="center"/>
                </w:tcPr>
                <w:p w14:paraId="1756ED8A">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2"/>
                      <w:sz w:val="21"/>
                      <w:szCs w:val="21"/>
                      <w:lang w:val="en-US" w:eastAsia="zh-CN"/>
                    </w:rPr>
                    <w:t>3.2</w:t>
                  </w:r>
                </w:p>
              </w:tc>
            </w:tr>
          </w:tbl>
          <w:p w14:paraId="0B21F24D">
            <w:pPr>
              <w:ind w:firstLine="482"/>
              <w:jc w:val="center"/>
              <w:rPr>
                <w:rFonts w:hint="default" w:ascii="Times New Roman" w:hAnsi="Times New Roman" w:cs="Times New Roman"/>
                <w:b/>
                <w:bCs/>
                <w:color w:val="auto"/>
                <w:sz w:val="21"/>
                <w:szCs w:val="21"/>
                <w:highlight w:val="none"/>
                <w:lang w:bidi="mn-Mong-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3-</w:t>
            </w:r>
            <w:r>
              <w:rPr>
                <w:rFonts w:hint="eastAsia"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color w:val="auto"/>
                <w:highlight w:val="none"/>
              </w:rPr>
              <w:t>地下水水质监测结果一览表</w:t>
            </w:r>
          </w:p>
          <w:tbl>
            <w:tblPr>
              <w:tblStyle w:val="25"/>
              <w:tblW w:w="500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
            <w:tblGrid>
              <w:gridCol w:w="482"/>
              <w:gridCol w:w="2334"/>
              <w:gridCol w:w="863"/>
              <w:gridCol w:w="1124"/>
              <w:gridCol w:w="1259"/>
              <w:gridCol w:w="1023"/>
              <w:gridCol w:w="1339"/>
            </w:tblGrid>
            <w:tr w14:paraId="628B25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vMerge w:val="restart"/>
                  <w:noWrap/>
                  <w:vAlign w:val="center"/>
                </w:tcPr>
                <w:p w14:paraId="0AC7C89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序号</w:t>
                  </w:r>
                </w:p>
              </w:tc>
              <w:tc>
                <w:tcPr>
                  <w:tcW w:w="1385" w:type="pct"/>
                  <w:vMerge w:val="restart"/>
                  <w:noWrap/>
                  <w:vAlign w:val="center"/>
                </w:tcPr>
                <w:p w14:paraId="7101C6E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检测因子</w:t>
                  </w:r>
                </w:p>
              </w:tc>
              <w:tc>
                <w:tcPr>
                  <w:tcW w:w="512" w:type="pct"/>
                  <w:vMerge w:val="restart"/>
                  <w:noWrap/>
                  <w:vAlign w:val="center"/>
                </w:tcPr>
                <w:p w14:paraId="2D7E86A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单位</w:t>
                  </w:r>
                </w:p>
              </w:tc>
              <w:tc>
                <w:tcPr>
                  <w:tcW w:w="2021" w:type="pct"/>
                  <w:gridSpan w:val="3"/>
                  <w:noWrap/>
                  <w:vAlign w:val="center"/>
                </w:tcPr>
                <w:p w14:paraId="4C7AC8C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检测结果</w:t>
                  </w:r>
                </w:p>
              </w:tc>
              <w:tc>
                <w:tcPr>
                  <w:tcW w:w="794" w:type="pct"/>
                  <w:vMerge w:val="restart"/>
                  <w:noWrap/>
                  <w:vAlign w:val="center"/>
                </w:tcPr>
                <w:p w14:paraId="7837E4E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标准限值</w:t>
                  </w:r>
                </w:p>
              </w:tc>
            </w:tr>
            <w:tr w14:paraId="33EE3E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vMerge w:val="continue"/>
                  <w:noWrap/>
                  <w:vAlign w:val="center"/>
                </w:tcPr>
                <w:p w14:paraId="49DAB6FA">
                  <w:pPr>
                    <w:spacing w:line="0" w:lineRule="atLeast"/>
                    <w:ind w:firstLine="0" w:firstLineChars="0"/>
                    <w:jc w:val="center"/>
                    <w:rPr>
                      <w:rFonts w:hint="default" w:ascii="Times New Roman" w:hAnsi="Times New Roman" w:cs="Times New Roman"/>
                      <w:color w:val="auto"/>
                      <w:spacing w:val="-10"/>
                      <w:sz w:val="21"/>
                      <w:szCs w:val="21"/>
                      <w:highlight w:val="none"/>
                    </w:rPr>
                  </w:pPr>
                </w:p>
              </w:tc>
              <w:tc>
                <w:tcPr>
                  <w:tcW w:w="1385" w:type="pct"/>
                  <w:vMerge w:val="continue"/>
                  <w:noWrap/>
                  <w:vAlign w:val="center"/>
                </w:tcPr>
                <w:p w14:paraId="44D1F1E2">
                  <w:pPr>
                    <w:spacing w:line="0" w:lineRule="atLeast"/>
                    <w:ind w:firstLine="0" w:firstLineChars="0"/>
                    <w:jc w:val="center"/>
                    <w:rPr>
                      <w:rFonts w:hint="default" w:ascii="Times New Roman" w:hAnsi="Times New Roman" w:cs="Times New Roman"/>
                      <w:color w:val="auto"/>
                      <w:spacing w:val="-10"/>
                      <w:sz w:val="21"/>
                      <w:szCs w:val="21"/>
                      <w:highlight w:val="none"/>
                    </w:rPr>
                  </w:pPr>
                </w:p>
              </w:tc>
              <w:tc>
                <w:tcPr>
                  <w:tcW w:w="512" w:type="pct"/>
                  <w:vMerge w:val="continue"/>
                  <w:noWrap/>
                  <w:vAlign w:val="center"/>
                </w:tcPr>
                <w:p w14:paraId="4D3B3029">
                  <w:pPr>
                    <w:spacing w:line="0" w:lineRule="atLeast"/>
                    <w:ind w:firstLine="0" w:firstLineChars="0"/>
                    <w:jc w:val="center"/>
                    <w:rPr>
                      <w:rFonts w:hint="default" w:ascii="Times New Roman" w:hAnsi="Times New Roman" w:cs="Times New Roman"/>
                      <w:color w:val="auto"/>
                      <w:spacing w:val="-10"/>
                      <w:sz w:val="21"/>
                      <w:szCs w:val="21"/>
                      <w:highlight w:val="none"/>
                    </w:rPr>
                  </w:pPr>
                </w:p>
              </w:tc>
              <w:tc>
                <w:tcPr>
                  <w:tcW w:w="667" w:type="pct"/>
                  <w:noWrap/>
                  <w:vAlign w:val="center"/>
                </w:tcPr>
                <w:p w14:paraId="660258E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W1</w:t>
                  </w:r>
                </w:p>
              </w:tc>
              <w:tc>
                <w:tcPr>
                  <w:tcW w:w="747" w:type="pct"/>
                  <w:noWrap/>
                  <w:vAlign w:val="center"/>
                </w:tcPr>
                <w:p w14:paraId="6FEB69C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W4</w:t>
                  </w:r>
                </w:p>
              </w:tc>
              <w:tc>
                <w:tcPr>
                  <w:tcW w:w="606" w:type="pct"/>
                  <w:noWrap/>
                  <w:vAlign w:val="center"/>
                </w:tcPr>
                <w:p w14:paraId="4F367DE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W6</w:t>
                  </w:r>
                </w:p>
              </w:tc>
              <w:tc>
                <w:tcPr>
                  <w:tcW w:w="794" w:type="pct"/>
                  <w:vMerge w:val="continue"/>
                  <w:noWrap/>
                  <w:vAlign w:val="center"/>
                </w:tcPr>
                <w:p w14:paraId="2F04D633">
                  <w:pPr>
                    <w:spacing w:line="0" w:lineRule="atLeast"/>
                    <w:ind w:firstLine="0" w:firstLineChars="0"/>
                    <w:jc w:val="center"/>
                    <w:rPr>
                      <w:rFonts w:hint="default" w:ascii="Times New Roman" w:hAnsi="Times New Roman" w:cs="Times New Roman"/>
                      <w:color w:val="auto"/>
                      <w:spacing w:val="-10"/>
                      <w:sz w:val="21"/>
                      <w:szCs w:val="21"/>
                      <w:highlight w:val="none"/>
                    </w:rPr>
                  </w:pPr>
                </w:p>
              </w:tc>
            </w:tr>
            <w:tr w14:paraId="060A0F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31D4FE2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w:t>
                  </w:r>
                </w:p>
              </w:tc>
              <w:tc>
                <w:tcPr>
                  <w:tcW w:w="1385" w:type="pct"/>
                  <w:noWrap/>
                  <w:vAlign w:val="center"/>
                </w:tcPr>
                <w:p w14:paraId="4280E0C1">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钾</w:t>
                  </w:r>
                </w:p>
              </w:tc>
              <w:tc>
                <w:tcPr>
                  <w:tcW w:w="512" w:type="pct"/>
                  <w:noWrap/>
                  <w:vAlign w:val="center"/>
                </w:tcPr>
                <w:p w14:paraId="1EDCA621">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500FB50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4.86</w:t>
                  </w:r>
                </w:p>
              </w:tc>
              <w:tc>
                <w:tcPr>
                  <w:tcW w:w="747" w:type="pct"/>
                  <w:noWrap/>
                  <w:vAlign w:val="center"/>
                </w:tcPr>
                <w:p w14:paraId="275EF0B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4.89</w:t>
                  </w:r>
                </w:p>
              </w:tc>
              <w:tc>
                <w:tcPr>
                  <w:tcW w:w="606" w:type="pct"/>
                  <w:noWrap/>
                  <w:vAlign w:val="center"/>
                </w:tcPr>
                <w:p w14:paraId="4C827B7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4.88</w:t>
                  </w:r>
                </w:p>
              </w:tc>
              <w:tc>
                <w:tcPr>
                  <w:tcW w:w="794" w:type="pct"/>
                  <w:noWrap/>
                  <w:vAlign w:val="center"/>
                </w:tcPr>
                <w:p w14:paraId="60F4E90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w:t>
                  </w:r>
                </w:p>
              </w:tc>
            </w:tr>
            <w:tr w14:paraId="4C8B4C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2851B6C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w:t>
                  </w:r>
                </w:p>
              </w:tc>
              <w:tc>
                <w:tcPr>
                  <w:tcW w:w="1385" w:type="pct"/>
                  <w:noWrap/>
                  <w:vAlign w:val="center"/>
                </w:tcPr>
                <w:p w14:paraId="07BD7C1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钠</w:t>
                  </w:r>
                </w:p>
              </w:tc>
              <w:tc>
                <w:tcPr>
                  <w:tcW w:w="512" w:type="pct"/>
                  <w:noWrap/>
                  <w:vAlign w:val="center"/>
                </w:tcPr>
                <w:p w14:paraId="11D2994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0A34636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13.7</w:t>
                  </w:r>
                </w:p>
              </w:tc>
              <w:tc>
                <w:tcPr>
                  <w:tcW w:w="747" w:type="pct"/>
                  <w:noWrap/>
                  <w:vAlign w:val="center"/>
                </w:tcPr>
                <w:p w14:paraId="34094DF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32.0</w:t>
                  </w:r>
                </w:p>
              </w:tc>
              <w:tc>
                <w:tcPr>
                  <w:tcW w:w="606" w:type="pct"/>
                  <w:noWrap/>
                  <w:vAlign w:val="center"/>
                </w:tcPr>
                <w:p w14:paraId="73E8175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31.6</w:t>
                  </w:r>
                </w:p>
              </w:tc>
              <w:tc>
                <w:tcPr>
                  <w:tcW w:w="794" w:type="pct"/>
                  <w:noWrap/>
                  <w:vAlign w:val="center"/>
                </w:tcPr>
                <w:p w14:paraId="1DBD98D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200mg/L</w:t>
                  </w:r>
                </w:p>
              </w:tc>
            </w:tr>
            <w:tr w14:paraId="75D5B7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6143D2B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w:t>
                  </w:r>
                </w:p>
              </w:tc>
              <w:tc>
                <w:tcPr>
                  <w:tcW w:w="1385" w:type="pct"/>
                  <w:noWrap/>
                  <w:vAlign w:val="center"/>
                </w:tcPr>
                <w:p w14:paraId="72E0CDA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钙</w:t>
                  </w:r>
                </w:p>
              </w:tc>
              <w:tc>
                <w:tcPr>
                  <w:tcW w:w="512" w:type="pct"/>
                  <w:noWrap/>
                  <w:vAlign w:val="center"/>
                </w:tcPr>
                <w:p w14:paraId="3157EB2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41318D7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66.2</w:t>
                  </w:r>
                </w:p>
              </w:tc>
              <w:tc>
                <w:tcPr>
                  <w:tcW w:w="747" w:type="pct"/>
                  <w:noWrap/>
                  <w:vAlign w:val="center"/>
                </w:tcPr>
                <w:p w14:paraId="7FB1BC1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52.9</w:t>
                  </w:r>
                </w:p>
              </w:tc>
              <w:tc>
                <w:tcPr>
                  <w:tcW w:w="606" w:type="pct"/>
                  <w:noWrap/>
                  <w:vAlign w:val="center"/>
                </w:tcPr>
                <w:p w14:paraId="01105BA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52.4</w:t>
                  </w:r>
                </w:p>
              </w:tc>
              <w:tc>
                <w:tcPr>
                  <w:tcW w:w="794" w:type="pct"/>
                  <w:noWrap/>
                  <w:vAlign w:val="center"/>
                </w:tcPr>
                <w:p w14:paraId="1F889F8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w:t>
                  </w:r>
                </w:p>
              </w:tc>
            </w:tr>
            <w:tr w14:paraId="680EFC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6B3EBFE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w:t>
                  </w:r>
                </w:p>
              </w:tc>
              <w:tc>
                <w:tcPr>
                  <w:tcW w:w="1385" w:type="pct"/>
                  <w:noWrap/>
                  <w:vAlign w:val="center"/>
                </w:tcPr>
                <w:p w14:paraId="1F48A0F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镁</w:t>
                  </w:r>
                </w:p>
              </w:tc>
              <w:tc>
                <w:tcPr>
                  <w:tcW w:w="512" w:type="pct"/>
                  <w:noWrap/>
                  <w:vAlign w:val="center"/>
                </w:tcPr>
                <w:p w14:paraId="17A618D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07EC0EA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9.83</w:t>
                  </w:r>
                </w:p>
              </w:tc>
              <w:tc>
                <w:tcPr>
                  <w:tcW w:w="747" w:type="pct"/>
                  <w:noWrap/>
                  <w:vAlign w:val="center"/>
                </w:tcPr>
                <w:p w14:paraId="52BB59E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12.9</w:t>
                  </w:r>
                </w:p>
              </w:tc>
              <w:tc>
                <w:tcPr>
                  <w:tcW w:w="606" w:type="pct"/>
                  <w:noWrap/>
                  <w:vAlign w:val="center"/>
                </w:tcPr>
                <w:p w14:paraId="5C3C1A7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12.8</w:t>
                  </w:r>
                </w:p>
              </w:tc>
              <w:tc>
                <w:tcPr>
                  <w:tcW w:w="794" w:type="pct"/>
                  <w:noWrap/>
                  <w:vAlign w:val="center"/>
                </w:tcPr>
                <w:p w14:paraId="2301398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w:t>
                  </w:r>
                </w:p>
              </w:tc>
            </w:tr>
            <w:tr w14:paraId="5F3E5D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47BD9F1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w:t>
                  </w:r>
                </w:p>
              </w:tc>
              <w:tc>
                <w:tcPr>
                  <w:tcW w:w="1385" w:type="pct"/>
                  <w:noWrap/>
                  <w:vAlign w:val="center"/>
                </w:tcPr>
                <w:p w14:paraId="3C38E9B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铅</w:t>
                  </w:r>
                </w:p>
              </w:tc>
              <w:tc>
                <w:tcPr>
                  <w:tcW w:w="512" w:type="pct"/>
                  <w:noWrap/>
                  <w:vAlign w:val="center"/>
                </w:tcPr>
                <w:p w14:paraId="0389E17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5F81605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2.5×10</w:t>
                  </w:r>
                  <w:r>
                    <w:rPr>
                      <w:rFonts w:hint="default" w:ascii="Times New Roman" w:hAnsi="Times New Roman" w:cs="Times New Roman"/>
                      <w:color w:val="auto"/>
                      <w:spacing w:val="-10"/>
                      <w:sz w:val="21"/>
                      <w:szCs w:val="21"/>
                      <w:highlight w:val="none"/>
                      <w:vertAlign w:val="superscript"/>
                    </w:rPr>
                    <w:t>-3</w:t>
                  </w:r>
                  <w:r>
                    <w:rPr>
                      <w:rFonts w:hint="default" w:ascii="Times New Roman" w:hAnsi="Times New Roman" w:cs="Times New Roman"/>
                      <w:color w:val="auto"/>
                      <w:spacing w:val="-10"/>
                      <w:sz w:val="21"/>
                      <w:szCs w:val="21"/>
                      <w:highlight w:val="none"/>
                    </w:rPr>
                    <w:t>L</w:t>
                  </w:r>
                </w:p>
              </w:tc>
              <w:tc>
                <w:tcPr>
                  <w:tcW w:w="747" w:type="pct"/>
                  <w:noWrap/>
                  <w:vAlign w:val="center"/>
                </w:tcPr>
                <w:p w14:paraId="6C68C6B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2.5×10</w:t>
                  </w:r>
                  <w:r>
                    <w:rPr>
                      <w:rFonts w:hint="default" w:ascii="Times New Roman" w:hAnsi="Times New Roman" w:cs="Times New Roman"/>
                      <w:color w:val="auto"/>
                      <w:spacing w:val="-10"/>
                      <w:sz w:val="21"/>
                      <w:szCs w:val="21"/>
                      <w:highlight w:val="none"/>
                      <w:vertAlign w:val="superscript"/>
                    </w:rPr>
                    <w:t>-3</w:t>
                  </w:r>
                  <w:r>
                    <w:rPr>
                      <w:rFonts w:hint="default" w:ascii="Times New Roman" w:hAnsi="Times New Roman" w:cs="Times New Roman"/>
                      <w:color w:val="auto"/>
                      <w:spacing w:val="-10"/>
                      <w:sz w:val="21"/>
                      <w:szCs w:val="21"/>
                      <w:highlight w:val="none"/>
                    </w:rPr>
                    <w:t>L</w:t>
                  </w:r>
                </w:p>
              </w:tc>
              <w:tc>
                <w:tcPr>
                  <w:tcW w:w="606" w:type="pct"/>
                  <w:noWrap/>
                  <w:vAlign w:val="center"/>
                </w:tcPr>
                <w:p w14:paraId="0DE02EA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2.5×10</w:t>
                  </w:r>
                  <w:r>
                    <w:rPr>
                      <w:rFonts w:hint="default" w:ascii="Times New Roman" w:hAnsi="Times New Roman" w:cs="Times New Roman"/>
                      <w:color w:val="auto"/>
                      <w:spacing w:val="-10"/>
                      <w:sz w:val="21"/>
                      <w:szCs w:val="21"/>
                      <w:highlight w:val="none"/>
                      <w:vertAlign w:val="superscript"/>
                    </w:rPr>
                    <w:t>-3</w:t>
                  </w:r>
                  <w:r>
                    <w:rPr>
                      <w:rFonts w:hint="default" w:ascii="Times New Roman" w:hAnsi="Times New Roman" w:cs="Times New Roman"/>
                      <w:color w:val="auto"/>
                      <w:spacing w:val="-10"/>
                      <w:sz w:val="21"/>
                      <w:szCs w:val="21"/>
                      <w:highlight w:val="none"/>
                    </w:rPr>
                    <w:t>L</w:t>
                  </w:r>
                </w:p>
              </w:tc>
              <w:tc>
                <w:tcPr>
                  <w:tcW w:w="794" w:type="pct"/>
                  <w:noWrap/>
                  <w:vAlign w:val="center"/>
                </w:tcPr>
                <w:p w14:paraId="2DBB5FD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0.01mg/L</w:t>
                  </w:r>
                </w:p>
              </w:tc>
            </w:tr>
            <w:tr w14:paraId="1297DD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13A5B5C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6</w:t>
                  </w:r>
                </w:p>
              </w:tc>
              <w:tc>
                <w:tcPr>
                  <w:tcW w:w="1385" w:type="pct"/>
                  <w:noWrap/>
                  <w:vAlign w:val="center"/>
                </w:tcPr>
                <w:p w14:paraId="491A2F9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镉</w:t>
                  </w:r>
                </w:p>
              </w:tc>
              <w:tc>
                <w:tcPr>
                  <w:tcW w:w="512" w:type="pct"/>
                  <w:noWrap/>
                  <w:vAlign w:val="center"/>
                </w:tcPr>
                <w:p w14:paraId="2880D98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6B7CD29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5×10</w:t>
                  </w:r>
                  <w:r>
                    <w:rPr>
                      <w:rFonts w:hint="default" w:ascii="Times New Roman" w:hAnsi="Times New Roman" w:cs="Times New Roman"/>
                      <w:color w:val="auto"/>
                      <w:spacing w:val="-10"/>
                      <w:sz w:val="21"/>
                      <w:szCs w:val="21"/>
                      <w:highlight w:val="none"/>
                      <w:vertAlign w:val="superscript"/>
                    </w:rPr>
                    <w:t>-4</w:t>
                  </w:r>
                  <w:r>
                    <w:rPr>
                      <w:rFonts w:hint="default" w:ascii="Times New Roman" w:hAnsi="Times New Roman" w:cs="Times New Roman"/>
                      <w:color w:val="auto"/>
                      <w:spacing w:val="-10"/>
                      <w:sz w:val="21"/>
                      <w:szCs w:val="21"/>
                      <w:highlight w:val="none"/>
                    </w:rPr>
                    <w:t>L</w:t>
                  </w:r>
                </w:p>
              </w:tc>
              <w:tc>
                <w:tcPr>
                  <w:tcW w:w="747" w:type="pct"/>
                  <w:noWrap/>
                  <w:vAlign w:val="center"/>
                </w:tcPr>
                <w:p w14:paraId="343ADE9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5×10</w:t>
                  </w:r>
                  <w:r>
                    <w:rPr>
                      <w:rFonts w:hint="default" w:ascii="Times New Roman" w:hAnsi="Times New Roman" w:cs="Times New Roman"/>
                      <w:color w:val="auto"/>
                      <w:spacing w:val="-10"/>
                      <w:sz w:val="21"/>
                      <w:szCs w:val="21"/>
                      <w:highlight w:val="none"/>
                      <w:vertAlign w:val="superscript"/>
                    </w:rPr>
                    <w:t>-4</w:t>
                  </w:r>
                  <w:r>
                    <w:rPr>
                      <w:rFonts w:hint="default" w:ascii="Times New Roman" w:hAnsi="Times New Roman" w:cs="Times New Roman"/>
                      <w:color w:val="auto"/>
                      <w:spacing w:val="-10"/>
                      <w:sz w:val="21"/>
                      <w:szCs w:val="21"/>
                      <w:highlight w:val="none"/>
                    </w:rPr>
                    <w:t>L</w:t>
                  </w:r>
                </w:p>
              </w:tc>
              <w:tc>
                <w:tcPr>
                  <w:tcW w:w="606" w:type="pct"/>
                  <w:noWrap/>
                  <w:vAlign w:val="center"/>
                </w:tcPr>
                <w:p w14:paraId="64EFFDE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5×10</w:t>
                  </w:r>
                  <w:r>
                    <w:rPr>
                      <w:rFonts w:hint="default" w:ascii="Times New Roman" w:hAnsi="Times New Roman" w:cs="Times New Roman"/>
                      <w:color w:val="auto"/>
                      <w:spacing w:val="-10"/>
                      <w:sz w:val="21"/>
                      <w:szCs w:val="21"/>
                      <w:highlight w:val="none"/>
                      <w:vertAlign w:val="superscript"/>
                    </w:rPr>
                    <w:t>-4</w:t>
                  </w:r>
                  <w:r>
                    <w:rPr>
                      <w:rFonts w:hint="default" w:ascii="Times New Roman" w:hAnsi="Times New Roman" w:cs="Times New Roman"/>
                      <w:color w:val="auto"/>
                      <w:spacing w:val="-10"/>
                      <w:sz w:val="21"/>
                      <w:szCs w:val="21"/>
                      <w:highlight w:val="none"/>
                    </w:rPr>
                    <w:t>L</w:t>
                  </w:r>
                </w:p>
              </w:tc>
              <w:tc>
                <w:tcPr>
                  <w:tcW w:w="794" w:type="pct"/>
                  <w:noWrap/>
                  <w:vAlign w:val="center"/>
                </w:tcPr>
                <w:p w14:paraId="1AF7698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0.005mg/L</w:t>
                  </w:r>
                </w:p>
              </w:tc>
            </w:tr>
            <w:tr w14:paraId="3C8BE2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329E9CA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7</w:t>
                  </w:r>
                </w:p>
              </w:tc>
              <w:tc>
                <w:tcPr>
                  <w:tcW w:w="1385" w:type="pct"/>
                  <w:noWrap/>
                  <w:vAlign w:val="center"/>
                </w:tcPr>
                <w:p w14:paraId="68983C3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铁</w:t>
                  </w:r>
                </w:p>
              </w:tc>
              <w:tc>
                <w:tcPr>
                  <w:tcW w:w="512" w:type="pct"/>
                  <w:noWrap/>
                  <w:vAlign w:val="center"/>
                </w:tcPr>
                <w:p w14:paraId="3BC339D1">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0AC4C78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0.03L</w:t>
                  </w:r>
                </w:p>
              </w:tc>
              <w:tc>
                <w:tcPr>
                  <w:tcW w:w="747" w:type="pct"/>
                  <w:noWrap/>
                  <w:vAlign w:val="center"/>
                </w:tcPr>
                <w:p w14:paraId="63A007C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0.03L</w:t>
                  </w:r>
                </w:p>
              </w:tc>
              <w:tc>
                <w:tcPr>
                  <w:tcW w:w="606" w:type="pct"/>
                  <w:noWrap/>
                  <w:vAlign w:val="center"/>
                </w:tcPr>
                <w:p w14:paraId="65ABF47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0.03L</w:t>
                  </w:r>
                </w:p>
              </w:tc>
              <w:tc>
                <w:tcPr>
                  <w:tcW w:w="794" w:type="pct"/>
                  <w:noWrap/>
                  <w:vAlign w:val="center"/>
                </w:tcPr>
                <w:p w14:paraId="30E654B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0.3mg/L</w:t>
                  </w:r>
                </w:p>
              </w:tc>
            </w:tr>
            <w:tr w14:paraId="195BD7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764ED1F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8</w:t>
                  </w:r>
                </w:p>
              </w:tc>
              <w:tc>
                <w:tcPr>
                  <w:tcW w:w="1385" w:type="pct"/>
                  <w:noWrap/>
                  <w:vAlign w:val="center"/>
                </w:tcPr>
                <w:p w14:paraId="2795FE6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锰</w:t>
                  </w:r>
                </w:p>
              </w:tc>
              <w:tc>
                <w:tcPr>
                  <w:tcW w:w="512" w:type="pct"/>
                  <w:noWrap/>
                  <w:vAlign w:val="center"/>
                </w:tcPr>
                <w:p w14:paraId="27118D3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54DF6B5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0.01L</w:t>
                  </w:r>
                </w:p>
              </w:tc>
              <w:tc>
                <w:tcPr>
                  <w:tcW w:w="747" w:type="pct"/>
                  <w:noWrap/>
                  <w:vAlign w:val="center"/>
                </w:tcPr>
                <w:p w14:paraId="5D8A313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0.01L</w:t>
                  </w:r>
                </w:p>
              </w:tc>
              <w:tc>
                <w:tcPr>
                  <w:tcW w:w="606" w:type="pct"/>
                  <w:noWrap/>
                  <w:vAlign w:val="center"/>
                </w:tcPr>
                <w:p w14:paraId="3D6A2C3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0.01L</w:t>
                  </w:r>
                </w:p>
              </w:tc>
              <w:tc>
                <w:tcPr>
                  <w:tcW w:w="794" w:type="pct"/>
                  <w:noWrap/>
                  <w:vAlign w:val="center"/>
                </w:tcPr>
                <w:p w14:paraId="3613A06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0.10mg/L</w:t>
                  </w:r>
                </w:p>
              </w:tc>
            </w:tr>
            <w:tr w14:paraId="63364A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09DCD47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9</w:t>
                  </w:r>
                </w:p>
              </w:tc>
              <w:tc>
                <w:tcPr>
                  <w:tcW w:w="1385" w:type="pct"/>
                  <w:noWrap/>
                  <w:vAlign w:val="center"/>
                </w:tcPr>
                <w:p w14:paraId="20DC90F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铜</w:t>
                  </w:r>
                </w:p>
              </w:tc>
              <w:tc>
                <w:tcPr>
                  <w:tcW w:w="512" w:type="pct"/>
                  <w:noWrap/>
                  <w:vAlign w:val="center"/>
                </w:tcPr>
                <w:p w14:paraId="15194E0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2E555C7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0.05L</w:t>
                  </w:r>
                </w:p>
              </w:tc>
              <w:tc>
                <w:tcPr>
                  <w:tcW w:w="747" w:type="pct"/>
                  <w:noWrap/>
                  <w:vAlign w:val="center"/>
                </w:tcPr>
                <w:p w14:paraId="783D648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0.05L</w:t>
                  </w:r>
                </w:p>
              </w:tc>
              <w:tc>
                <w:tcPr>
                  <w:tcW w:w="606" w:type="pct"/>
                  <w:noWrap/>
                  <w:vAlign w:val="center"/>
                </w:tcPr>
                <w:p w14:paraId="745619A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0.05L</w:t>
                  </w:r>
                </w:p>
              </w:tc>
              <w:tc>
                <w:tcPr>
                  <w:tcW w:w="794" w:type="pct"/>
                  <w:noWrap/>
                  <w:vAlign w:val="center"/>
                </w:tcPr>
                <w:p w14:paraId="540DB9B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1.00mg/L</w:t>
                  </w:r>
                </w:p>
              </w:tc>
            </w:tr>
            <w:tr w14:paraId="61B7AE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72731B7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w:t>
                  </w:r>
                </w:p>
              </w:tc>
              <w:tc>
                <w:tcPr>
                  <w:tcW w:w="1385" w:type="pct"/>
                  <w:noWrap/>
                  <w:vAlign w:val="center"/>
                </w:tcPr>
                <w:p w14:paraId="7A8B7AE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锌</w:t>
                  </w:r>
                </w:p>
              </w:tc>
              <w:tc>
                <w:tcPr>
                  <w:tcW w:w="512" w:type="pct"/>
                  <w:noWrap/>
                  <w:vAlign w:val="center"/>
                </w:tcPr>
                <w:p w14:paraId="6FA7E43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549D20D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0.05L</w:t>
                  </w:r>
                </w:p>
              </w:tc>
              <w:tc>
                <w:tcPr>
                  <w:tcW w:w="747" w:type="pct"/>
                  <w:noWrap/>
                  <w:vAlign w:val="center"/>
                </w:tcPr>
                <w:p w14:paraId="17A1EC4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0.05L</w:t>
                  </w:r>
                </w:p>
              </w:tc>
              <w:tc>
                <w:tcPr>
                  <w:tcW w:w="606" w:type="pct"/>
                  <w:noWrap/>
                  <w:vAlign w:val="center"/>
                </w:tcPr>
                <w:p w14:paraId="2BB7458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0.05L</w:t>
                  </w:r>
                </w:p>
              </w:tc>
              <w:tc>
                <w:tcPr>
                  <w:tcW w:w="794" w:type="pct"/>
                  <w:noWrap/>
                  <w:vAlign w:val="center"/>
                </w:tcPr>
                <w:p w14:paraId="2E2A80A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1.00mg/L</w:t>
                  </w:r>
                </w:p>
              </w:tc>
            </w:tr>
            <w:tr w14:paraId="273D97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6E647F7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11</w:t>
                  </w:r>
                </w:p>
              </w:tc>
              <w:tc>
                <w:tcPr>
                  <w:tcW w:w="1385" w:type="pct"/>
                  <w:noWrap/>
                  <w:vAlign w:val="center"/>
                </w:tcPr>
                <w:p w14:paraId="7A7D430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铝</w:t>
                  </w:r>
                </w:p>
              </w:tc>
              <w:tc>
                <w:tcPr>
                  <w:tcW w:w="512" w:type="pct"/>
                  <w:noWrap/>
                  <w:vAlign w:val="center"/>
                </w:tcPr>
                <w:p w14:paraId="4611347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0672221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0.011</w:t>
                  </w:r>
                </w:p>
              </w:tc>
              <w:tc>
                <w:tcPr>
                  <w:tcW w:w="747" w:type="pct"/>
                  <w:noWrap/>
                  <w:vAlign w:val="center"/>
                </w:tcPr>
                <w:p w14:paraId="467BE9C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0.012</w:t>
                  </w:r>
                </w:p>
              </w:tc>
              <w:tc>
                <w:tcPr>
                  <w:tcW w:w="606" w:type="pct"/>
                  <w:noWrap/>
                  <w:vAlign w:val="center"/>
                </w:tcPr>
                <w:p w14:paraId="7E40F3C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0.012</w:t>
                  </w:r>
                </w:p>
              </w:tc>
              <w:tc>
                <w:tcPr>
                  <w:tcW w:w="794" w:type="pct"/>
                  <w:noWrap/>
                  <w:vAlign w:val="center"/>
                </w:tcPr>
                <w:p w14:paraId="4E49BB4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0.20mg/L</w:t>
                  </w:r>
                </w:p>
              </w:tc>
            </w:tr>
            <w:tr w14:paraId="6E4529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666B172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12</w:t>
                  </w:r>
                </w:p>
              </w:tc>
              <w:tc>
                <w:tcPr>
                  <w:tcW w:w="1385" w:type="pct"/>
                  <w:noWrap/>
                  <w:vAlign w:val="center"/>
                </w:tcPr>
                <w:p w14:paraId="0151824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pH</w:t>
                  </w:r>
                </w:p>
              </w:tc>
              <w:tc>
                <w:tcPr>
                  <w:tcW w:w="512" w:type="pct"/>
                  <w:noWrap/>
                  <w:vAlign w:val="center"/>
                </w:tcPr>
                <w:p w14:paraId="2FE43F2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w:t>
                  </w:r>
                </w:p>
              </w:tc>
              <w:tc>
                <w:tcPr>
                  <w:tcW w:w="667" w:type="pct"/>
                  <w:noWrap/>
                  <w:vAlign w:val="center"/>
                </w:tcPr>
                <w:p w14:paraId="1A0C5F3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7.4</w:t>
                  </w:r>
                </w:p>
              </w:tc>
              <w:tc>
                <w:tcPr>
                  <w:tcW w:w="747" w:type="pct"/>
                  <w:noWrap/>
                  <w:vAlign w:val="center"/>
                </w:tcPr>
                <w:p w14:paraId="0A59EE5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7.2</w:t>
                  </w:r>
                </w:p>
              </w:tc>
              <w:tc>
                <w:tcPr>
                  <w:tcW w:w="606" w:type="pct"/>
                  <w:noWrap/>
                  <w:vAlign w:val="center"/>
                </w:tcPr>
                <w:p w14:paraId="0DF5967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7.3</w:t>
                  </w:r>
                </w:p>
              </w:tc>
              <w:tc>
                <w:tcPr>
                  <w:tcW w:w="794" w:type="pct"/>
                  <w:noWrap/>
                  <w:vAlign w:val="center"/>
                </w:tcPr>
                <w:p w14:paraId="3D816C2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6.5~8.5</w:t>
                  </w:r>
                </w:p>
              </w:tc>
            </w:tr>
            <w:tr w14:paraId="3E8934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645EEFE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13</w:t>
                  </w:r>
                </w:p>
              </w:tc>
              <w:tc>
                <w:tcPr>
                  <w:tcW w:w="1385" w:type="pct"/>
                  <w:noWrap/>
                  <w:vAlign w:val="center"/>
                </w:tcPr>
                <w:p w14:paraId="4308B65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钙和镁总量（总硬度）</w:t>
                  </w:r>
                </w:p>
              </w:tc>
              <w:tc>
                <w:tcPr>
                  <w:tcW w:w="512" w:type="pct"/>
                  <w:noWrap/>
                  <w:vAlign w:val="center"/>
                </w:tcPr>
                <w:p w14:paraId="6732A66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6FB3932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231</w:t>
                  </w:r>
                </w:p>
              </w:tc>
              <w:tc>
                <w:tcPr>
                  <w:tcW w:w="747" w:type="pct"/>
                  <w:noWrap/>
                  <w:vAlign w:val="center"/>
                </w:tcPr>
                <w:p w14:paraId="6565886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197</w:t>
                  </w:r>
                </w:p>
              </w:tc>
              <w:tc>
                <w:tcPr>
                  <w:tcW w:w="606" w:type="pct"/>
                  <w:noWrap/>
                  <w:vAlign w:val="center"/>
                </w:tcPr>
                <w:p w14:paraId="545AB26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205</w:t>
                  </w:r>
                </w:p>
              </w:tc>
              <w:tc>
                <w:tcPr>
                  <w:tcW w:w="794" w:type="pct"/>
                  <w:noWrap/>
                  <w:vAlign w:val="center"/>
                </w:tcPr>
                <w:p w14:paraId="351FCAB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450mg/L</w:t>
                  </w:r>
                </w:p>
              </w:tc>
            </w:tr>
            <w:tr w14:paraId="5DFF5A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46D1454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14</w:t>
                  </w:r>
                </w:p>
              </w:tc>
              <w:tc>
                <w:tcPr>
                  <w:tcW w:w="1385" w:type="pct"/>
                  <w:noWrap/>
                  <w:vAlign w:val="center"/>
                </w:tcPr>
                <w:p w14:paraId="63AF4F1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溶解性总固体</w:t>
                  </w:r>
                </w:p>
              </w:tc>
              <w:tc>
                <w:tcPr>
                  <w:tcW w:w="512" w:type="pct"/>
                  <w:noWrap/>
                  <w:vAlign w:val="center"/>
                </w:tcPr>
                <w:p w14:paraId="4EBABE5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47978BA6">
                  <w:pPr>
                    <w:spacing w:line="0" w:lineRule="atLeast"/>
                    <w:ind w:firstLine="0" w:firstLineChars="0"/>
                    <w:jc w:val="center"/>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color w:val="auto"/>
                      <w:spacing w:val="-10"/>
                      <w:sz w:val="21"/>
                      <w:szCs w:val="21"/>
                      <w:highlight w:val="none"/>
                      <w:lang w:val="en-US" w:eastAsia="zh-CN"/>
                    </w:rPr>
                    <w:t>308</w:t>
                  </w:r>
                </w:p>
              </w:tc>
              <w:tc>
                <w:tcPr>
                  <w:tcW w:w="747" w:type="pct"/>
                  <w:noWrap/>
                  <w:vAlign w:val="center"/>
                </w:tcPr>
                <w:p w14:paraId="69CA8B5B">
                  <w:pPr>
                    <w:spacing w:line="0" w:lineRule="atLeast"/>
                    <w:ind w:firstLine="0" w:firstLineChars="0"/>
                    <w:jc w:val="center"/>
                    <w:rPr>
                      <w:rFonts w:hint="default" w:ascii="Times New Roman" w:hAnsi="Times New Roman" w:eastAsia="宋体" w:cs="Times New Roman"/>
                      <w:color w:val="auto"/>
                      <w:spacing w:val="-10"/>
                      <w:sz w:val="21"/>
                      <w:szCs w:val="21"/>
                      <w:highlight w:val="none"/>
                      <w:lang w:val="en-US" w:eastAsia="zh-CN"/>
                    </w:rPr>
                  </w:pPr>
                  <w:r>
                    <w:rPr>
                      <w:rFonts w:hint="default" w:ascii="Times New Roman" w:hAnsi="Times New Roman" w:eastAsia="宋体" w:cs="Times New Roman"/>
                      <w:color w:val="auto"/>
                      <w:spacing w:val="-10"/>
                      <w:sz w:val="21"/>
                      <w:szCs w:val="21"/>
                      <w:highlight w:val="none"/>
                      <w:lang w:val="en-US" w:eastAsia="zh-CN"/>
                    </w:rPr>
                    <w:t>326</w:t>
                  </w:r>
                </w:p>
              </w:tc>
              <w:tc>
                <w:tcPr>
                  <w:tcW w:w="606" w:type="pct"/>
                  <w:noWrap/>
                  <w:vAlign w:val="center"/>
                </w:tcPr>
                <w:p w14:paraId="58881039">
                  <w:pPr>
                    <w:spacing w:line="0" w:lineRule="atLeast"/>
                    <w:ind w:firstLine="0" w:firstLineChars="0"/>
                    <w:jc w:val="center"/>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color w:val="auto"/>
                      <w:spacing w:val="-10"/>
                      <w:sz w:val="21"/>
                      <w:szCs w:val="21"/>
                      <w:highlight w:val="none"/>
                      <w:lang w:val="en-US" w:eastAsia="zh-CN"/>
                    </w:rPr>
                    <w:t>323</w:t>
                  </w:r>
                </w:p>
              </w:tc>
              <w:tc>
                <w:tcPr>
                  <w:tcW w:w="794" w:type="pct"/>
                  <w:noWrap/>
                  <w:vAlign w:val="center"/>
                </w:tcPr>
                <w:p w14:paraId="76F3BA6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1000mg/L</w:t>
                  </w:r>
                </w:p>
              </w:tc>
            </w:tr>
            <w:tr w14:paraId="5072A8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199CE54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15</w:t>
                  </w:r>
                </w:p>
              </w:tc>
              <w:tc>
                <w:tcPr>
                  <w:tcW w:w="1385" w:type="pct"/>
                  <w:noWrap/>
                  <w:vAlign w:val="center"/>
                </w:tcPr>
                <w:p w14:paraId="4B95086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硫酸盐</w:t>
                  </w:r>
                </w:p>
              </w:tc>
              <w:tc>
                <w:tcPr>
                  <w:tcW w:w="512" w:type="pct"/>
                  <w:noWrap/>
                  <w:vAlign w:val="center"/>
                </w:tcPr>
                <w:p w14:paraId="66AC9DD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0C85FF0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76</w:t>
                  </w:r>
                </w:p>
              </w:tc>
              <w:tc>
                <w:tcPr>
                  <w:tcW w:w="747" w:type="pct"/>
                  <w:noWrap/>
                  <w:vAlign w:val="center"/>
                </w:tcPr>
                <w:p w14:paraId="6D94D7F9">
                  <w:pPr>
                    <w:spacing w:line="0" w:lineRule="atLeast"/>
                    <w:ind w:firstLine="0" w:firstLineChars="0"/>
                    <w:jc w:val="center"/>
                    <w:rPr>
                      <w:rFonts w:hint="default" w:ascii="Times New Roman" w:hAnsi="Times New Roman" w:eastAsia="宋体" w:cs="Times New Roman"/>
                      <w:color w:val="auto"/>
                      <w:spacing w:val="-10"/>
                      <w:sz w:val="21"/>
                      <w:szCs w:val="21"/>
                      <w:highlight w:val="none"/>
                      <w:lang w:val="en-US" w:eastAsia="zh-CN"/>
                    </w:rPr>
                  </w:pPr>
                  <w:r>
                    <w:rPr>
                      <w:rFonts w:hint="default" w:ascii="Times New Roman" w:hAnsi="Times New Roman" w:cs="Times New Roman"/>
                      <w:color w:val="auto"/>
                      <w:spacing w:val="-10"/>
                      <w:sz w:val="21"/>
                      <w:szCs w:val="21"/>
                      <w:highlight w:val="none"/>
                    </w:rPr>
                    <w:t>1</w:t>
                  </w:r>
                  <w:r>
                    <w:rPr>
                      <w:rFonts w:hint="default" w:ascii="Times New Roman" w:hAnsi="Times New Roman" w:cs="Times New Roman"/>
                      <w:color w:val="auto"/>
                      <w:spacing w:val="-10"/>
                      <w:sz w:val="21"/>
                      <w:szCs w:val="21"/>
                      <w:highlight w:val="none"/>
                      <w:lang w:val="en-US" w:eastAsia="zh-CN"/>
                    </w:rPr>
                    <w:t>00</w:t>
                  </w:r>
                </w:p>
              </w:tc>
              <w:tc>
                <w:tcPr>
                  <w:tcW w:w="606" w:type="pct"/>
                  <w:noWrap/>
                  <w:vAlign w:val="center"/>
                </w:tcPr>
                <w:p w14:paraId="092BB19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50</w:t>
                  </w:r>
                </w:p>
              </w:tc>
              <w:tc>
                <w:tcPr>
                  <w:tcW w:w="794" w:type="pct"/>
                  <w:noWrap/>
                  <w:vAlign w:val="center"/>
                </w:tcPr>
                <w:p w14:paraId="38B40A2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250mg/L</w:t>
                  </w:r>
                </w:p>
              </w:tc>
            </w:tr>
            <w:tr w14:paraId="1F2EA6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1094270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16</w:t>
                  </w:r>
                </w:p>
              </w:tc>
              <w:tc>
                <w:tcPr>
                  <w:tcW w:w="1385" w:type="pct"/>
                  <w:noWrap/>
                  <w:vAlign w:val="center"/>
                </w:tcPr>
                <w:p w14:paraId="2101EB7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氯化物</w:t>
                  </w:r>
                </w:p>
              </w:tc>
              <w:tc>
                <w:tcPr>
                  <w:tcW w:w="512" w:type="pct"/>
                  <w:noWrap/>
                  <w:vAlign w:val="center"/>
                </w:tcPr>
                <w:p w14:paraId="7449CE6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0E93E49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23</w:t>
                  </w:r>
                </w:p>
              </w:tc>
              <w:tc>
                <w:tcPr>
                  <w:tcW w:w="747" w:type="pct"/>
                  <w:noWrap/>
                  <w:vAlign w:val="center"/>
                </w:tcPr>
                <w:p w14:paraId="049C027F">
                  <w:pPr>
                    <w:spacing w:line="0" w:lineRule="atLeast"/>
                    <w:ind w:firstLine="0" w:firstLineChars="0"/>
                    <w:jc w:val="center"/>
                    <w:rPr>
                      <w:rFonts w:hint="default" w:ascii="Times New Roman" w:hAnsi="Times New Roman" w:eastAsia="宋体" w:cs="Times New Roman"/>
                      <w:color w:val="auto"/>
                      <w:spacing w:val="-10"/>
                      <w:sz w:val="21"/>
                      <w:szCs w:val="21"/>
                      <w:highlight w:val="none"/>
                      <w:lang w:val="en-US" w:eastAsia="zh-CN"/>
                    </w:rPr>
                  </w:pPr>
                  <w:r>
                    <w:rPr>
                      <w:rFonts w:hint="default" w:ascii="Times New Roman" w:hAnsi="Times New Roman" w:cs="Times New Roman"/>
                      <w:color w:val="auto"/>
                      <w:spacing w:val="-10"/>
                      <w:sz w:val="21"/>
                      <w:szCs w:val="21"/>
                      <w:highlight w:val="none"/>
                      <w:lang w:val="en-US" w:eastAsia="zh-CN"/>
                    </w:rPr>
                    <w:t>80</w:t>
                  </w:r>
                </w:p>
              </w:tc>
              <w:tc>
                <w:tcPr>
                  <w:tcW w:w="606" w:type="pct"/>
                  <w:noWrap/>
                  <w:vAlign w:val="center"/>
                </w:tcPr>
                <w:p w14:paraId="2A08352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24</w:t>
                  </w:r>
                </w:p>
              </w:tc>
              <w:tc>
                <w:tcPr>
                  <w:tcW w:w="794" w:type="pct"/>
                  <w:noWrap/>
                  <w:vAlign w:val="center"/>
                </w:tcPr>
                <w:p w14:paraId="38CC53C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250mg/L</w:t>
                  </w:r>
                </w:p>
              </w:tc>
            </w:tr>
            <w:tr w14:paraId="5803DF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512AFC4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17</w:t>
                  </w:r>
                </w:p>
              </w:tc>
              <w:tc>
                <w:tcPr>
                  <w:tcW w:w="1385" w:type="pct"/>
                  <w:noWrap/>
                  <w:vAlign w:val="center"/>
                </w:tcPr>
                <w:p w14:paraId="7FDDF28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挥发酚</w:t>
                  </w:r>
                </w:p>
              </w:tc>
              <w:tc>
                <w:tcPr>
                  <w:tcW w:w="512" w:type="pct"/>
                  <w:noWrap/>
                  <w:vAlign w:val="center"/>
                </w:tcPr>
                <w:p w14:paraId="374DDCB0">
                  <w:pPr>
                    <w:spacing w:line="0" w:lineRule="atLeast"/>
                    <w:ind w:firstLine="0" w:firstLineChars="0"/>
                    <w:jc w:val="center"/>
                    <w:rPr>
                      <w:rFonts w:hint="default" w:ascii="Times New Roman" w:hAnsi="Times New Roman" w:cs="Times New Roman"/>
                      <w:color w:val="auto"/>
                      <w:spacing w:val="-10"/>
                      <w:sz w:val="21"/>
                      <w:szCs w:val="21"/>
                      <w:highlight w:val="none"/>
                      <w:lang w:val="pt-BR"/>
                    </w:rPr>
                  </w:pPr>
                  <w:r>
                    <w:rPr>
                      <w:rFonts w:hint="default" w:ascii="Times New Roman" w:hAnsi="Times New Roman" w:cs="Times New Roman"/>
                      <w:color w:val="auto"/>
                      <w:spacing w:val="-10"/>
                      <w:sz w:val="21"/>
                      <w:szCs w:val="21"/>
                      <w:highlight w:val="none"/>
                    </w:rPr>
                    <w:t>mg/L</w:t>
                  </w:r>
                </w:p>
              </w:tc>
              <w:tc>
                <w:tcPr>
                  <w:tcW w:w="667" w:type="pct"/>
                  <w:noWrap/>
                  <w:vAlign w:val="center"/>
                </w:tcPr>
                <w:p w14:paraId="3DA39CF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0.0003L</w:t>
                  </w:r>
                </w:p>
              </w:tc>
              <w:tc>
                <w:tcPr>
                  <w:tcW w:w="747" w:type="pct"/>
                  <w:noWrap/>
                  <w:vAlign w:val="center"/>
                </w:tcPr>
                <w:p w14:paraId="77E2CB8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0.0003L</w:t>
                  </w:r>
                </w:p>
              </w:tc>
              <w:tc>
                <w:tcPr>
                  <w:tcW w:w="606" w:type="pct"/>
                  <w:noWrap/>
                  <w:vAlign w:val="center"/>
                </w:tcPr>
                <w:p w14:paraId="4226BA5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0.0003L</w:t>
                  </w:r>
                </w:p>
              </w:tc>
              <w:tc>
                <w:tcPr>
                  <w:tcW w:w="794" w:type="pct"/>
                  <w:noWrap/>
                  <w:vAlign w:val="center"/>
                </w:tcPr>
                <w:p w14:paraId="3194F04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0.002mg/L</w:t>
                  </w:r>
                </w:p>
              </w:tc>
            </w:tr>
            <w:tr w14:paraId="104B35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5A2D39A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18</w:t>
                  </w:r>
                </w:p>
              </w:tc>
              <w:tc>
                <w:tcPr>
                  <w:tcW w:w="1385" w:type="pct"/>
                  <w:noWrap/>
                  <w:vAlign w:val="center"/>
                </w:tcPr>
                <w:p w14:paraId="28D7C72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高锰酸盐指数（以O2计）</w:t>
                  </w:r>
                </w:p>
              </w:tc>
              <w:tc>
                <w:tcPr>
                  <w:tcW w:w="512" w:type="pct"/>
                  <w:noWrap/>
                  <w:vAlign w:val="center"/>
                </w:tcPr>
                <w:p w14:paraId="666AFB1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7C87B47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0.87</w:t>
                  </w:r>
                </w:p>
              </w:tc>
              <w:tc>
                <w:tcPr>
                  <w:tcW w:w="747" w:type="pct"/>
                  <w:noWrap/>
                  <w:vAlign w:val="center"/>
                </w:tcPr>
                <w:p w14:paraId="226A940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1.38</w:t>
                  </w:r>
                </w:p>
              </w:tc>
              <w:tc>
                <w:tcPr>
                  <w:tcW w:w="606" w:type="pct"/>
                  <w:noWrap/>
                  <w:vAlign w:val="center"/>
                </w:tcPr>
                <w:p w14:paraId="2BC2CF5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1.62</w:t>
                  </w:r>
                </w:p>
              </w:tc>
              <w:tc>
                <w:tcPr>
                  <w:tcW w:w="794" w:type="pct"/>
                  <w:noWrap/>
                  <w:vAlign w:val="center"/>
                </w:tcPr>
                <w:p w14:paraId="48FECAD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3.0mg/L</w:t>
                  </w:r>
                </w:p>
              </w:tc>
            </w:tr>
            <w:tr w14:paraId="569B27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775C38C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19</w:t>
                  </w:r>
                </w:p>
              </w:tc>
              <w:tc>
                <w:tcPr>
                  <w:tcW w:w="1385" w:type="pct"/>
                  <w:noWrap/>
                  <w:vAlign w:val="center"/>
                </w:tcPr>
                <w:p w14:paraId="505B1E8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氨氮</w:t>
                  </w:r>
                </w:p>
              </w:tc>
              <w:tc>
                <w:tcPr>
                  <w:tcW w:w="512" w:type="pct"/>
                  <w:noWrap/>
                  <w:vAlign w:val="center"/>
                </w:tcPr>
                <w:p w14:paraId="17D5029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0554B9F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0.025L</w:t>
                  </w:r>
                </w:p>
              </w:tc>
              <w:tc>
                <w:tcPr>
                  <w:tcW w:w="747" w:type="pct"/>
                  <w:noWrap/>
                  <w:vAlign w:val="center"/>
                </w:tcPr>
                <w:p w14:paraId="2D563BB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0.371</w:t>
                  </w:r>
                </w:p>
              </w:tc>
              <w:tc>
                <w:tcPr>
                  <w:tcW w:w="606" w:type="pct"/>
                  <w:noWrap/>
                  <w:vAlign w:val="center"/>
                </w:tcPr>
                <w:p w14:paraId="7B9CD11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0.212</w:t>
                  </w:r>
                </w:p>
              </w:tc>
              <w:tc>
                <w:tcPr>
                  <w:tcW w:w="794" w:type="pct"/>
                  <w:noWrap/>
                  <w:vAlign w:val="center"/>
                </w:tcPr>
                <w:p w14:paraId="0A2984F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0.50mg/L</w:t>
                  </w:r>
                </w:p>
              </w:tc>
            </w:tr>
            <w:tr w14:paraId="1DDF4C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5294903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20</w:t>
                  </w:r>
                </w:p>
              </w:tc>
              <w:tc>
                <w:tcPr>
                  <w:tcW w:w="1385" w:type="pct"/>
                  <w:noWrap/>
                  <w:vAlign w:val="center"/>
                </w:tcPr>
                <w:p w14:paraId="5059AEE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总大肠菌群</w:t>
                  </w:r>
                </w:p>
              </w:tc>
              <w:tc>
                <w:tcPr>
                  <w:tcW w:w="512" w:type="pct"/>
                  <w:noWrap/>
                  <w:vAlign w:val="center"/>
                </w:tcPr>
                <w:p w14:paraId="1A70101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MPN/</w:t>
                  </w:r>
                </w:p>
                <w:p w14:paraId="16DBC75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100mL</w:t>
                  </w:r>
                </w:p>
              </w:tc>
              <w:tc>
                <w:tcPr>
                  <w:tcW w:w="667" w:type="pct"/>
                  <w:noWrap/>
                  <w:vAlign w:val="center"/>
                </w:tcPr>
                <w:p w14:paraId="532DCC8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未检出</w:t>
                  </w:r>
                </w:p>
              </w:tc>
              <w:tc>
                <w:tcPr>
                  <w:tcW w:w="747" w:type="pct"/>
                  <w:noWrap/>
                  <w:vAlign w:val="center"/>
                </w:tcPr>
                <w:p w14:paraId="51A5D51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未检出</w:t>
                  </w:r>
                </w:p>
              </w:tc>
              <w:tc>
                <w:tcPr>
                  <w:tcW w:w="606" w:type="pct"/>
                  <w:noWrap/>
                  <w:vAlign w:val="center"/>
                </w:tcPr>
                <w:p w14:paraId="034DF97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未检出</w:t>
                  </w:r>
                </w:p>
              </w:tc>
              <w:tc>
                <w:tcPr>
                  <w:tcW w:w="794" w:type="pct"/>
                  <w:noWrap/>
                  <w:vAlign w:val="center"/>
                </w:tcPr>
                <w:p w14:paraId="2FB0DC2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3.0MPN/</w:t>
                  </w:r>
                </w:p>
                <w:p w14:paraId="0955DED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100mL</w:t>
                  </w:r>
                </w:p>
              </w:tc>
            </w:tr>
            <w:tr w14:paraId="4F2620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26A0BE9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21</w:t>
                  </w:r>
                </w:p>
              </w:tc>
              <w:tc>
                <w:tcPr>
                  <w:tcW w:w="1385" w:type="pct"/>
                  <w:noWrap/>
                  <w:vAlign w:val="center"/>
                </w:tcPr>
                <w:p w14:paraId="349D073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细菌总数</w:t>
                  </w:r>
                </w:p>
              </w:tc>
              <w:tc>
                <w:tcPr>
                  <w:tcW w:w="512" w:type="pct"/>
                  <w:noWrap/>
                  <w:vAlign w:val="center"/>
                </w:tcPr>
                <w:p w14:paraId="6936320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CFU/mL</w:t>
                  </w:r>
                </w:p>
              </w:tc>
              <w:tc>
                <w:tcPr>
                  <w:tcW w:w="667" w:type="pct"/>
                  <w:noWrap/>
                  <w:vAlign w:val="center"/>
                </w:tcPr>
                <w:p w14:paraId="04F3775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44</w:t>
                  </w:r>
                </w:p>
              </w:tc>
              <w:tc>
                <w:tcPr>
                  <w:tcW w:w="747" w:type="pct"/>
                  <w:noWrap/>
                  <w:vAlign w:val="center"/>
                </w:tcPr>
                <w:p w14:paraId="6BEF9E1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58</w:t>
                  </w:r>
                </w:p>
              </w:tc>
              <w:tc>
                <w:tcPr>
                  <w:tcW w:w="606" w:type="pct"/>
                  <w:noWrap/>
                  <w:vAlign w:val="center"/>
                </w:tcPr>
                <w:p w14:paraId="1826520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53</w:t>
                  </w:r>
                </w:p>
              </w:tc>
              <w:tc>
                <w:tcPr>
                  <w:tcW w:w="794" w:type="pct"/>
                  <w:noWrap/>
                  <w:vAlign w:val="center"/>
                </w:tcPr>
                <w:p w14:paraId="6433715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100CFU/mL</w:t>
                  </w:r>
                </w:p>
              </w:tc>
            </w:tr>
            <w:tr w14:paraId="4A4833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501AB85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22</w:t>
                  </w:r>
                </w:p>
              </w:tc>
              <w:tc>
                <w:tcPr>
                  <w:tcW w:w="1385" w:type="pct"/>
                  <w:noWrap/>
                  <w:vAlign w:val="center"/>
                </w:tcPr>
                <w:p w14:paraId="59541D1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亚硝酸盐氮</w:t>
                  </w:r>
                </w:p>
              </w:tc>
              <w:tc>
                <w:tcPr>
                  <w:tcW w:w="512" w:type="pct"/>
                  <w:noWrap/>
                  <w:vAlign w:val="center"/>
                </w:tcPr>
                <w:p w14:paraId="40FA38D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331BF12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0.003L</w:t>
                  </w:r>
                </w:p>
              </w:tc>
              <w:tc>
                <w:tcPr>
                  <w:tcW w:w="747" w:type="pct"/>
                  <w:noWrap/>
                  <w:vAlign w:val="center"/>
                </w:tcPr>
                <w:p w14:paraId="6234DAA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0.003L</w:t>
                  </w:r>
                </w:p>
              </w:tc>
              <w:tc>
                <w:tcPr>
                  <w:tcW w:w="606" w:type="pct"/>
                  <w:noWrap/>
                  <w:vAlign w:val="center"/>
                </w:tcPr>
                <w:p w14:paraId="5F17C78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0.003L</w:t>
                  </w:r>
                </w:p>
              </w:tc>
              <w:tc>
                <w:tcPr>
                  <w:tcW w:w="794" w:type="pct"/>
                  <w:noWrap/>
                  <w:vAlign w:val="center"/>
                </w:tcPr>
                <w:p w14:paraId="5A09A96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1.00mg/L</w:t>
                  </w:r>
                </w:p>
              </w:tc>
            </w:tr>
            <w:tr w14:paraId="5484C2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7B63896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23</w:t>
                  </w:r>
                </w:p>
              </w:tc>
              <w:tc>
                <w:tcPr>
                  <w:tcW w:w="1385" w:type="pct"/>
                  <w:noWrap/>
                  <w:vAlign w:val="center"/>
                </w:tcPr>
                <w:p w14:paraId="6AA7908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硝酸盐氮</w:t>
                  </w:r>
                </w:p>
              </w:tc>
              <w:tc>
                <w:tcPr>
                  <w:tcW w:w="512" w:type="pct"/>
                  <w:noWrap/>
                  <w:vAlign w:val="center"/>
                </w:tcPr>
                <w:p w14:paraId="3E80698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7978F0A1">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3.19</w:t>
                  </w:r>
                </w:p>
              </w:tc>
              <w:tc>
                <w:tcPr>
                  <w:tcW w:w="747" w:type="pct"/>
                  <w:noWrap/>
                  <w:vAlign w:val="center"/>
                </w:tcPr>
                <w:p w14:paraId="3DF1319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2.91</w:t>
                  </w:r>
                </w:p>
              </w:tc>
              <w:tc>
                <w:tcPr>
                  <w:tcW w:w="606" w:type="pct"/>
                  <w:noWrap/>
                  <w:vAlign w:val="center"/>
                </w:tcPr>
                <w:p w14:paraId="0ACE88A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8.57</w:t>
                  </w:r>
                </w:p>
              </w:tc>
              <w:tc>
                <w:tcPr>
                  <w:tcW w:w="794" w:type="pct"/>
                  <w:noWrap/>
                  <w:vAlign w:val="center"/>
                </w:tcPr>
                <w:p w14:paraId="3B7A773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20.0mg/L</w:t>
                  </w:r>
                </w:p>
              </w:tc>
            </w:tr>
            <w:tr w14:paraId="4D5160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0640ECA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24</w:t>
                  </w:r>
                </w:p>
              </w:tc>
              <w:tc>
                <w:tcPr>
                  <w:tcW w:w="1385" w:type="pct"/>
                  <w:noWrap/>
                  <w:vAlign w:val="center"/>
                </w:tcPr>
                <w:p w14:paraId="4E3F23C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氰化物</w:t>
                  </w:r>
                </w:p>
              </w:tc>
              <w:tc>
                <w:tcPr>
                  <w:tcW w:w="512" w:type="pct"/>
                  <w:noWrap/>
                  <w:vAlign w:val="center"/>
                </w:tcPr>
                <w:p w14:paraId="1D64787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36814A0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0.002L</w:t>
                  </w:r>
                </w:p>
              </w:tc>
              <w:tc>
                <w:tcPr>
                  <w:tcW w:w="747" w:type="pct"/>
                  <w:noWrap/>
                  <w:vAlign w:val="center"/>
                </w:tcPr>
                <w:p w14:paraId="59AFE2C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0.002L</w:t>
                  </w:r>
                </w:p>
              </w:tc>
              <w:tc>
                <w:tcPr>
                  <w:tcW w:w="606" w:type="pct"/>
                  <w:noWrap/>
                  <w:vAlign w:val="center"/>
                </w:tcPr>
                <w:p w14:paraId="16CCA7E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0.002L</w:t>
                  </w:r>
                </w:p>
              </w:tc>
              <w:tc>
                <w:tcPr>
                  <w:tcW w:w="794" w:type="pct"/>
                  <w:noWrap/>
                  <w:vAlign w:val="center"/>
                </w:tcPr>
                <w:p w14:paraId="3682BCF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0.05mg/L</w:t>
                  </w:r>
                </w:p>
              </w:tc>
            </w:tr>
            <w:tr w14:paraId="2A4C00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33BD6A6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25</w:t>
                  </w:r>
                </w:p>
              </w:tc>
              <w:tc>
                <w:tcPr>
                  <w:tcW w:w="1385" w:type="pct"/>
                  <w:noWrap/>
                  <w:vAlign w:val="center"/>
                </w:tcPr>
                <w:p w14:paraId="519CECB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氟化物</w:t>
                  </w:r>
                </w:p>
              </w:tc>
              <w:tc>
                <w:tcPr>
                  <w:tcW w:w="512" w:type="pct"/>
                  <w:noWrap/>
                  <w:vAlign w:val="center"/>
                </w:tcPr>
                <w:p w14:paraId="7B5993F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3044E02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0.60</w:t>
                  </w:r>
                </w:p>
              </w:tc>
              <w:tc>
                <w:tcPr>
                  <w:tcW w:w="747" w:type="pct"/>
                  <w:noWrap/>
                  <w:vAlign w:val="center"/>
                </w:tcPr>
                <w:p w14:paraId="6022FC4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1.39</w:t>
                  </w:r>
                </w:p>
              </w:tc>
              <w:tc>
                <w:tcPr>
                  <w:tcW w:w="606" w:type="pct"/>
                  <w:noWrap/>
                  <w:vAlign w:val="center"/>
                </w:tcPr>
                <w:p w14:paraId="1D05FAC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1.33</w:t>
                  </w:r>
                </w:p>
              </w:tc>
              <w:tc>
                <w:tcPr>
                  <w:tcW w:w="794" w:type="pct"/>
                  <w:noWrap/>
                  <w:vAlign w:val="center"/>
                </w:tcPr>
                <w:p w14:paraId="0FE011A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1.0mg/L</w:t>
                  </w:r>
                </w:p>
              </w:tc>
            </w:tr>
            <w:tr w14:paraId="51E63E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0FBB054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26</w:t>
                  </w:r>
                </w:p>
              </w:tc>
              <w:tc>
                <w:tcPr>
                  <w:tcW w:w="1385" w:type="pct"/>
                  <w:noWrap/>
                  <w:vAlign w:val="center"/>
                </w:tcPr>
                <w:p w14:paraId="0797B68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汞</w:t>
                  </w:r>
                </w:p>
              </w:tc>
              <w:tc>
                <w:tcPr>
                  <w:tcW w:w="512" w:type="pct"/>
                  <w:noWrap/>
                  <w:vAlign w:val="center"/>
                </w:tcPr>
                <w:p w14:paraId="45D88821">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3CACFF9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4.0×10</w:t>
                  </w:r>
                  <w:r>
                    <w:rPr>
                      <w:rFonts w:hint="default" w:ascii="Times New Roman" w:hAnsi="Times New Roman" w:cs="Times New Roman"/>
                      <w:color w:val="auto"/>
                      <w:spacing w:val="-10"/>
                      <w:sz w:val="21"/>
                      <w:szCs w:val="21"/>
                      <w:highlight w:val="none"/>
                      <w:vertAlign w:val="superscript"/>
                    </w:rPr>
                    <w:t>-5</w:t>
                  </w:r>
                  <w:r>
                    <w:rPr>
                      <w:rFonts w:hint="default" w:ascii="Times New Roman" w:hAnsi="Times New Roman" w:cs="Times New Roman"/>
                      <w:color w:val="auto"/>
                      <w:spacing w:val="-10"/>
                      <w:sz w:val="21"/>
                      <w:szCs w:val="21"/>
                      <w:highlight w:val="none"/>
                    </w:rPr>
                    <w:t>L</w:t>
                  </w:r>
                </w:p>
              </w:tc>
              <w:tc>
                <w:tcPr>
                  <w:tcW w:w="747" w:type="pct"/>
                  <w:noWrap/>
                  <w:vAlign w:val="center"/>
                </w:tcPr>
                <w:p w14:paraId="2FDA40A1">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4.0×10</w:t>
                  </w:r>
                  <w:r>
                    <w:rPr>
                      <w:rFonts w:hint="default" w:ascii="Times New Roman" w:hAnsi="Times New Roman" w:cs="Times New Roman"/>
                      <w:color w:val="auto"/>
                      <w:spacing w:val="-10"/>
                      <w:sz w:val="21"/>
                      <w:szCs w:val="21"/>
                      <w:highlight w:val="none"/>
                      <w:vertAlign w:val="superscript"/>
                    </w:rPr>
                    <w:t>-5</w:t>
                  </w:r>
                  <w:r>
                    <w:rPr>
                      <w:rFonts w:hint="default" w:ascii="Times New Roman" w:hAnsi="Times New Roman" w:cs="Times New Roman"/>
                      <w:color w:val="auto"/>
                      <w:spacing w:val="-10"/>
                      <w:sz w:val="21"/>
                      <w:szCs w:val="21"/>
                      <w:highlight w:val="none"/>
                    </w:rPr>
                    <w:t>L</w:t>
                  </w:r>
                </w:p>
              </w:tc>
              <w:tc>
                <w:tcPr>
                  <w:tcW w:w="606" w:type="pct"/>
                  <w:noWrap/>
                  <w:vAlign w:val="center"/>
                </w:tcPr>
                <w:p w14:paraId="6BB6ABD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4.0×10</w:t>
                  </w:r>
                  <w:r>
                    <w:rPr>
                      <w:rFonts w:hint="default" w:ascii="Times New Roman" w:hAnsi="Times New Roman" w:cs="Times New Roman"/>
                      <w:color w:val="auto"/>
                      <w:spacing w:val="-10"/>
                      <w:sz w:val="21"/>
                      <w:szCs w:val="21"/>
                      <w:highlight w:val="none"/>
                      <w:vertAlign w:val="superscript"/>
                    </w:rPr>
                    <w:t>-5</w:t>
                  </w:r>
                  <w:r>
                    <w:rPr>
                      <w:rFonts w:hint="default" w:ascii="Times New Roman" w:hAnsi="Times New Roman" w:cs="Times New Roman"/>
                      <w:color w:val="auto"/>
                      <w:spacing w:val="-10"/>
                      <w:sz w:val="21"/>
                      <w:szCs w:val="21"/>
                      <w:highlight w:val="none"/>
                    </w:rPr>
                    <w:t>L</w:t>
                  </w:r>
                </w:p>
              </w:tc>
              <w:tc>
                <w:tcPr>
                  <w:tcW w:w="794" w:type="pct"/>
                  <w:noWrap/>
                  <w:vAlign w:val="center"/>
                </w:tcPr>
                <w:p w14:paraId="4A7256E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0.001mg/L</w:t>
                  </w:r>
                </w:p>
              </w:tc>
            </w:tr>
            <w:tr w14:paraId="21318C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6E13578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27</w:t>
                  </w:r>
                </w:p>
              </w:tc>
              <w:tc>
                <w:tcPr>
                  <w:tcW w:w="1385" w:type="pct"/>
                  <w:noWrap/>
                  <w:vAlign w:val="center"/>
                </w:tcPr>
                <w:p w14:paraId="59A60FA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砷</w:t>
                  </w:r>
                </w:p>
              </w:tc>
              <w:tc>
                <w:tcPr>
                  <w:tcW w:w="512" w:type="pct"/>
                  <w:noWrap/>
                  <w:vAlign w:val="center"/>
                </w:tcPr>
                <w:p w14:paraId="44D4F11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155F93B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3×10</w:t>
                  </w:r>
                  <w:r>
                    <w:rPr>
                      <w:rFonts w:hint="default" w:ascii="Times New Roman" w:hAnsi="Times New Roman" w:cs="Times New Roman"/>
                      <w:color w:val="auto"/>
                      <w:spacing w:val="-10"/>
                      <w:sz w:val="21"/>
                      <w:szCs w:val="21"/>
                      <w:highlight w:val="none"/>
                      <w:vertAlign w:val="superscript"/>
                    </w:rPr>
                    <w:t>-4</w:t>
                  </w:r>
                  <w:r>
                    <w:rPr>
                      <w:rFonts w:hint="default" w:ascii="Times New Roman" w:hAnsi="Times New Roman" w:cs="Times New Roman"/>
                      <w:color w:val="auto"/>
                      <w:spacing w:val="-10"/>
                      <w:sz w:val="21"/>
                      <w:szCs w:val="21"/>
                      <w:highlight w:val="none"/>
                    </w:rPr>
                    <w:t>L</w:t>
                  </w:r>
                </w:p>
              </w:tc>
              <w:tc>
                <w:tcPr>
                  <w:tcW w:w="747" w:type="pct"/>
                  <w:noWrap/>
                  <w:vAlign w:val="center"/>
                </w:tcPr>
                <w:p w14:paraId="3DC0646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3×10</w:t>
                  </w:r>
                  <w:r>
                    <w:rPr>
                      <w:rFonts w:hint="default" w:ascii="Times New Roman" w:hAnsi="Times New Roman" w:cs="Times New Roman"/>
                      <w:color w:val="auto"/>
                      <w:spacing w:val="-10"/>
                      <w:sz w:val="21"/>
                      <w:szCs w:val="21"/>
                      <w:highlight w:val="none"/>
                      <w:vertAlign w:val="superscript"/>
                    </w:rPr>
                    <w:t>-4</w:t>
                  </w:r>
                  <w:r>
                    <w:rPr>
                      <w:rFonts w:hint="default" w:ascii="Times New Roman" w:hAnsi="Times New Roman" w:cs="Times New Roman"/>
                      <w:color w:val="auto"/>
                      <w:spacing w:val="-10"/>
                      <w:sz w:val="21"/>
                      <w:szCs w:val="21"/>
                      <w:highlight w:val="none"/>
                    </w:rPr>
                    <w:t>L</w:t>
                  </w:r>
                </w:p>
              </w:tc>
              <w:tc>
                <w:tcPr>
                  <w:tcW w:w="606" w:type="pct"/>
                  <w:noWrap/>
                  <w:vAlign w:val="center"/>
                </w:tcPr>
                <w:p w14:paraId="1DDAD0D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3×10</w:t>
                  </w:r>
                  <w:r>
                    <w:rPr>
                      <w:rFonts w:hint="default" w:ascii="Times New Roman" w:hAnsi="Times New Roman" w:cs="Times New Roman"/>
                      <w:color w:val="auto"/>
                      <w:spacing w:val="-10"/>
                      <w:sz w:val="21"/>
                      <w:szCs w:val="21"/>
                      <w:highlight w:val="none"/>
                      <w:vertAlign w:val="superscript"/>
                    </w:rPr>
                    <w:t>-4</w:t>
                  </w:r>
                  <w:r>
                    <w:rPr>
                      <w:rFonts w:hint="default" w:ascii="Times New Roman" w:hAnsi="Times New Roman" w:cs="Times New Roman"/>
                      <w:color w:val="auto"/>
                      <w:spacing w:val="-10"/>
                      <w:sz w:val="21"/>
                      <w:szCs w:val="21"/>
                      <w:highlight w:val="none"/>
                    </w:rPr>
                    <w:t>L</w:t>
                  </w:r>
                </w:p>
              </w:tc>
              <w:tc>
                <w:tcPr>
                  <w:tcW w:w="794" w:type="pct"/>
                  <w:noWrap/>
                  <w:vAlign w:val="center"/>
                </w:tcPr>
                <w:p w14:paraId="1F0E2DA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0.01mg/L</w:t>
                  </w:r>
                </w:p>
              </w:tc>
            </w:tr>
            <w:tr w14:paraId="347D6A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0560182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28</w:t>
                  </w:r>
                </w:p>
              </w:tc>
              <w:tc>
                <w:tcPr>
                  <w:tcW w:w="1385" w:type="pct"/>
                  <w:noWrap/>
                  <w:vAlign w:val="center"/>
                </w:tcPr>
                <w:p w14:paraId="34997B8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硒</w:t>
                  </w:r>
                </w:p>
              </w:tc>
              <w:tc>
                <w:tcPr>
                  <w:tcW w:w="512" w:type="pct"/>
                  <w:noWrap/>
                  <w:vAlign w:val="center"/>
                </w:tcPr>
                <w:p w14:paraId="7786FA8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1C2E52A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4.0×10-</w:t>
                  </w:r>
                  <w:r>
                    <w:rPr>
                      <w:rFonts w:hint="default" w:ascii="Times New Roman" w:hAnsi="Times New Roman" w:cs="Times New Roman"/>
                      <w:color w:val="auto"/>
                      <w:spacing w:val="-10"/>
                      <w:sz w:val="21"/>
                      <w:szCs w:val="21"/>
                      <w:highlight w:val="none"/>
                      <w:vertAlign w:val="superscript"/>
                    </w:rPr>
                    <w:t>4</w:t>
                  </w:r>
                  <w:r>
                    <w:rPr>
                      <w:rFonts w:hint="default" w:ascii="Times New Roman" w:hAnsi="Times New Roman" w:cs="Times New Roman"/>
                      <w:color w:val="auto"/>
                      <w:spacing w:val="-10"/>
                      <w:sz w:val="21"/>
                      <w:szCs w:val="21"/>
                      <w:highlight w:val="none"/>
                    </w:rPr>
                    <w:t>L</w:t>
                  </w:r>
                </w:p>
              </w:tc>
              <w:tc>
                <w:tcPr>
                  <w:tcW w:w="747" w:type="pct"/>
                  <w:noWrap/>
                  <w:vAlign w:val="center"/>
                </w:tcPr>
                <w:p w14:paraId="6925F2F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4.0×10-</w:t>
                  </w:r>
                  <w:r>
                    <w:rPr>
                      <w:rFonts w:hint="default" w:ascii="Times New Roman" w:hAnsi="Times New Roman" w:cs="Times New Roman"/>
                      <w:color w:val="auto"/>
                      <w:spacing w:val="-10"/>
                      <w:sz w:val="21"/>
                      <w:szCs w:val="21"/>
                      <w:highlight w:val="none"/>
                      <w:vertAlign w:val="superscript"/>
                    </w:rPr>
                    <w:t>4</w:t>
                  </w:r>
                  <w:r>
                    <w:rPr>
                      <w:rFonts w:hint="default" w:ascii="Times New Roman" w:hAnsi="Times New Roman" w:cs="Times New Roman"/>
                      <w:color w:val="auto"/>
                      <w:spacing w:val="-10"/>
                      <w:sz w:val="21"/>
                      <w:szCs w:val="21"/>
                      <w:highlight w:val="none"/>
                    </w:rPr>
                    <w:t>L</w:t>
                  </w:r>
                </w:p>
              </w:tc>
              <w:tc>
                <w:tcPr>
                  <w:tcW w:w="606" w:type="pct"/>
                  <w:noWrap/>
                  <w:vAlign w:val="center"/>
                </w:tcPr>
                <w:p w14:paraId="44FCC0C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4.0×10-</w:t>
                  </w:r>
                  <w:r>
                    <w:rPr>
                      <w:rFonts w:hint="default" w:ascii="Times New Roman" w:hAnsi="Times New Roman" w:cs="Times New Roman"/>
                      <w:color w:val="auto"/>
                      <w:spacing w:val="-10"/>
                      <w:sz w:val="21"/>
                      <w:szCs w:val="21"/>
                      <w:highlight w:val="none"/>
                      <w:vertAlign w:val="superscript"/>
                    </w:rPr>
                    <w:t>4</w:t>
                  </w:r>
                  <w:r>
                    <w:rPr>
                      <w:rFonts w:hint="default" w:ascii="Times New Roman" w:hAnsi="Times New Roman" w:cs="Times New Roman"/>
                      <w:color w:val="auto"/>
                      <w:spacing w:val="-10"/>
                      <w:sz w:val="21"/>
                      <w:szCs w:val="21"/>
                      <w:highlight w:val="none"/>
                    </w:rPr>
                    <w:t>L</w:t>
                  </w:r>
                </w:p>
              </w:tc>
              <w:tc>
                <w:tcPr>
                  <w:tcW w:w="794" w:type="pct"/>
                  <w:noWrap/>
                  <w:vAlign w:val="center"/>
                </w:tcPr>
                <w:p w14:paraId="6CD765F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0.01mg/L</w:t>
                  </w:r>
                </w:p>
              </w:tc>
            </w:tr>
            <w:tr w14:paraId="623D83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26AEBF7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29</w:t>
                  </w:r>
                </w:p>
              </w:tc>
              <w:tc>
                <w:tcPr>
                  <w:tcW w:w="1385" w:type="pct"/>
                  <w:noWrap/>
                  <w:vAlign w:val="center"/>
                </w:tcPr>
                <w:p w14:paraId="116E8A3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铬（六价）</w:t>
                  </w:r>
                </w:p>
              </w:tc>
              <w:tc>
                <w:tcPr>
                  <w:tcW w:w="512" w:type="pct"/>
                  <w:noWrap/>
                  <w:vAlign w:val="center"/>
                </w:tcPr>
                <w:p w14:paraId="14FF0C3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237E4D1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0.004L</w:t>
                  </w:r>
                </w:p>
              </w:tc>
              <w:tc>
                <w:tcPr>
                  <w:tcW w:w="747" w:type="pct"/>
                  <w:noWrap/>
                  <w:vAlign w:val="center"/>
                </w:tcPr>
                <w:p w14:paraId="11DB3BC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0.004L</w:t>
                  </w:r>
                </w:p>
              </w:tc>
              <w:tc>
                <w:tcPr>
                  <w:tcW w:w="606" w:type="pct"/>
                  <w:noWrap/>
                  <w:vAlign w:val="center"/>
                </w:tcPr>
                <w:p w14:paraId="770919B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0.004L</w:t>
                  </w:r>
                </w:p>
              </w:tc>
              <w:tc>
                <w:tcPr>
                  <w:tcW w:w="794" w:type="pct"/>
                  <w:noWrap/>
                  <w:vAlign w:val="center"/>
                </w:tcPr>
                <w:p w14:paraId="5001DD3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0.05mg/L</w:t>
                  </w:r>
                </w:p>
              </w:tc>
            </w:tr>
            <w:tr w14:paraId="6DF876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28478D5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30</w:t>
                  </w:r>
                </w:p>
              </w:tc>
              <w:tc>
                <w:tcPr>
                  <w:tcW w:w="1385" w:type="pct"/>
                  <w:noWrap/>
                  <w:vAlign w:val="center"/>
                </w:tcPr>
                <w:p w14:paraId="2B668C3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碳酸根</w:t>
                  </w:r>
                </w:p>
              </w:tc>
              <w:tc>
                <w:tcPr>
                  <w:tcW w:w="512" w:type="pct"/>
                  <w:noWrap/>
                  <w:vAlign w:val="center"/>
                </w:tcPr>
                <w:p w14:paraId="6312A91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02BE24F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5L</w:t>
                  </w:r>
                </w:p>
              </w:tc>
              <w:tc>
                <w:tcPr>
                  <w:tcW w:w="747" w:type="pct"/>
                  <w:noWrap/>
                  <w:vAlign w:val="center"/>
                </w:tcPr>
                <w:p w14:paraId="1DECDCD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5L</w:t>
                  </w:r>
                </w:p>
              </w:tc>
              <w:tc>
                <w:tcPr>
                  <w:tcW w:w="606" w:type="pct"/>
                  <w:noWrap/>
                  <w:vAlign w:val="center"/>
                </w:tcPr>
                <w:p w14:paraId="1C5095A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5L</w:t>
                  </w:r>
                </w:p>
              </w:tc>
              <w:tc>
                <w:tcPr>
                  <w:tcW w:w="794" w:type="pct"/>
                  <w:noWrap/>
                  <w:vAlign w:val="center"/>
                </w:tcPr>
                <w:p w14:paraId="3F32B90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w:t>
                  </w:r>
                </w:p>
              </w:tc>
            </w:tr>
            <w:tr w14:paraId="42F302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37398BC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31</w:t>
                  </w:r>
                </w:p>
              </w:tc>
              <w:tc>
                <w:tcPr>
                  <w:tcW w:w="1385" w:type="pct"/>
                  <w:noWrap/>
                  <w:vAlign w:val="center"/>
                </w:tcPr>
                <w:p w14:paraId="6F1EA9D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重碳酸根</w:t>
                  </w:r>
                </w:p>
              </w:tc>
              <w:tc>
                <w:tcPr>
                  <w:tcW w:w="512" w:type="pct"/>
                  <w:noWrap/>
                  <w:vAlign w:val="center"/>
                </w:tcPr>
                <w:p w14:paraId="0CD76E6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3D0E2DD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197</w:t>
                  </w:r>
                </w:p>
              </w:tc>
              <w:tc>
                <w:tcPr>
                  <w:tcW w:w="747" w:type="pct"/>
                  <w:noWrap/>
                  <w:vAlign w:val="center"/>
                </w:tcPr>
                <w:p w14:paraId="4BFCFF1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48</w:t>
                  </w:r>
                </w:p>
              </w:tc>
              <w:tc>
                <w:tcPr>
                  <w:tcW w:w="606" w:type="pct"/>
                  <w:noWrap/>
                  <w:vAlign w:val="center"/>
                </w:tcPr>
                <w:p w14:paraId="3918D23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246</w:t>
                  </w:r>
                </w:p>
              </w:tc>
              <w:tc>
                <w:tcPr>
                  <w:tcW w:w="794" w:type="pct"/>
                  <w:noWrap/>
                  <w:vAlign w:val="center"/>
                </w:tcPr>
                <w:p w14:paraId="1416C791">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w:t>
                  </w:r>
                </w:p>
              </w:tc>
            </w:tr>
            <w:tr w14:paraId="246DB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37A86C6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32</w:t>
                  </w:r>
                </w:p>
              </w:tc>
              <w:tc>
                <w:tcPr>
                  <w:tcW w:w="1385" w:type="pct"/>
                  <w:noWrap/>
                  <w:vAlign w:val="center"/>
                </w:tcPr>
                <w:p w14:paraId="6247D2C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色度</w:t>
                  </w:r>
                </w:p>
              </w:tc>
              <w:tc>
                <w:tcPr>
                  <w:tcW w:w="512" w:type="pct"/>
                  <w:noWrap/>
                  <w:vAlign w:val="center"/>
                </w:tcPr>
                <w:p w14:paraId="11B3486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度</w:t>
                  </w:r>
                </w:p>
              </w:tc>
              <w:tc>
                <w:tcPr>
                  <w:tcW w:w="667" w:type="pct"/>
                  <w:noWrap/>
                  <w:vAlign w:val="center"/>
                </w:tcPr>
                <w:p w14:paraId="4803571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w:t>
                  </w:r>
                </w:p>
              </w:tc>
              <w:tc>
                <w:tcPr>
                  <w:tcW w:w="747" w:type="pct"/>
                  <w:noWrap/>
                  <w:vAlign w:val="center"/>
                </w:tcPr>
                <w:p w14:paraId="76DAA0D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w:t>
                  </w:r>
                </w:p>
              </w:tc>
              <w:tc>
                <w:tcPr>
                  <w:tcW w:w="606" w:type="pct"/>
                  <w:noWrap/>
                  <w:vAlign w:val="center"/>
                </w:tcPr>
                <w:p w14:paraId="260E884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w:t>
                  </w:r>
                </w:p>
              </w:tc>
              <w:tc>
                <w:tcPr>
                  <w:tcW w:w="794" w:type="pct"/>
                  <w:noWrap/>
                  <w:vAlign w:val="center"/>
                </w:tcPr>
                <w:p w14:paraId="152670D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15度</w:t>
                  </w:r>
                </w:p>
              </w:tc>
            </w:tr>
            <w:tr w14:paraId="24F0F8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07A154B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33</w:t>
                  </w:r>
                </w:p>
              </w:tc>
              <w:tc>
                <w:tcPr>
                  <w:tcW w:w="1385" w:type="pct"/>
                  <w:noWrap/>
                  <w:vAlign w:val="center"/>
                </w:tcPr>
                <w:p w14:paraId="6085A1E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浊度</w:t>
                  </w:r>
                </w:p>
              </w:tc>
              <w:tc>
                <w:tcPr>
                  <w:tcW w:w="512" w:type="pct"/>
                  <w:noWrap/>
                  <w:vAlign w:val="center"/>
                </w:tcPr>
                <w:p w14:paraId="0B4F320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NTU</w:t>
                  </w:r>
                </w:p>
              </w:tc>
              <w:tc>
                <w:tcPr>
                  <w:tcW w:w="667" w:type="pct"/>
                  <w:noWrap/>
                  <w:vAlign w:val="center"/>
                </w:tcPr>
                <w:p w14:paraId="6DB0168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0.3L</w:t>
                  </w:r>
                </w:p>
              </w:tc>
              <w:tc>
                <w:tcPr>
                  <w:tcW w:w="747" w:type="pct"/>
                  <w:noWrap/>
                  <w:vAlign w:val="center"/>
                </w:tcPr>
                <w:p w14:paraId="5401ECD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0.3L</w:t>
                  </w:r>
                </w:p>
              </w:tc>
              <w:tc>
                <w:tcPr>
                  <w:tcW w:w="606" w:type="pct"/>
                  <w:noWrap/>
                  <w:vAlign w:val="center"/>
                </w:tcPr>
                <w:p w14:paraId="4ADA39D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0.3L</w:t>
                  </w:r>
                </w:p>
              </w:tc>
              <w:tc>
                <w:tcPr>
                  <w:tcW w:w="794" w:type="pct"/>
                  <w:noWrap/>
                  <w:vAlign w:val="center"/>
                </w:tcPr>
                <w:p w14:paraId="68DE0AB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3NTU</w:t>
                  </w:r>
                </w:p>
              </w:tc>
            </w:tr>
            <w:tr w14:paraId="06378E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27CC52A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34</w:t>
                  </w:r>
                </w:p>
              </w:tc>
              <w:tc>
                <w:tcPr>
                  <w:tcW w:w="1385" w:type="pct"/>
                  <w:noWrap/>
                  <w:vAlign w:val="center"/>
                </w:tcPr>
                <w:p w14:paraId="4F9120F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臭和味</w:t>
                  </w:r>
                </w:p>
              </w:tc>
              <w:tc>
                <w:tcPr>
                  <w:tcW w:w="512" w:type="pct"/>
                  <w:noWrap/>
                  <w:vAlign w:val="center"/>
                </w:tcPr>
                <w:p w14:paraId="7428C4F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w:t>
                  </w:r>
                </w:p>
              </w:tc>
              <w:tc>
                <w:tcPr>
                  <w:tcW w:w="667" w:type="pct"/>
                  <w:noWrap/>
                  <w:vAlign w:val="center"/>
                </w:tcPr>
                <w:p w14:paraId="4147BC7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无</w:t>
                  </w:r>
                </w:p>
              </w:tc>
              <w:tc>
                <w:tcPr>
                  <w:tcW w:w="747" w:type="pct"/>
                  <w:noWrap/>
                  <w:vAlign w:val="center"/>
                </w:tcPr>
                <w:p w14:paraId="430FDE5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无</w:t>
                  </w:r>
                </w:p>
              </w:tc>
              <w:tc>
                <w:tcPr>
                  <w:tcW w:w="606" w:type="pct"/>
                  <w:noWrap/>
                  <w:vAlign w:val="center"/>
                </w:tcPr>
                <w:p w14:paraId="6F31914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无</w:t>
                  </w:r>
                </w:p>
              </w:tc>
              <w:tc>
                <w:tcPr>
                  <w:tcW w:w="794" w:type="pct"/>
                  <w:noWrap/>
                  <w:vAlign w:val="center"/>
                </w:tcPr>
                <w:p w14:paraId="2E9B587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无</w:t>
                  </w:r>
                </w:p>
              </w:tc>
            </w:tr>
            <w:tr w14:paraId="5F7B29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6A06DE7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35</w:t>
                  </w:r>
                </w:p>
              </w:tc>
              <w:tc>
                <w:tcPr>
                  <w:tcW w:w="1385" w:type="pct"/>
                  <w:noWrap/>
                  <w:vAlign w:val="center"/>
                </w:tcPr>
                <w:p w14:paraId="46CAB6C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肉眼可见物</w:t>
                  </w:r>
                </w:p>
              </w:tc>
              <w:tc>
                <w:tcPr>
                  <w:tcW w:w="512" w:type="pct"/>
                  <w:noWrap/>
                  <w:vAlign w:val="center"/>
                </w:tcPr>
                <w:p w14:paraId="5300B98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w:t>
                  </w:r>
                </w:p>
              </w:tc>
              <w:tc>
                <w:tcPr>
                  <w:tcW w:w="667" w:type="pct"/>
                  <w:noWrap/>
                  <w:vAlign w:val="center"/>
                </w:tcPr>
                <w:p w14:paraId="23D4988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无</w:t>
                  </w:r>
                </w:p>
              </w:tc>
              <w:tc>
                <w:tcPr>
                  <w:tcW w:w="747" w:type="pct"/>
                  <w:noWrap/>
                  <w:vAlign w:val="center"/>
                </w:tcPr>
                <w:p w14:paraId="278C17C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无</w:t>
                  </w:r>
                </w:p>
              </w:tc>
              <w:tc>
                <w:tcPr>
                  <w:tcW w:w="606" w:type="pct"/>
                  <w:noWrap/>
                  <w:vAlign w:val="center"/>
                </w:tcPr>
                <w:p w14:paraId="17BEEF9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无</w:t>
                  </w:r>
                </w:p>
              </w:tc>
              <w:tc>
                <w:tcPr>
                  <w:tcW w:w="794" w:type="pct"/>
                  <w:noWrap/>
                  <w:vAlign w:val="center"/>
                </w:tcPr>
                <w:p w14:paraId="4F1D9021">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无</w:t>
                  </w:r>
                </w:p>
              </w:tc>
            </w:tr>
            <w:tr w14:paraId="0CF20F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654E1701">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36</w:t>
                  </w:r>
                </w:p>
              </w:tc>
              <w:tc>
                <w:tcPr>
                  <w:tcW w:w="1385" w:type="pct"/>
                  <w:noWrap/>
                  <w:vAlign w:val="center"/>
                </w:tcPr>
                <w:p w14:paraId="23224C0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阴离子表面活性剂</w:t>
                  </w:r>
                </w:p>
              </w:tc>
              <w:tc>
                <w:tcPr>
                  <w:tcW w:w="512" w:type="pct"/>
                  <w:noWrap/>
                  <w:vAlign w:val="center"/>
                </w:tcPr>
                <w:p w14:paraId="26552B9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12CD24A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0.05L</w:t>
                  </w:r>
                </w:p>
              </w:tc>
              <w:tc>
                <w:tcPr>
                  <w:tcW w:w="747" w:type="pct"/>
                  <w:noWrap/>
                  <w:vAlign w:val="center"/>
                </w:tcPr>
                <w:p w14:paraId="6B1E66E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0.05L</w:t>
                  </w:r>
                </w:p>
              </w:tc>
              <w:tc>
                <w:tcPr>
                  <w:tcW w:w="606" w:type="pct"/>
                  <w:noWrap/>
                  <w:vAlign w:val="center"/>
                </w:tcPr>
                <w:p w14:paraId="3E38352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0.05L</w:t>
                  </w:r>
                </w:p>
              </w:tc>
              <w:tc>
                <w:tcPr>
                  <w:tcW w:w="794" w:type="pct"/>
                  <w:noWrap/>
                  <w:vAlign w:val="center"/>
                </w:tcPr>
                <w:p w14:paraId="326D9E3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0.3mg/L</w:t>
                  </w:r>
                </w:p>
              </w:tc>
            </w:tr>
            <w:tr w14:paraId="3F0C9B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6E7415A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37</w:t>
                  </w:r>
                </w:p>
              </w:tc>
              <w:tc>
                <w:tcPr>
                  <w:tcW w:w="1385" w:type="pct"/>
                  <w:noWrap/>
                  <w:vAlign w:val="center"/>
                </w:tcPr>
                <w:p w14:paraId="27785C9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碘化物</w:t>
                  </w:r>
                </w:p>
              </w:tc>
              <w:tc>
                <w:tcPr>
                  <w:tcW w:w="512" w:type="pct"/>
                  <w:noWrap/>
                  <w:vAlign w:val="center"/>
                </w:tcPr>
                <w:p w14:paraId="00C0680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41CBED3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0.025L</w:t>
                  </w:r>
                </w:p>
              </w:tc>
              <w:tc>
                <w:tcPr>
                  <w:tcW w:w="747" w:type="pct"/>
                  <w:noWrap/>
                  <w:vAlign w:val="center"/>
                </w:tcPr>
                <w:p w14:paraId="2AE2167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0.025L</w:t>
                  </w:r>
                </w:p>
              </w:tc>
              <w:tc>
                <w:tcPr>
                  <w:tcW w:w="606" w:type="pct"/>
                  <w:noWrap/>
                  <w:vAlign w:val="center"/>
                </w:tcPr>
                <w:p w14:paraId="461743E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0.025L</w:t>
                  </w:r>
                </w:p>
              </w:tc>
              <w:tc>
                <w:tcPr>
                  <w:tcW w:w="794" w:type="pct"/>
                  <w:noWrap/>
                  <w:vAlign w:val="center"/>
                </w:tcPr>
                <w:p w14:paraId="11A139B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0.08mg/L</w:t>
                  </w:r>
                </w:p>
              </w:tc>
            </w:tr>
            <w:tr w14:paraId="316B2B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552F5E8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38</w:t>
                  </w:r>
                </w:p>
              </w:tc>
              <w:tc>
                <w:tcPr>
                  <w:tcW w:w="1385" w:type="pct"/>
                  <w:noWrap/>
                  <w:vAlign w:val="center"/>
                </w:tcPr>
                <w:p w14:paraId="226C76A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硫化物</w:t>
                  </w:r>
                </w:p>
              </w:tc>
              <w:tc>
                <w:tcPr>
                  <w:tcW w:w="512" w:type="pct"/>
                  <w:noWrap/>
                  <w:vAlign w:val="center"/>
                </w:tcPr>
                <w:p w14:paraId="3BEC04F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mg/L</w:t>
                  </w:r>
                </w:p>
              </w:tc>
              <w:tc>
                <w:tcPr>
                  <w:tcW w:w="667" w:type="pct"/>
                  <w:noWrap/>
                  <w:vAlign w:val="center"/>
                </w:tcPr>
                <w:p w14:paraId="484621BA">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0.003L</w:t>
                  </w:r>
                </w:p>
              </w:tc>
              <w:tc>
                <w:tcPr>
                  <w:tcW w:w="747" w:type="pct"/>
                  <w:noWrap/>
                  <w:vAlign w:val="center"/>
                </w:tcPr>
                <w:p w14:paraId="4473321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0.003L</w:t>
                  </w:r>
                </w:p>
              </w:tc>
              <w:tc>
                <w:tcPr>
                  <w:tcW w:w="606" w:type="pct"/>
                  <w:noWrap/>
                  <w:vAlign w:val="center"/>
                </w:tcPr>
                <w:p w14:paraId="4855827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0.003L</w:t>
                  </w:r>
                </w:p>
              </w:tc>
              <w:tc>
                <w:tcPr>
                  <w:tcW w:w="794" w:type="pct"/>
                  <w:noWrap/>
                  <w:vAlign w:val="center"/>
                </w:tcPr>
                <w:p w14:paraId="5C8145A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0.02mg/L</w:t>
                  </w:r>
                </w:p>
              </w:tc>
            </w:tr>
            <w:tr w14:paraId="357EE7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3D3B15B9">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39</w:t>
                  </w:r>
                </w:p>
              </w:tc>
              <w:tc>
                <w:tcPr>
                  <w:tcW w:w="1385" w:type="pct"/>
                  <w:noWrap/>
                  <w:vAlign w:val="center"/>
                </w:tcPr>
                <w:p w14:paraId="687DDDA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氯仿（三氯甲烷）</w:t>
                  </w:r>
                </w:p>
              </w:tc>
              <w:tc>
                <w:tcPr>
                  <w:tcW w:w="512" w:type="pct"/>
                  <w:noWrap/>
                  <w:vAlign w:val="center"/>
                </w:tcPr>
                <w:p w14:paraId="634A01DF">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μg/L</w:t>
                  </w:r>
                </w:p>
              </w:tc>
              <w:tc>
                <w:tcPr>
                  <w:tcW w:w="667" w:type="pct"/>
                  <w:noWrap/>
                  <w:vAlign w:val="center"/>
                </w:tcPr>
                <w:p w14:paraId="5DC24A5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1.1L</w:t>
                  </w:r>
                </w:p>
              </w:tc>
              <w:tc>
                <w:tcPr>
                  <w:tcW w:w="747" w:type="pct"/>
                  <w:noWrap/>
                  <w:vAlign w:val="center"/>
                </w:tcPr>
                <w:p w14:paraId="1E18AC4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1.1L</w:t>
                  </w:r>
                </w:p>
              </w:tc>
              <w:tc>
                <w:tcPr>
                  <w:tcW w:w="606" w:type="pct"/>
                  <w:noWrap/>
                  <w:vAlign w:val="center"/>
                </w:tcPr>
                <w:p w14:paraId="30E7FAF2">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1.1L</w:t>
                  </w:r>
                </w:p>
              </w:tc>
              <w:tc>
                <w:tcPr>
                  <w:tcW w:w="794" w:type="pct"/>
                  <w:noWrap/>
                  <w:vAlign w:val="center"/>
                </w:tcPr>
                <w:p w14:paraId="15870EC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60μg/L</w:t>
                  </w:r>
                </w:p>
              </w:tc>
            </w:tr>
            <w:tr w14:paraId="0FEE0A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0135474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40</w:t>
                  </w:r>
                </w:p>
              </w:tc>
              <w:tc>
                <w:tcPr>
                  <w:tcW w:w="1385" w:type="pct"/>
                  <w:noWrap/>
                  <w:vAlign w:val="center"/>
                </w:tcPr>
                <w:p w14:paraId="7E7F7F8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四氯化碳</w:t>
                  </w:r>
                </w:p>
              </w:tc>
              <w:tc>
                <w:tcPr>
                  <w:tcW w:w="512" w:type="pct"/>
                  <w:noWrap/>
                  <w:vAlign w:val="center"/>
                </w:tcPr>
                <w:p w14:paraId="12A0968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μg/L</w:t>
                  </w:r>
                </w:p>
              </w:tc>
              <w:tc>
                <w:tcPr>
                  <w:tcW w:w="667" w:type="pct"/>
                  <w:noWrap/>
                  <w:vAlign w:val="center"/>
                </w:tcPr>
                <w:p w14:paraId="726030D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0.8L</w:t>
                  </w:r>
                </w:p>
              </w:tc>
              <w:tc>
                <w:tcPr>
                  <w:tcW w:w="747" w:type="pct"/>
                  <w:noWrap/>
                  <w:vAlign w:val="center"/>
                </w:tcPr>
                <w:p w14:paraId="3C0291B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0.8L</w:t>
                  </w:r>
                </w:p>
              </w:tc>
              <w:tc>
                <w:tcPr>
                  <w:tcW w:w="606" w:type="pct"/>
                  <w:noWrap/>
                  <w:vAlign w:val="center"/>
                </w:tcPr>
                <w:p w14:paraId="50C8800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0.8L</w:t>
                  </w:r>
                </w:p>
              </w:tc>
              <w:tc>
                <w:tcPr>
                  <w:tcW w:w="794" w:type="pct"/>
                  <w:noWrap/>
                  <w:vAlign w:val="center"/>
                </w:tcPr>
                <w:p w14:paraId="1CA4295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2.0μg/L</w:t>
                  </w:r>
                </w:p>
              </w:tc>
            </w:tr>
            <w:tr w14:paraId="46BB5E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451BC1D4">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41</w:t>
                  </w:r>
                </w:p>
              </w:tc>
              <w:tc>
                <w:tcPr>
                  <w:tcW w:w="1385" w:type="pct"/>
                  <w:noWrap/>
                  <w:vAlign w:val="center"/>
                </w:tcPr>
                <w:p w14:paraId="109C95B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苯</w:t>
                  </w:r>
                </w:p>
              </w:tc>
              <w:tc>
                <w:tcPr>
                  <w:tcW w:w="512" w:type="pct"/>
                  <w:noWrap/>
                  <w:vAlign w:val="center"/>
                </w:tcPr>
                <w:p w14:paraId="61835836">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μg/L</w:t>
                  </w:r>
                </w:p>
              </w:tc>
              <w:tc>
                <w:tcPr>
                  <w:tcW w:w="667" w:type="pct"/>
                  <w:noWrap/>
                  <w:vAlign w:val="center"/>
                </w:tcPr>
                <w:p w14:paraId="2A8C479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0.8L</w:t>
                  </w:r>
                </w:p>
              </w:tc>
              <w:tc>
                <w:tcPr>
                  <w:tcW w:w="747" w:type="pct"/>
                  <w:noWrap/>
                  <w:vAlign w:val="center"/>
                </w:tcPr>
                <w:p w14:paraId="1F29C865">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0.8L</w:t>
                  </w:r>
                </w:p>
              </w:tc>
              <w:tc>
                <w:tcPr>
                  <w:tcW w:w="606" w:type="pct"/>
                  <w:noWrap/>
                  <w:vAlign w:val="center"/>
                </w:tcPr>
                <w:p w14:paraId="7C14AA10">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0.8L</w:t>
                  </w:r>
                </w:p>
              </w:tc>
              <w:tc>
                <w:tcPr>
                  <w:tcW w:w="794" w:type="pct"/>
                  <w:noWrap/>
                  <w:vAlign w:val="center"/>
                </w:tcPr>
                <w:p w14:paraId="00DEDE31">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10.0μg/L</w:t>
                  </w:r>
                </w:p>
              </w:tc>
            </w:tr>
            <w:tr w14:paraId="3F6973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86" w:type="pct"/>
                  <w:noWrap/>
                  <w:vAlign w:val="center"/>
                </w:tcPr>
                <w:p w14:paraId="2CF712C7">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42</w:t>
                  </w:r>
                </w:p>
              </w:tc>
              <w:tc>
                <w:tcPr>
                  <w:tcW w:w="1385" w:type="pct"/>
                  <w:noWrap/>
                  <w:vAlign w:val="center"/>
                </w:tcPr>
                <w:p w14:paraId="23B7E98E">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甲苯</w:t>
                  </w:r>
                </w:p>
              </w:tc>
              <w:tc>
                <w:tcPr>
                  <w:tcW w:w="512" w:type="pct"/>
                  <w:noWrap/>
                  <w:vAlign w:val="center"/>
                </w:tcPr>
                <w:p w14:paraId="7D2B7793">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μg/L</w:t>
                  </w:r>
                </w:p>
              </w:tc>
              <w:tc>
                <w:tcPr>
                  <w:tcW w:w="667" w:type="pct"/>
                  <w:noWrap/>
                  <w:vAlign w:val="center"/>
                </w:tcPr>
                <w:p w14:paraId="472EDBCB">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1.0L</w:t>
                  </w:r>
                </w:p>
              </w:tc>
              <w:tc>
                <w:tcPr>
                  <w:tcW w:w="747" w:type="pct"/>
                  <w:noWrap/>
                  <w:vAlign w:val="center"/>
                </w:tcPr>
                <w:p w14:paraId="00BFED5D">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1.0L</w:t>
                  </w:r>
                </w:p>
              </w:tc>
              <w:tc>
                <w:tcPr>
                  <w:tcW w:w="606" w:type="pct"/>
                  <w:noWrap/>
                  <w:vAlign w:val="center"/>
                </w:tcPr>
                <w:p w14:paraId="79ACF668">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1.0L</w:t>
                  </w:r>
                </w:p>
              </w:tc>
              <w:tc>
                <w:tcPr>
                  <w:tcW w:w="794" w:type="pct"/>
                  <w:noWrap/>
                  <w:vAlign w:val="center"/>
                </w:tcPr>
                <w:p w14:paraId="30F1168C">
                  <w:pPr>
                    <w:spacing w:line="0" w:lineRule="atLeast"/>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700μg/L</w:t>
                  </w:r>
                </w:p>
              </w:tc>
            </w:tr>
          </w:tbl>
          <w:p w14:paraId="19E7F5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由</w:t>
            </w:r>
            <w:r>
              <w:rPr>
                <w:rFonts w:hint="default" w:ascii="Times New Roman" w:hAnsi="Times New Roman" w:cs="Times New Roman"/>
                <w:color w:val="auto"/>
                <w:sz w:val="24"/>
                <w:szCs w:val="24"/>
                <w:highlight w:val="none"/>
                <w:lang w:val="en-US" w:eastAsia="zh-CN"/>
              </w:rPr>
              <w:t>监测</w:t>
            </w:r>
            <w:r>
              <w:rPr>
                <w:rFonts w:hint="default" w:ascii="Times New Roman" w:hAnsi="Times New Roman" w:cs="Times New Roman"/>
                <w:color w:val="auto"/>
                <w:sz w:val="24"/>
                <w:szCs w:val="24"/>
                <w:highlight w:val="none"/>
              </w:rPr>
              <w:t>结果可知，监测点氟化物存在超标情况，其余43项监测因子均符合《地下水质量标准》（GB/T14848-2017）Ⅲ类标准要求。氟化物超标原因为当地地质构成中含有丰富的氟化物矿物，这些矿物在长期的地质作用下溶解释放出氟化物，导致地下水中氟化物含量超标现象。</w:t>
            </w:r>
          </w:p>
          <w:p w14:paraId="3A560E4E">
            <w:pPr>
              <w:pStyle w:val="6"/>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val="en-US" w:eastAsia="zh-CN"/>
              </w:rPr>
              <w:t>土壤环境质量现状</w:t>
            </w:r>
          </w:p>
          <w:p w14:paraId="6EC6EE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为掌握项目区土壤环境质量现状，本项目引用《</w:t>
            </w:r>
            <w:r>
              <w:rPr>
                <w:rFonts w:hint="default" w:ascii="Times New Roman" w:hAnsi="Times New Roman" w:eastAsia="宋体" w:cs="Times New Roman"/>
                <w:color w:val="auto"/>
                <w:sz w:val="24"/>
                <w:szCs w:val="24"/>
                <w:highlight w:val="none"/>
                <w:lang w:eastAsia="zh-CN"/>
              </w:rPr>
              <w:t>内蒙古太平矿业有限公司浩尧尔忽洞金矿年开采825万吨金矿石建设项目</w:t>
            </w:r>
            <w:r>
              <w:rPr>
                <w:rFonts w:hint="default" w:ascii="Times New Roman" w:hAnsi="Times New Roman" w:eastAsia="宋体" w:cs="Times New Roman"/>
                <w:color w:val="auto"/>
                <w:sz w:val="24"/>
                <w:szCs w:val="24"/>
                <w:highlight w:val="none"/>
                <w:lang w:val="en-US" w:eastAsia="zh-CN"/>
              </w:rPr>
              <w:t>环境影响报告书》中土壤的监测数据，检测时间为</w:t>
            </w:r>
            <w:r>
              <w:rPr>
                <w:rFonts w:hint="default" w:ascii="Times New Roman" w:hAnsi="Times New Roman" w:eastAsia="宋体" w:cs="Times New Roman"/>
                <w:color w:val="auto"/>
                <w:sz w:val="24"/>
                <w:szCs w:val="24"/>
                <w:highlight w:val="none"/>
              </w:rPr>
              <w:t>2024年11月29日</w:t>
            </w:r>
            <w:r>
              <w:rPr>
                <w:rFonts w:hint="default" w:ascii="Times New Roman" w:hAnsi="Times New Roman" w:eastAsia="宋体" w:cs="Times New Roman"/>
                <w:color w:val="auto"/>
                <w:sz w:val="24"/>
                <w:szCs w:val="24"/>
                <w:highlight w:val="none"/>
                <w:lang w:val="en-US" w:eastAsia="zh-CN"/>
              </w:rPr>
              <w:t>。监测点位位于本项目危废库东南220m，检测结果统计表见下表。</w:t>
            </w:r>
          </w:p>
          <w:p w14:paraId="14927F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3-</w:t>
            </w:r>
            <w:r>
              <w:rPr>
                <w:rFonts w:hint="eastAsia" w:ascii="Times New Roman" w:hAnsi="Times New Roman"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土壤环境质量监测结果（引用）</w:t>
            </w:r>
          </w:p>
          <w:tbl>
            <w:tblPr>
              <w:tblStyle w:val="2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
            <w:tblGrid>
              <w:gridCol w:w="495"/>
              <w:gridCol w:w="1356"/>
              <w:gridCol w:w="917"/>
              <w:gridCol w:w="1009"/>
              <w:gridCol w:w="885"/>
              <w:gridCol w:w="885"/>
              <w:gridCol w:w="885"/>
              <w:gridCol w:w="891"/>
              <w:gridCol w:w="1099"/>
            </w:tblGrid>
            <w:tr w14:paraId="03887E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vMerge w:val="restart"/>
                  <w:noWrap/>
                  <w:vAlign w:val="center"/>
                </w:tcPr>
                <w:p w14:paraId="644426E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序号</w:t>
                  </w:r>
                </w:p>
              </w:tc>
              <w:tc>
                <w:tcPr>
                  <w:tcW w:w="805" w:type="pct"/>
                  <w:vMerge w:val="restart"/>
                  <w:noWrap/>
                  <w:vAlign w:val="center"/>
                </w:tcPr>
                <w:p w14:paraId="333A70D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检测因子</w:t>
                  </w:r>
                </w:p>
              </w:tc>
              <w:tc>
                <w:tcPr>
                  <w:tcW w:w="544" w:type="pct"/>
                  <w:vMerge w:val="restart"/>
                  <w:noWrap/>
                  <w:vAlign w:val="center"/>
                </w:tcPr>
                <w:p w14:paraId="256D7C9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单位</w:t>
                  </w:r>
                </w:p>
              </w:tc>
              <w:tc>
                <w:tcPr>
                  <w:tcW w:w="2703" w:type="pct"/>
                  <w:gridSpan w:val="5"/>
                  <w:noWrap/>
                  <w:vAlign w:val="center"/>
                </w:tcPr>
                <w:p w14:paraId="190682E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检测点位</w:t>
                  </w:r>
                </w:p>
              </w:tc>
              <w:tc>
                <w:tcPr>
                  <w:tcW w:w="652" w:type="pct"/>
                  <w:vMerge w:val="restart"/>
                  <w:noWrap/>
                  <w:vAlign w:val="center"/>
                </w:tcPr>
                <w:p w14:paraId="07BF166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标准限值</w:t>
                  </w:r>
                </w:p>
              </w:tc>
            </w:tr>
            <w:tr w14:paraId="216F7D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vMerge w:val="continue"/>
                  <w:noWrap/>
                  <w:vAlign w:val="center"/>
                </w:tcPr>
                <w:p w14:paraId="541ED3A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p>
              </w:tc>
              <w:tc>
                <w:tcPr>
                  <w:tcW w:w="805" w:type="pct"/>
                  <w:vMerge w:val="continue"/>
                  <w:noWrap/>
                  <w:vAlign w:val="center"/>
                </w:tcPr>
                <w:p w14:paraId="731C448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p>
              </w:tc>
              <w:tc>
                <w:tcPr>
                  <w:tcW w:w="544" w:type="pct"/>
                  <w:vMerge w:val="continue"/>
                  <w:noWrap/>
                  <w:vAlign w:val="center"/>
                </w:tcPr>
                <w:p w14:paraId="2F9B7E3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p>
              </w:tc>
              <w:tc>
                <w:tcPr>
                  <w:tcW w:w="2703" w:type="pct"/>
                  <w:gridSpan w:val="5"/>
                  <w:noWrap/>
                  <w:vAlign w:val="center"/>
                </w:tcPr>
                <w:p w14:paraId="1491840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范围内02#</w:t>
                  </w:r>
                </w:p>
              </w:tc>
              <w:tc>
                <w:tcPr>
                  <w:tcW w:w="652" w:type="pct"/>
                  <w:vMerge w:val="continue"/>
                  <w:noWrap/>
                  <w:vAlign w:val="center"/>
                </w:tcPr>
                <w:p w14:paraId="244FDC8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p>
              </w:tc>
            </w:tr>
            <w:tr w14:paraId="7BEE08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vMerge w:val="continue"/>
                  <w:noWrap/>
                  <w:vAlign w:val="center"/>
                </w:tcPr>
                <w:p w14:paraId="6FBC9D1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p>
              </w:tc>
              <w:tc>
                <w:tcPr>
                  <w:tcW w:w="805" w:type="pct"/>
                  <w:vMerge w:val="continue"/>
                  <w:noWrap/>
                  <w:vAlign w:val="center"/>
                </w:tcPr>
                <w:p w14:paraId="279647B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p>
              </w:tc>
              <w:tc>
                <w:tcPr>
                  <w:tcW w:w="544" w:type="pct"/>
                  <w:vMerge w:val="continue"/>
                  <w:noWrap/>
                  <w:vAlign w:val="center"/>
                </w:tcPr>
                <w:p w14:paraId="1850A14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p>
              </w:tc>
              <w:tc>
                <w:tcPr>
                  <w:tcW w:w="599" w:type="pct"/>
                  <w:noWrap/>
                  <w:vAlign w:val="center"/>
                </w:tcPr>
                <w:p w14:paraId="1C32148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0~0.5m</w:t>
                  </w:r>
                </w:p>
              </w:tc>
              <w:tc>
                <w:tcPr>
                  <w:tcW w:w="525" w:type="pct"/>
                  <w:noWrap/>
                  <w:vAlign w:val="center"/>
                </w:tcPr>
                <w:p w14:paraId="0D7C623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0.5~1.5m</w:t>
                  </w:r>
                </w:p>
              </w:tc>
              <w:tc>
                <w:tcPr>
                  <w:tcW w:w="525" w:type="pct"/>
                  <w:noWrap/>
                  <w:vAlign w:val="center"/>
                </w:tcPr>
                <w:p w14:paraId="7486AC6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1.5~3m</w:t>
                  </w:r>
                </w:p>
              </w:tc>
              <w:tc>
                <w:tcPr>
                  <w:tcW w:w="525" w:type="pct"/>
                  <w:noWrap/>
                  <w:vAlign w:val="center"/>
                </w:tcPr>
                <w:p w14:paraId="3889A1F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3~6m</w:t>
                  </w:r>
                </w:p>
              </w:tc>
              <w:tc>
                <w:tcPr>
                  <w:tcW w:w="528" w:type="pct"/>
                  <w:noWrap/>
                  <w:vAlign w:val="center"/>
                </w:tcPr>
                <w:p w14:paraId="3B725E0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6~9m</w:t>
                  </w:r>
                </w:p>
              </w:tc>
              <w:tc>
                <w:tcPr>
                  <w:tcW w:w="652" w:type="pct"/>
                  <w:vMerge w:val="continue"/>
                  <w:noWrap/>
                  <w:vAlign w:val="center"/>
                </w:tcPr>
                <w:p w14:paraId="7C99501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p>
              </w:tc>
            </w:tr>
            <w:tr w14:paraId="75ACE0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29D95D7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805" w:type="pct"/>
                  <w:noWrap/>
                  <w:vAlign w:val="center"/>
                </w:tcPr>
                <w:p w14:paraId="05C3F16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pH</w:t>
                  </w:r>
                </w:p>
              </w:tc>
              <w:tc>
                <w:tcPr>
                  <w:tcW w:w="544" w:type="pct"/>
                  <w:noWrap/>
                  <w:vAlign w:val="center"/>
                </w:tcPr>
                <w:p w14:paraId="4090A54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599" w:type="pct"/>
                  <w:noWrap/>
                  <w:vAlign w:val="center"/>
                </w:tcPr>
                <w:p w14:paraId="21F518F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8.03</w:t>
                  </w:r>
                </w:p>
              </w:tc>
              <w:tc>
                <w:tcPr>
                  <w:tcW w:w="525" w:type="pct"/>
                  <w:noWrap/>
                  <w:vAlign w:val="center"/>
                </w:tcPr>
                <w:p w14:paraId="4C69543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8.05</w:t>
                  </w:r>
                </w:p>
              </w:tc>
              <w:tc>
                <w:tcPr>
                  <w:tcW w:w="525" w:type="pct"/>
                  <w:noWrap/>
                  <w:vAlign w:val="center"/>
                </w:tcPr>
                <w:p w14:paraId="2192708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8.03</w:t>
                  </w:r>
                </w:p>
              </w:tc>
              <w:tc>
                <w:tcPr>
                  <w:tcW w:w="525" w:type="pct"/>
                  <w:noWrap/>
                  <w:vAlign w:val="center"/>
                </w:tcPr>
                <w:p w14:paraId="5E2FB58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8.08</w:t>
                  </w:r>
                </w:p>
              </w:tc>
              <w:tc>
                <w:tcPr>
                  <w:tcW w:w="528" w:type="pct"/>
                  <w:noWrap/>
                  <w:vAlign w:val="center"/>
                </w:tcPr>
                <w:p w14:paraId="466E78F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8.10</w:t>
                  </w:r>
                </w:p>
              </w:tc>
              <w:tc>
                <w:tcPr>
                  <w:tcW w:w="652" w:type="pct"/>
                  <w:noWrap/>
                  <w:vAlign w:val="center"/>
                </w:tcPr>
                <w:p w14:paraId="7AD33B0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491CA5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5141837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w:t>
                  </w:r>
                </w:p>
              </w:tc>
              <w:tc>
                <w:tcPr>
                  <w:tcW w:w="805" w:type="pct"/>
                  <w:noWrap/>
                  <w:vAlign w:val="center"/>
                </w:tcPr>
                <w:p w14:paraId="5149072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汞</w:t>
                  </w:r>
                </w:p>
              </w:tc>
              <w:tc>
                <w:tcPr>
                  <w:tcW w:w="544" w:type="pct"/>
                  <w:noWrap/>
                  <w:vAlign w:val="center"/>
                </w:tcPr>
                <w:p w14:paraId="3C6F0B3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27832DB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0.110</w:t>
                  </w:r>
                </w:p>
              </w:tc>
              <w:tc>
                <w:tcPr>
                  <w:tcW w:w="525" w:type="pct"/>
                  <w:noWrap/>
                  <w:vAlign w:val="center"/>
                </w:tcPr>
                <w:p w14:paraId="10E63EC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0.075</w:t>
                  </w:r>
                </w:p>
              </w:tc>
              <w:tc>
                <w:tcPr>
                  <w:tcW w:w="525" w:type="pct"/>
                  <w:noWrap/>
                  <w:vAlign w:val="center"/>
                </w:tcPr>
                <w:p w14:paraId="074BA2D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0.078</w:t>
                  </w:r>
                </w:p>
              </w:tc>
              <w:tc>
                <w:tcPr>
                  <w:tcW w:w="525" w:type="pct"/>
                  <w:noWrap/>
                  <w:vAlign w:val="center"/>
                </w:tcPr>
                <w:p w14:paraId="35FEAA7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0.070</w:t>
                  </w:r>
                </w:p>
              </w:tc>
              <w:tc>
                <w:tcPr>
                  <w:tcW w:w="528" w:type="pct"/>
                  <w:noWrap/>
                  <w:vAlign w:val="center"/>
                </w:tcPr>
                <w:p w14:paraId="038A51E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0.067</w:t>
                  </w:r>
                </w:p>
              </w:tc>
              <w:tc>
                <w:tcPr>
                  <w:tcW w:w="652" w:type="pct"/>
                  <w:noWrap/>
                  <w:vAlign w:val="center"/>
                </w:tcPr>
                <w:p w14:paraId="7513CBD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38mg/kg</w:t>
                  </w:r>
                </w:p>
              </w:tc>
            </w:tr>
            <w:tr w14:paraId="7E3264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7C604D6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w:t>
                  </w:r>
                </w:p>
              </w:tc>
              <w:tc>
                <w:tcPr>
                  <w:tcW w:w="805" w:type="pct"/>
                  <w:noWrap/>
                  <w:vAlign w:val="center"/>
                </w:tcPr>
                <w:p w14:paraId="0D235D6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砷</w:t>
                  </w:r>
                </w:p>
              </w:tc>
              <w:tc>
                <w:tcPr>
                  <w:tcW w:w="544" w:type="pct"/>
                  <w:noWrap/>
                  <w:vAlign w:val="center"/>
                </w:tcPr>
                <w:p w14:paraId="73BD31D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05D3AB3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13.2</w:t>
                  </w:r>
                </w:p>
              </w:tc>
              <w:tc>
                <w:tcPr>
                  <w:tcW w:w="525" w:type="pct"/>
                  <w:noWrap/>
                  <w:vAlign w:val="center"/>
                </w:tcPr>
                <w:p w14:paraId="5490391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13.6</w:t>
                  </w:r>
                </w:p>
              </w:tc>
              <w:tc>
                <w:tcPr>
                  <w:tcW w:w="525" w:type="pct"/>
                  <w:noWrap/>
                  <w:vAlign w:val="center"/>
                </w:tcPr>
                <w:p w14:paraId="1704865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13.4</w:t>
                  </w:r>
                </w:p>
              </w:tc>
              <w:tc>
                <w:tcPr>
                  <w:tcW w:w="525" w:type="pct"/>
                  <w:noWrap/>
                  <w:vAlign w:val="center"/>
                </w:tcPr>
                <w:p w14:paraId="3E7F7F3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15.6</w:t>
                  </w:r>
                </w:p>
              </w:tc>
              <w:tc>
                <w:tcPr>
                  <w:tcW w:w="528" w:type="pct"/>
                  <w:noWrap/>
                  <w:vAlign w:val="center"/>
                </w:tcPr>
                <w:p w14:paraId="641F760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14.9</w:t>
                  </w:r>
                </w:p>
              </w:tc>
              <w:tc>
                <w:tcPr>
                  <w:tcW w:w="652" w:type="pct"/>
                  <w:noWrap/>
                  <w:vAlign w:val="center"/>
                </w:tcPr>
                <w:p w14:paraId="77D9E2B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60mg/kg</w:t>
                  </w:r>
                </w:p>
              </w:tc>
            </w:tr>
            <w:tr w14:paraId="5AB635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7CE06F6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w:t>
                  </w:r>
                </w:p>
              </w:tc>
              <w:tc>
                <w:tcPr>
                  <w:tcW w:w="805" w:type="pct"/>
                  <w:noWrap/>
                  <w:vAlign w:val="center"/>
                </w:tcPr>
                <w:p w14:paraId="65A5829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铅</w:t>
                  </w:r>
                </w:p>
              </w:tc>
              <w:tc>
                <w:tcPr>
                  <w:tcW w:w="544" w:type="pct"/>
                  <w:noWrap/>
                  <w:vAlign w:val="center"/>
                </w:tcPr>
                <w:p w14:paraId="1D88E55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5511F5F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25</w:t>
                  </w:r>
                </w:p>
              </w:tc>
              <w:tc>
                <w:tcPr>
                  <w:tcW w:w="525" w:type="pct"/>
                  <w:noWrap/>
                  <w:vAlign w:val="center"/>
                </w:tcPr>
                <w:p w14:paraId="30B1DAA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23</w:t>
                  </w:r>
                </w:p>
              </w:tc>
              <w:tc>
                <w:tcPr>
                  <w:tcW w:w="525" w:type="pct"/>
                  <w:noWrap/>
                  <w:vAlign w:val="center"/>
                </w:tcPr>
                <w:p w14:paraId="1807AA3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25</w:t>
                  </w:r>
                </w:p>
              </w:tc>
              <w:tc>
                <w:tcPr>
                  <w:tcW w:w="525" w:type="pct"/>
                  <w:noWrap/>
                  <w:vAlign w:val="center"/>
                </w:tcPr>
                <w:p w14:paraId="0F95272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29</w:t>
                  </w:r>
                </w:p>
              </w:tc>
              <w:tc>
                <w:tcPr>
                  <w:tcW w:w="528" w:type="pct"/>
                  <w:noWrap/>
                  <w:vAlign w:val="center"/>
                </w:tcPr>
                <w:p w14:paraId="2944C38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27</w:t>
                  </w:r>
                </w:p>
              </w:tc>
              <w:tc>
                <w:tcPr>
                  <w:tcW w:w="652" w:type="pct"/>
                  <w:noWrap/>
                  <w:vAlign w:val="center"/>
                </w:tcPr>
                <w:p w14:paraId="5F0EC52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800mg/kg</w:t>
                  </w:r>
                </w:p>
              </w:tc>
            </w:tr>
            <w:tr w14:paraId="6EF139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4D32C06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w:t>
                  </w:r>
                </w:p>
              </w:tc>
              <w:tc>
                <w:tcPr>
                  <w:tcW w:w="805" w:type="pct"/>
                  <w:noWrap/>
                  <w:vAlign w:val="center"/>
                </w:tcPr>
                <w:p w14:paraId="49C5546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六价铬</w:t>
                  </w:r>
                </w:p>
              </w:tc>
              <w:tc>
                <w:tcPr>
                  <w:tcW w:w="544" w:type="pct"/>
                  <w:noWrap/>
                  <w:vAlign w:val="center"/>
                </w:tcPr>
                <w:p w14:paraId="1324F77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03AA1BE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0.5L</w:t>
                  </w:r>
                </w:p>
              </w:tc>
              <w:tc>
                <w:tcPr>
                  <w:tcW w:w="525" w:type="pct"/>
                  <w:noWrap/>
                  <w:vAlign w:val="center"/>
                </w:tcPr>
                <w:p w14:paraId="0B60E74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0.5L</w:t>
                  </w:r>
                </w:p>
              </w:tc>
              <w:tc>
                <w:tcPr>
                  <w:tcW w:w="525" w:type="pct"/>
                  <w:noWrap/>
                  <w:vAlign w:val="center"/>
                </w:tcPr>
                <w:p w14:paraId="5CB30A8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0.5L</w:t>
                  </w:r>
                </w:p>
              </w:tc>
              <w:tc>
                <w:tcPr>
                  <w:tcW w:w="525" w:type="pct"/>
                  <w:noWrap/>
                  <w:vAlign w:val="center"/>
                </w:tcPr>
                <w:p w14:paraId="3E5A092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0.5L</w:t>
                  </w:r>
                </w:p>
              </w:tc>
              <w:tc>
                <w:tcPr>
                  <w:tcW w:w="528" w:type="pct"/>
                  <w:noWrap/>
                  <w:vAlign w:val="center"/>
                </w:tcPr>
                <w:p w14:paraId="04DFE8C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0.5L</w:t>
                  </w:r>
                </w:p>
              </w:tc>
              <w:tc>
                <w:tcPr>
                  <w:tcW w:w="652" w:type="pct"/>
                  <w:noWrap/>
                  <w:vAlign w:val="center"/>
                </w:tcPr>
                <w:p w14:paraId="2CB3009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5.7mg/kg</w:t>
                  </w:r>
                </w:p>
              </w:tc>
            </w:tr>
            <w:tr w14:paraId="7DCC86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484D01D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w:t>
                  </w:r>
                </w:p>
              </w:tc>
              <w:tc>
                <w:tcPr>
                  <w:tcW w:w="805" w:type="pct"/>
                  <w:noWrap/>
                  <w:vAlign w:val="center"/>
                </w:tcPr>
                <w:p w14:paraId="3E3D738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铜</w:t>
                  </w:r>
                </w:p>
              </w:tc>
              <w:tc>
                <w:tcPr>
                  <w:tcW w:w="544" w:type="pct"/>
                  <w:noWrap/>
                  <w:vAlign w:val="center"/>
                </w:tcPr>
                <w:p w14:paraId="50C66A1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1270869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45</w:t>
                  </w:r>
                </w:p>
              </w:tc>
              <w:tc>
                <w:tcPr>
                  <w:tcW w:w="525" w:type="pct"/>
                  <w:noWrap/>
                  <w:vAlign w:val="center"/>
                </w:tcPr>
                <w:p w14:paraId="6AE456E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44</w:t>
                  </w:r>
                </w:p>
              </w:tc>
              <w:tc>
                <w:tcPr>
                  <w:tcW w:w="525" w:type="pct"/>
                  <w:noWrap/>
                  <w:vAlign w:val="center"/>
                </w:tcPr>
                <w:p w14:paraId="1A1F932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58</w:t>
                  </w:r>
                </w:p>
              </w:tc>
              <w:tc>
                <w:tcPr>
                  <w:tcW w:w="525" w:type="pct"/>
                  <w:noWrap/>
                  <w:vAlign w:val="center"/>
                </w:tcPr>
                <w:p w14:paraId="10B710A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92</w:t>
                  </w:r>
                </w:p>
              </w:tc>
              <w:tc>
                <w:tcPr>
                  <w:tcW w:w="528" w:type="pct"/>
                  <w:noWrap/>
                  <w:vAlign w:val="center"/>
                </w:tcPr>
                <w:p w14:paraId="2F67999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90</w:t>
                  </w:r>
                </w:p>
              </w:tc>
              <w:tc>
                <w:tcPr>
                  <w:tcW w:w="652" w:type="pct"/>
                  <w:noWrap/>
                  <w:vAlign w:val="center"/>
                </w:tcPr>
                <w:p w14:paraId="6CAFB48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18000mg/kg</w:t>
                  </w:r>
                </w:p>
              </w:tc>
            </w:tr>
            <w:tr w14:paraId="40E2DE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45CADFF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7</w:t>
                  </w:r>
                </w:p>
              </w:tc>
              <w:tc>
                <w:tcPr>
                  <w:tcW w:w="805" w:type="pct"/>
                  <w:noWrap/>
                  <w:vAlign w:val="center"/>
                </w:tcPr>
                <w:p w14:paraId="04301F0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镍</w:t>
                  </w:r>
                </w:p>
              </w:tc>
              <w:tc>
                <w:tcPr>
                  <w:tcW w:w="544" w:type="pct"/>
                  <w:noWrap/>
                  <w:vAlign w:val="center"/>
                </w:tcPr>
                <w:p w14:paraId="4CF6F0B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494CF63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50</w:t>
                  </w:r>
                </w:p>
              </w:tc>
              <w:tc>
                <w:tcPr>
                  <w:tcW w:w="525" w:type="pct"/>
                  <w:noWrap/>
                  <w:vAlign w:val="center"/>
                </w:tcPr>
                <w:p w14:paraId="18A1CA1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50</w:t>
                  </w:r>
                </w:p>
              </w:tc>
              <w:tc>
                <w:tcPr>
                  <w:tcW w:w="525" w:type="pct"/>
                  <w:noWrap/>
                  <w:vAlign w:val="center"/>
                </w:tcPr>
                <w:p w14:paraId="6B2557E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53</w:t>
                  </w:r>
                </w:p>
              </w:tc>
              <w:tc>
                <w:tcPr>
                  <w:tcW w:w="525" w:type="pct"/>
                  <w:noWrap/>
                  <w:vAlign w:val="center"/>
                </w:tcPr>
                <w:p w14:paraId="742229F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61</w:t>
                  </w:r>
                </w:p>
              </w:tc>
              <w:tc>
                <w:tcPr>
                  <w:tcW w:w="528" w:type="pct"/>
                  <w:noWrap/>
                  <w:vAlign w:val="center"/>
                </w:tcPr>
                <w:p w14:paraId="6ABC6BA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63</w:t>
                  </w:r>
                </w:p>
              </w:tc>
              <w:tc>
                <w:tcPr>
                  <w:tcW w:w="652" w:type="pct"/>
                  <w:noWrap/>
                  <w:vAlign w:val="center"/>
                </w:tcPr>
                <w:p w14:paraId="42BA0D0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900mg/kg</w:t>
                  </w:r>
                </w:p>
              </w:tc>
            </w:tr>
            <w:tr w14:paraId="52BA00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3B45778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w:t>
                  </w:r>
                </w:p>
              </w:tc>
              <w:tc>
                <w:tcPr>
                  <w:tcW w:w="805" w:type="pct"/>
                  <w:noWrap/>
                  <w:vAlign w:val="center"/>
                </w:tcPr>
                <w:p w14:paraId="1C22A24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镉</w:t>
                  </w:r>
                </w:p>
              </w:tc>
              <w:tc>
                <w:tcPr>
                  <w:tcW w:w="544" w:type="pct"/>
                  <w:noWrap/>
                  <w:vAlign w:val="center"/>
                </w:tcPr>
                <w:p w14:paraId="6CAA4BE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0B7BFD6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0.04</w:t>
                  </w:r>
                </w:p>
              </w:tc>
              <w:tc>
                <w:tcPr>
                  <w:tcW w:w="525" w:type="pct"/>
                  <w:noWrap/>
                  <w:vAlign w:val="center"/>
                </w:tcPr>
                <w:p w14:paraId="0192950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0.04</w:t>
                  </w:r>
                </w:p>
              </w:tc>
              <w:tc>
                <w:tcPr>
                  <w:tcW w:w="525" w:type="pct"/>
                  <w:noWrap/>
                  <w:vAlign w:val="center"/>
                </w:tcPr>
                <w:p w14:paraId="3159D03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0.04</w:t>
                  </w:r>
                </w:p>
              </w:tc>
              <w:tc>
                <w:tcPr>
                  <w:tcW w:w="525" w:type="pct"/>
                  <w:noWrap/>
                  <w:vAlign w:val="center"/>
                </w:tcPr>
                <w:p w14:paraId="3D8D7E8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0.05</w:t>
                  </w:r>
                </w:p>
              </w:tc>
              <w:tc>
                <w:tcPr>
                  <w:tcW w:w="528" w:type="pct"/>
                  <w:noWrap/>
                  <w:vAlign w:val="center"/>
                </w:tcPr>
                <w:p w14:paraId="50D1923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0.08</w:t>
                  </w:r>
                </w:p>
              </w:tc>
              <w:tc>
                <w:tcPr>
                  <w:tcW w:w="652" w:type="pct"/>
                  <w:noWrap/>
                  <w:vAlign w:val="center"/>
                </w:tcPr>
                <w:p w14:paraId="34E3AFD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65mg/kg</w:t>
                  </w:r>
                </w:p>
              </w:tc>
            </w:tr>
            <w:tr w14:paraId="3D8816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2789F56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w:t>
                  </w:r>
                </w:p>
              </w:tc>
              <w:tc>
                <w:tcPr>
                  <w:tcW w:w="805" w:type="pct"/>
                  <w:noWrap/>
                  <w:vAlign w:val="center"/>
                </w:tcPr>
                <w:p w14:paraId="145D3BD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四氯化碳</w:t>
                  </w:r>
                </w:p>
              </w:tc>
              <w:tc>
                <w:tcPr>
                  <w:tcW w:w="544" w:type="pct"/>
                  <w:noWrap/>
                  <w:vAlign w:val="center"/>
                </w:tcPr>
                <w:p w14:paraId="78792F9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16F67A55">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2.1×10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BAAD69D">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3324501D">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615751C6">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620E407E">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53967BC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2.8mg/kg</w:t>
                  </w:r>
                </w:p>
              </w:tc>
            </w:tr>
            <w:tr w14:paraId="5727DD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6EF9C2B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w:t>
                  </w:r>
                </w:p>
              </w:tc>
              <w:tc>
                <w:tcPr>
                  <w:tcW w:w="805" w:type="pct"/>
                  <w:noWrap/>
                  <w:vAlign w:val="center"/>
                </w:tcPr>
                <w:p w14:paraId="1D0BD16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氯仿</w:t>
                  </w:r>
                </w:p>
              </w:tc>
              <w:tc>
                <w:tcPr>
                  <w:tcW w:w="544" w:type="pct"/>
                  <w:noWrap/>
                  <w:vAlign w:val="center"/>
                </w:tcPr>
                <w:p w14:paraId="5082643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0B3BDE47">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1.5×10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6B827554">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1.5×10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278F775C">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1.5×10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26219004">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1.5×10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16322ABB">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1.5×10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68DDEAC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0.9mg/kg</w:t>
                  </w:r>
                </w:p>
              </w:tc>
            </w:tr>
            <w:tr w14:paraId="6153C2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05E780D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w:t>
                  </w:r>
                </w:p>
              </w:tc>
              <w:tc>
                <w:tcPr>
                  <w:tcW w:w="805" w:type="pct"/>
                  <w:noWrap/>
                  <w:vAlign w:val="center"/>
                </w:tcPr>
                <w:p w14:paraId="10AE588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氯甲烷</w:t>
                  </w:r>
                </w:p>
              </w:tc>
              <w:tc>
                <w:tcPr>
                  <w:tcW w:w="544" w:type="pct"/>
                  <w:noWrap/>
                  <w:vAlign w:val="center"/>
                </w:tcPr>
                <w:p w14:paraId="762421F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33B3106F">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3.0×10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2CDBB107">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3.0×10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46923471">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3.0×10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2BD4B428">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3.0×10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594F3D5F">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3.0×10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7EA1737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37mg/kg</w:t>
                  </w:r>
                </w:p>
              </w:tc>
            </w:tr>
            <w:tr w14:paraId="7A1865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046A1A2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w:t>
                  </w:r>
                </w:p>
              </w:tc>
              <w:tc>
                <w:tcPr>
                  <w:tcW w:w="805" w:type="pct"/>
                  <w:noWrap/>
                  <w:vAlign w:val="center"/>
                </w:tcPr>
                <w:p w14:paraId="0C14001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1,1-二氯乙烷</w:t>
                  </w:r>
                </w:p>
              </w:tc>
              <w:tc>
                <w:tcPr>
                  <w:tcW w:w="544" w:type="pct"/>
                  <w:noWrap/>
                  <w:vAlign w:val="center"/>
                </w:tcPr>
                <w:p w14:paraId="6651460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FE879B7">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4515F214">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5436331">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079BE19A">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4EC1241A">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1665522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9mg/kg</w:t>
                  </w:r>
                </w:p>
              </w:tc>
            </w:tr>
            <w:tr w14:paraId="3DE529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7885228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13</w:t>
                  </w:r>
                </w:p>
              </w:tc>
              <w:tc>
                <w:tcPr>
                  <w:tcW w:w="805" w:type="pct"/>
                  <w:noWrap/>
                  <w:vAlign w:val="center"/>
                </w:tcPr>
                <w:p w14:paraId="0659868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1,2-二氯乙烷</w:t>
                  </w:r>
                </w:p>
              </w:tc>
              <w:tc>
                <w:tcPr>
                  <w:tcW w:w="544" w:type="pct"/>
                  <w:noWrap/>
                  <w:vAlign w:val="center"/>
                </w:tcPr>
                <w:p w14:paraId="6CE753A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7B6B6C2">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1.3×10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5519C411">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1.3×10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3C68714">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1.3×10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11572BAA">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1.3×10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264632F2">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1.3×10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4062075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5mg/kg</w:t>
                  </w:r>
                </w:p>
              </w:tc>
            </w:tr>
            <w:tr w14:paraId="4CA98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2604F89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14</w:t>
                  </w:r>
                </w:p>
              </w:tc>
              <w:tc>
                <w:tcPr>
                  <w:tcW w:w="805" w:type="pct"/>
                  <w:noWrap/>
                  <w:vAlign w:val="center"/>
                </w:tcPr>
                <w:p w14:paraId="6C6063D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1,1-二氯乙烯</w:t>
                  </w:r>
                </w:p>
              </w:tc>
              <w:tc>
                <w:tcPr>
                  <w:tcW w:w="544" w:type="pct"/>
                  <w:noWrap/>
                  <w:vAlign w:val="center"/>
                </w:tcPr>
                <w:p w14:paraId="538BF98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25169F35">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8.0×10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79FA9670">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8.0×10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0474BCDD">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8.0×10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387BD21B">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8.0×10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8" w:type="pct"/>
                  <w:noWrap/>
                  <w:vAlign w:val="center"/>
                </w:tcPr>
                <w:p w14:paraId="33D65ABD">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8.0×10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652" w:type="pct"/>
                  <w:noWrap/>
                  <w:vAlign w:val="center"/>
                </w:tcPr>
                <w:p w14:paraId="5CF724F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66mg/kg</w:t>
                  </w:r>
                </w:p>
              </w:tc>
            </w:tr>
            <w:tr w14:paraId="3CA9EE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40D0A86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w:t>
                  </w:r>
                </w:p>
              </w:tc>
              <w:tc>
                <w:tcPr>
                  <w:tcW w:w="805" w:type="pct"/>
                  <w:noWrap/>
                  <w:vAlign w:val="center"/>
                </w:tcPr>
                <w:p w14:paraId="66357B1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顺-1,2-二氯乙烯</w:t>
                  </w:r>
                </w:p>
              </w:tc>
              <w:tc>
                <w:tcPr>
                  <w:tcW w:w="544" w:type="pct"/>
                  <w:noWrap/>
                  <w:vAlign w:val="center"/>
                </w:tcPr>
                <w:p w14:paraId="75F66B5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157DF53A">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13E6841F">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339926F7">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6EEBDD61">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8" w:type="pct"/>
                  <w:noWrap/>
                  <w:vAlign w:val="center"/>
                </w:tcPr>
                <w:p w14:paraId="6996C90C">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652" w:type="pct"/>
                  <w:noWrap/>
                  <w:vAlign w:val="center"/>
                </w:tcPr>
                <w:p w14:paraId="6F1F5D9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596mg/kg</w:t>
                  </w:r>
                </w:p>
              </w:tc>
            </w:tr>
            <w:tr w14:paraId="058733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7EC7F1C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16</w:t>
                  </w:r>
                </w:p>
              </w:tc>
              <w:tc>
                <w:tcPr>
                  <w:tcW w:w="805" w:type="pct"/>
                  <w:noWrap/>
                  <w:vAlign w:val="center"/>
                </w:tcPr>
                <w:p w14:paraId="4574C51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反-1,2-二氯乙烯</w:t>
                  </w:r>
                </w:p>
              </w:tc>
              <w:tc>
                <w:tcPr>
                  <w:tcW w:w="544" w:type="pct"/>
                  <w:noWrap/>
                  <w:vAlign w:val="center"/>
                </w:tcPr>
                <w:p w14:paraId="4E24EB2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3EDAB717">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354FBEE7">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0D01170D">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38997253">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8" w:type="pct"/>
                  <w:noWrap/>
                  <w:vAlign w:val="center"/>
                </w:tcPr>
                <w:p w14:paraId="1030AA9F">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652" w:type="pct"/>
                  <w:noWrap/>
                  <w:vAlign w:val="center"/>
                </w:tcPr>
                <w:p w14:paraId="160DB7A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54mg/kg</w:t>
                  </w:r>
                </w:p>
              </w:tc>
            </w:tr>
            <w:tr w14:paraId="672571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3C25BCB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17</w:t>
                  </w:r>
                </w:p>
              </w:tc>
              <w:tc>
                <w:tcPr>
                  <w:tcW w:w="805" w:type="pct"/>
                  <w:noWrap/>
                  <w:vAlign w:val="center"/>
                </w:tcPr>
                <w:p w14:paraId="5695F73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二氯甲烷</w:t>
                  </w:r>
                </w:p>
              </w:tc>
              <w:tc>
                <w:tcPr>
                  <w:tcW w:w="544" w:type="pct"/>
                  <w:noWrap/>
                  <w:vAlign w:val="center"/>
                </w:tcPr>
                <w:p w14:paraId="2E16F85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7D8B9C4F">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2.6×10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1702BF50">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FED85A9">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43A9EDA0">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1B1F145F">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77196FF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616mg/kg</w:t>
                  </w:r>
                </w:p>
              </w:tc>
            </w:tr>
            <w:tr w14:paraId="724576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2ED4AB6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18</w:t>
                  </w:r>
                </w:p>
              </w:tc>
              <w:tc>
                <w:tcPr>
                  <w:tcW w:w="805" w:type="pct"/>
                  <w:noWrap/>
                  <w:vAlign w:val="center"/>
                </w:tcPr>
                <w:p w14:paraId="0248CDC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1,2-二氯丙烷</w:t>
                  </w:r>
                </w:p>
              </w:tc>
              <w:tc>
                <w:tcPr>
                  <w:tcW w:w="544" w:type="pct"/>
                  <w:noWrap/>
                  <w:vAlign w:val="center"/>
                </w:tcPr>
                <w:p w14:paraId="64DFD43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46D3657A">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1.9×10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662825E6">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1.9×10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1A34BBA3">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1.9×10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44974E11">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1.9×10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117F4E4F">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1.9×10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6DC3E14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5mg/kg</w:t>
                  </w:r>
                </w:p>
              </w:tc>
            </w:tr>
            <w:tr w14:paraId="618D56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699CBC4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19</w:t>
                  </w:r>
                </w:p>
              </w:tc>
              <w:tc>
                <w:tcPr>
                  <w:tcW w:w="805" w:type="pct"/>
                  <w:noWrap/>
                  <w:vAlign w:val="center"/>
                </w:tcPr>
                <w:p w14:paraId="0AB3198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1,1,1,2-四氯乙烷</w:t>
                  </w:r>
                </w:p>
              </w:tc>
              <w:tc>
                <w:tcPr>
                  <w:tcW w:w="544" w:type="pct"/>
                  <w:noWrap/>
                  <w:vAlign w:val="center"/>
                </w:tcPr>
                <w:p w14:paraId="4662F2F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437BEF50">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1A8A0880">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0757C057">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3CE65DFE">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113CDEFE">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65D767C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10mg/kg</w:t>
                  </w:r>
                </w:p>
              </w:tc>
            </w:tr>
            <w:tr w14:paraId="4C58F2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5C80A5A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w:t>
                  </w:r>
                </w:p>
              </w:tc>
              <w:tc>
                <w:tcPr>
                  <w:tcW w:w="805" w:type="pct"/>
                  <w:noWrap/>
                  <w:vAlign w:val="center"/>
                </w:tcPr>
                <w:p w14:paraId="3E4A388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1,1,2,2-四氯乙烷</w:t>
                  </w:r>
                </w:p>
              </w:tc>
              <w:tc>
                <w:tcPr>
                  <w:tcW w:w="544" w:type="pct"/>
                  <w:noWrap/>
                  <w:vAlign w:val="center"/>
                </w:tcPr>
                <w:p w14:paraId="1D9FE21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DF27A14">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23E5DB4F">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373A01F7">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495196B2">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6FCE8791">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591D586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6.8mg/kg</w:t>
                  </w:r>
                </w:p>
              </w:tc>
            </w:tr>
            <w:tr w14:paraId="231C41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2F72F4B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21</w:t>
                  </w:r>
                </w:p>
              </w:tc>
              <w:tc>
                <w:tcPr>
                  <w:tcW w:w="805" w:type="pct"/>
                  <w:noWrap/>
                  <w:vAlign w:val="center"/>
                </w:tcPr>
                <w:p w14:paraId="29C4795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四氯乙烯</w:t>
                  </w:r>
                </w:p>
              </w:tc>
              <w:tc>
                <w:tcPr>
                  <w:tcW w:w="544" w:type="pct"/>
                  <w:noWrap/>
                  <w:vAlign w:val="center"/>
                </w:tcPr>
                <w:p w14:paraId="196C420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7E215609">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8.0×10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0080DDD1">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8.0×10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1C3C6617">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8.0×10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49A1DC7B">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8.0×10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8" w:type="pct"/>
                  <w:noWrap/>
                  <w:vAlign w:val="center"/>
                </w:tcPr>
                <w:p w14:paraId="79BDCB34">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8.0×10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652" w:type="pct"/>
                  <w:noWrap/>
                  <w:vAlign w:val="center"/>
                </w:tcPr>
                <w:p w14:paraId="7608D22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53mg/kg</w:t>
                  </w:r>
                </w:p>
              </w:tc>
            </w:tr>
            <w:tr w14:paraId="2DEF8D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4E8D0E6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22</w:t>
                  </w:r>
                </w:p>
              </w:tc>
              <w:tc>
                <w:tcPr>
                  <w:tcW w:w="805" w:type="pct"/>
                  <w:noWrap/>
                  <w:vAlign w:val="center"/>
                </w:tcPr>
                <w:p w14:paraId="6F07BC4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1,1,1-三氯乙烷</w:t>
                  </w:r>
                </w:p>
              </w:tc>
              <w:tc>
                <w:tcPr>
                  <w:tcW w:w="544" w:type="pct"/>
                  <w:noWrap/>
                  <w:vAlign w:val="center"/>
                </w:tcPr>
                <w:p w14:paraId="6CDBF6C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346AE2FE">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4E21F3AB">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6B5566DE">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65780939">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309A7C9B">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64FD597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840mg/kg</w:t>
                  </w:r>
                </w:p>
              </w:tc>
            </w:tr>
            <w:tr w14:paraId="2C6B67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305F27D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23</w:t>
                  </w:r>
                </w:p>
              </w:tc>
              <w:tc>
                <w:tcPr>
                  <w:tcW w:w="805" w:type="pct"/>
                  <w:noWrap/>
                  <w:vAlign w:val="center"/>
                </w:tcPr>
                <w:p w14:paraId="671C295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1,1,2-三氯乙烷</w:t>
                  </w:r>
                </w:p>
              </w:tc>
              <w:tc>
                <w:tcPr>
                  <w:tcW w:w="544" w:type="pct"/>
                  <w:noWrap/>
                  <w:vAlign w:val="center"/>
                </w:tcPr>
                <w:p w14:paraId="7EE4807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0E9AFDF9">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1.4×10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50DAE6B5">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1.4×10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6A9E2DE4">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1.4×10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35AC1BB0">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1.4×10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48D74DD5">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1.4×10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16DD8C7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2.8mg/kg</w:t>
                  </w:r>
                </w:p>
              </w:tc>
            </w:tr>
            <w:tr w14:paraId="1072D9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20CA90A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24</w:t>
                  </w:r>
                </w:p>
              </w:tc>
              <w:tc>
                <w:tcPr>
                  <w:tcW w:w="805" w:type="pct"/>
                  <w:noWrap/>
                  <w:vAlign w:val="center"/>
                </w:tcPr>
                <w:p w14:paraId="5CEA7A6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三氯乙烯</w:t>
                  </w:r>
                </w:p>
              </w:tc>
              <w:tc>
                <w:tcPr>
                  <w:tcW w:w="544" w:type="pct"/>
                  <w:noWrap/>
                  <w:vAlign w:val="center"/>
                </w:tcPr>
                <w:p w14:paraId="1CA1158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206594B">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64AF147F">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66E480E2">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5" w:type="pct"/>
                  <w:noWrap/>
                  <w:vAlign w:val="center"/>
                </w:tcPr>
                <w:p w14:paraId="4C76A67F">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528" w:type="pct"/>
                  <w:noWrap/>
                  <w:vAlign w:val="center"/>
                </w:tcPr>
                <w:p w14:paraId="7F54BE34">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9.0×10</w:t>
                  </w:r>
                  <w:r>
                    <w:rPr>
                      <w:rFonts w:hint="default" w:ascii="Times New Roman" w:hAnsi="Times New Roman" w:cs="Times New Roman"/>
                      <w:color w:val="auto"/>
                      <w:sz w:val="18"/>
                      <w:szCs w:val="18"/>
                      <w:highlight w:val="none"/>
                      <w:vertAlign w:val="superscript"/>
                      <w:lang w:bidi="mn-Mong-CN"/>
                    </w:rPr>
                    <w:t>-4</w:t>
                  </w:r>
                  <w:r>
                    <w:rPr>
                      <w:rFonts w:hint="default" w:ascii="Times New Roman" w:hAnsi="Times New Roman" w:cs="Times New Roman"/>
                      <w:color w:val="auto"/>
                      <w:sz w:val="18"/>
                      <w:szCs w:val="18"/>
                      <w:highlight w:val="none"/>
                      <w:lang w:bidi="mn-Mong-CN"/>
                    </w:rPr>
                    <w:t>L</w:t>
                  </w:r>
                </w:p>
              </w:tc>
              <w:tc>
                <w:tcPr>
                  <w:tcW w:w="652" w:type="pct"/>
                  <w:noWrap/>
                  <w:vAlign w:val="center"/>
                </w:tcPr>
                <w:p w14:paraId="6022D83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2.8mg/kg</w:t>
                  </w:r>
                </w:p>
              </w:tc>
            </w:tr>
            <w:tr w14:paraId="0C5805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7B2D980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25</w:t>
                  </w:r>
                </w:p>
              </w:tc>
              <w:tc>
                <w:tcPr>
                  <w:tcW w:w="805" w:type="pct"/>
                  <w:noWrap/>
                  <w:vAlign w:val="center"/>
                </w:tcPr>
                <w:p w14:paraId="28407A5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1,2,3-三氯丙烷</w:t>
                  </w:r>
                </w:p>
              </w:tc>
              <w:tc>
                <w:tcPr>
                  <w:tcW w:w="544" w:type="pct"/>
                  <w:noWrap/>
                  <w:vAlign w:val="center"/>
                </w:tcPr>
                <w:p w14:paraId="5BEEFCE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382AD7A8">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CFFE155">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20DF2093">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49946DA9">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3D51A60B">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78DDE53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0.5mg/kg</w:t>
                  </w:r>
                </w:p>
              </w:tc>
            </w:tr>
            <w:tr w14:paraId="77B9E7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112623B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26</w:t>
                  </w:r>
                </w:p>
              </w:tc>
              <w:tc>
                <w:tcPr>
                  <w:tcW w:w="805" w:type="pct"/>
                  <w:noWrap/>
                  <w:vAlign w:val="center"/>
                </w:tcPr>
                <w:p w14:paraId="1EB5AF2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氯乙烯</w:t>
                  </w:r>
                </w:p>
              </w:tc>
              <w:tc>
                <w:tcPr>
                  <w:tcW w:w="544" w:type="pct"/>
                  <w:noWrap/>
                  <w:vAlign w:val="center"/>
                </w:tcPr>
                <w:p w14:paraId="24B05DE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41A74B5F">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1.5×10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695B386A">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1.5×10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52E7D9F3">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1.5×10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06B65015">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1.5×10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4C65BA24">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1.5×10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64B871E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0.43mg/kg</w:t>
                  </w:r>
                </w:p>
              </w:tc>
            </w:tr>
            <w:tr w14:paraId="32B3EE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71DFC15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27</w:t>
                  </w:r>
                </w:p>
              </w:tc>
              <w:tc>
                <w:tcPr>
                  <w:tcW w:w="805" w:type="pct"/>
                  <w:noWrap/>
                  <w:vAlign w:val="center"/>
                </w:tcPr>
                <w:p w14:paraId="7524A5C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苯</w:t>
                  </w:r>
                </w:p>
              </w:tc>
              <w:tc>
                <w:tcPr>
                  <w:tcW w:w="544" w:type="pct"/>
                  <w:noWrap/>
                  <w:vAlign w:val="center"/>
                </w:tcPr>
                <w:p w14:paraId="6AA4ED0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42D6B05F">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57CC7F96">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C71E85C">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B3CA4DC">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7553384B">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619D931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4mg/kg</w:t>
                  </w:r>
                </w:p>
              </w:tc>
            </w:tr>
            <w:tr w14:paraId="7B9684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272284A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28</w:t>
                  </w:r>
                </w:p>
              </w:tc>
              <w:tc>
                <w:tcPr>
                  <w:tcW w:w="805" w:type="pct"/>
                  <w:noWrap/>
                  <w:vAlign w:val="center"/>
                </w:tcPr>
                <w:p w14:paraId="667AAE4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氯苯</w:t>
                  </w:r>
                </w:p>
              </w:tc>
              <w:tc>
                <w:tcPr>
                  <w:tcW w:w="544" w:type="pct"/>
                  <w:noWrap/>
                  <w:vAlign w:val="center"/>
                </w:tcPr>
                <w:p w14:paraId="31E0D08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3925D54">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07F303A">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4638D30">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1660614E">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4210E59C">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1.1×10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2FD0949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270mg/kg</w:t>
                  </w:r>
                </w:p>
              </w:tc>
            </w:tr>
            <w:tr w14:paraId="4783BC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1ECE4E4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29</w:t>
                  </w:r>
                </w:p>
              </w:tc>
              <w:tc>
                <w:tcPr>
                  <w:tcW w:w="805" w:type="pct"/>
                  <w:noWrap/>
                  <w:vAlign w:val="center"/>
                </w:tcPr>
                <w:p w14:paraId="0A796D2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1,2-二氯苯</w:t>
                  </w:r>
                </w:p>
              </w:tc>
              <w:tc>
                <w:tcPr>
                  <w:tcW w:w="544" w:type="pct"/>
                  <w:noWrap/>
                  <w:vAlign w:val="center"/>
                </w:tcPr>
                <w:p w14:paraId="72893A5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43C61FD1">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5796CFF">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39CB85EA">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46B1318C">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11424BC8">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2A66923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560mg/kg</w:t>
                  </w:r>
                </w:p>
              </w:tc>
            </w:tr>
            <w:tr w14:paraId="3273CE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2C633DB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w:t>
                  </w:r>
                </w:p>
              </w:tc>
              <w:tc>
                <w:tcPr>
                  <w:tcW w:w="805" w:type="pct"/>
                  <w:noWrap/>
                  <w:vAlign w:val="center"/>
                </w:tcPr>
                <w:p w14:paraId="28DFA63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1,4-二氯苯</w:t>
                  </w:r>
                </w:p>
              </w:tc>
              <w:tc>
                <w:tcPr>
                  <w:tcW w:w="544" w:type="pct"/>
                  <w:noWrap/>
                  <w:vAlign w:val="center"/>
                </w:tcPr>
                <w:p w14:paraId="433AD76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095927A8">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1.2×10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2149F719">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1.2×10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0CEDF410">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1.2×10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47799452">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1.2×10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0AE3E354">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1.2×10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2FB54E2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20mg/kg</w:t>
                  </w:r>
                </w:p>
              </w:tc>
            </w:tr>
            <w:tr w14:paraId="3A1859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6545A45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31</w:t>
                  </w:r>
                </w:p>
              </w:tc>
              <w:tc>
                <w:tcPr>
                  <w:tcW w:w="805" w:type="pct"/>
                  <w:noWrap/>
                  <w:vAlign w:val="center"/>
                </w:tcPr>
                <w:p w14:paraId="1D66C71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乙苯</w:t>
                  </w:r>
                </w:p>
              </w:tc>
              <w:tc>
                <w:tcPr>
                  <w:tcW w:w="544" w:type="pct"/>
                  <w:noWrap/>
                  <w:vAlign w:val="center"/>
                </w:tcPr>
                <w:p w14:paraId="30D3352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16CF3FDF">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1.2×10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1C8A4B75">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1.2×10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CC9530A">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1.2×10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0C178A98">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1.2×10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5927BC13">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1.2×10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5A1653C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28mg/kg</w:t>
                  </w:r>
                </w:p>
              </w:tc>
            </w:tr>
            <w:tr w14:paraId="1545F8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65FCC66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32</w:t>
                  </w:r>
                </w:p>
              </w:tc>
              <w:tc>
                <w:tcPr>
                  <w:tcW w:w="805" w:type="pct"/>
                  <w:noWrap/>
                  <w:vAlign w:val="center"/>
                </w:tcPr>
                <w:p w14:paraId="7D1333D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苯乙烯</w:t>
                  </w:r>
                </w:p>
              </w:tc>
              <w:tc>
                <w:tcPr>
                  <w:tcW w:w="544" w:type="pct"/>
                  <w:noWrap/>
                  <w:vAlign w:val="center"/>
                </w:tcPr>
                <w:p w14:paraId="6D22759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1805F651">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242DE95">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2F3F40AE">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7F12FAFE">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41ABC078">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07D6B91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1290mg/kg</w:t>
                  </w:r>
                </w:p>
              </w:tc>
            </w:tr>
            <w:tr w14:paraId="5BA608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1308CF3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33</w:t>
                  </w:r>
                </w:p>
              </w:tc>
              <w:tc>
                <w:tcPr>
                  <w:tcW w:w="805" w:type="pct"/>
                  <w:noWrap/>
                  <w:vAlign w:val="center"/>
                </w:tcPr>
                <w:p w14:paraId="78AE056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甲苯</w:t>
                  </w:r>
                </w:p>
              </w:tc>
              <w:tc>
                <w:tcPr>
                  <w:tcW w:w="544" w:type="pct"/>
                  <w:noWrap/>
                  <w:vAlign w:val="center"/>
                </w:tcPr>
                <w:p w14:paraId="4B40BBF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03F2B5E9">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2.0×10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07F64B0E">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125679DD">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69B70E57">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45DCC715">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2.0×10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4B7F38C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1200mg/kg</w:t>
                  </w:r>
                </w:p>
              </w:tc>
            </w:tr>
            <w:tr w14:paraId="3AF327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664A330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34</w:t>
                  </w:r>
                </w:p>
              </w:tc>
              <w:tc>
                <w:tcPr>
                  <w:tcW w:w="805" w:type="pct"/>
                  <w:noWrap/>
                  <w:vAlign w:val="center"/>
                </w:tcPr>
                <w:p w14:paraId="6D5E2AC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间二甲苯+对二甲苯</w:t>
                  </w:r>
                </w:p>
              </w:tc>
              <w:tc>
                <w:tcPr>
                  <w:tcW w:w="544" w:type="pct"/>
                  <w:noWrap/>
                  <w:vAlign w:val="center"/>
                </w:tcPr>
                <w:p w14:paraId="144D88D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3B5DBC3E">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3.6×10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45FE5148">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3.6×10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48A48B84">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3.6×10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31A396A0">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3.6×10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42182E94">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3.6×10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68214B3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570mg/kg</w:t>
                  </w:r>
                </w:p>
              </w:tc>
            </w:tr>
            <w:tr w14:paraId="24D362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35D3B62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35</w:t>
                  </w:r>
                </w:p>
              </w:tc>
              <w:tc>
                <w:tcPr>
                  <w:tcW w:w="805" w:type="pct"/>
                  <w:noWrap/>
                  <w:vAlign w:val="center"/>
                </w:tcPr>
                <w:p w14:paraId="62A7622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邻二甲苯</w:t>
                  </w:r>
                </w:p>
              </w:tc>
              <w:tc>
                <w:tcPr>
                  <w:tcW w:w="544" w:type="pct"/>
                  <w:noWrap/>
                  <w:vAlign w:val="center"/>
                </w:tcPr>
                <w:p w14:paraId="7CFDE0B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4917F8E">
                  <w:pPr>
                    <w:pStyle w:val="17"/>
                    <w:jc w:val="center"/>
                    <w:rPr>
                      <w:rFonts w:hint="default" w:ascii="Times New Roman" w:hAnsi="Times New Roman" w:cs="Times New Roman"/>
                      <w:color w:val="auto"/>
                      <w:sz w:val="18"/>
                      <w:szCs w:val="18"/>
                      <w:highlight w:val="none"/>
                      <w:lang w:bidi="mn-Mong-CN"/>
                    </w:rPr>
                  </w:pPr>
                  <w:r>
                    <w:rPr>
                      <w:rFonts w:hint="default" w:ascii="Times New Roman" w:hAnsi="Times New Roman" w:cs="Times New Roman"/>
                      <w:color w:val="auto"/>
                      <w:sz w:val="18"/>
                      <w:szCs w:val="18"/>
                      <w:highlight w:val="none"/>
                      <w:lang w:bidi="mn-Mong-CN"/>
                    </w:rPr>
                    <w:t>1.3×10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2BFC738C">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1.3×10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21F2409D">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1.3×10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5" w:type="pct"/>
                  <w:noWrap/>
                  <w:vAlign w:val="center"/>
                </w:tcPr>
                <w:p w14:paraId="6105E196">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1.3×10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528" w:type="pct"/>
                  <w:noWrap/>
                  <w:vAlign w:val="center"/>
                </w:tcPr>
                <w:p w14:paraId="12E0E7D6">
                  <w:pPr>
                    <w:pStyle w:val="17"/>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bidi="mn-Mong-CN"/>
                    </w:rPr>
                    <w:t>1.3×10</w:t>
                  </w:r>
                  <w:r>
                    <w:rPr>
                      <w:rFonts w:hint="default" w:ascii="Times New Roman" w:hAnsi="Times New Roman" w:cs="Times New Roman"/>
                      <w:color w:val="auto"/>
                      <w:sz w:val="18"/>
                      <w:szCs w:val="18"/>
                      <w:highlight w:val="none"/>
                      <w:vertAlign w:val="superscript"/>
                      <w:lang w:bidi="mn-Mong-CN"/>
                    </w:rPr>
                    <w:t>-3</w:t>
                  </w:r>
                  <w:r>
                    <w:rPr>
                      <w:rFonts w:hint="default" w:ascii="Times New Roman" w:hAnsi="Times New Roman" w:cs="Times New Roman"/>
                      <w:color w:val="auto"/>
                      <w:sz w:val="18"/>
                      <w:szCs w:val="18"/>
                      <w:highlight w:val="none"/>
                      <w:lang w:bidi="mn-Mong-CN"/>
                    </w:rPr>
                    <w:t>L</w:t>
                  </w:r>
                </w:p>
              </w:tc>
              <w:tc>
                <w:tcPr>
                  <w:tcW w:w="652" w:type="pct"/>
                  <w:noWrap/>
                  <w:vAlign w:val="center"/>
                </w:tcPr>
                <w:p w14:paraId="0376C8F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640mg/kg</w:t>
                  </w:r>
                </w:p>
              </w:tc>
            </w:tr>
            <w:tr w14:paraId="77FA56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1C8EB75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36</w:t>
                  </w:r>
                </w:p>
              </w:tc>
              <w:tc>
                <w:tcPr>
                  <w:tcW w:w="805" w:type="pct"/>
                  <w:noWrap/>
                  <w:vAlign w:val="center"/>
                </w:tcPr>
                <w:p w14:paraId="678BC89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硝基苯</w:t>
                  </w:r>
                </w:p>
              </w:tc>
              <w:tc>
                <w:tcPr>
                  <w:tcW w:w="544" w:type="pct"/>
                  <w:noWrap/>
                  <w:vAlign w:val="center"/>
                </w:tcPr>
                <w:p w14:paraId="0ABADAE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DAC96A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0.09L</w:t>
                  </w:r>
                </w:p>
              </w:tc>
              <w:tc>
                <w:tcPr>
                  <w:tcW w:w="525" w:type="pct"/>
                  <w:noWrap/>
                  <w:vAlign w:val="center"/>
                </w:tcPr>
                <w:p w14:paraId="1DFEBA2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0.09L</w:t>
                  </w:r>
                </w:p>
              </w:tc>
              <w:tc>
                <w:tcPr>
                  <w:tcW w:w="525" w:type="pct"/>
                  <w:noWrap/>
                  <w:vAlign w:val="center"/>
                </w:tcPr>
                <w:p w14:paraId="10F3324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0.09L</w:t>
                  </w:r>
                </w:p>
              </w:tc>
              <w:tc>
                <w:tcPr>
                  <w:tcW w:w="525" w:type="pct"/>
                  <w:noWrap/>
                  <w:vAlign w:val="center"/>
                </w:tcPr>
                <w:p w14:paraId="57DC11D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0.09L</w:t>
                  </w:r>
                </w:p>
              </w:tc>
              <w:tc>
                <w:tcPr>
                  <w:tcW w:w="528" w:type="pct"/>
                  <w:noWrap/>
                  <w:vAlign w:val="center"/>
                </w:tcPr>
                <w:p w14:paraId="5DA72E2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0.09L</w:t>
                  </w:r>
                </w:p>
              </w:tc>
              <w:tc>
                <w:tcPr>
                  <w:tcW w:w="652" w:type="pct"/>
                  <w:noWrap/>
                  <w:vAlign w:val="center"/>
                </w:tcPr>
                <w:p w14:paraId="0AD9947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76mg/kg</w:t>
                  </w:r>
                </w:p>
              </w:tc>
            </w:tr>
            <w:tr w14:paraId="7B15DD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6AF1480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37</w:t>
                  </w:r>
                </w:p>
              </w:tc>
              <w:tc>
                <w:tcPr>
                  <w:tcW w:w="805" w:type="pct"/>
                  <w:noWrap/>
                  <w:vAlign w:val="center"/>
                </w:tcPr>
                <w:p w14:paraId="1A540B9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苯胺</w:t>
                  </w:r>
                </w:p>
              </w:tc>
              <w:tc>
                <w:tcPr>
                  <w:tcW w:w="544" w:type="pct"/>
                  <w:noWrap/>
                  <w:vAlign w:val="center"/>
                </w:tcPr>
                <w:p w14:paraId="142D3E6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503D0C5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57BFCCC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7361001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512CA4A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8" w:type="pct"/>
                  <w:noWrap/>
                  <w:vAlign w:val="center"/>
                </w:tcPr>
                <w:p w14:paraId="07FDA80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652" w:type="pct"/>
                  <w:noWrap/>
                  <w:vAlign w:val="center"/>
                </w:tcPr>
                <w:p w14:paraId="38B02B8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260mg/kg</w:t>
                  </w:r>
                </w:p>
              </w:tc>
            </w:tr>
            <w:tr w14:paraId="43DBD5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5404C9A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38</w:t>
                  </w:r>
                </w:p>
              </w:tc>
              <w:tc>
                <w:tcPr>
                  <w:tcW w:w="805" w:type="pct"/>
                  <w:noWrap/>
                  <w:vAlign w:val="center"/>
                </w:tcPr>
                <w:p w14:paraId="487BEA3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2-氯酚</w:t>
                  </w:r>
                </w:p>
              </w:tc>
              <w:tc>
                <w:tcPr>
                  <w:tcW w:w="544" w:type="pct"/>
                  <w:noWrap/>
                  <w:vAlign w:val="center"/>
                </w:tcPr>
                <w:p w14:paraId="4A4DE7D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DA2C68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0.06L</w:t>
                  </w:r>
                </w:p>
              </w:tc>
              <w:tc>
                <w:tcPr>
                  <w:tcW w:w="525" w:type="pct"/>
                  <w:noWrap/>
                  <w:vAlign w:val="center"/>
                </w:tcPr>
                <w:p w14:paraId="5CBE44B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0.06L</w:t>
                  </w:r>
                </w:p>
              </w:tc>
              <w:tc>
                <w:tcPr>
                  <w:tcW w:w="525" w:type="pct"/>
                  <w:noWrap/>
                  <w:vAlign w:val="center"/>
                </w:tcPr>
                <w:p w14:paraId="1FB3AA8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0.06L</w:t>
                  </w:r>
                </w:p>
              </w:tc>
              <w:tc>
                <w:tcPr>
                  <w:tcW w:w="525" w:type="pct"/>
                  <w:noWrap/>
                  <w:vAlign w:val="center"/>
                </w:tcPr>
                <w:p w14:paraId="4099762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0.06L</w:t>
                  </w:r>
                </w:p>
              </w:tc>
              <w:tc>
                <w:tcPr>
                  <w:tcW w:w="528" w:type="pct"/>
                  <w:noWrap/>
                  <w:vAlign w:val="center"/>
                </w:tcPr>
                <w:p w14:paraId="31999C1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0.06L</w:t>
                  </w:r>
                </w:p>
              </w:tc>
              <w:tc>
                <w:tcPr>
                  <w:tcW w:w="652" w:type="pct"/>
                  <w:noWrap/>
                  <w:vAlign w:val="center"/>
                </w:tcPr>
                <w:p w14:paraId="64D3E09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2256mg/kg</w:t>
                  </w:r>
                </w:p>
              </w:tc>
            </w:tr>
            <w:tr w14:paraId="05DE53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1D2CC8A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39</w:t>
                  </w:r>
                </w:p>
              </w:tc>
              <w:tc>
                <w:tcPr>
                  <w:tcW w:w="805" w:type="pct"/>
                  <w:noWrap/>
                  <w:vAlign w:val="center"/>
                </w:tcPr>
                <w:p w14:paraId="5BA8FD9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苯并[a]蒽</w:t>
                  </w:r>
                </w:p>
              </w:tc>
              <w:tc>
                <w:tcPr>
                  <w:tcW w:w="544" w:type="pct"/>
                  <w:noWrap/>
                  <w:vAlign w:val="center"/>
                </w:tcPr>
                <w:p w14:paraId="62E3E79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41F40B6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71E095A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4FA8A41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428AD23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8" w:type="pct"/>
                  <w:noWrap/>
                  <w:vAlign w:val="center"/>
                </w:tcPr>
                <w:p w14:paraId="56A8B9D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652" w:type="pct"/>
                  <w:noWrap/>
                  <w:vAlign w:val="center"/>
                </w:tcPr>
                <w:p w14:paraId="6D05AC0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15mg/kg</w:t>
                  </w:r>
                </w:p>
              </w:tc>
            </w:tr>
            <w:tr w14:paraId="5D5F76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7D8C87E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40</w:t>
                  </w:r>
                </w:p>
              </w:tc>
              <w:tc>
                <w:tcPr>
                  <w:tcW w:w="805" w:type="pct"/>
                  <w:noWrap/>
                  <w:vAlign w:val="center"/>
                </w:tcPr>
                <w:p w14:paraId="2E88785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苯并[a]芘</w:t>
                  </w:r>
                </w:p>
              </w:tc>
              <w:tc>
                <w:tcPr>
                  <w:tcW w:w="544" w:type="pct"/>
                  <w:noWrap/>
                  <w:vAlign w:val="center"/>
                </w:tcPr>
                <w:p w14:paraId="376D737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4ACF818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23A5FEE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4E7F965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6094E3A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8" w:type="pct"/>
                  <w:noWrap/>
                  <w:vAlign w:val="center"/>
                </w:tcPr>
                <w:p w14:paraId="2F496BB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652" w:type="pct"/>
                  <w:noWrap/>
                  <w:vAlign w:val="center"/>
                </w:tcPr>
                <w:p w14:paraId="2C4A642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1.5mg/kg</w:t>
                  </w:r>
                </w:p>
              </w:tc>
            </w:tr>
            <w:tr w14:paraId="0DAE81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5F576F0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w:t>
                  </w:r>
                </w:p>
              </w:tc>
              <w:tc>
                <w:tcPr>
                  <w:tcW w:w="805" w:type="pct"/>
                  <w:noWrap/>
                  <w:vAlign w:val="center"/>
                </w:tcPr>
                <w:p w14:paraId="0295239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苯并[b]荧蒽</w:t>
                  </w:r>
                </w:p>
              </w:tc>
              <w:tc>
                <w:tcPr>
                  <w:tcW w:w="544" w:type="pct"/>
                  <w:noWrap/>
                  <w:vAlign w:val="center"/>
                </w:tcPr>
                <w:p w14:paraId="6B83FE1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235803B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0.2L</w:t>
                  </w:r>
                </w:p>
              </w:tc>
              <w:tc>
                <w:tcPr>
                  <w:tcW w:w="525" w:type="pct"/>
                  <w:noWrap/>
                  <w:vAlign w:val="center"/>
                </w:tcPr>
                <w:p w14:paraId="3EF916D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0.2L</w:t>
                  </w:r>
                </w:p>
              </w:tc>
              <w:tc>
                <w:tcPr>
                  <w:tcW w:w="525" w:type="pct"/>
                  <w:noWrap/>
                  <w:vAlign w:val="center"/>
                </w:tcPr>
                <w:p w14:paraId="678272C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0.2L</w:t>
                  </w:r>
                </w:p>
              </w:tc>
              <w:tc>
                <w:tcPr>
                  <w:tcW w:w="525" w:type="pct"/>
                  <w:noWrap/>
                  <w:vAlign w:val="center"/>
                </w:tcPr>
                <w:p w14:paraId="1BDAEAD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0.2L</w:t>
                  </w:r>
                </w:p>
              </w:tc>
              <w:tc>
                <w:tcPr>
                  <w:tcW w:w="528" w:type="pct"/>
                  <w:noWrap/>
                  <w:vAlign w:val="center"/>
                </w:tcPr>
                <w:p w14:paraId="7A9262B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0.2L</w:t>
                  </w:r>
                </w:p>
              </w:tc>
              <w:tc>
                <w:tcPr>
                  <w:tcW w:w="652" w:type="pct"/>
                  <w:noWrap/>
                  <w:vAlign w:val="center"/>
                </w:tcPr>
                <w:p w14:paraId="2A14D56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15mg/kg</w:t>
                  </w:r>
                </w:p>
              </w:tc>
            </w:tr>
            <w:tr w14:paraId="021186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70C1D4D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42</w:t>
                  </w:r>
                </w:p>
              </w:tc>
              <w:tc>
                <w:tcPr>
                  <w:tcW w:w="805" w:type="pct"/>
                  <w:noWrap/>
                  <w:vAlign w:val="center"/>
                </w:tcPr>
                <w:p w14:paraId="1C54AC4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苯并[k]荧蒽</w:t>
                  </w:r>
                </w:p>
              </w:tc>
              <w:tc>
                <w:tcPr>
                  <w:tcW w:w="544" w:type="pct"/>
                  <w:noWrap/>
                  <w:vAlign w:val="center"/>
                </w:tcPr>
                <w:p w14:paraId="55843A9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57D759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64B6317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7C5939F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3391F20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8" w:type="pct"/>
                  <w:noWrap/>
                  <w:vAlign w:val="center"/>
                </w:tcPr>
                <w:p w14:paraId="3D6CD2B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652" w:type="pct"/>
                  <w:noWrap/>
                  <w:vAlign w:val="center"/>
                </w:tcPr>
                <w:p w14:paraId="037615C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151mg/kg</w:t>
                  </w:r>
                </w:p>
              </w:tc>
            </w:tr>
            <w:tr w14:paraId="3A86D1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58AFA30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43</w:t>
                  </w:r>
                </w:p>
              </w:tc>
              <w:tc>
                <w:tcPr>
                  <w:tcW w:w="805" w:type="pct"/>
                  <w:noWrap/>
                  <w:vAlign w:val="center"/>
                </w:tcPr>
                <w:p w14:paraId="2D6F627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䓛</w:t>
                  </w:r>
                </w:p>
              </w:tc>
              <w:tc>
                <w:tcPr>
                  <w:tcW w:w="544" w:type="pct"/>
                  <w:noWrap/>
                  <w:vAlign w:val="center"/>
                </w:tcPr>
                <w:p w14:paraId="462A810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4A00EC0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77F2A48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43352AB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600F018A">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8" w:type="pct"/>
                  <w:noWrap/>
                  <w:vAlign w:val="center"/>
                </w:tcPr>
                <w:p w14:paraId="4518279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652" w:type="pct"/>
                  <w:noWrap/>
                  <w:vAlign w:val="center"/>
                </w:tcPr>
                <w:p w14:paraId="2E18EA5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1293mg/kg</w:t>
                  </w:r>
                </w:p>
              </w:tc>
            </w:tr>
            <w:tr w14:paraId="415FE3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3C42E8D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44</w:t>
                  </w:r>
                </w:p>
              </w:tc>
              <w:tc>
                <w:tcPr>
                  <w:tcW w:w="805" w:type="pct"/>
                  <w:noWrap/>
                  <w:vAlign w:val="center"/>
                </w:tcPr>
                <w:p w14:paraId="1155B89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二苯并[a, h]蒽</w:t>
                  </w:r>
                </w:p>
              </w:tc>
              <w:tc>
                <w:tcPr>
                  <w:tcW w:w="544" w:type="pct"/>
                  <w:noWrap/>
                  <w:vAlign w:val="center"/>
                </w:tcPr>
                <w:p w14:paraId="72B4101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CC8719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4C341B7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6F41F5E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0D4E47D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8" w:type="pct"/>
                  <w:noWrap/>
                  <w:vAlign w:val="center"/>
                </w:tcPr>
                <w:p w14:paraId="3C748A1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652" w:type="pct"/>
                  <w:noWrap/>
                  <w:vAlign w:val="center"/>
                </w:tcPr>
                <w:p w14:paraId="479B34C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1.5mg/kg</w:t>
                  </w:r>
                </w:p>
              </w:tc>
            </w:tr>
            <w:tr w14:paraId="78CFA8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23B8AD7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45</w:t>
                  </w:r>
                </w:p>
              </w:tc>
              <w:tc>
                <w:tcPr>
                  <w:tcW w:w="805" w:type="pct"/>
                  <w:noWrap/>
                  <w:vAlign w:val="center"/>
                </w:tcPr>
                <w:p w14:paraId="20A36AF9">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茚并[1,2,3-cd]芘</w:t>
                  </w:r>
                </w:p>
              </w:tc>
              <w:tc>
                <w:tcPr>
                  <w:tcW w:w="544" w:type="pct"/>
                  <w:noWrap/>
                  <w:vAlign w:val="center"/>
                </w:tcPr>
                <w:p w14:paraId="333D48F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C3F4A6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5D38078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2BA4807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5" w:type="pct"/>
                  <w:noWrap/>
                  <w:vAlign w:val="center"/>
                </w:tcPr>
                <w:p w14:paraId="13317C3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528" w:type="pct"/>
                  <w:noWrap/>
                  <w:vAlign w:val="center"/>
                </w:tcPr>
                <w:p w14:paraId="0F944A91">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0.1L</w:t>
                  </w:r>
                </w:p>
              </w:tc>
              <w:tc>
                <w:tcPr>
                  <w:tcW w:w="652" w:type="pct"/>
                  <w:noWrap/>
                  <w:vAlign w:val="center"/>
                </w:tcPr>
                <w:p w14:paraId="2DA8D184">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15mg/kg</w:t>
                  </w:r>
                </w:p>
              </w:tc>
            </w:tr>
            <w:tr w14:paraId="07B701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42E61CE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46</w:t>
                  </w:r>
                </w:p>
              </w:tc>
              <w:tc>
                <w:tcPr>
                  <w:tcW w:w="805" w:type="pct"/>
                  <w:noWrap/>
                  <w:vAlign w:val="center"/>
                </w:tcPr>
                <w:p w14:paraId="7096D47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萘</w:t>
                  </w:r>
                </w:p>
              </w:tc>
              <w:tc>
                <w:tcPr>
                  <w:tcW w:w="544" w:type="pct"/>
                  <w:noWrap/>
                  <w:vAlign w:val="center"/>
                </w:tcPr>
                <w:p w14:paraId="62437DD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62EF29B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0.09L</w:t>
                  </w:r>
                </w:p>
              </w:tc>
              <w:tc>
                <w:tcPr>
                  <w:tcW w:w="525" w:type="pct"/>
                  <w:noWrap/>
                  <w:vAlign w:val="center"/>
                </w:tcPr>
                <w:p w14:paraId="5CDFC70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0.09L</w:t>
                  </w:r>
                </w:p>
              </w:tc>
              <w:tc>
                <w:tcPr>
                  <w:tcW w:w="525" w:type="pct"/>
                  <w:noWrap/>
                  <w:vAlign w:val="center"/>
                </w:tcPr>
                <w:p w14:paraId="417667A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0.09L</w:t>
                  </w:r>
                </w:p>
              </w:tc>
              <w:tc>
                <w:tcPr>
                  <w:tcW w:w="525" w:type="pct"/>
                  <w:noWrap/>
                  <w:vAlign w:val="center"/>
                </w:tcPr>
                <w:p w14:paraId="00B53A92">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0.09L</w:t>
                  </w:r>
                </w:p>
              </w:tc>
              <w:tc>
                <w:tcPr>
                  <w:tcW w:w="528" w:type="pct"/>
                  <w:noWrap/>
                  <w:vAlign w:val="center"/>
                </w:tcPr>
                <w:p w14:paraId="01B6F047">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0.09L</w:t>
                  </w:r>
                </w:p>
              </w:tc>
              <w:tc>
                <w:tcPr>
                  <w:tcW w:w="652" w:type="pct"/>
                  <w:noWrap/>
                  <w:vAlign w:val="center"/>
                </w:tcPr>
                <w:p w14:paraId="0D96C466">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70mg/kg</w:t>
                  </w:r>
                </w:p>
              </w:tc>
            </w:tr>
            <w:tr w14:paraId="786EBC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1A61061C">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47</w:t>
                  </w:r>
                </w:p>
              </w:tc>
              <w:tc>
                <w:tcPr>
                  <w:tcW w:w="805" w:type="pct"/>
                  <w:noWrap/>
                  <w:vAlign w:val="center"/>
                </w:tcPr>
                <w:p w14:paraId="336BEDBE">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氰化物</w:t>
                  </w:r>
                </w:p>
              </w:tc>
              <w:tc>
                <w:tcPr>
                  <w:tcW w:w="544" w:type="pct"/>
                  <w:noWrap/>
                  <w:vAlign w:val="center"/>
                </w:tcPr>
                <w:p w14:paraId="161EA5B0">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706DB2B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0.04L</w:t>
                  </w:r>
                </w:p>
              </w:tc>
              <w:tc>
                <w:tcPr>
                  <w:tcW w:w="525" w:type="pct"/>
                  <w:noWrap/>
                  <w:vAlign w:val="center"/>
                </w:tcPr>
                <w:p w14:paraId="0903D64F">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0.04L</w:t>
                  </w:r>
                </w:p>
              </w:tc>
              <w:tc>
                <w:tcPr>
                  <w:tcW w:w="525" w:type="pct"/>
                  <w:noWrap/>
                  <w:vAlign w:val="center"/>
                </w:tcPr>
                <w:p w14:paraId="7A432AFB">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0.04L</w:t>
                  </w:r>
                </w:p>
              </w:tc>
              <w:tc>
                <w:tcPr>
                  <w:tcW w:w="525" w:type="pct"/>
                  <w:noWrap/>
                  <w:vAlign w:val="center"/>
                </w:tcPr>
                <w:p w14:paraId="2ECAD713">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0.04L</w:t>
                  </w:r>
                </w:p>
              </w:tc>
              <w:tc>
                <w:tcPr>
                  <w:tcW w:w="528" w:type="pct"/>
                  <w:noWrap/>
                  <w:vAlign w:val="center"/>
                </w:tcPr>
                <w:p w14:paraId="30E8AB2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0.04L</w:t>
                  </w:r>
                </w:p>
              </w:tc>
              <w:tc>
                <w:tcPr>
                  <w:tcW w:w="652" w:type="pct"/>
                  <w:noWrap/>
                  <w:vAlign w:val="center"/>
                </w:tcPr>
                <w:p w14:paraId="657855AD">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135mg/kg</w:t>
                  </w:r>
                </w:p>
              </w:tc>
            </w:tr>
            <w:tr w14:paraId="6C747A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54" w:hRule="atLeast"/>
                <w:jc w:val="center"/>
              </w:trPr>
              <w:tc>
                <w:tcPr>
                  <w:tcW w:w="294" w:type="pct"/>
                  <w:noWrap/>
                  <w:vAlign w:val="center"/>
                </w:tcPr>
                <w:p w14:paraId="648997F8">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48</w:t>
                  </w:r>
                </w:p>
              </w:tc>
              <w:tc>
                <w:tcPr>
                  <w:tcW w:w="805" w:type="pct"/>
                  <w:noWrap/>
                  <w:vAlign w:val="center"/>
                </w:tcPr>
                <w:p w14:paraId="591AF6D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氨氮</w:t>
                  </w:r>
                </w:p>
              </w:tc>
              <w:tc>
                <w:tcPr>
                  <w:tcW w:w="544" w:type="pct"/>
                  <w:noWrap/>
                  <w:vAlign w:val="center"/>
                </w:tcPr>
                <w:p w14:paraId="4170C1D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mg/kg</w:t>
                  </w:r>
                </w:p>
              </w:tc>
              <w:tc>
                <w:tcPr>
                  <w:tcW w:w="599" w:type="pct"/>
                  <w:noWrap/>
                  <w:vAlign w:val="center"/>
                </w:tcPr>
                <w:p w14:paraId="420B879B">
                  <w:pPr>
                    <w:widowControl/>
                    <w:adjustRightIn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1.25</w:t>
                  </w:r>
                </w:p>
              </w:tc>
              <w:tc>
                <w:tcPr>
                  <w:tcW w:w="525" w:type="pct"/>
                  <w:noWrap/>
                  <w:vAlign w:val="center"/>
                </w:tcPr>
                <w:p w14:paraId="176CB41D">
                  <w:pPr>
                    <w:widowControl/>
                    <w:adjustRightIn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0.84</w:t>
                  </w:r>
                </w:p>
              </w:tc>
              <w:tc>
                <w:tcPr>
                  <w:tcW w:w="525" w:type="pct"/>
                  <w:noWrap/>
                  <w:vAlign w:val="center"/>
                </w:tcPr>
                <w:p w14:paraId="367C44D8">
                  <w:pPr>
                    <w:widowControl/>
                    <w:adjustRightIn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0.91</w:t>
                  </w:r>
                </w:p>
              </w:tc>
              <w:tc>
                <w:tcPr>
                  <w:tcW w:w="525" w:type="pct"/>
                  <w:noWrap/>
                  <w:vAlign w:val="center"/>
                </w:tcPr>
                <w:p w14:paraId="7FA35DCA">
                  <w:pPr>
                    <w:widowControl/>
                    <w:adjustRightIn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0.88</w:t>
                  </w:r>
                </w:p>
              </w:tc>
              <w:tc>
                <w:tcPr>
                  <w:tcW w:w="528" w:type="pct"/>
                  <w:noWrap/>
                  <w:vAlign w:val="center"/>
                </w:tcPr>
                <w:p w14:paraId="203714F2">
                  <w:pPr>
                    <w:widowControl/>
                    <w:adjustRightInd w:val="0"/>
                    <w:spacing w:line="240" w:lineRule="auto"/>
                    <w:ind w:firstLine="0" w:firstLineChars="0"/>
                    <w:jc w:val="center"/>
                    <w:textAlignment w:val="baseline"/>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eastAsia="zh-CN"/>
                    </w:rPr>
                    <w:t>0.67</w:t>
                  </w:r>
                </w:p>
              </w:tc>
              <w:tc>
                <w:tcPr>
                  <w:tcW w:w="652" w:type="pct"/>
                  <w:noWrap/>
                  <w:vAlign w:val="center"/>
                </w:tcPr>
                <w:p w14:paraId="49432915">
                  <w:pPr>
                    <w:widowControl/>
                    <w:adjustRightInd w:val="0"/>
                    <w:spacing w:line="240" w:lineRule="auto"/>
                    <w:ind w:firstLine="0" w:firstLineChars="0"/>
                    <w:jc w:val="center"/>
                    <w:textAlignment w:val="baseline"/>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1200mg/kg</w:t>
                  </w:r>
                </w:p>
              </w:tc>
            </w:tr>
          </w:tbl>
          <w:p w14:paraId="45728B2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根据监测结果可知，</w:t>
            </w:r>
            <w:r>
              <w:rPr>
                <w:rFonts w:hint="default" w:ascii="Times New Roman" w:hAnsi="Times New Roman" w:cs="Times New Roman"/>
                <w:color w:val="auto"/>
                <w:sz w:val="24"/>
                <w:szCs w:val="24"/>
                <w:highlight w:val="none"/>
              </w:rPr>
              <w:t>监测因子含量</w:t>
            </w:r>
            <w:r>
              <w:rPr>
                <w:rFonts w:hint="default" w:ascii="Times New Roman" w:hAnsi="Times New Roman" w:cs="Times New Roman"/>
                <w:color w:val="auto"/>
                <w:sz w:val="24"/>
                <w:szCs w:val="24"/>
                <w:highlight w:val="none"/>
                <w:lang w:val="en-US" w:eastAsia="zh-CN"/>
              </w:rPr>
              <w:t>均</w:t>
            </w:r>
            <w:r>
              <w:rPr>
                <w:rFonts w:hint="default" w:ascii="Times New Roman" w:hAnsi="Times New Roman" w:cs="Times New Roman"/>
                <w:color w:val="auto"/>
                <w:sz w:val="24"/>
                <w:szCs w:val="24"/>
                <w:highlight w:val="none"/>
              </w:rPr>
              <w:t>满足《土壤环境质量 建设用地土壤污染风险管控标准（试行）》（GB36600-2018）表1中第二类用地筛选值。</w:t>
            </w:r>
          </w:p>
          <w:p w14:paraId="194CE33F">
            <w:pPr>
              <w:pStyle w:val="6"/>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声环境质量现状</w:t>
            </w:r>
          </w:p>
          <w:p w14:paraId="23760D4B">
            <w:pPr>
              <w:pStyle w:val="6"/>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建设项目环境影响报告表编制技术指南（污染影响类）（试行）》，厂界外周边50米范围内存在声环境保护目标的建设项目，应监测保护目标声环境质量现状并评价达标情况。根据现场踏勘情况，项目厂界外50m范围内无居民等敏感点，因此本次评价不进行声环境质量现状监测。</w:t>
            </w:r>
          </w:p>
          <w:p w14:paraId="78391320">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5.生态环境</w:t>
            </w:r>
          </w:p>
          <w:p w14:paraId="72544647">
            <w:pPr>
              <w:pStyle w:val="6"/>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项目建设不新增占地，且用地范围内不涉及生态环境保护目标，根据《建设项目环境影响报告表编制技术指南（污染影响类）》（试行）中的相关规定，本次评价不进行生态环境现状评价。</w:t>
            </w:r>
          </w:p>
        </w:tc>
      </w:tr>
      <w:tr w14:paraId="652211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1690" w:hRule="atLeast"/>
          <w:jc w:val="center"/>
        </w:trPr>
        <w:tc>
          <w:tcPr>
            <w:tcW w:w="444" w:type="pct"/>
            <w:noWrap w:val="0"/>
            <w:vAlign w:val="center"/>
          </w:tcPr>
          <w:p w14:paraId="30E4B8C4">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环境</w:t>
            </w:r>
          </w:p>
          <w:p w14:paraId="78B5BEC3">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保护</w:t>
            </w:r>
          </w:p>
          <w:p w14:paraId="0039065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4"/>
                <w:szCs w:val="24"/>
                <w:highlight w:val="none"/>
              </w:rPr>
              <w:t>目标</w:t>
            </w:r>
          </w:p>
        </w:tc>
        <w:tc>
          <w:tcPr>
            <w:tcW w:w="4555" w:type="pct"/>
            <w:noWrap w:val="0"/>
            <w:vAlign w:val="center"/>
          </w:tcPr>
          <w:p w14:paraId="0E066A9E">
            <w:pPr>
              <w:pStyle w:val="6"/>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建设项目环境影响报告表编制技术指南（试行）》中关于环境保护目标的规定，大气环境：明确厂界外500m范围内的自然保护区、风景名胜区、居住区、文化区和农村地区中人群较集中的区域，环境空气质量应符合《环境空气质量标准》（GB3095-2012）中的二级标准；地下水环境：明确厂界外500m范围内的地下水集中式饮用水水源和热水、矿泉水、温泉等特殊地下水资源；声环境：明确厂界外50m范围内声环境保护目标，声环境质量应符合《声环境质量标准》（GB3096-2008）中的2类标准。</w:t>
            </w:r>
          </w:p>
          <w:p w14:paraId="3D914FFE">
            <w:pPr>
              <w:pStyle w:val="6"/>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default" w:ascii="Times New Roman" w:hAnsi="Times New Roman" w:cs="Times New Roman"/>
                <w:color w:val="auto"/>
              </w:rPr>
            </w:pPr>
            <w:r>
              <w:rPr>
                <w:rFonts w:hint="default" w:ascii="Times New Roman" w:hAnsi="Times New Roman" w:eastAsia="宋体" w:cs="Times New Roman"/>
                <w:color w:val="auto"/>
                <w:sz w:val="24"/>
                <w:szCs w:val="24"/>
                <w:highlight w:val="none"/>
                <w:lang w:val="en-US" w:eastAsia="zh-CN"/>
              </w:rPr>
              <w:t>本项目厂界外500m范围内无自然保护区、风景名胜区、居住区、文化区和农村地区中人群较集中的区域等保护目标。项目厂界外50m范围内无声环境保护目标。项目厂界外500m范围内无地下水集中式饮用水水源和热水、矿泉水、温泉等特殊地下水资源。项目用地范围内不含特殊生态敏感区、重要生态敏感区。</w:t>
            </w:r>
          </w:p>
        </w:tc>
      </w:tr>
      <w:tr w14:paraId="3E244E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1438" w:hRule="atLeast"/>
          <w:jc w:val="center"/>
        </w:trPr>
        <w:tc>
          <w:tcPr>
            <w:tcW w:w="444" w:type="pct"/>
            <w:noWrap w:val="0"/>
            <w:tcMar>
              <w:left w:w="28" w:type="dxa"/>
              <w:right w:w="28" w:type="dxa"/>
            </w:tcMar>
            <w:vAlign w:val="center"/>
          </w:tcPr>
          <w:p w14:paraId="56F3A24D">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污染</w:t>
            </w:r>
          </w:p>
          <w:p w14:paraId="403632C5">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物排</w:t>
            </w:r>
          </w:p>
          <w:p w14:paraId="6E280DCB">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放控</w:t>
            </w:r>
          </w:p>
          <w:p w14:paraId="741D64A5">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制标</w:t>
            </w:r>
          </w:p>
          <w:p w14:paraId="0E507F0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4"/>
                <w:szCs w:val="24"/>
                <w:highlight w:val="none"/>
              </w:rPr>
              <w:t>准</w:t>
            </w:r>
          </w:p>
        </w:tc>
        <w:tc>
          <w:tcPr>
            <w:tcW w:w="4555" w:type="pct"/>
            <w:noWrap w:val="0"/>
            <w:vAlign w:val="center"/>
          </w:tcPr>
          <w:p w14:paraId="3623FAE4">
            <w:pPr>
              <w:numPr>
                <w:ilvl w:val="0"/>
                <w:numId w:val="0"/>
              </w:numPr>
              <w:spacing w:line="360" w:lineRule="auto"/>
              <w:ind w:left="420" w:leftChars="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1.废气</w:t>
            </w:r>
          </w:p>
          <w:p w14:paraId="68F66C54">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360" w:lineRule="auto"/>
              <w:ind w:left="479" w:leftChars="228" w:firstLine="0" w:firstLineChars="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项目施工扬尘执行《大气污染物综合排放标准》（GB16297-1996）二级标准</w:t>
            </w:r>
            <w:r>
              <w:rPr>
                <w:rFonts w:hint="default" w:ascii="Times New Roman" w:hAnsi="Times New Roman" w:eastAsia="宋体" w:cs="Times New Roman"/>
                <w:b/>
                <w:bCs/>
                <w:color w:val="auto"/>
                <w:sz w:val="24"/>
                <w:szCs w:val="24"/>
                <w:highlight w:val="none"/>
                <w:lang w:val="en-US" w:eastAsia="zh-CN"/>
              </w:rPr>
              <w:t>2.噪声</w:t>
            </w:r>
          </w:p>
          <w:p w14:paraId="3C258D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执行《</w:t>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HYPERLINK "http://www.sepa.gov.cn/info/bgw/bgg/200809/W020080918372397572656.pdf" \t "_self"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工业企业厂界环境噪声排放标准》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GB12348-2008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中的</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类标准具体限值见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w:t>
            </w:r>
          </w:p>
          <w:p w14:paraId="7B32CF84">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表3-8 《工业企业厂界环境噪声排放标准》（GB12348-2008</w:t>
            </w:r>
            <w:r>
              <w:rPr>
                <w:rFonts w:hint="eastAsia" w:ascii="Times New Roman" w:hAnsi="Times New Roman" w:eastAsia="宋体" w:cs="Times New Roman"/>
                <w:b/>
                <w:bCs/>
                <w:color w:val="auto"/>
                <w:kern w:val="2"/>
                <w:sz w:val="21"/>
                <w:szCs w:val="21"/>
                <w:highlight w:val="none"/>
                <w:lang w:val="en-US" w:eastAsia="zh-CN" w:bidi="ar-SA"/>
              </w:rPr>
              <w:t>）</w:t>
            </w:r>
          </w:p>
          <w:tbl>
            <w:tblPr>
              <w:tblStyle w:val="25"/>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28" w:type="dxa"/>
                <w:bottom w:w="0" w:type="dxa"/>
                <w:right w:w="28" w:type="dxa"/>
              </w:tblCellMar>
            </w:tblPr>
            <w:tblGrid>
              <w:gridCol w:w="2730"/>
              <w:gridCol w:w="2787"/>
              <w:gridCol w:w="2902"/>
            </w:tblGrid>
            <w:tr w14:paraId="76DAA2F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454" w:hRule="atLeast"/>
                <w:jc w:val="center"/>
              </w:trPr>
              <w:tc>
                <w:tcPr>
                  <w:tcW w:w="1621" w:type="pct"/>
                  <w:vMerge w:val="restart"/>
                  <w:tcBorders>
                    <w:tl2br w:val="nil"/>
                    <w:tr2bl w:val="nil"/>
                  </w:tcBorders>
                  <w:noWrap w:val="0"/>
                  <w:vAlign w:val="center"/>
                </w:tcPr>
                <w:p w14:paraId="7F17B26D">
                  <w:pPr>
                    <w:tabs>
                      <w:tab w:val="left" w:pos="0"/>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3378" w:type="pct"/>
                  <w:gridSpan w:val="2"/>
                  <w:tcBorders>
                    <w:tl2br w:val="nil"/>
                    <w:tr2bl w:val="nil"/>
                  </w:tcBorders>
                  <w:noWrap w:val="0"/>
                  <w:vAlign w:val="center"/>
                </w:tcPr>
                <w:p w14:paraId="51BBB12C">
                  <w:pPr>
                    <w:tabs>
                      <w:tab w:val="left" w:pos="0"/>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等效声级Leq</w:t>
                  </w:r>
                  <w:r>
                    <w:rPr>
                      <w:rFonts w:hint="default" w:ascii="Times New Roman" w:hAnsi="Times New Roman" w:eastAsia="宋体" w:cs="Times New Roman"/>
                      <w:b/>
                      <w:bCs/>
                      <w:color w:val="auto"/>
                      <w:kern w:val="0"/>
                      <w:sz w:val="21"/>
                      <w:szCs w:val="21"/>
                      <w:highlight w:val="none"/>
                    </w:rPr>
                    <w:t>[ dB(A)]</w:t>
                  </w:r>
                </w:p>
              </w:tc>
            </w:tr>
            <w:tr w14:paraId="41424EB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454" w:hRule="atLeast"/>
                <w:jc w:val="center"/>
              </w:trPr>
              <w:tc>
                <w:tcPr>
                  <w:tcW w:w="1621" w:type="pct"/>
                  <w:vMerge w:val="continue"/>
                  <w:tcBorders>
                    <w:tl2br w:val="nil"/>
                    <w:tr2bl w:val="nil"/>
                  </w:tcBorders>
                  <w:noWrap w:val="0"/>
                  <w:vAlign w:val="center"/>
                </w:tcPr>
                <w:p w14:paraId="2DB957DA">
                  <w:pPr>
                    <w:widowControl/>
                    <w:jc w:val="left"/>
                    <w:rPr>
                      <w:rFonts w:hint="default" w:ascii="Times New Roman" w:hAnsi="Times New Roman" w:eastAsia="宋体" w:cs="Times New Roman"/>
                      <w:b/>
                      <w:bCs/>
                      <w:color w:val="auto"/>
                      <w:sz w:val="21"/>
                      <w:szCs w:val="21"/>
                      <w:highlight w:val="none"/>
                    </w:rPr>
                  </w:pPr>
                </w:p>
              </w:tc>
              <w:tc>
                <w:tcPr>
                  <w:tcW w:w="1655" w:type="pct"/>
                  <w:tcBorders>
                    <w:tl2br w:val="nil"/>
                    <w:tr2bl w:val="nil"/>
                  </w:tcBorders>
                  <w:noWrap w:val="0"/>
                  <w:vAlign w:val="center"/>
                </w:tcPr>
                <w:p w14:paraId="58DB252A">
                  <w:pPr>
                    <w:tabs>
                      <w:tab w:val="left" w:pos="0"/>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昼   间</w:t>
                  </w:r>
                </w:p>
              </w:tc>
              <w:tc>
                <w:tcPr>
                  <w:tcW w:w="1722" w:type="pct"/>
                  <w:tcBorders>
                    <w:tl2br w:val="nil"/>
                    <w:tr2bl w:val="nil"/>
                  </w:tcBorders>
                  <w:noWrap w:val="0"/>
                  <w:vAlign w:val="center"/>
                </w:tcPr>
                <w:p w14:paraId="64C97B82">
                  <w:pPr>
                    <w:tabs>
                      <w:tab w:val="left" w:pos="0"/>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夜   间</w:t>
                  </w:r>
                </w:p>
              </w:tc>
            </w:tr>
            <w:tr w14:paraId="446B4F2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454" w:hRule="atLeast"/>
                <w:jc w:val="center"/>
              </w:trPr>
              <w:tc>
                <w:tcPr>
                  <w:tcW w:w="1621" w:type="pct"/>
                  <w:tcBorders>
                    <w:tl2br w:val="nil"/>
                    <w:tr2bl w:val="nil"/>
                  </w:tcBorders>
                  <w:noWrap w:val="0"/>
                  <w:vAlign w:val="center"/>
                </w:tcPr>
                <w:p w14:paraId="13028B06">
                  <w:pPr>
                    <w:tabs>
                      <w:tab w:val="left" w:pos="0"/>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w:t>
                  </w:r>
                </w:p>
              </w:tc>
              <w:tc>
                <w:tcPr>
                  <w:tcW w:w="1655" w:type="pct"/>
                  <w:tcBorders>
                    <w:tl2br w:val="nil"/>
                    <w:tr2bl w:val="nil"/>
                  </w:tcBorders>
                  <w:noWrap w:val="0"/>
                  <w:vAlign w:val="center"/>
                </w:tcPr>
                <w:p w14:paraId="6CD749C4">
                  <w:pPr>
                    <w:tabs>
                      <w:tab w:val="left" w:pos="0"/>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1722" w:type="pct"/>
                  <w:tcBorders>
                    <w:tl2br w:val="nil"/>
                    <w:tr2bl w:val="nil"/>
                  </w:tcBorders>
                  <w:noWrap w:val="0"/>
                  <w:vAlign w:val="center"/>
                </w:tcPr>
                <w:p w14:paraId="79D0C748">
                  <w:pPr>
                    <w:tabs>
                      <w:tab w:val="left" w:pos="0"/>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r>
          </w:tbl>
          <w:p w14:paraId="4AD9DBB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施工期噪声排放执行《建筑施工噪声排放标准》（GB12523-20</w:t>
            </w:r>
            <w:r>
              <w:rPr>
                <w:rFonts w:hint="default" w:ascii="Times New Roman" w:hAnsi="Times New Roman" w:eastAsia="宋体"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rPr>
              <w:t>），噪声限值见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w:t>
            </w:r>
          </w:p>
          <w:p w14:paraId="3DF0E92A">
            <w:pPr>
              <w:widowControl/>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kern w:val="0"/>
                <w:sz w:val="21"/>
                <w:szCs w:val="21"/>
                <w:highlight w:val="none"/>
              </w:rPr>
              <w:t>表</w:t>
            </w:r>
            <w:r>
              <w:rPr>
                <w:rFonts w:hint="default" w:ascii="Times New Roman" w:hAnsi="Times New Roman" w:eastAsia="宋体" w:cs="Times New Roman"/>
                <w:b/>
                <w:color w:val="auto"/>
                <w:kern w:val="0"/>
                <w:sz w:val="21"/>
                <w:szCs w:val="21"/>
                <w:highlight w:val="none"/>
                <w:lang w:val="en-US" w:eastAsia="zh-CN"/>
              </w:rPr>
              <w:t xml:space="preserve">3-9 </w:t>
            </w:r>
            <w:r>
              <w:rPr>
                <w:rFonts w:hint="default" w:ascii="Times New Roman" w:hAnsi="Times New Roman" w:eastAsia="宋体" w:cs="Times New Roman"/>
                <w:b/>
                <w:color w:val="auto"/>
                <w:kern w:val="0"/>
                <w:sz w:val="21"/>
                <w:szCs w:val="21"/>
                <w:highlight w:val="none"/>
              </w:rPr>
              <w:t>《建筑施工噪声排放标准》（GB12523-20</w:t>
            </w:r>
            <w:r>
              <w:rPr>
                <w:rFonts w:hint="default" w:ascii="Times New Roman" w:hAnsi="Times New Roman" w:eastAsia="宋体" w:cs="Times New Roman"/>
                <w:b/>
                <w:color w:val="auto"/>
                <w:kern w:val="0"/>
                <w:sz w:val="21"/>
                <w:szCs w:val="21"/>
                <w:highlight w:val="none"/>
                <w:lang w:val="en-US" w:eastAsia="zh-CN"/>
              </w:rPr>
              <w:t>25</w:t>
            </w:r>
            <w:r>
              <w:rPr>
                <w:rFonts w:hint="default" w:ascii="Times New Roman" w:hAnsi="Times New Roman" w:eastAsia="宋体" w:cs="Times New Roman"/>
                <w:b/>
                <w:color w:val="auto"/>
                <w:kern w:val="0"/>
                <w:sz w:val="21"/>
                <w:szCs w:val="21"/>
                <w:highlight w:val="none"/>
              </w:rPr>
              <w:t>）</w:t>
            </w:r>
          </w:p>
          <w:tbl>
            <w:tblPr>
              <w:tblStyle w:val="25"/>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223"/>
              <w:gridCol w:w="3157"/>
              <w:gridCol w:w="3125"/>
            </w:tblGrid>
            <w:tr w14:paraId="250F8F5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2223" w:type="dxa"/>
                  <w:tcBorders>
                    <w:tl2br w:val="nil"/>
                    <w:tr2bl w:val="nil"/>
                  </w:tcBorders>
                  <w:noWrap w:val="0"/>
                  <w:vAlign w:val="center"/>
                </w:tcPr>
                <w:p w14:paraId="08E256D5">
                  <w:pPr>
                    <w:pStyle w:val="6"/>
                    <w:snapToGrid w:val="0"/>
                    <w:spacing w:line="0" w:lineRule="atLeast"/>
                    <w:ind w:firstLine="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单位</w:t>
                  </w:r>
                </w:p>
              </w:tc>
              <w:tc>
                <w:tcPr>
                  <w:tcW w:w="3157" w:type="dxa"/>
                  <w:tcBorders>
                    <w:tl2br w:val="nil"/>
                    <w:tr2bl w:val="nil"/>
                  </w:tcBorders>
                  <w:noWrap w:val="0"/>
                  <w:vAlign w:val="center"/>
                </w:tcPr>
                <w:p w14:paraId="30899E94">
                  <w:pPr>
                    <w:pStyle w:val="6"/>
                    <w:snapToGrid w:val="0"/>
                    <w:spacing w:line="0" w:lineRule="atLeast"/>
                    <w:ind w:firstLine="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昼间</w:t>
                  </w:r>
                </w:p>
              </w:tc>
              <w:tc>
                <w:tcPr>
                  <w:tcW w:w="3125" w:type="dxa"/>
                  <w:tcBorders>
                    <w:tl2br w:val="nil"/>
                    <w:tr2bl w:val="nil"/>
                  </w:tcBorders>
                  <w:noWrap w:val="0"/>
                  <w:vAlign w:val="center"/>
                </w:tcPr>
                <w:p w14:paraId="688D1C52">
                  <w:pPr>
                    <w:pStyle w:val="6"/>
                    <w:snapToGrid w:val="0"/>
                    <w:spacing w:line="0" w:lineRule="atLeast"/>
                    <w:ind w:firstLine="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夜间</w:t>
                  </w:r>
                </w:p>
              </w:tc>
            </w:tr>
            <w:tr w14:paraId="2DC24EA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2223" w:type="dxa"/>
                  <w:tcBorders>
                    <w:tl2br w:val="nil"/>
                    <w:tr2bl w:val="nil"/>
                  </w:tcBorders>
                  <w:noWrap w:val="0"/>
                  <w:vAlign w:val="center"/>
                </w:tcPr>
                <w:p w14:paraId="34B6E5D6">
                  <w:pPr>
                    <w:pStyle w:val="6"/>
                    <w:snapToGrid w:val="0"/>
                    <w:spacing w:line="0" w:lineRule="atLeast"/>
                    <w:ind w:firstLine="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dB(A)</w:t>
                  </w:r>
                </w:p>
              </w:tc>
              <w:tc>
                <w:tcPr>
                  <w:tcW w:w="3157" w:type="dxa"/>
                  <w:tcBorders>
                    <w:tl2br w:val="nil"/>
                    <w:tr2bl w:val="nil"/>
                  </w:tcBorders>
                  <w:noWrap w:val="0"/>
                  <w:vAlign w:val="center"/>
                </w:tcPr>
                <w:p w14:paraId="11EEEFB2">
                  <w:pPr>
                    <w:pStyle w:val="6"/>
                    <w:snapToGrid w:val="0"/>
                    <w:spacing w:line="0" w:lineRule="atLeast"/>
                    <w:ind w:firstLine="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70</w:t>
                  </w:r>
                </w:p>
              </w:tc>
              <w:tc>
                <w:tcPr>
                  <w:tcW w:w="3125" w:type="dxa"/>
                  <w:tcBorders>
                    <w:tl2br w:val="nil"/>
                    <w:tr2bl w:val="nil"/>
                  </w:tcBorders>
                  <w:noWrap w:val="0"/>
                  <w:vAlign w:val="center"/>
                </w:tcPr>
                <w:p w14:paraId="2E7D7010">
                  <w:pPr>
                    <w:pStyle w:val="6"/>
                    <w:snapToGrid w:val="0"/>
                    <w:spacing w:line="0" w:lineRule="atLeast"/>
                    <w:ind w:firstLine="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55</w:t>
                  </w:r>
                </w:p>
              </w:tc>
            </w:tr>
          </w:tbl>
          <w:p w14:paraId="032BE55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3.固体废物</w:t>
            </w:r>
          </w:p>
          <w:p w14:paraId="1BD76D37">
            <w:pPr>
              <w:pStyle w:val="76"/>
              <w:keepNext w:val="0"/>
              <w:keepLines w:val="0"/>
              <w:pageBreakBefore w:val="0"/>
              <w:widowControl w:val="0"/>
              <w:kinsoku/>
              <w:wordWrap/>
              <w:overflowPunct/>
              <w:topLinePunct w:val="0"/>
              <w:bidi w:val="0"/>
              <w:snapToGrid/>
              <w:spacing w:line="360" w:lineRule="auto"/>
              <w:ind w:left="0" w:right="0" w:firstLine="480" w:firstLineChars="200"/>
              <w:jc w:val="both"/>
              <w:textAlignment w:val="auto"/>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2"/>
                <w:sz w:val="24"/>
                <w:szCs w:val="24"/>
                <w:highlight w:val="none"/>
                <w:lang w:val="en-US" w:eastAsia="zh-CN" w:bidi="ar-SA"/>
              </w:rPr>
              <w:t>危险废物执行《危险废物贮存污染控制标准》（GB18597-2023）及《危险废物收集贮存运输技术规范》（HJ2025-2012）中的相关规定。</w:t>
            </w:r>
          </w:p>
        </w:tc>
      </w:tr>
      <w:tr w14:paraId="43726B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508" w:hRule="atLeast"/>
          <w:jc w:val="center"/>
        </w:trPr>
        <w:tc>
          <w:tcPr>
            <w:tcW w:w="444" w:type="pct"/>
            <w:noWrap w:val="0"/>
            <w:vAlign w:val="center"/>
          </w:tcPr>
          <w:p w14:paraId="4C02BE0F">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总量</w:t>
            </w:r>
          </w:p>
          <w:p w14:paraId="1E08E92C">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控制</w:t>
            </w:r>
          </w:p>
          <w:p w14:paraId="23E88F00">
            <w:pPr>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指标</w:t>
            </w:r>
          </w:p>
        </w:tc>
        <w:tc>
          <w:tcPr>
            <w:tcW w:w="4555" w:type="pct"/>
            <w:noWrap w:val="0"/>
            <w:vAlign w:val="center"/>
          </w:tcPr>
          <w:p w14:paraId="7D8F6C2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根据《国务院关于印发“十</w:t>
            </w:r>
            <w:r>
              <w:rPr>
                <w:rFonts w:hint="default" w:ascii="Times New Roman" w:hAnsi="Times New Roman" w:cs="Times New Roman"/>
                <w:color w:val="auto"/>
                <w:kern w:val="0"/>
                <w:sz w:val="24"/>
                <w:szCs w:val="24"/>
                <w:highlight w:val="none"/>
                <w:lang w:val="en-US" w:eastAsia="zh-CN"/>
              </w:rPr>
              <w:t>四</w:t>
            </w:r>
            <w:r>
              <w:rPr>
                <w:rFonts w:hint="default" w:ascii="Times New Roman" w:hAnsi="Times New Roman" w:cs="Times New Roman"/>
                <w:color w:val="auto"/>
                <w:kern w:val="0"/>
                <w:sz w:val="24"/>
                <w:szCs w:val="24"/>
                <w:highlight w:val="none"/>
              </w:rPr>
              <w:t>五”节能减排综合工作方案的通知》（国发〔2016〕74号）中的规定，内蒙古自治区实施污染物排放总量控制的指标有化学需氧量、氨氮、</w:t>
            </w:r>
            <w:r>
              <w:rPr>
                <w:rFonts w:hint="default" w:ascii="Times New Roman" w:hAnsi="Times New Roman" w:cs="Times New Roman"/>
                <w:color w:val="auto"/>
                <w:kern w:val="0"/>
                <w:sz w:val="24"/>
                <w:szCs w:val="24"/>
                <w:highlight w:val="none"/>
                <w:lang w:val="en-US" w:eastAsia="zh-CN"/>
              </w:rPr>
              <w:t>颗粒物、</w:t>
            </w:r>
            <w:r>
              <w:rPr>
                <w:rFonts w:hint="default" w:ascii="Times New Roman" w:hAnsi="Times New Roman" w:cs="Times New Roman"/>
                <w:color w:val="auto"/>
                <w:kern w:val="0"/>
                <w:sz w:val="24"/>
                <w:szCs w:val="24"/>
                <w:highlight w:val="none"/>
              </w:rPr>
              <w:t>二氧化硫和氮氧化物</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挥发性有机物</w:t>
            </w:r>
            <w:r>
              <w:rPr>
                <w:rFonts w:hint="default" w:ascii="Times New Roman" w:hAnsi="Times New Roman" w:cs="Times New Roman"/>
                <w:color w:val="auto"/>
                <w:kern w:val="0"/>
                <w:sz w:val="24"/>
                <w:szCs w:val="24"/>
                <w:highlight w:val="none"/>
              </w:rPr>
              <w:t>。</w:t>
            </w:r>
          </w:p>
          <w:p w14:paraId="024C56E1">
            <w:pPr>
              <w:keepNext w:val="0"/>
              <w:keepLines w:val="0"/>
              <w:pageBreakBefore w:val="0"/>
              <w:widowControl w:val="0"/>
              <w:kinsoku/>
              <w:wordWrap/>
              <w:overflowPunct w:val="0"/>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eastAsia="zh-CN"/>
              </w:rPr>
            </w:pPr>
            <w:r>
              <w:rPr>
                <w:rFonts w:hint="eastAsia" w:ascii="Times New Roman" w:hAnsi="Times New Roman" w:cs="Times New Roman"/>
                <w:color w:val="auto"/>
                <w:sz w:val="24"/>
                <w:szCs w:val="24"/>
                <w:lang w:val="en-US" w:eastAsia="zh-CN"/>
              </w:rPr>
              <w:t>本项目运营期无废气产生及排放，不涉及总量控制指标。</w:t>
            </w:r>
          </w:p>
        </w:tc>
      </w:tr>
    </w:tbl>
    <w:p w14:paraId="29DCF573">
      <w:pPr>
        <w:pStyle w:val="23"/>
        <w:jc w:val="center"/>
        <w:outlineLvl w:val="0"/>
        <w:rPr>
          <w:rFonts w:hint="default" w:ascii="Times New Roman" w:hAnsi="Times New Roman" w:eastAsia="宋体" w:cs="Times New Roman"/>
          <w:snapToGrid w:val="0"/>
          <w:color w:val="auto"/>
          <w:sz w:val="30"/>
          <w:szCs w:val="30"/>
          <w:highlight w:val="none"/>
        </w:rPr>
      </w:pPr>
      <w:r>
        <w:rPr>
          <w:rFonts w:hint="default" w:ascii="Times New Roman" w:hAnsi="Times New Roman" w:eastAsia="宋体" w:cs="Times New Roman"/>
          <w:snapToGrid w:val="0"/>
          <w:color w:val="auto"/>
          <w:sz w:val="36"/>
          <w:szCs w:val="36"/>
          <w:highlight w:val="none"/>
        </w:rPr>
        <w:br w:type="page"/>
      </w:r>
      <w:r>
        <w:rPr>
          <w:rFonts w:hint="default" w:ascii="Times New Roman" w:hAnsi="Times New Roman" w:eastAsia="宋体" w:cs="Times New Roman"/>
          <w:snapToGrid w:val="0"/>
          <w:color w:val="auto"/>
          <w:sz w:val="30"/>
          <w:szCs w:val="30"/>
          <w:highlight w:val="none"/>
        </w:rPr>
        <w:t>四、主要环境影响和保护措施</w:t>
      </w:r>
    </w:p>
    <w:tbl>
      <w:tblPr>
        <w:tblStyle w:val="25"/>
        <w:tblW w:w="504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45"/>
        <w:gridCol w:w="9069"/>
      </w:tblGrid>
      <w:tr w14:paraId="41E755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429" w:hRule="atLeast"/>
          <w:jc w:val="center"/>
        </w:trPr>
        <w:tc>
          <w:tcPr>
            <w:tcW w:w="234" w:type="pct"/>
            <w:noWrap w:val="0"/>
            <w:tcMar>
              <w:left w:w="28" w:type="dxa"/>
              <w:right w:w="28" w:type="dxa"/>
            </w:tcMar>
            <w:vAlign w:val="center"/>
          </w:tcPr>
          <w:p w14:paraId="6B017696">
            <w:pPr>
              <w:pStyle w:val="23"/>
              <w:adjustRightInd w:val="0"/>
              <w:snapToGrid w:val="0"/>
              <w:spacing w:before="0" w:beforeAutospacing="0" w:after="0" w:afterAutospacing="0"/>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施工</w:t>
            </w:r>
          </w:p>
          <w:p w14:paraId="77109F6C">
            <w:pPr>
              <w:pStyle w:val="23"/>
              <w:adjustRightInd w:val="0"/>
              <w:snapToGrid w:val="0"/>
              <w:spacing w:before="0" w:beforeAutospacing="0" w:after="0" w:afterAutospacing="0"/>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期环</w:t>
            </w:r>
          </w:p>
          <w:p w14:paraId="6BEF99FA">
            <w:pPr>
              <w:pStyle w:val="23"/>
              <w:adjustRightInd w:val="0"/>
              <w:snapToGrid w:val="0"/>
              <w:spacing w:before="0" w:beforeAutospacing="0" w:after="0" w:afterAutospacing="0"/>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境保</w:t>
            </w:r>
          </w:p>
          <w:p w14:paraId="49E8DFF4">
            <w:pPr>
              <w:pStyle w:val="23"/>
              <w:adjustRightInd w:val="0"/>
              <w:snapToGrid w:val="0"/>
              <w:spacing w:before="0" w:beforeAutospacing="0" w:after="0" w:afterAutospacing="0"/>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护措</w:t>
            </w:r>
          </w:p>
          <w:p w14:paraId="119E5E07">
            <w:pPr>
              <w:pStyle w:val="23"/>
              <w:adjustRightInd w:val="0"/>
              <w:snapToGrid w:val="0"/>
              <w:spacing w:before="0" w:beforeAutospacing="0" w:after="0" w:afterAutospacing="0"/>
              <w:jc w:val="center"/>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color w:val="auto"/>
                <w:kern w:val="2"/>
                <w:sz w:val="24"/>
                <w:szCs w:val="24"/>
                <w:highlight w:val="none"/>
              </w:rPr>
              <w:t>施</w:t>
            </w:r>
          </w:p>
        </w:tc>
        <w:tc>
          <w:tcPr>
            <w:tcW w:w="4765" w:type="pct"/>
            <w:noWrap w:val="0"/>
            <w:vAlign w:val="center"/>
          </w:tcPr>
          <w:p w14:paraId="24A99EF9">
            <w:pPr>
              <w:keepNext w:val="0"/>
              <w:keepLines w:val="0"/>
              <w:pageBreakBefore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本项目在</w:t>
            </w:r>
            <w:r>
              <w:rPr>
                <w:rFonts w:hint="eastAsia" w:ascii="Times New Roman" w:hAnsi="Times New Roman" w:eastAsia="宋体" w:cs="Times New Roman"/>
                <w:color w:val="auto"/>
                <w:sz w:val="24"/>
                <w:szCs w:val="24"/>
                <w:highlight w:val="none"/>
                <w:lang w:val="en-US" w:eastAsia="zh-CN"/>
              </w:rPr>
              <w:t>现有氰化钠库房内进行改造，主要建设内容为防渗硬化及导流沟和挡墙的建设，</w:t>
            </w:r>
            <w:r>
              <w:rPr>
                <w:rFonts w:hint="default" w:ascii="Times New Roman" w:hAnsi="Times New Roman" w:eastAsia="宋体" w:cs="Times New Roman"/>
                <w:color w:val="auto"/>
                <w:sz w:val="24"/>
                <w:szCs w:val="24"/>
                <w:highlight w:val="none"/>
              </w:rPr>
              <w:t>施工期主要污染防治措施如下：</w:t>
            </w:r>
          </w:p>
          <w:p w14:paraId="70BCDAA7">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1.施工期大气污染防治措施</w:t>
            </w:r>
          </w:p>
          <w:p w14:paraId="32DAB73D">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本项目施工过程中产生废气主要为</w:t>
            </w:r>
            <w:r>
              <w:rPr>
                <w:rFonts w:hint="eastAsia" w:ascii="Times New Roman" w:hAnsi="Times New Roman" w:eastAsia="宋体" w:cs="Times New Roman"/>
                <w:color w:val="auto"/>
                <w:sz w:val="24"/>
                <w:szCs w:val="24"/>
                <w:highlight w:val="none"/>
                <w:lang w:val="en-US" w:eastAsia="zh-CN"/>
              </w:rPr>
              <w:t>防渗硬化及导流沟和挡墙的建设</w:t>
            </w:r>
            <w:r>
              <w:rPr>
                <w:rFonts w:hint="default" w:ascii="Times New Roman" w:hAnsi="Times New Roman" w:eastAsia="宋体" w:cs="Times New Roman"/>
                <w:color w:val="auto"/>
                <w:sz w:val="24"/>
                <w:szCs w:val="24"/>
                <w:highlight w:val="none"/>
              </w:rPr>
              <w:t>产生的少量粉尘。施工场所位于现有厂房内，且工程量不大，时间较短，</w:t>
            </w:r>
            <w:r>
              <w:rPr>
                <w:rFonts w:hint="eastAsia" w:ascii="Times New Roman" w:hAnsi="Times New Roman" w:eastAsia="宋体" w:cs="Times New Roman"/>
                <w:color w:val="auto"/>
                <w:sz w:val="24"/>
                <w:szCs w:val="24"/>
                <w:highlight w:val="none"/>
                <w:lang w:val="en-US" w:eastAsia="zh-CN"/>
              </w:rPr>
              <w:t>会产生</w:t>
            </w:r>
            <w:r>
              <w:rPr>
                <w:rFonts w:hint="default" w:ascii="Times New Roman" w:hAnsi="Times New Roman" w:eastAsia="宋体" w:cs="Times New Roman"/>
                <w:color w:val="auto"/>
                <w:sz w:val="24"/>
                <w:szCs w:val="24"/>
                <w:highlight w:val="none"/>
              </w:rPr>
              <w:t>少量粉尘废气。</w:t>
            </w:r>
            <w:r>
              <w:rPr>
                <w:rFonts w:hint="eastAsia" w:ascii="Times New Roman" w:hAnsi="Times New Roman" w:eastAsia="宋体" w:cs="Times New Roman"/>
                <w:color w:val="auto"/>
                <w:sz w:val="24"/>
                <w:szCs w:val="24"/>
                <w:highlight w:val="none"/>
                <w:lang w:val="en-US" w:eastAsia="zh-CN"/>
              </w:rPr>
              <w:t>同时</w:t>
            </w:r>
            <w:r>
              <w:rPr>
                <w:rFonts w:hint="default" w:ascii="Times New Roman" w:hAnsi="Times New Roman" w:eastAsia="宋体" w:cs="Times New Roman"/>
                <w:color w:val="auto"/>
                <w:sz w:val="24"/>
                <w:szCs w:val="24"/>
                <w:highlight w:val="none"/>
              </w:rPr>
              <w:t>加强对施工机械及车辆的检修和维护，严禁使用超期服役和尾气超标的施工机械及车辆。对施工期间进出施工现场车流量进行合理安排，防止施工现场车流量过大。尽可能使用耗油低，排气小的施工车辆，选用优质燃油，减少机械和车辆的有害废气排放。</w:t>
            </w:r>
            <w:r>
              <w:rPr>
                <w:rFonts w:hint="eastAsia" w:ascii="Times New Roman" w:hAnsi="Times New Roman" w:eastAsia="宋体" w:cs="Times New Roman"/>
                <w:color w:val="auto"/>
                <w:sz w:val="24"/>
                <w:szCs w:val="24"/>
                <w:highlight w:val="none"/>
                <w:lang w:val="en-US" w:eastAsia="zh-CN"/>
              </w:rPr>
              <w:t>采取以上措施后</w:t>
            </w:r>
            <w:r>
              <w:rPr>
                <w:rFonts w:hint="default" w:ascii="Times New Roman" w:hAnsi="Times New Roman" w:eastAsia="宋体" w:cs="Times New Roman"/>
                <w:color w:val="auto"/>
                <w:sz w:val="24"/>
                <w:szCs w:val="24"/>
                <w:highlight w:val="none"/>
              </w:rPr>
              <w:t>不会对周边环境造成明显影响</w:t>
            </w:r>
            <w:r>
              <w:rPr>
                <w:rFonts w:hint="eastAsia" w:ascii="Times New Roman" w:hAnsi="Times New Roman" w:eastAsia="宋体" w:cs="Times New Roman"/>
                <w:color w:val="auto"/>
                <w:sz w:val="24"/>
                <w:szCs w:val="24"/>
                <w:highlight w:val="none"/>
                <w:lang w:eastAsia="zh-CN"/>
              </w:rPr>
              <w:t>。</w:t>
            </w:r>
          </w:p>
          <w:p w14:paraId="387D7314">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施工期水污染防治措施</w:t>
            </w:r>
          </w:p>
          <w:p w14:paraId="031338FB">
            <w:pPr>
              <w:keepNext w:val="0"/>
              <w:keepLines w:val="0"/>
              <w:pageBreakBefore w:val="0"/>
              <w:kinsoku/>
              <w:wordWrap/>
              <w:overflowPunct/>
              <w:topLinePunct w:val="0"/>
              <w:autoSpaceDE w:val="0"/>
              <w:autoSpaceDN w:val="0"/>
              <w:bidi w:val="0"/>
              <w:adjustRightInd w:val="0"/>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项目施工期间产生的废水主要是施工人员产生的生活污水</w:t>
            </w:r>
            <w:r>
              <w:rPr>
                <w:rFonts w:hint="eastAsia" w:ascii="Times New Roman" w:hAnsi="Times New Roman" w:eastAsia="宋体" w:cs="Times New Roman"/>
                <w:color w:val="auto"/>
                <w:sz w:val="24"/>
                <w:szCs w:val="24"/>
                <w:highlight w:val="none"/>
                <w:lang w:eastAsia="zh-CN"/>
              </w:rPr>
              <w:t>。</w:t>
            </w:r>
          </w:p>
          <w:p w14:paraId="409411A7">
            <w:pPr>
              <w:pStyle w:val="62"/>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生活污水主要来自施工人员产生的粪便污水、清洗污水等，其中以粪便污水中的污染物数量最高。</w:t>
            </w:r>
            <w:r>
              <w:rPr>
                <w:rFonts w:hint="default" w:ascii="Times New Roman" w:hAnsi="Times New Roman" w:eastAsia="宋体" w:cs="Times New Roman"/>
                <w:color w:val="auto"/>
                <w:sz w:val="24"/>
                <w:szCs w:val="24"/>
                <w:highlight w:val="none"/>
                <w:lang w:val="en-US" w:eastAsia="zh-CN"/>
              </w:rPr>
              <w:t>生活污水</w:t>
            </w:r>
            <w:r>
              <w:rPr>
                <w:rFonts w:hint="default" w:ascii="Times New Roman" w:hAnsi="Times New Roman" w:eastAsia="宋体" w:cs="Times New Roman"/>
                <w:color w:val="auto"/>
                <w:sz w:val="24"/>
                <w:szCs w:val="24"/>
              </w:rPr>
              <w:t>依托厂区内现有污水处理站进行处理，不直接排放至外环境，不会对周围水环境造成影响</w:t>
            </w:r>
            <w:r>
              <w:rPr>
                <w:rFonts w:hint="default" w:ascii="Times New Roman" w:hAnsi="Times New Roman" w:eastAsia="宋体" w:cs="Times New Roman"/>
                <w:color w:val="auto"/>
                <w:sz w:val="24"/>
                <w:szCs w:val="24"/>
                <w:highlight w:val="none"/>
              </w:rPr>
              <w:t>。</w:t>
            </w:r>
          </w:p>
          <w:p w14:paraId="1A39B7D6">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3.施工期噪声污染防治措施</w:t>
            </w:r>
          </w:p>
          <w:p w14:paraId="68F20D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施工期主要的噪声源有机械设备噪声、施工作业噪声和交通噪声。</w:t>
            </w:r>
            <w:r>
              <w:rPr>
                <w:rFonts w:hint="default" w:ascii="Times New Roman" w:hAnsi="Times New Roman" w:eastAsia="宋体" w:cs="Times New Roman"/>
                <w:color w:val="auto"/>
                <w:sz w:val="24"/>
                <w:szCs w:val="24"/>
                <w:highlight w:val="none"/>
                <w:lang w:val="en-US" w:eastAsia="zh-CN"/>
              </w:rPr>
              <w:t>本次评价要求按照以下措施减少噪声对周边环境的影响：</w:t>
            </w:r>
          </w:p>
          <w:p w14:paraId="05C1B904">
            <w:pPr>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（1）</w:t>
            </w:r>
            <w:r>
              <w:rPr>
                <w:rFonts w:hint="default" w:ascii="Times New Roman" w:hAnsi="Times New Roman" w:eastAsia="宋体" w:cs="Times New Roman"/>
                <w:color w:val="auto"/>
                <w:sz w:val="24"/>
                <w:szCs w:val="24"/>
              </w:rPr>
              <w:t>尽量采用低噪声设备并合理安排作业时间减少夜间施工，如施工工艺确需在夜间施工时，必须经主管部门同意后方可进行。</w:t>
            </w:r>
          </w:p>
          <w:p w14:paraId="2BAB6721">
            <w:pPr>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（2）</w:t>
            </w:r>
            <w:r>
              <w:rPr>
                <w:rFonts w:hint="default" w:ascii="Times New Roman" w:hAnsi="Times New Roman" w:eastAsia="宋体" w:cs="Times New Roman"/>
                <w:color w:val="auto"/>
                <w:sz w:val="24"/>
                <w:szCs w:val="24"/>
              </w:rPr>
              <w:t>对钢制构件及机械设备进行装卸、搬运时应该轻拿轻放，严禁抛掷；安装、拆除模板、支架等过程中减少碰撞，降低人为噪声的影响。</w:t>
            </w:r>
          </w:p>
          <w:p w14:paraId="77761F37">
            <w:pPr>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（3）</w:t>
            </w:r>
            <w:r>
              <w:rPr>
                <w:rFonts w:hint="default" w:ascii="Times New Roman" w:hAnsi="Times New Roman" w:eastAsia="宋体" w:cs="Times New Roman"/>
                <w:color w:val="auto"/>
                <w:sz w:val="24"/>
                <w:szCs w:val="24"/>
              </w:rPr>
              <w:t>按规范操作机械设备；设专人对设备进行定期保养和维护，避免因部件松动、振动而加大设备噪声。</w:t>
            </w:r>
          </w:p>
          <w:p w14:paraId="3C2E62DC">
            <w:pPr>
              <w:pStyle w:val="7"/>
              <w:keepNext w:val="0"/>
              <w:keepLines w:val="0"/>
              <w:pageBreakBefore w:val="0"/>
              <w:widowControl w:val="0"/>
              <w:kinsoku/>
              <w:wordWrap/>
              <w:overflowPunct/>
              <w:topLinePunct w:val="0"/>
              <w:autoSpaceDE/>
              <w:autoSpaceDN/>
              <w:bidi w:val="0"/>
              <w:adjustRightInd w:val="0"/>
              <w:snapToGrid w:val="0"/>
              <w:spacing w:after="0"/>
              <w:ind w:left="0" w:leftChars="0" w:firstLine="480" w:firstLineChars="200"/>
              <w:textAlignment w:val="auto"/>
              <w:rPr>
                <w:rFonts w:hint="default" w:ascii="Times New Roman" w:hAnsi="Times New Roman" w:eastAsia="宋体" w:cs="Times New Roman"/>
                <w:color w:val="auto"/>
                <w:sz w:val="24"/>
                <w:szCs w:val="24"/>
                <w:highlight w:val="none"/>
                <w:lang w:val="sv-SE"/>
              </w:rPr>
            </w:pPr>
            <w:r>
              <w:rPr>
                <w:rFonts w:hint="eastAsia" w:ascii="Times New Roman" w:hAnsi="Times New Roman" w:eastAsia="宋体" w:cs="Times New Roman"/>
                <w:color w:val="auto"/>
                <w:sz w:val="24"/>
                <w:szCs w:val="24"/>
                <w:lang w:eastAsia="zh-CN"/>
              </w:rPr>
              <w:t>（4）</w:t>
            </w:r>
            <w:r>
              <w:rPr>
                <w:rFonts w:hint="default" w:ascii="Times New Roman" w:hAnsi="Times New Roman" w:eastAsia="宋体" w:cs="Times New Roman"/>
                <w:color w:val="auto"/>
                <w:sz w:val="24"/>
                <w:szCs w:val="24"/>
              </w:rPr>
              <w:t>加强车辆管理，合理安排运输时间，进出厂内的车辆应减速慢行、禁止鸣笛</w:t>
            </w:r>
            <w:r>
              <w:rPr>
                <w:rFonts w:hint="default" w:ascii="Times New Roman" w:hAnsi="Times New Roman" w:eastAsia="宋体" w:cs="Times New Roman"/>
                <w:bCs/>
                <w:color w:val="auto"/>
                <w:sz w:val="24"/>
                <w:szCs w:val="24"/>
              </w:rPr>
              <w:t>。</w:t>
            </w:r>
          </w:p>
          <w:p w14:paraId="31060E04">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固体废物</w:t>
            </w:r>
            <w:r>
              <w:rPr>
                <w:rFonts w:hint="default" w:ascii="Times New Roman" w:hAnsi="Times New Roman" w:eastAsia="宋体" w:cs="Times New Roman"/>
                <w:color w:val="auto"/>
                <w:sz w:val="24"/>
                <w:szCs w:val="24"/>
                <w:highlight w:val="none"/>
                <w:lang w:val="en-US" w:eastAsia="zh-CN"/>
              </w:rPr>
              <w:t>环境影响分析</w:t>
            </w:r>
          </w:p>
          <w:p w14:paraId="5293B5F8">
            <w:pPr>
              <w:pStyle w:val="87"/>
              <w:keepNext w:val="0"/>
              <w:keepLines w:val="0"/>
              <w:pageBreakBefore w:val="0"/>
              <w:kinsoku/>
              <w:wordWrap/>
              <w:overflowPunct/>
              <w:topLinePunct w:val="0"/>
              <w:bidi w:val="0"/>
              <w:ind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本项目施工期固体废物主要包括废弃包装材料</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建筑垃圾</w:t>
            </w:r>
            <w:r>
              <w:rPr>
                <w:rFonts w:hint="default" w:ascii="Times New Roman" w:hAnsi="Times New Roman" w:eastAsia="宋体" w:cs="Times New Roman"/>
                <w:color w:val="auto"/>
                <w:sz w:val="24"/>
                <w:szCs w:val="24"/>
              </w:rPr>
              <w:t>以及施工人员生活垃圾。</w:t>
            </w:r>
            <w:r>
              <w:rPr>
                <w:rFonts w:hint="default" w:ascii="Times New Roman" w:hAnsi="Times New Roman" w:eastAsia="宋体" w:cs="Times New Roman"/>
                <w:color w:val="auto"/>
                <w:sz w:val="24"/>
                <w:szCs w:val="24"/>
                <w:highlight w:val="none"/>
              </w:rPr>
              <w:t>废包装材料</w:t>
            </w:r>
            <w:r>
              <w:rPr>
                <w:rFonts w:hint="default" w:ascii="Times New Roman" w:hAnsi="Times New Roman" w:eastAsia="宋体" w:cs="Times New Roman"/>
                <w:color w:val="auto"/>
                <w:sz w:val="24"/>
                <w:szCs w:val="24"/>
                <w:highlight w:val="none"/>
                <w:lang w:val="en-US" w:eastAsia="zh-CN"/>
              </w:rPr>
              <w:t>集中收集外售</w:t>
            </w:r>
            <w:r>
              <w:rPr>
                <w:rFonts w:hint="eastAsia" w:ascii="Times New Roman" w:hAnsi="Times New Roman" w:eastAsia="宋体" w:cs="Times New Roman"/>
                <w:color w:val="auto"/>
                <w:sz w:val="24"/>
                <w:szCs w:val="24"/>
                <w:highlight w:val="none"/>
                <w:lang w:val="en-US" w:eastAsia="zh-CN"/>
              </w:rPr>
              <w:t>，建筑垃圾进行分类，</w:t>
            </w:r>
            <w:r>
              <w:rPr>
                <w:rFonts w:hint="default" w:ascii="Times New Roman" w:hAnsi="Times New Roman" w:eastAsia="宋体" w:cs="Times New Roman"/>
                <w:color w:val="auto"/>
                <w:sz w:val="24"/>
                <w:szCs w:val="24"/>
              </w:rPr>
              <w:t>尽量回收其中尚可利用的部分建筑材料，对没有利用价值的废弃物运送到当地主管部门指定的建筑垃圾堆场</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b w:val="0"/>
                <w:bCs w:val="0"/>
                <w:color w:val="auto"/>
                <w:kern w:val="2"/>
                <w:sz w:val="24"/>
                <w:szCs w:val="24"/>
                <w:lang w:val="en-US" w:eastAsia="zh-CN" w:bidi="ar"/>
              </w:rPr>
              <w:t>生活垃圾由垃圾箱收集后统一堆放到厂区生活垃圾固定堆放点，由当地环卫部门统一收集处理。</w:t>
            </w:r>
          </w:p>
          <w:p w14:paraId="21AFF4FD">
            <w:pPr>
              <w:pStyle w:val="7"/>
              <w:keepNext w:val="0"/>
              <w:keepLines w:val="0"/>
              <w:pageBreakBefore w:val="0"/>
              <w:widowControl w:val="0"/>
              <w:kinsoku/>
              <w:wordWrap/>
              <w:overflowPunct/>
              <w:topLinePunct w:val="0"/>
              <w:autoSpaceDE/>
              <w:autoSpaceDN/>
              <w:bidi w:val="0"/>
              <w:spacing w:after="0"/>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rPr>
              <w:t>综上所述，只要建设单位和施工单位合理安排施工时段、使用施工设备，并积极采取有针对性的措施，施工期影响可以得到有效控制、对周边环境影响较小，且施工期影响将随本项目的建成而消失</w:t>
            </w:r>
            <w:r>
              <w:rPr>
                <w:rFonts w:hint="default" w:ascii="Times New Roman" w:hAnsi="Times New Roman" w:eastAsia="宋体" w:cs="Times New Roman"/>
                <w:color w:val="auto"/>
                <w:sz w:val="24"/>
                <w:szCs w:val="24"/>
                <w:lang w:eastAsia="zh-CN"/>
              </w:rPr>
              <w:t>。</w:t>
            </w:r>
          </w:p>
        </w:tc>
      </w:tr>
      <w:tr w14:paraId="7EE493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969" w:hRule="atLeast"/>
          <w:jc w:val="center"/>
        </w:trPr>
        <w:tc>
          <w:tcPr>
            <w:tcW w:w="234" w:type="pct"/>
            <w:noWrap w:val="0"/>
            <w:tcMar>
              <w:left w:w="28" w:type="dxa"/>
              <w:right w:w="28" w:type="dxa"/>
            </w:tcMar>
            <w:vAlign w:val="center"/>
          </w:tcPr>
          <w:p w14:paraId="61E36FA6">
            <w:pPr>
              <w:adjustRightInd w:val="0"/>
              <w:snapToGrid w:val="0"/>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运营</w:t>
            </w:r>
          </w:p>
          <w:p w14:paraId="5580562E">
            <w:pPr>
              <w:adjustRightInd w:val="0"/>
              <w:snapToGrid w:val="0"/>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期环</w:t>
            </w:r>
          </w:p>
          <w:p w14:paraId="342237D3">
            <w:pPr>
              <w:adjustRightInd w:val="0"/>
              <w:snapToGrid w:val="0"/>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境影</w:t>
            </w:r>
          </w:p>
          <w:p w14:paraId="1019F28D">
            <w:pPr>
              <w:adjustRightInd w:val="0"/>
              <w:snapToGrid w:val="0"/>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响和</w:t>
            </w:r>
          </w:p>
          <w:p w14:paraId="121CCB8E">
            <w:pPr>
              <w:adjustRightInd w:val="0"/>
              <w:snapToGrid w:val="0"/>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保护</w:t>
            </w:r>
          </w:p>
          <w:p w14:paraId="06364AF1">
            <w:pPr>
              <w:adjustRightInd w:val="0"/>
              <w:snapToGrid w:val="0"/>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措施</w:t>
            </w:r>
          </w:p>
        </w:tc>
        <w:tc>
          <w:tcPr>
            <w:tcW w:w="4765" w:type="pct"/>
            <w:noWrap w:val="0"/>
            <w:vAlign w:val="center"/>
          </w:tcPr>
          <w:p w14:paraId="6980FD2D">
            <w:pPr>
              <w:keepNext w:val="0"/>
              <w:keepLines w:val="0"/>
              <w:widowControl w:val="0"/>
              <w:suppressLineNumbers w:val="0"/>
              <w:spacing w:before="0" w:beforeAutospacing="0" w:after="0" w:afterAutospacing="0" w:line="360" w:lineRule="auto"/>
              <w:ind w:left="0" w:right="0" w:firstLine="472" w:firstLineChars="196"/>
              <w:jc w:val="both"/>
              <w:outlineLvl w:val="0"/>
              <w:rPr>
                <w:rFonts w:hint="default" w:ascii="Times New Roman" w:hAnsi="Times New Roman" w:eastAsia="宋体" w:cs="Times New Roman"/>
                <w:b/>
                <w:bCs/>
                <w:color w:val="auto"/>
                <w:kern w:val="2"/>
                <w:sz w:val="24"/>
                <w:szCs w:val="24"/>
                <w:highlight w:val="none"/>
                <w:lang w:val="en-US" w:eastAsia="zh-CN" w:bidi="ar"/>
              </w:rPr>
            </w:pPr>
            <w:r>
              <w:rPr>
                <w:rFonts w:hint="default" w:ascii="Times New Roman" w:hAnsi="Times New Roman" w:eastAsia="宋体" w:cs="Times New Roman"/>
                <w:b/>
                <w:bCs/>
                <w:color w:val="auto"/>
                <w:kern w:val="2"/>
                <w:sz w:val="24"/>
                <w:szCs w:val="24"/>
                <w:highlight w:val="none"/>
                <w:lang w:val="en-US" w:eastAsia="zh-CN" w:bidi="ar"/>
              </w:rPr>
              <w:t>一、废气环境影响分析及治理措施</w:t>
            </w:r>
          </w:p>
          <w:p w14:paraId="54BC8D1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项目危废库运营期暂存的危废均采用密封包装暂存，不在库内进行分装等作业，运营期库内无废气产生，设置轴流风机4台，用于库内通风。</w:t>
            </w:r>
          </w:p>
          <w:p w14:paraId="789E56C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收集的危废使用汽车运输至本项目危废暂存间内，运输过程中会有少量扬尘及汽车尾气产生，在采取保持运输道路清洁、洒水抑尘、配置符合排放标准的运输车辆等措施的情况下，运营期废气排放对周边环境空气影响较小。</w:t>
            </w:r>
          </w:p>
          <w:p w14:paraId="6E9CBAEB">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72" w:firstLineChars="196"/>
              <w:jc w:val="both"/>
              <w:textAlignment w:val="auto"/>
              <w:outlineLvl w:val="0"/>
              <w:rPr>
                <w:rFonts w:hint="default" w:ascii="Times New Roman" w:hAnsi="Times New Roman" w:eastAsia="宋体" w:cs="Times New Roman"/>
                <w:b/>
                <w:bCs/>
                <w:color w:val="auto"/>
                <w:kern w:val="2"/>
                <w:sz w:val="24"/>
                <w:szCs w:val="24"/>
                <w:highlight w:val="none"/>
                <w:lang w:val="en-US"/>
              </w:rPr>
            </w:pPr>
            <w:r>
              <w:rPr>
                <w:rFonts w:hint="default" w:ascii="Times New Roman" w:hAnsi="Times New Roman" w:eastAsia="宋体" w:cs="Times New Roman"/>
                <w:b/>
                <w:bCs/>
                <w:color w:val="auto"/>
                <w:kern w:val="2"/>
                <w:sz w:val="24"/>
                <w:szCs w:val="24"/>
                <w:highlight w:val="none"/>
                <w:lang w:val="en-US" w:eastAsia="zh-CN" w:bidi="ar"/>
              </w:rPr>
              <w:t>二、废水环境影响分析及治理措施</w:t>
            </w:r>
          </w:p>
          <w:p w14:paraId="40F4F9E8">
            <w:pPr>
              <w:keepNext w:val="0"/>
              <w:keepLines w:val="0"/>
              <w:widowControl/>
              <w:suppressLineNumbers w:val="0"/>
              <w:spacing w:before="0" w:beforeAutospacing="0" w:after="0" w:afterAutospacing="0" w:line="360" w:lineRule="auto"/>
              <w:ind w:left="0" w:right="0" w:firstLine="470" w:firstLineChars="196"/>
              <w:jc w:val="left"/>
              <w:rPr>
                <w:rFonts w:hint="default" w:ascii="Times New Roman" w:hAnsi="Times New Roman" w:eastAsia="宋体" w:cs="Times New Roman"/>
                <w:color w:val="auto"/>
                <w:kern w:val="2"/>
                <w:sz w:val="24"/>
                <w:szCs w:val="24"/>
                <w:highlight w:val="none"/>
                <w:lang w:val="en-US" w:eastAsia="zh-CN" w:bidi="ar"/>
              </w:rPr>
            </w:pPr>
            <w:r>
              <w:rPr>
                <w:rFonts w:hint="eastAsia" w:ascii="Times New Roman" w:hAnsi="Times New Roman" w:eastAsia="宋体" w:cs="Times New Roman"/>
                <w:color w:val="auto"/>
                <w:kern w:val="2"/>
                <w:sz w:val="24"/>
                <w:szCs w:val="24"/>
                <w:highlight w:val="none"/>
                <w:lang w:val="en-US" w:eastAsia="zh-CN" w:bidi="ar"/>
              </w:rPr>
              <w:t>本项目运营期无生产废水产生不新增劳动定员，不新增生活污水，现有工作人员生活污水</w:t>
            </w:r>
            <w:r>
              <w:rPr>
                <w:rFonts w:hint="default" w:ascii="Times New Roman" w:hAnsi="Times New Roman" w:cs="Times New Roman"/>
                <w:color w:val="auto"/>
                <w:sz w:val="24"/>
                <w:szCs w:val="24"/>
                <w:lang w:val="en-US" w:eastAsia="zh-CN"/>
              </w:rPr>
              <w:t>排入厂区现有生活污水处理站，处理后水作为道路和排土场洒水不外排</w:t>
            </w:r>
            <w:r>
              <w:rPr>
                <w:rFonts w:hint="default" w:ascii="Times New Roman" w:hAnsi="Times New Roman" w:eastAsia="宋体" w:cs="Times New Roman"/>
                <w:color w:val="auto"/>
                <w:kern w:val="2"/>
                <w:sz w:val="24"/>
                <w:szCs w:val="24"/>
                <w:highlight w:val="none"/>
                <w:lang w:val="en-US" w:eastAsia="zh-CN" w:bidi="ar"/>
              </w:rPr>
              <w:t>。</w:t>
            </w:r>
          </w:p>
          <w:p w14:paraId="101E1AD5">
            <w:pPr>
              <w:keepNext w:val="0"/>
              <w:keepLines w:val="0"/>
              <w:widowControl/>
              <w:suppressLineNumbers w:val="0"/>
              <w:spacing w:before="0" w:beforeAutospacing="0" w:after="0" w:afterAutospacing="0" w:line="360" w:lineRule="auto"/>
              <w:ind w:left="0" w:right="0" w:firstLine="470" w:firstLineChars="196"/>
              <w:jc w:val="left"/>
              <w:rPr>
                <w:rFonts w:hint="default" w:ascii="Times New Roman" w:hAnsi="Times New Roman" w:cs="Times New Roman"/>
                <w:color w:val="auto"/>
                <w:sz w:val="24"/>
                <w:szCs w:val="24"/>
                <w:lang w:val="en-US" w:eastAsia="zh-CN"/>
              </w:rPr>
            </w:pPr>
          </w:p>
          <w:p w14:paraId="7A322D08">
            <w:pPr>
              <w:pStyle w:val="23"/>
              <w:keepNext w:val="0"/>
              <w:keepLines w:val="0"/>
              <w:widowControl w:val="0"/>
              <w:suppressLineNumbers w:val="0"/>
              <w:spacing w:before="0" w:beforeAutospacing="0" w:after="0" w:afterAutospacing="0" w:line="360" w:lineRule="auto"/>
              <w:ind w:left="0" w:right="0" w:firstLine="482" w:firstLineChars="200"/>
              <w:jc w:val="both"/>
              <w:rPr>
                <w:rFonts w:hint="default" w:ascii="Times New Roman" w:hAnsi="Times New Roman" w:eastAsia="宋体" w:cs="Times New Roman"/>
                <w:b/>
                <w:bCs w:val="0"/>
                <w:color w:val="auto"/>
                <w:kern w:val="2"/>
                <w:sz w:val="24"/>
                <w:szCs w:val="24"/>
                <w:highlight w:val="none"/>
                <w:lang w:val="en-US"/>
              </w:rPr>
            </w:pPr>
            <w:r>
              <w:rPr>
                <w:rFonts w:hint="default" w:ascii="Times New Roman" w:hAnsi="Times New Roman" w:eastAsia="宋体" w:cs="Times New Roman"/>
                <w:b/>
                <w:bCs w:val="0"/>
                <w:color w:val="auto"/>
                <w:kern w:val="2"/>
                <w:sz w:val="24"/>
                <w:szCs w:val="24"/>
                <w:highlight w:val="none"/>
                <w:lang w:val="en-US" w:eastAsia="zh-CN" w:bidi="ar"/>
              </w:rPr>
              <w:t>三、噪声环境影响分析</w:t>
            </w:r>
          </w:p>
          <w:p w14:paraId="111138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本项目噪声主要来源于项目生产设备噪声，其噪声值在70dB(A)~90dB</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A）之间，噪声源强见下表。</w:t>
            </w:r>
          </w:p>
          <w:p w14:paraId="78B42820">
            <w:pPr>
              <w:keepNext w:val="0"/>
              <w:keepLines w:val="0"/>
              <w:widowControl/>
              <w:suppressLineNumbers w:val="0"/>
              <w:spacing w:before="0" w:beforeAutospacing="0" w:after="0" w:afterAutospacing="0" w:line="240" w:lineRule="auto"/>
              <w:ind w:right="0"/>
              <w:jc w:val="center"/>
              <w:rPr>
                <w:rFonts w:hint="default" w:ascii="Times New Roman" w:hAnsi="Times New Roman" w:eastAsia="宋体" w:cs="Times New Roman"/>
                <w:b/>
                <w:bCs/>
                <w:color w:val="auto"/>
                <w:kern w:val="2"/>
                <w:sz w:val="21"/>
                <w:szCs w:val="21"/>
                <w:highlight w:val="none"/>
                <w:lang w:val="en-US" w:eastAsia="zh-CN" w:bidi="ar"/>
              </w:rPr>
            </w:pPr>
            <w:r>
              <w:rPr>
                <w:rFonts w:hint="default" w:ascii="Times New Roman" w:hAnsi="Times New Roman" w:eastAsia="宋体" w:cs="Times New Roman"/>
                <w:b/>
                <w:bCs/>
                <w:color w:val="auto"/>
                <w:kern w:val="2"/>
                <w:sz w:val="21"/>
                <w:szCs w:val="21"/>
                <w:highlight w:val="none"/>
                <w:lang w:val="en-US" w:eastAsia="zh-CN" w:bidi="ar"/>
              </w:rPr>
              <w:t>表4-11主要噪声设备及声源源强表（室内声源）</w:t>
            </w:r>
          </w:p>
          <w:tbl>
            <w:tblPr>
              <w:tblStyle w:val="25"/>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1"/>
              <w:gridCol w:w="600"/>
              <w:gridCol w:w="570"/>
              <w:gridCol w:w="600"/>
              <w:gridCol w:w="1200"/>
              <w:gridCol w:w="450"/>
              <w:gridCol w:w="450"/>
              <w:gridCol w:w="435"/>
              <w:gridCol w:w="847"/>
              <w:gridCol w:w="722"/>
              <w:gridCol w:w="553"/>
              <w:gridCol w:w="669"/>
              <w:gridCol w:w="692"/>
              <w:gridCol w:w="579"/>
            </w:tblGrid>
            <w:tr w14:paraId="06C2C9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5" w:type="pct"/>
                  <w:vMerge w:val="restart"/>
                  <w:noWrap w:val="0"/>
                  <w:vAlign w:val="center"/>
                </w:tcPr>
                <w:p w14:paraId="293FF379">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建筑物名称</w:t>
                  </w:r>
                </w:p>
              </w:tc>
              <w:tc>
                <w:tcPr>
                  <w:tcW w:w="340" w:type="pct"/>
                  <w:vMerge w:val="restart"/>
                  <w:noWrap w:val="0"/>
                  <w:vAlign w:val="center"/>
                </w:tcPr>
                <w:p w14:paraId="0ACE72FF">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323" w:type="pct"/>
                  <w:vMerge w:val="restart"/>
                  <w:noWrap w:val="0"/>
                  <w:vAlign w:val="center"/>
                </w:tcPr>
                <w:p w14:paraId="10B36E6C">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数量</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套）</w:t>
                  </w:r>
                </w:p>
              </w:tc>
              <w:tc>
                <w:tcPr>
                  <w:tcW w:w="340" w:type="pct"/>
                  <w:vMerge w:val="restart"/>
                  <w:noWrap w:val="0"/>
                  <w:vAlign w:val="center"/>
                </w:tcPr>
                <w:p w14:paraId="5142E43E">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单台设备声源源强dB(A)</w:t>
                  </w:r>
                </w:p>
              </w:tc>
              <w:tc>
                <w:tcPr>
                  <w:tcW w:w="680" w:type="pct"/>
                  <w:vMerge w:val="restart"/>
                  <w:noWrap w:val="0"/>
                  <w:vAlign w:val="center"/>
                </w:tcPr>
                <w:p w14:paraId="65E2E373">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声源控制措施</w:t>
                  </w:r>
                </w:p>
              </w:tc>
              <w:tc>
                <w:tcPr>
                  <w:tcW w:w="756" w:type="pct"/>
                  <w:gridSpan w:val="3"/>
                  <w:noWrap w:val="0"/>
                  <w:vAlign w:val="center"/>
                </w:tcPr>
                <w:p w14:paraId="2C5EE620">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空间相对位置</w:t>
                  </w:r>
                </w:p>
              </w:tc>
              <w:tc>
                <w:tcPr>
                  <w:tcW w:w="480" w:type="pct"/>
                  <w:vMerge w:val="restart"/>
                  <w:noWrap w:val="0"/>
                  <w:vAlign w:val="center"/>
                </w:tcPr>
                <w:p w14:paraId="31409D77">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距室内边界距离/m</w:t>
                  </w:r>
                </w:p>
              </w:tc>
              <w:tc>
                <w:tcPr>
                  <w:tcW w:w="409" w:type="pct"/>
                  <w:vMerge w:val="restart"/>
                  <w:noWrap w:val="0"/>
                  <w:vAlign w:val="center"/>
                </w:tcPr>
                <w:p w14:paraId="379D36D0">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室内边界声级/dB(A)</w:t>
                  </w:r>
                </w:p>
              </w:tc>
              <w:tc>
                <w:tcPr>
                  <w:tcW w:w="313" w:type="pct"/>
                  <w:vMerge w:val="restart"/>
                  <w:noWrap w:val="0"/>
                  <w:vAlign w:val="center"/>
                </w:tcPr>
                <w:p w14:paraId="08FD9629">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运行时段</w:t>
                  </w:r>
                </w:p>
              </w:tc>
              <w:tc>
                <w:tcPr>
                  <w:tcW w:w="379" w:type="pct"/>
                  <w:vMerge w:val="restart"/>
                  <w:noWrap w:val="0"/>
                  <w:vAlign w:val="center"/>
                </w:tcPr>
                <w:p w14:paraId="7D591863">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建筑插入损失/dB(A)</w:t>
                  </w:r>
                </w:p>
              </w:tc>
              <w:tc>
                <w:tcPr>
                  <w:tcW w:w="720" w:type="pct"/>
                  <w:gridSpan w:val="2"/>
                  <w:noWrap w:val="0"/>
                  <w:vAlign w:val="center"/>
                </w:tcPr>
                <w:p w14:paraId="718ABA66">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建筑物外噪声</w:t>
                  </w:r>
                </w:p>
              </w:tc>
            </w:tr>
            <w:tr w14:paraId="70DDFB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5" w:type="pct"/>
                  <w:vMerge w:val="continue"/>
                  <w:noWrap w:val="0"/>
                  <w:vAlign w:val="center"/>
                </w:tcPr>
                <w:p w14:paraId="499DDD8C">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p>
              </w:tc>
              <w:tc>
                <w:tcPr>
                  <w:tcW w:w="340" w:type="pct"/>
                  <w:vMerge w:val="continue"/>
                  <w:noWrap w:val="0"/>
                  <w:vAlign w:val="center"/>
                </w:tcPr>
                <w:p w14:paraId="49156E7A">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p>
              </w:tc>
              <w:tc>
                <w:tcPr>
                  <w:tcW w:w="323" w:type="pct"/>
                  <w:vMerge w:val="continue"/>
                  <w:noWrap w:val="0"/>
                  <w:vAlign w:val="center"/>
                </w:tcPr>
                <w:p w14:paraId="3C9F4F46">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p>
              </w:tc>
              <w:tc>
                <w:tcPr>
                  <w:tcW w:w="340" w:type="pct"/>
                  <w:vMerge w:val="continue"/>
                  <w:noWrap w:val="0"/>
                  <w:vAlign w:val="center"/>
                </w:tcPr>
                <w:p w14:paraId="36B91EBF">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p>
              </w:tc>
              <w:tc>
                <w:tcPr>
                  <w:tcW w:w="680" w:type="pct"/>
                  <w:vMerge w:val="continue"/>
                  <w:noWrap w:val="0"/>
                  <w:vAlign w:val="center"/>
                </w:tcPr>
                <w:p w14:paraId="46ADDC20">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p>
              </w:tc>
              <w:tc>
                <w:tcPr>
                  <w:tcW w:w="255" w:type="pct"/>
                  <w:noWrap w:val="0"/>
                  <w:vAlign w:val="center"/>
                </w:tcPr>
                <w:p w14:paraId="46024BB1">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X</w:t>
                  </w:r>
                </w:p>
              </w:tc>
              <w:tc>
                <w:tcPr>
                  <w:tcW w:w="255" w:type="pct"/>
                  <w:noWrap w:val="0"/>
                  <w:vAlign w:val="center"/>
                </w:tcPr>
                <w:p w14:paraId="4C53D598">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Y</w:t>
                  </w:r>
                </w:p>
              </w:tc>
              <w:tc>
                <w:tcPr>
                  <w:tcW w:w="246" w:type="pct"/>
                  <w:noWrap w:val="0"/>
                  <w:vAlign w:val="center"/>
                </w:tcPr>
                <w:p w14:paraId="7F54B26E">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Z</w:t>
                  </w:r>
                </w:p>
              </w:tc>
              <w:tc>
                <w:tcPr>
                  <w:tcW w:w="480" w:type="pct"/>
                  <w:vMerge w:val="continue"/>
                  <w:noWrap w:val="0"/>
                  <w:vAlign w:val="center"/>
                </w:tcPr>
                <w:p w14:paraId="7A99866F">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p>
              </w:tc>
              <w:tc>
                <w:tcPr>
                  <w:tcW w:w="409" w:type="pct"/>
                  <w:vMerge w:val="continue"/>
                  <w:noWrap w:val="0"/>
                  <w:vAlign w:val="center"/>
                </w:tcPr>
                <w:p w14:paraId="550A792C">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p>
              </w:tc>
              <w:tc>
                <w:tcPr>
                  <w:tcW w:w="313" w:type="pct"/>
                  <w:vMerge w:val="continue"/>
                  <w:noWrap w:val="0"/>
                  <w:vAlign w:val="center"/>
                </w:tcPr>
                <w:p w14:paraId="44673DC9">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p>
              </w:tc>
              <w:tc>
                <w:tcPr>
                  <w:tcW w:w="379" w:type="pct"/>
                  <w:vMerge w:val="continue"/>
                  <w:noWrap w:val="0"/>
                  <w:vAlign w:val="center"/>
                </w:tcPr>
                <w:p w14:paraId="43A1157D">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p>
              </w:tc>
              <w:tc>
                <w:tcPr>
                  <w:tcW w:w="392" w:type="pct"/>
                  <w:noWrap w:val="0"/>
                  <w:vAlign w:val="center"/>
                </w:tcPr>
                <w:p w14:paraId="52B5133A">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声压级/dB(A)</w:t>
                  </w:r>
                </w:p>
              </w:tc>
              <w:tc>
                <w:tcPr>
                  <w:tcW w:w="328" w:type="pct"/>
                  <w:noWrap w:val="0"/>
                  <w:vAlign w:val="center"/>
                </w:tcPr>
                <w:p w14:paraId="780626BB">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建筑物外距离（m）</w:t>
                  </w:r>
                </w:p>
              </w:tc>
            </w:tr>
            <w:tr w14:paraId="623B80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5" w:type="pct"/>
                  <w:noWrap w:val="0"/>
                  <w:vAlign w:val="center"/>
                </w:tcPr>
                <w:p w14:paraId="41177EFA">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危废暂存库</w:t>
                  </w:r>
                </w:p>
              </w:tc>
              <w:tc>
                <w:tcPr>
                  <w:tcW w:w="340" w:type="pct"/>
                  <w:noWrap w:val="0"/>
                  <w:vAlign w:val="center"/>
                </w:tcPr>
                <w:p w14:paraId="2B108CD9">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轴流风机</w:t>
                  </w:r>
                </w:p>
              </w:tc>
              <w:tc>
                <w:tcPr>
                  <w:tcW w:w="323" w:type="pct"/>
                  <w:noWrap w:val="0"/>
                  <w:vAlign w:val="center"/>
                </w:tcPr>
                <w:p w14:paraId="35855819">
                  <w:pPr>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w:t>
                  </w:r>
                </w:p>
              </w:tc>
              <w:tc>
                <w:tcPr>
                  <w:tcW w:w="340" w:type="pct"/>
                  <w:noWrap w:val="0"/>
                  <w:vAlign w:val="center"/>
                </w:tcPr>
                <w:p w14:paraId="69BBE5A9">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85</w:t>
                  </w:r>
                </w:p>
              </w:tc>
              <w:tc>
                <w:tcPr>
                  <w:tcW w:w="680" w:type="pct"/>
                  <w:noWrap w:val="0"/>
                  <w:vAlign w:val="center"/>
                </w:tcPr>
                <w:p w14:paraId="3D649F42">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消声器</w:t>
                  </w:r>
                </w:p>
              </w:tc>
              <w:tc>
                <w:tcPr>
                  <w:tcW w:w="255" w:type="pct"/>
                  <w:noWrap w:val="0"/>
                  <w:vAlign w:val="center"/>
                </w:tcPr>
                <w:p w14:paraId="0F7E0F32">
                  <w:pPr>
                    <w:pStyle w:val="86"/>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10</w:t>
                  </w:r>
                </w:p>
              </w:tc>
              <w:tc>
                <w:tcPr>
                  <w:tcW w:w="255" w:type="pct"/>
                  <w:noWrap w:val="0"/>
                  <w:vAlign w:val="center"/>
                </w:tcPr>
                <w:p w14:paraId="117F17FD">
                  <w:pPr>
                    <w:pStyle w:val="86"/>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18</w:t>
                  </w:r>
                </w:p>
              </w:tc>
              <w:tc>
                <w:tcPr>
                  <w:tcW w:w="246" w:type="pct"/>
                  <w:noWrap w:val="0"/>
                  <w:vAlign w:val="center"/>
                </w:tcPr>
                <w:p w14:paraId="713D44B0">
                  <w:pPr>
                    <w:pStyle w:val="86"/>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p>
              </w:tc>
              <w:tc>
                <w:tcPr>
                  <w:tcW w:w="480" w:type="pct"/>
                  <w:noWrap w:val="0"/>
                  <w:vAlign w:val="center"/>
                </w:tcPr>
                <w:p w14:paraId="2A86043F">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p>
              </w:tc>
              <w:tc>
                <w:tcPr>
                  <w:tcW w:w="409" w:type="pct"/>
                  <w:noWrap w:val="0"/>
                  <w:vAlign w:val="center"/>
                </w:tcPr>
                <w:p w14:paraId="72989AB1">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65.5</w:t>
                  </w:r>
                </w:p>
              </w:tc>
              <w:tc>
                <w:tcPr>
                  <w:tcW w:w="313" w:type="pct"/>
                  <w:noWrap w:val="0"/>
                  <w:vAlign w:val="center"/>
                </w:tcPr>
                <w:p w14:paraId="7BE605F1">
                  <w:pPr>
                    <w:pStyle w:val="83"/>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lang w:val="en-US" w:eastAsia="zh-CN"/>
                    </w:rPr>
                    <w:t>8</w:t>
                  </w:r>
                  <w:r>
                    <w:rPr>
                      <w:rFonts w:hint="default" w:ascii="Times New Roman" w:hAnsi="Times New Roman" w:eastAsia="宋体" w:cs="Times New Roman"/>
                      <w:color w:val="auto"/>
                      <w:sz w:val="18"/>
                      <w:szCs w:val="18"/>
                      <w:highlight w:val="none"/>
                    </w:rPr>
                    <w:t>:00~</w:t>
                  </w:r>
                  <w:r>
                    <w:rPr>
                      <w:rFonts w:hint="default" w:ascii="Times New Roman" w:hAnsi="Times New Roman" w:cs="Times New Roman"/>
                      <w:color w:val="auto"/>
                      <w:sz w:val="18"/>
                      <w:szCs w:val="18"/>
                      <w:highlight w:val="none"/>
                      <w:lang w:val="en-US" w:eastAsia="zh-CN"/>
                    </w:rPr>
                    <w:t>16</w:t>
                  </w:r>
                  <w:r>
                    <w:rPr>
                      <w:rFonts w:hint="default" w:ascii="Times New Roman" w:hAnsi="Times New Roman" w:eastAsia="宋体" w:cs="Times New Roman"/>
                      <w:color w:val="auto"/>
                      <w:sz w:val="18"/>
                      <w:szCs w:val="18"/>
                      <w:highlight w:val="none"/>
                    </w:rPr>
                    <w:t>:00</w:t>
                  </w:r>
                </w:p>
              </w:tc>
              <w:tc>
                <w:tcPr>
                  <w:tcW w:w="379" w:type="pct"/>
                  <w:noWrap w:val="0"/>
                  <w:vAlign w:val="center"/>
                </w:tcPr>
                <w:p w14:paraId="7A4212AC">
                  <w:pPr>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w:t>
                  </w:r>
                </w:p>
              </w:tc>
              <w:tc>
                <w:tcPr>
                  <w:tcW w:w="392" w:type="pct"/>
                  <w:noWrap w:val="0"/>
                  <w:vAlign w:val="center"/>
                </w:tcPr>
                <w:p w14:paraId="07958470">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50.5</w:t>
                  </w:r>
                </w:p>
              </w:tc>
              <w:tc>
                <w:tcPr>
                  <w:tcW w:w="328" w:type="pct"/>
                  <w:noWrap w:val="0"/>
                  <w:vAlign w:val="center"/>
                </w:tcPr>
                <w:p w14:paraId="214B33E6">
                  <w:pPr>
                    <w:keepNext w:val="0"/>
                    <w:keepLines w:val="0"/>
                    <w:pageBreakBefore w:val="0"/>
                    <w:kinsoku/>
                    <w:wordWrap/>
                    <w:overflowPunct/>
                    <w:topLinePunct w:val="0"/>
                    <w:bidi w:val="0"/>
                    <w:adjustRightInd/>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lang w:val="en-US" w:eastAsia="zh-CN"/>
                    </w:rPr>
                    <w:t>1</w:t>
                  </w:r>
                </w:p>
              </w:tc>
            </w:tr>
          </w:tbl>
          <w:p w14:paraId="1569FAA9">
            <w:pPr>
              <w:pStyle w:val="23"/>
              <w:keepNext w:val="0"/>
              <w:keepLines w:val="0"/>
              <w:widowControl w:val="0"/>
              <w:suppressLineNumbers w:val="0"/>
              <w:shd w:val="clear" w:color="auto" w:fill="auto"/>
              <w:spacing w:before="0" w:beforeAutospacing="0" w:after="0" w:afterAutospacing="0" w:line="360" w:lineRule="auto"/>
              <w:ind w:left="0" w:right="0" w:firstLine="480" w:firstLineChars="200"/>
              <w:jc w:val="both"/>
              <w:rPr>
                <w:rFonts w:hint="default" w:ascii="Times New Roman" w:hAnsi="Times New Roman" w:eastAsia="宋体" w:cs="Times New Roman"/>
                <w:b w:val="0"/>
                <w:bCs/>
                <w:color w:val="auto"/>
                <w:kern w:val="2"/>
                <w:sz w:val="24"/>
                <w:szCs w:val="24"/>
                <w:highlight w:val="none"/>
              </w:rPr>
            </w:pPr>
            <w:r>
              <w:rPr>
                <w:rFonts w:hint="default" w:ascii="Times New Roman" w:hAnsi="Times New Roman" w:eastAsia="宋体" w:cs="Times New Roman"/>
                <w:b w:val="0"/>
                <w:bCs/>
                <w:color w:val="auto"/>
                <w:kern w:val="2"/>
                <w:sz w:val="24"/>
                <w:szCs w:val="24"/>
                <w:highlight w:val="none"/>
                <w:lang w:val="en-US" w:eastAsia="zh-CN" w:bidi="ar"/>
              </w:rPr>
              <w:t>为了减轻设备噪声对周围环境的影响，建设单位应采取如下措施：</w:t>
            </w:r>
          </w:p>
          <w:p w14:paraId="1D838412">
            <w:pPr>
              <w:shd w:val="clear" w:color="auto" w:fill="auto"/>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（1）在设备选型中选择可靠先进的低噪声设施。</w:t>
            </w:r>
          </w:p>
          <w:p w14:paraId="34717297">
            <w:pPr>
              <w:shd w:val="clear" w:color="auto" w:fill="auto"/>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加装消声器降低噪声</w:t>
            </w:r>
            <w:r>
              <w:rPr>
                <w:rFonts w:hint="default" w:ascii="Times New Roman" w:hAnsi="Times New Roman" w:cs="Times New Roman"/>
                <w:color w:val="auto"/>
                <w:sz w:val="24"/>
                <w:highlight w:val="none"/>
              </w:rPr>
              <w:t>，以保证厂界噪声达标，确保工程不会对周围环境产生大的影响</w:t>
            </w:r>
            <w:r>
              <w:rPr>
                <w:rFonts w:hint="default" w:ascii="Times New Roman" w:hAnsi="Times New Roman" w:cs="Times New Roman"/>
                <w:color w:val="auto"/>
                <w:sz w:val="24"/>
                <w:highlight w:val="none"/>
                <w:lang w:eastAsia="zh-CN"/>
              </w:rPr>
              <w:t>。</w:t>
            </w:r>
          </w:p>
          <w:p w14:paraId="752EBFB4">
            <w:pPr>
              <w:pStyle w:val="23"/>
              <w:keepNext w:val="0"/>
              <w:keepLines w:val="0"/>
              <w:widowControl w:val="0"/>
              <w:suppressLineNumbers w:val="0"/>
              <w:shd w:val="clear" w:color="auto" w:fill="auto"/>
              <w:spacing w:before="0" w:beforeAutospacing="0" w:after="0" w:afterAutospacing="0" w:line="360" w:lineRule="auto"/>
              <w:ind w:left="0" w:right="0" w:firstLine="480" w:firstLineChars="200"/>
              <w:jc w:val="both"/>
              <w:rPr>
                <w:rFonts w:hint="default" w:ascii="Times New Roman" w:hAnsi="Times New Roman" w:eastAsia="宋体" w:cs="Times New Roman"/>
                <w:b w:val="0"/>
                <w:bCs/>
                <w:color w:val="auto"/>
                <w:kern w:val="2"/>
                <w:sz w:val="24"/>
                <w:szCs w:val="24"/>
                <w:highlight w:val="none"/>
              </w:rPr>
            </w:pPr>
            <w:r>
              <w:rPr>
                <w:rFonts w:hint="default" w:ascii="Times New Roman" w:hAnsi="Times New Roman" w:cs="Times New Roman"/>
                <w:color w:val="auto"/>
                <w:sz w:val="24"/>
                <w:highlight w:val="none"/>
              </w:rPr>
              <w:t>采取以上措施后，再通过距离衰减等可保证厂界昼间、夜间噪声不会超过《工业企业厂界环境噪声排放标准》（GB12348-2008）</w:t>
            </w:r>
            <w:r>
              <w:rPr>
                <w:rFonts w:hint="eastAsia" w:ascii="Times New Roman" w:hAnsi="Times New Roman" w:cs="Times New Roman"/>
                <w:color w:val="auto"/>
                <w:sz w:val="24"/>
                <w:highlight w:val="none"/>
                <w:lang w:val="en-US" w:eastAsia="zh-CN"/>
              </w:rPr>
              <w:t>2类标准</w:t>
            </w:r>
            <w:r>
              <w:rPr>
                <w:rFonts w:hint="default" w:ascii="Times New Roman" w:hAnsi="Times New Roman" w:cs="Times New Roman"/>
                <w:color w:val="auto"/>
                <w:sz w:val="24"/>
                <w:highlight w:val="none"/>
              </w:rPr>
              <w:t>要求，项目对周边环境影响不大</w:t>
            </w:r>
            <w:r>
              <w:rPr>
                <w:rFonts w:hint="default" w:ascii="Times New Roman" w:hAnsi="Times New Roman" w:cs="Times New Roman"/>
                <w:color w:val="auto"/>
                <w:sz w:val="24"/>
                <w:highlight w:val="none"/>
                <w:lang w:eastAsia="zh-CN"/>
              </w:rPr>
              <w:t>。</w:t>
            </w:r>
          </w:p>
          <w:p w14:paraId="4A5158CB">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项目采用《环境噪声评价技术导则-声环境》</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HJ2.4-2021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中推荐模式进行 预测，噪声从声源发出后向外辐射，在传播过程中经距离衰减、地面构筑物屏蔽反射、空气吸收等阶段后到达受声点，本次评价采用A声级计算，模式如下：</w:t>
            </w:r>
          </w:p>
          <w:p w14:paraId="581ED10E">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①室外声源</w:t>
            </w:r>
          </w:p>
          <w:p w14:paraId="7EFFAE77">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 计算某个声源在预测点的倍频带声压级：</w:t>
            </w:r>
          </w:p>
          <w:p w14:paraId="59F0E502">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Lp( r )=Lw+Dc-(Adiv+Aatm +Abar +Agr+Amisc)</w:t>
            </w:r>
          </w:p>
          <w:p w14:paraId="1ECBD013">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 Lw—倍频带声功率级，dB；</w:t>
            </w:r>
          </w:p>
          <w:p w14:paraId="7480D6CA">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Dc—指向性校正，dB；它描述点声源的等效连续声压级与产生声功率级的全向点声源定方向的级的偏差程度。指向性校正等于点声源的指向性指数Dl加上计到小于4π球面度（sr）立体角内的声传播指数。对辐射到自由空间的全向点声源，Dc=0dB。</w:t>
            </w:r>
          </w:p>
          <w:p w14:paraId="55D1A097">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A—倍频带衰减，dB；</w:t>
            </w:r>
          </w:p>
          <w:p w14:paraId="76DCA9F6">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Adiv—几何发散引起的倍频带衰减，dB；</w:t>
            </w:r>
          </w:p>
          <w:p w14:paraId="01A8128C">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Aatm—大气吸收引起的倍频带衰减，dB；</w:t>
            </w:r>
          </w:p>
          <w:p w14:paraId="056595A4">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Agr—地面效应引起的倍频带衰减，dB；</w:t>
            </w:r>
          </w:p>
          <w:p w14:paraId="2A860F6D">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Abar— 声屏障引起的倍频带衰减，dB；</w:t>
            </w:r>
          </w:p>
          <w:p w14:paraId="24A95AD4">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Amisc—其他多方面效应引起的倍频带衰减，dB。</w:t>
            </w:r>
          </w:p>
          <w:p w14:paraId="12DA1A45">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b. 由各倍频带声压级合成计算出该声源产生的A声级LA。</w:t>
            </w:r>
          </w:p>
          <w:p w14:paraId="3DF50B03">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②室内声源</w:t>
            </w:r>
          </w:p>
          <w:p w14:paraId="176371E2">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a.室内声源等效室外声源声功率级计算：</w:t>
            </w:r>
          </w:p>
          <w:p w14:paraId="2FDA04C3">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声源位于室内，室内声源可采用等效室外声源声功率级法进行计算。设靠近开口处（或窗户）室内、室外某倍频带的声压级分别为Lp1 和Lp2。若声源所在室内声场为近似扩散声场，则室外的倍频带声压级可近似求出：</w:t>
            </w:r>
          </w:p>
          <w:p w14:paraId="4153A657">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Lp2= Lp1-(TL+6)</w:t>
            </w:r>
          </w:p>
          <w:p w14:paraId="66CDA953">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式中：TL—隔墙（或窗户）倍频带的隔声量，dB。</w:t>
            </w:r>
          </w:p>
          <w:p w14:paraId="7F5159BD">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b.某一室内声源靠近围护结构处产生的倍频带声压级：</w:t>
            </w:r>
          </w:p>
          <w:p w14:paraId="3CDF81D9">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2001520" cy="431165"/>
                  <wp:effectExtent l="0" t="0" r="17780" b="6985"/>
                  <wp:docPr id="14" name="图片 164" descr="171919144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4" descr="1719191441722"/>
                          <pic:cNvPicPr>
                            <a:picLocks noChangeAspect="1"/>
                          </pic:cNvPicPr>
                        </pic:nvPicPr>
                        <pic:blipFill>
                          <a:blip r:embed="rId12"/>
                          <a:stretch>
                            <a:fillRect/>
                          </a:stretch>
                        </pic:blipFill>
                        <pic:spPr>
                          <a:xfrm>
                            <a:off x="0" y="0"/>
                            <a:ext cx="2001520" cy="431165"/>
                          </a:xfrm>
                          <a:prstGeom prst="rect">
                            <a:avLst/>
                          </a:prstGeom>
                          <a:noFill/>
                          <a:ln>
                            <a:noFill/>
                          </a:ln>
                        </pic:spPr>
                      </pic:pic>
                    </a:graphicData>
                  </a:graphic>
                </wp:inline>
              </w:drawing>
            </w:r>
          </w:p>
          <w:p w14:paraId="780101F1">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式中：Lp1—某个室内声源在靠近围护结构处产生的倍频带声压级；</w:t>
            </w:r>
          </w:p>
          <w:p w14:paraId="6F5C4CA9">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Lw—某个声源的倍频带声功率级；</w:t>
            </w:r>
          </w:p>
          <w:p w14:paraId="4BF5B911">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r1—室内某个声源与靠近结构围护处的距离（m）；</w:t>
            </w:r>
          </w:p>
          <w:p w14:paraId="38D2243B">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R—房间常数；</w:t>
            </w:r>
          </w:p>
          <w:p w14:paraId="3AE94626">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Q—方向性因子。</w:t>
            </w:r>
          </w:p>
          <w:p w14:paraId="063F975E">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 计算出所有室内声源在靠近围护结构处产生的总倍频带声压级：</w:t>
            </w:r>
          </w:p>
          <w:p w14:paraId="695236A4">
            <w:pPr>
              <w:pStyle w:val="6"/>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drawing>
                <wp:inline distT="0" distB="0" distL="114300" distR="114300">
                  <wp:extent cx="2354580" cy="481330"/>
                  <wp:effectExtent l="0" t="0" r="7620" b="13970"/>
                  <wp:docPr id="15" name="图片 165" descr="171919150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5" descr="1719191501172"/>
                          <pic:cNvPicPr>
                            <a:picLocks noChangeAspect="1"/>
                          </pic:cNvPicPr>
                        </pic:nvPicPr>
                        <pic:blipFill>
                          <a:blip r:embed="rId13"/>
                          <a:stretch>
                            <a:fillRect/>
                          </a:stretch>
                        </pic:blipFill>
                        <pic:spPr>
                          <a:xfrm>
                            <a:off x="0" y="0"/>
                            <a:ext cx="2354580" cy="481330"/>
                          </a:xfrm>
                          <a:prstGeom prst="rect">
                            <a:avLst/>
                          </a:prstGeom>
                          <a:noFill/>
                          <a:ln>
                            <a:noFill/>
                          </a:ln>
                        </pic:spPr>
                      </pic:pic>
                    </a:graphicData>
                  </a:graphic>
                </wp:inline>
              </w:drawing>
            </w:r>
          </w:p>
          <w:p w14:paraId="37FB3DC4">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d. 计算出室外靠近围护结构处的声压级：</w:t>
            </w:r>
          </w:p>
          <w:p w14:paraId="52828916">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2905125" cy="323215"/>
                  <wp:effectExtent l="0" t="0" r="9525" b="635"/>
                  <wp:docPr id="16" name="图片 166" descr="171919153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6" descr="1719191534237"/>
                          <pic:cNvPicPr>
                            <a:picLocks noChangeAspect="1"/>
                          </pic:cNvPicPr>
                        </pic:nvPicPr>
                        <pic:blipFill>
                          <a:blip r:embed="rId14"/>
                          <a:stretch>
                            <a:fillRect/>
                          </a:stretch>
                        </pic:blipFill>
                        <pic:spPr>
                          <a:xfrm>
                            <a:off x="0" y="0"/>
                            <a:ext cx="2905125" cy="323215"/>
                          </a:xfrm>
                          <a:prstGeom prst="rect">
                            <a:avLst/>
                          </a:prstGeom>
                          <a:noFill/>
                          <a:ln>
                            <a:noFill/>
                          </a:ln>
                        </pic:spPr>
                      </pic:pic>
                    </a:graphicData>
                  </a:graphic>
                </wp:inline>
              </w:drawing>
            </w:r>
            <w:r>
              <w:rPr>
                <w:rFonts w:hint="default" w:ascii="Times New Roman" w:hAnsi="Times New Roman" w:eastAsia="宋体" w:cs="Times New Roman"/>
                <w:color w:val="auto"/>
                <w:sz w:val="24"/>
                <w:szCs w:val="24"/>
                <w:highlight w:val="none"/>
                <w:lang w:val="en-US" w:eastAsia="zh-CN"/>
              </w:rPr>
              <w:t xml:space="preserve"> </w:t>
            </w:r>
          </w:p>
          <w:p w14:paraId="49CF2E0C">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e. 将室外声级Lp2（T）和透声面积换算成等效的室外声源，计算出等效声源倍频带的声功率级Lw：</w:t>
            </w:r>
          </w:p>
          <w:p w14:paraId="64E7278A">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2247900" cy="318135"/>
                  <wp:effectExtent l="0" t="0" r="0" b="5715"/>
                  <wp:docPr id="17" name="图片 167" descr="171919157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7" descr="1719191572029"/>
                          <pic:cNvPicPr>
                            <a:picLocks noChangeAspect="1"/>
                          </pic:cNvPicPr>
                        </pic:nvPicPr>
                        <pic:blipFill>
                          <a:blip r:embed="rId15"/>
                          <a:stretch>
                            <a:fillRect/>
                          </a:stretch>
                        </pic:blipFill>
                        <pic:spPr>
                          <a:xfrm>
                            <a:off x="0" y="0"/>
                            <a:ext cx="2247900" cy="318135"/>
                          </a:xfrm>
                          <a:prstGeom prst="rect">
                            <a:avLst/>
                          </a:prstGeom>
                          <a:noFill/>
                          <a:ln>
                            <a:noFill/>
                          </a:ln>
                        </pic:spPr>
                      </pic:pic>
                    </a:graphicData>
                  </a:graphic>
                </wp:inline>
              </w:drawing>
            </w:r>
          </w:p>
          <w:p w14:paraId="1F181AB9">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式中：S—透声面积（m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w:t>
            </w:r>
          </w:p>
          <w:p w14:paraId="4C446E7E">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然后按室外声源预测方法计算预测点的A声级。</w:t>
            </w:r>
          </w:p>
          <w:p w14:paraId="1B0FDCD9">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③计算噪声贡献值</w:t>
            </w:r>
          </w:p>
          <w:p w14:paraId="5BC43934">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设第i个室外声源在预测点产生的A声级为LAi，在T时间内该声源工作时间为ti；第j个等效室外声源在预测点产生的A声级为LAj，在T时间内该声源工作时间为tj，则预测点产生的贡献值为：</w:t>
            </w:r>
          </w:p>
          <w:p w14:paraId="5A0AD695">
            <w:pPr>
              <w:pStyle w:val="6"/>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drawing>
                <wp:inline distT="0" distB="0" distL="114300" distR="114300">
                  <wp:extent cx="3515360" cy="560705"/>
                  <wp:effectExtent l="0" t="0" r="8890" b="10795"/>
                  <wp:docPr id="18" name="图片 168" descr="171919163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8" descr="1719191638564"/>
                          <pic:cNvPicPr>
                            <a:picLocks noChangeAspect="1"/>
                          </pic:cNvPicPr>
                        </pic:nvPicPr>
                        <pic:blipFill>
                          <a:blip r:embed="rId16"/>
                          <a:stretch>
                            <a:fillRect/>
                          </a:stretch>
                        </pic:blipFill>
                        <pic:spPr>
                          <a:xfrm>
                            <a:off x="0" y="0"/>
                            <a:ext cx="3515360" cy="560705"/>
                          </a:xfrm>
                          <a:prstGeom prst="rect">
                            <a:avLst/>
                          </a:prstGeom>
                          <a:noFill/>
                          <a:ln>
                            <a:noFill/>
                          </a:ln>
                        </pic:spPr>
                      </pic:pic>
                    </a:graphicData>
                  </a:graphic>
                </wp:inline>
              </w:drawing>
            </w:r>
          </w:p>
          <w:p w14:paraId="633D8BC7">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式中：T—计算等效声级的时间；</w:t>
            </w:r>
          </w:p>
          <w:p w14:paraId="05DDF4F7">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N—室外声源个数；</w:t>
            </w:r>
          </w:p>
          <w:p w14:paraId="4BF0FAD6">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M—等效室外声源个数。</w:t>
            </w:r>
          </w:p>
          <w:p w14:paraId="06268887">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④预测值计算</w:t>
            </w:r>
          </w:p>
          <w:p w14:paraId="1EA5F748">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预测点的预测等效声级（Leq）计算公式：</w:t>
            </w:r>
          </w:p>
          <w:p w14:paraId="0ADE16EF">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Leq=10lg(10</w:t>
            </w:r>
            <w:r>
              <w:rPr>
                <w:rFonts w:hint="default" w:ascii="Times New Roman" w:hAnsi="Times New Roman" w:eastAsia="宋体" w:cs="Times New Roman"/>
                <w:color w:val="auto"/>
                <w:sz w:val="24"/>
                <w:szCs w:val="24"/>
                <w:highlight w:val="none"/>
                <w:vertAlign w:val="superscript"/>
                <w:lang w:val="en-US" w:eastAsia="zh-CN"/>
              </w:rPr>
              <w:t>0.1Leqg</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0.1Leqb</w:t>
            </w:r>
            <w:r>
              <w:rPr>
                <w:rFonts w:hint="default" w:ascii="Times New Roman" w:hAnsi="Times New Roman" w:eastAsia="宋体" w:cs="Times New Roman"/>
                <w:color w:val="auto"/>
                <w:sz w:val="24"/>
                <w:szCs w:val="24"/>
                <w:highlight w:val="none"/>
                <w:lang w:val="en-US" w:eastAsia="zh-CN"/>
              </w:rPr>
              <w:t>)</w:t>
            </w:r>
          </w:p>
          <w:p w14:paraId="72000D91">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w:t>
            </w:r>
          </w:p>
          <w:p w14:paraId="4ADA0B2E">
            <w:pPr>
              <w:keepNext w:val="0"/>
              <w:keepLines w:val="0"/>
              <w:pageBreakBefore w:val="0"/>
              <w:widowControl w:val="0"/>
              <w:shd w:val="clear" w:color="auto" w:fill="auto"/>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Leqg—建设项目声源在预测点的等效声级贡献值，dB(A</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p>
          <w:p w14:paraId="31C66B91">
            <w:pPr>
              <w:keepNext w:val="0"/>
              <w:keepLines w:val="0"/>
              <w:pageBreakBefore w:val="0"/>
              <w:widowControl w:val="0"/>
              <w:shd w:val="clear" w:color="auto" w:fill="auto"/>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Leqb— 预测点的背景值，dB(A</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p>
          <w:p w14:paraId="271B6CB1">
            <w:pPr>
              <w:shd w:val="clear" w:color="auto" w:fill="auto"/>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根据本项目投产后厂内主要噪声源的位置、声功率级值以及所采取的噪声防治措施，运营期厂界噪声预测结果见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w:t>
            </w:r>
          </w:p>
          <w:p w14:paraId="765F2C9A">
            <w:pPr>
              <w:keepNext w:val="0"/>
              <w:keepLines w:val="0"/>
              <w:widowControl/>
              <w:suppressLineNumbers w:val="0"/>
              <w:spacing w:before="0" w:beforeAutospacing="0" w:after="0" w:afterAutospacing="0" w:line="240" w:lineRule="auto"/>
              <w:ind w:right="0"/>
              <w:jc w:val="center"/>
              <w:rPr>
                <w:rFonts w:hint="default" w:ascii="Times New Roman" w:hAnsi="Times New Roman" w:eastAsia="宋体" w:cs="Times New Roman"/>
                <w:b/>
                <w:bCs/>
                <w:color w:val="auto"/>
                <w:kern w:val="2"/>
                <w:sz w:val="21"/>
                <w:szCs w:val="21"/>
                <w:highlight w:val="none"/>
                <w:lang w:val="en-US" w:eastAsia="zh-CN" w:bidi="ar"/>
              </w:rPr>
            </w:pPr>
            <w:r>
              <w:rPr>
                <w:rFonts w:hint="default" w:ascii="Times New Roman" w:hAnsi="Times New Roman" w:eastAsia="宋体" w:cs="Times New Roman"/>
                <w:b/>
                <w:bCs/>
                <w:color w:val="auto"/>
                <w:kern w:val="2"/>
                <w:sz w:val="21"/>
                <w:szCs w:val="21"/>
                <w:highlight w:val="none"/>
                <w:lang w:val="en-US" w:eastAsia="zh-CN" w:bidi="ar"/>
              </w:rPr>
              <w:t>表4-13 厂界噪声预测结果 单位： Leq [dB（A）]</w:t>
            </w:r>
          </w:p>
          <w:tbl>
            <w:tblPr>
              <w:tblStyle w:val="25"/>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961"/>
              <w:gridCol w:w="1407"/>
              <w:gridCol w:w="1520"/>
              <w:gridCol w:w="3935"/>
            </w:tblGrid>
            <w:tr w14:paraId="0E46891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11" w:type="pct"/>
                  <w:tcBorders>
                    <w:tl2br w:val="nil"/>
                    <w:tr2bl w:val="nil"/>
                  </w:tcBorders>
                  <w:noWrap w:val="0"/>
                  <w:vAlign w:val="center"/>
                </w:tcPr>
                <w:p w14:paraId="6DF9F8B7">
                  <w:pPr>
                    <w:keepNext w:val="0"/>
                    <w:keepLines w:val="0"/>
                    <w:pageBreakBefore w:val="0"/>
                    <w:widowControl w:val="0"/>
                    <w:kinsoku/>
                    <w:wordWrap/>
                    <w:overflowPunct/>
                    <w:topLinePunct w:val="0"/>
                    <w:autoSpaceDE w:val="0"/>
                    <w:autoSpaceDN w:val="0"/>
                    <w:bidi w:val="0"/>
                    <w:adjustRightInd/>
                    <w:snapToGrid/>
                    <w:jc w:val="center"/>
                    <w:textAlignment w:val="bottom"/>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昼间/夜间</w:t>
                  </w:r>
                </w:p>
              </w:tc>
              <w:tc>
                <w:tcPr>
                  <w:tcW w:w="797" w:type="pct"/>
                  <w:tcBorders>
                    <w:tl2br w:val="nil"/>
                    <w:tr2bl w:val="nil"/>
                  </w:tcBorders>
                  <w:noWrap/>
                  <w:vAlign w:val="center"/>
                </w:tcPr>
                <w:p w14:paraId="4F264EEF">
                  <w:pPr>
                    <w:keepNext w:val="0"/>
                    <w:keepLines w:val="0"/>
                    <w:pageBreakBefore w:val="0"/>
                    <w:widowControl w:val="0"/>
                    <w:kinsoku/>
                    <w:wordWrap/>
                    <w:overflowPunct/>
                    <w:topLinePunct w:val="0"/>
                    <w:autoSpaceDE w:val="0"/>
                    <w:autoSpaceDN w:val="0"/>
                    <w:bidi w:val="0"/>
                    <w:adjustRightInd/>
                    <w:snapToGrid/>
                    <w:jc w:val="center"/>
                    <w:textAlignment w:val="bottom"/>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厂界名称</w:t>
                  </w:r>
                </w:p>
              </w:tc>
              <w:tc>
                <w:tcPr>
                  <w:tcW w:w="861" w:type="pct"/>
                  <w:tcBorders>
                    <w:tl2br w:val="nil"/>
                    <w:tr2bl w:val="nil"/>
                  </w:tcBorders>
                  <w:noWrap/>
                  <w:vAlign w:val="center"/>
                </w:tcPr>
                <w:p w14:paraId="7BD12178">
                  <w:pPr>
                    <w:keepNext w:val="0"/>
                    <w:keepLines w:val="0"/>
                    <w:pageBreakBefore w:val="0"/>
                    <w:widowControl w:val="0"/>
                    <w:kinsoku/>
                    <w:wordWrap/>
                    <w:overflowPunct/>
                    <w:topLinePunct w:val="0"/>
                    <w:autoSpaceDE w:val="0"/>
                    <w:autoSpaceDN w:val="0"/>
                    <w:bidi w:val="0"/>
                    <w:adjustRightInd/>
                    <w:snapToGrid/>
                    <w:jc w:val="center"/>
                    <w:textAlignment w:val="bottom"/>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贡献</w:t>
                  </w:r>
                  <w:r>
                    <w:rPr>
                      <w:rFonts w:hint="eastAsia" w:ascii="Times New Roman" w:hAnsi="Times New Roman" w:eastAsia="宋体" w:cs="Times New Roman"/>
                      <w:b/>
                      <w:bCs/>
                      <w:color w:val="auto"/>
                      <w:sz w:val="21"/>
                      <w:szCs w:val="21"/>
                      <w:lang w:val="en-US" w:eastAsia="zh-CN"/>
                    </w:rPr>
                    <w:t>值</w:t>
                  </w:r>
                </w:p>
              </w:tc>
              <w:tc>
                <w:tcPr>
                  <w:tcW w:w="2229" w:type="pct"/>
                  <w:tcBorders>
                    <w:tl2br w:val="nil"/>
                    <w:tr2bl w:val="nil"/>
                  </w:tcBorders>
                  <w:noWrap/>
                  <w:vAlign w:val="center"/>
                </w:tcPr>
                <w:p w14:paraId="0DFAAB5A">
                  <w:pPr>
                    <w:keepNext w:val="0"/>
                    <w:keepLines w:val="0"/>
                    <w:pageBreakBefore w:val="0"/>
                    <w:widowControl w:val="0"/>
                    <w:kinsoku/>
                    <w:wordWrap/>
                    <w:overflowPunct/>
                    <w:topLinePunct w:val="0"/>
                    <w:autoSpaceDE w:val="0"/>
                    <w:autoSpaceDN w:val="0"/>
                    <w:bidi w:val="0"/>
                    <w:adjustRightInd/>
                    <w:snapToGrid/>
                    <w:jc w:val="center"/>
                    <w:textAlignment w:val="bottom"/>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标准值</w:t>
                  </w:r>
                </w:p>
              </w:tc>
            </w:tr>
            <w:tr w14:paraId="4389016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11" w:type="pct"/>
                  <w:vMerge w:val="restart"/>
                  <w:tcBorders>
                    <w:tl2br w:val="nil"/>
                    <w:tr2bl w:val="nil"/>
                  </w:tcBorders>
                  <w:noWrap w:val="0"/>
                  <w:vAlign w:val="center"/>
                </w:tcPr>
                <w:p w14:paraId="48895A7C">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797" w:type="pct"/>
                  <w:tcBorders>
                    <w:tl2br w:val="nil"/>
                    <w:tr2bl w:val="nil"/>
                  </w:tcBorders>
                  <w:noWrap/>
                  <w:vAlign w:val="center"/>
                </w:tcPr>
                <w:p w14:paraId="6A3FA913">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东厂界</w:t>
                  </w:r>
                </w:p>
              </w:tc>
              <w:tc>
                <w:tcPr>
                  <w:tcW w:w="861" w:type="pct"/>
                  <w:tcBorders>
                    <w:tl2br w:val="nil"/>
                    <w:tr2bl w:val="nil"/>
                  </w:tcBorders>
                  <w:noWrap/>
                  <w:vAlign w:val="center"/>
                </w:tcPr>
                <w:p w14:paraId="3019594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46.7</w:t>
                  </w:r>
                </w:p>
              </w:tc>
              <w:tc>
                <w:tcPr>
                  <w:tcW w:w="2229" w:type="pct"/>
                  <w:vMerge w:val="restart"/>
                  <w:tcBorders>
                    <w:tl2br w:val="nil"/>
                    <w:tr2bl w:val="nil"/>
                  </w:tcBorders>
                  <w:noWrap/>
                  <w:vAlign w:val="center"/>
                </w:tcPr>
                <w:p w14:paraId="0B4EB1F2">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《工业企业厂界环境噪声排放标准》</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GB12348－2008</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类标准限值</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昼间6</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dB</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A</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、夜间5</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dB</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A</w:t>
                  </w:r>
                  <w:r>
                    <w:rPr>
                      <w:rFonts w:hint="default" w:ascii="Times New Roman" w:hAnsi="Times New Roman" w:eastAsia="宋体" w:cs="Times New Roman"/>
                      <w:color w:val="auto"/>
                      <w:sz w:val="21"/>
                      <w:szCs w:val="21"/>
                      <w:lang w:eastAsia="zh-CN"/>
                    </w:rPr>
                    <w:t>））</w:t>
                  </w:r>
                </w:p>
                <w:p w14:paraId="0619E3D6">
                  <w:pPr>
                    <w:pStyle w:val="3"/>
                    <w:rPr>
                      <w:rFonts w:hint="default" w:ascii="Times New Roman" w:hAnsi="Times New Roman" w:eastAsia="宋体" w:cs="Times New Roman"/>
                      <w:color w:val="auto"/>
                      <w:sz w:val="21"/>
                      <w:szCs w:val="21"/>
                      <w:lang w:eastAsia="zh-CN"/>
                    </w:rPr>
                  </w:pPr>
                </w:p>
              </w:tc>
            </w:tr>
            <w:tr w14:paraId="2C18C92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11" w:type="pct"/>
                  <w:vMerge w:val="continue"/>
                  <w:tcBorders>
                    <w:tl2br w:val="nil"/>
                    <w:tr2bl w:val="nil"/>
                  </w:tcBorders>
                  <w:noWrap w:val="0"/>
                  <w:vAlign w:val="center"/>
                </w:tcPr>
                <w:p w14:paraId="5C26BC06">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c>
                <w:tcPr>
                  <w:tcW w:w="797" w:type="pct"/>
                  <w:tcBorders>
                    <w:tl2br w:val="nil"/>
                    <w:tr2bl w:val="nil"/>
                  </w:tcBorders>
                  <w:noWrap/>
                  <w:vAlign w:val="center"/>
                </w:tcPr>
                <w:p w14:paraId="6FC584E6">
                  <w:pPr>
                    <w:widowControl/>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南厂界</w:t>
                  </w:r>
                </w:p>
              </w:tc>
              <w:tc>
                <w:tcPr>
                  <w:tcW w:w="861" w:type="pct"/>
                  <w:tcBorders>
                    <w:tl2br w:val="nil"/>
                    <w:tr2bl w:val="nil"/>
                  </w:tcBorders>
                  <w:noWrap/>
                  <w:vAlign w:val="center"/>
                </w:tcPr>
                <w:p w14:paraId="05D6A47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46.3</w:t>
                  </w:r>
                </w:p>
              </w:tc>
              <w:tc>
                <w:tcPr>
                  <w:tcW w:w="2229" w:type="pct"/>
                  <w:vMerge w:val="continue"/>
                  <w:tcBorders>
                    <w:tl2br w:val="nil"/>
                    <w:tr2bl w:val="nil"/>
                  </w:tcBorders>
                  <w:noWrap/>
                  <w:vAlign w:val="center"/>
                </w:tcPr>
                <w:p w14:paraId="73BDBB91">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r>
            <w:tr w14:paraId="6A25731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11" w:type="pct"/>
                  <w:vMerge w:val="continue"/>
                  <w:tcBorders>
                    <w:tl2br w:val="nil"/>
                    <w:tr2bl w:val="nil"/>
                  </w:tcBorders>
                  <w:noWrap w:val="0"/>
                  <w:vAlign w:val="center"/>
                </w:tcPr>
                <w:p w14:paraId="55AA17F3">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c>
                <w:tcPr>
                  <w:tcW w:w="797" w:type="pct"/>
                  <w:tcBorders>
                    <w:tl2br w:val="nil"/>
                    <w:tr2bl w:val="nil"/>
                  </w:tcBorders>
                  <w:noWrap/>
                  <w:vAlign w:val="center"/>
                </w:tcPr>
                <w:p w14:paraId="6D528A4D">
                  <w:pPr>
                    <w:widowControl/>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西厂界</w:t>
                  </w:r>
                </w:p>
              </w:tc>
              <w:tc>
                <w:tcPr>
                  <w:tcW w:w="861" w:type="pct"/>
                  <w:tcBorders>
                    <w:tl2br w:val="nil"/>
                    <w:tr2bl w:val="nil"/>
                  </w:tcBorders>
                  <w:noWrap/>
                  <w:vAlign w:val="center"/>
                </w:tcPr>
                <w:p w14:paraId="0688904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45.6</w:t>
                  </w:r>
                </w:p>
              </w:tc>
              <w:tc>
                <w:tcPr>
                  <w:tcW w:w="2229" w:type="pct"/>
                  <w:vMerge w:val="continue"/>
                  <w:tcBorders>
                    <w:tl2br w:val="nil"/>
                    <w:tr2bl w:val="nil"/>
                  </w:tcBorders>
                  <w:noWrap/>
                  <w:vAlign w:val="center"/>
                </w:tcPr>
                <w:p w14:paraId="4CF8BFAF">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r>
            <w:tr w14:paraId="1DC1E3F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11" w:type="pct"/>
                  <w:vMerge w:val="continue"/>
                  <w:tcBorders>
                    <w:tl2br w:val="nil"/>
                    <w:tr2bl w:val="nil"/>
                  </w:tcBorders>
                  <w:noWrap w:val="0"/>
                  <w:vAlign w:val="center"/>
                </w:tcPr>
                <w:p w14:paraId="20DBF367">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c>
                <w:tcPr>
                  <w:tcW w:w="797" w:type="pct"/>
                  <w:tcBorders>
                    <w:tl2br w:val="nil"/>
                    <w:tr2bl w:val="nil"/>
                  </w:tcBorders>
                  <w:noWrap/>
                  <w:vAlign w:val="center"/>
                </w:tcPr>
                <w:p w14:paraId="005F974F">
                  <w:pPr>
                    <w:widowControl/>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北厂界</w:t>
                  </w:r>
                </w:p>
              </w:tc>
              <w:tc>
                <w:tcPr>
                  <w:tcW w:w="861" w:type="pct"/>
                  <w:tcBorders>
                    <w:tl2br w:val="nil"/>
                    <w:tr2bl w:val="nil"/>
                  </w:tcBorders>
                  <w:noWrap/>
                  <w:vAlign w:val="center"/>
                </w:tcPr>
                <w:p w14:paraId="149C121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46.5</w:t>
                  </w:r>
                </w:p>
              </w:tc>
              <w:tc>
                <w:tcPr>
                  <w:tcW w:w="2229" w:type="pct"/>
                  <w:vMerge w:val="continue"/>
                  <w:tcBorders>
                    <w:tl2br w:val="nil"/>
                    <w:tr2bl w:val="nil"/>
                  </w:tcBorders>
                  <w:noWrap/>
                  <w:vAlign w:val="center"/>
                </w:tcPr>
                <w:p w14:paraId="4B93D831">
                  <w:pPr>
                    <w:widowControl/>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r>
            <w:tr w14:paraId="40D2288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11" w:type="pct"/>
                  <w:vMerge w:val="restart"/>
                  <w:tcBorders>
                    <w:tl2br w:val="nil"/>
                    <w:tr2bl w:val="nil"/>
                  </w:tcBorders>
                  <w:noWrap w:val="0"/>
                  <w:vAlign w:val="center"/>
                </w:tcPr>
                <w:p w14:paraId="5E87C790">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夜间</w:t>
                  </w:r>
                </w:p>
              </w:tc>
              <w:tc>
                <w:tcPr>
                  <w:tcW w:w="797" w:type="pct"/>
                  <w:tcBorders>
                    <w:tl2br w:val="nil"/>
                    <w:tr2bl w:val="nil"/>
                  </w:tcBorders>
                  <w:noWrap/>
                  <w:vAlign w:val="center"/>
                </w:tcPr>
                <w:p w14:paraId="72B27B69">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东厂界</w:t>
                  </w:r>
                </w:p>
              </w:tc>
              <w:tc>
                <w:tcPr>
                  <w:tcW w:w="861" w:type="pct"/>
                  <w:tcBorders>
                    <w:tl2br w:val="nil"/>
                    <w:tr2bl w:val="nil"/>
                  </w:tcBorders>
                  <w:noWrap/>
                  <w:vAlign w:val="center"/>
                </w:tcPr>
                <w:p w14:paraId="40E629DC">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46.2</w:t>
                  </w:r>
                </w:p>
              </w:tc>
              <w:tc>
                <w:tcPr>
                  <w:tcW w:w="2229" w:type="pct"/>
                  <w:vMerge w:val="continue"/>
                  <w:tcBorders>
                    <w:tl2br w:val="nil"/>
                    <w:tr2bl w:val="nil"/>
                  </w:tcBorders>
                  <w:noWrap/>
                  <w:vAlign w:val="center"/>
                </w:tcPr>
                <w:p w14:paraId="247EDCBD">
                  <w:pPr>
                    <w:widowControl/>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r>
            <w:tr w14:paraId="4E7AF53E">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11" w:type="pct"/>
                  <w:vMerge w:val="continue"/>
                  <w:tcBorders>
                    <w:tl2br w:val="nil"/>
                    <w:tr2bl w:val="nil"/>
                  </w:tcBorders>
                  <w:noWrap w:val="0"/>
                  <w:vAlign w:val="center"/>
                </w:tcPr>
                <w:p w14:paraId="0756D4D0">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c>
                <w:tcPr>
                  <w:tcW w:w="797" w:type="pct"/>
                  <w:tcBorders>
                    <w:tl2br w:val="nil"/>
                    <w:tr2bl w:val="nil"/>
                  </w:tcBorders>
                  <w:noWrap/>
                  <w:vAlign w:val="center"/>
                </w:tcPr>
                <w:p w14:paraId="1BF39A0F">
                  <w:pPr>
                    <w:widowControl/>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南厂界</w:t>
                  </w:r>
                </w:p>
              </w:tc>
              <w:tc>
                <w:tcPr>
                  <w:tcW w:w="861" w:type="pct"/>
                  <w:tcBorders>
                    <w:tl2br w:val="nil"/>
                    <w:tr2bl w:val="nil"/>
                  </w:tcBorders>
                  <w:noWrap/>
                  <w:vAlign w:val="center"/>
                </w:tcPr>
                <w:p w14:paraId="20E9B73C">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46.5</w:t>
                  </w:r>
                </w:p>
              </w:tc>
              <w:tc>
                <w:tcPr>
                  <w:tcW w:w="2229" w:type="pct"/>
                  <w:vMerge w:val="continue"/>
                  <w:tcBorders>
                    <w:tl2br w:val="nil"/>
                    <w:tr2bl w:val="nil"/>
                  </w:tcBorders>
                  <w:noWrap/>
                  <w:vAlign w:val="center"/>
                </w:tcPr>
                <w:p w14:paraId="42DF9C35">
                  <w:pPr>
                    <w:widowControl/>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r>
            <w:tr w14:paraId="75D2E9D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11" w:type="pct"/>
                  <w:vMerge w:val="continue"/>
                  <w:tcBorders>
                    <w:tl2br w:val="nil"/>
                    <w:tr2bl w:val="nil"/>
                  </w:tcBorders>
                  <w:noWrap w:val="0"/>
                  <w:vAlign w:val="center"/>
                </w:tcPr>
                <w:p w14:paraId="20FCD37F">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c>
                <w:tcPr>
                  <w:tcW w:w="797" w:type="pct"/>
                  <w:tcBorders>
                    <w:tl2br w:val="nil"/>
                    <w:tr2bl w:val="nil"/>
                  </w:tcBorders>
                  <w:noWrap/>
                  <w:vAlign w:val="center"/>
                </w:tcPr>
                <w:p w14:paraId="01D1587B">
                  <w:pPr>
                    <w:widowControl/>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西厂界</w:t>
                  </w:r>
                </w:p>
              </w:tc>
              <w:tc>
                <w:tcPr>
                  <w:tcW w:w="861" w:type="pct"/>
                  <w:tcBorders>
                    <w:tl2br w:val="nil"/>
                    <w:tr2bl w:val="nil"/>
                  </w:tcBorders>
                  <w:noWrap/>
                  <w:vAlign w:val="center"/>
                </w:tcPr>
                <w:p w14:paraId="1880D087">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45.6</w:t>
                  </w:r>
                </w:p>
              </w:tc>
              <w:tc>
                <w:tcPr>
                  <w:tcW w:w="2229" w:type="pct"/>
                  <w:vMerge w:val="continue"/>
                  <w:tcBorders>
                    <w:tl2br w:val="nil"/>
                    <w:tr2bl w:val="nil"/>
                  </w:tcBorders>
                  <w:noWrap/>
                  <w:vAlign w:val="center"/>
                </w:tcPr>
                <w:p w14:paraId="013D0237">
                  <w:pPr>
                    <w:widowControl/>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r>
            <w:tr w14:paraId="208D021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11" w:type="pct"/>
                  <w:vMerge w:val="continue"/>
                  <w:tcBorders>
                    <w:tl2br w:val="nil"/>
                    <w:tr2bl w:val="nil"/>
                  </w:tcBorders>
                  <w:noWrap w:val="0"/>
                  <w:vAlign w:val="center"/>
                </w:tcPr>
                <w:p w14:paraId="6719AD03">
                  <w:pPr>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c>
                <w:tcPr>
                  <w:tcW w:w="797" w:type="pct"/>
                  <w:tcBorders>
                    <w:tl2br w:val="nil"/>
                    <w:tr2bl w:val="nil"/>
                  </w:tcBorders>
                  <w:noWrap/>
                  <w:vAlign w:val="center"/>
                </w:tcPr>
                <w:p w14:paraId="494EB410">
                  <w:pPr>
                    <w:widowControl/>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北厂界</w:t>
                  </w:r>
                </w:p>
              </w:tc>
              <w:tc>
                <w:tcPr>
                  <w:tcW w:w="861" w:type="pct"/>
                  <w:tcBorders>
                    <w:tl2br w:val="nil"/>
                    <w:tr2bl w:val="nil"/>
                  </w:tcBorders>
                  <w:noWrap/>
                  <w:vAlign w:val="center"/>
                </w:tcPr>
                <w:p w14:paraId="4A3AE79C">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46.6</w:t>
                  </w:r>
                </w:p>
              </w:tc>
              <w:tc>
                <w:tcPr>
                  <w:tcW w:w="2229" w:type="pct"/>
                  <w:vMerge w:val="continue"/>
                  <w:tcBorders>
                    <w:tl2br w:val="nil"/>
                    <w:tr2bl w:val="nil"/>
                  </w:tcBorders>
                  <w:noWrap/>
                  <w:vAlign w:val="center"/>
                </w:tcPr>
                <w:p w14:paraId="6CDF0DDE">
                  <w:pPr>
                    <w:widowControl/>
                    <w:autoSpaceDE w:val="0"/>
                    <w:autoSpaceDN w:val="0"/>
                    <w:spacing w:before="60" w:beforeLines="25" w:after="12" w:afterLines="5"/>
                    <w:jc w:val="center"/>
                    <w:textAlignment w:val="bottom"/>
                    <w:rPr>
                      <w:rFonts w:hint="default" w:ascii="Times New Roman" w:hAnsi="Times New Roman" w:eastAsia="宋体" w:cs="Times New Roman"/>
                      <w:color w:val="auto"/>
                      <w:sz w:val="21"/>
                      <w:szCs w:val="21"/>
                    </w:rPr>
                  </w:pPr>
                </w:p>
              </w:tc>
            </w:tr>
          </w:tbl>
          <w:p w14:paraId="23494B5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根据预测结果，项目</w:t>
            </w:r>
            <w:r>
              <w:rPr>
                <w:rFonts w:hint="default" w:ascii="Times New Roman" w:hAnsi="Times New Roman" w:eastAsia="宋体" w:cs="Times New Roman"/>
                <w:color w:val="auto"/>
                <w:sz w:val="24"/>
                <w:szCs w:val="24"/>
                <w:highlight w:val="none"/>
                <w:lang w:val="en-US" w:eastAsia="zh-CN"/>
              </w:rPr>
              <w:t>东、南、西、北厂界噪声</w:t>
            </w:r>
            <w:r>
              <w:rPr>
                <w:rFonts w:hint="default" w:ascii="Times New Roman" w:hAnsi="Times New Roman" w:eastAsia="宋体" w:cs="Times New Roman"/>
                <w:color w:val="auto"/>
                <w:sz w:val="24"/>
                <w:szCs w:val="24"/>
                <w:highlight w:val="none"/>
              </w:rPr>
              <w:t>昼间、夜间厂界预测值均满足《工业企业厂界环境噪声排放标准》（GB12348-2008）</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类标准的要求</w:t>
            </w:r>
            <w:r>
              <w:rPr>
                <w:rFonts w:hint="default" w:ascii="Times New Roman" w:hAnsi="Times New Roman" w:eastAsia="宋体" w:cs="Times New Roman"/>
                <w:color w:val="auto"/>
                <w:sz w:val="24"/>
                <w:szCs w:val="24"/>
                <w:highlight w:val="none"/>
                <w:lang w:eastAsia="zh-CN"/>
              </w:rPr>
              <w:t>。</w:t>
            </w:r>
          </w:p>
          <w:p w14:paraId="25933363">
            <w:pPr>
              <w:pStyle w:val="23"/>
              <w:keepNext w:val="0"/>
              <w:keepLines w:val="0"/>
              <w:widowControl w:val="0"/>
              <w:suppressLineNumbers w:val="0"/>
              <w:spacing w:before="0" w:beforeAutospacing="0" w:after="0" w:afterAutospacing="0" w:line="360" w:lineRule="auto"/>
              <w:ind w:left="0" w:right="0" w:firstLine="482" w:firstLineChars="200"/>
              <w:jc w:val="both"/>
              <w:rPr>
                <w:rFonts w:hint="default" w:ascii="Times New Roman" w:hAnsi="Times New Roman" w:eastAsia="宋体" w:cs="Times New Roman"/>
                <w:b/>
                <w:bCs w:val="0"/>
                <w:color w:val="auto"/>
                <w:kern w:val="2"/>
                <w:sz w:val="24"/>
                <w:szCs w:val="24"/>
                <w:highlight w:val="none"/>
                <w:lang w:val="en-US"/>
              </w:rPr>
            </w:pPr>
            <w:r>
              <w:rPr>
                <w:rFonts w:hint="default" w:ascii="Times New Roman" w:hAnsi="Times New Roman" w:eastAsia="宋体" w:cs="Times New Roman"/>
                <w:b/>
                <w:bCs w:val="0"/>
                <w:color w:val="auto"/>
                <w:kern w:val="2"/>
                <w:sz w:val="24"/>
                <w:szCs w:val="24"/>
                <w:highlight w:val="none"/>
                <w:lang w:val="en-US" w:eastAsia="zh-CN" w:bidi="ar"/>
              </w:rPr>
              <w:t>四、固体废物环境影响分析</w:t>
            </w:r>
          </w:p>
          <w:p w14:paraId="542B9262">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w:t>
            </w:r>
            <w:r>
              <w:rPr>
                <w:rFonts w:hint="eastAsia" w:ascii="Times New Roman" w:hAnsi="Times New Roman" w:eastAsia="宋体" w:cs="Times New Roman"/>
                <w:color w:val="auto"/>
                <w:kern w:val="2"/>
                <w:sz w:val="24"/>
                <w:szCs w:val="24"/>
                <w:highlight w:val="none"/>
                <w:lang w:val="en-US" w:eastAsia="zh-CN" w:bidi="ar-SA"/>
              </w:rPr>
              <w:t>运营期无固废产生，不新增劳动定员，现有工作人员产生的生活垃圾</w:t>
            </w:r>
            <w:r>
              <w:rPr>
                <w:rFonts w:hint="default" w:ascii="Times New Roman" w:hAnsi="Times New Roman" w:eastAsia="宋体" w:cs="Times New Roman"/>
                <w:b w:val="0"/>
                <w:bCs w:val="0"/>
                <w:color w:val="auto"/>
                <w:kern w:val="2"/>
                <w:sz w:val="24"/>
                <w:szCs w:val="24"/>
                <w:lang w:val="en-US" w:eastAsia="zh-CN" w:bidi="ar"/>
              </w:rPr>
              <w:t>由垃圾箱收集后统一堆放到厂区生活垃圾固定堆放点，由当地环卫部门统一收集处理</w:t>
            </w:r>
            <w:r>
              <w:rPr>
                <w:rFonts w:hint="default" w:ascii="Times New Roman" w:hAnsi="Times New Roman" w:eastAsia="宋体" w:cs="Times New Roman"/>
                <w:color w:val="auto"/>
                <w:kern w:val="2"/>
                <w:sz w:val="24"/>
                <w:szCs w:val="24"/>
                <w:highlight w:val="none"/>
                <w:lang w:val="en-US" w:eastAsia="zh-CN" w:bidi="ar-SA"/>
              </w:rPr>
              <w:t>。</w:t>
            </w:r>
          </w:p>
          <w:p w14:paraId="0230E80B">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本项目将原有氰化钠库改造为危废暂存间，本次改造面积为290m</w:t>
            </w:r>
            <w:r>
              <w:rPr>
                <w:rFonts w:hint="default" w:ascii="Times New Roman" w:hAnsi="Times New Roman" w:eastAsia="宋体" w:cs="Times New Roman"/>
                <w:color w:val="auto"/>
                <w:kern w:val="2"/>
                <w:sz w:val="24"/>
                <w:szCs w:val="24"/>
                <w:vertAlign w:val="superscript"/>
                <w:lang w:val="en-US" w:eastAsia="zh-CN" w:bidi="ar-SA"/>
              </w:rPr>
              <w:t>2</w:t>
            </w:r>
            <w:r>
              <w:rPr>
                <w:rFonts w:hint="default" w:ascii="Times New Roman" w:hAnsi="Times New Roman" w:eastAsia="宋体" w:cs="Times New Roman"/>
                <w:color w:val="auto"/>
                <w:kern w:val="2"/>
                <w:sz w:val="24"/>
                <w:szCs w:val="24"/>
                <w:lang w:val="en-US" w:eastAsia="zh-CN" w:bidi="ar-SA"/>
              </w:rPr>
              <w:t>，危废暂存间为独立房间，根据《危险废物贮存污染控制标准》（GB18597-2023），</w:t>
            </w:r>
            <w:r>
              <w:rPr>
                <w:rFonts w:hint="default" w:ascii="Times New Roman" w:hAnsi="Times New Roman" w:eastAsia="宋体" w:cs="Times New Roman"/>
                <w:color w:val="auto"/>
                <w:kern w:val="0"/>
                <w:sz w:val="24"/>
                <w:szCs w:val="24"/>
                <w:highlight w:val="none"/>
                <w:lang w:val="en-US" w:eastAsia="zh-CN" w:bidi="ar-SA"/>
              </w:rPr>
              <w:t>危废暂存间地面铺设2mm厚HDPE防渗膜，混凝土硬化，上做压光水泥地面保护层并涂刷环氧树脂防护层，渗透系数≤10</w:t>
            </w:r>
            <w:r>
              <w:rPr>
                <w:rFonts w:hint="default" w:ascii="Times New Roman" w:hAnsi="Times New Roman" w:eastAsia="宋体" w:cs="Times New Roman"/>
                <w:color w:val="auto"/>
                <w:kern w:val="0"/>
                <w:sz w:val="24"/>
                <w:szCs w:val="24"/>
                <w:highlight w:val="none"/>
                <w:vertAlign w:val="superscript"/>
                <w:lang w:val="en-US" w:eastAsia="zh-CN" w:bidi="ar-SA"/>
              </w:rPr>
              <w:t>-10</w:t>
            </w:r>
            <w:r>
              <w:rPr>
                <w:rFonts w:hint="default" w:ascii="Times New Roman" w:hAnsi="Times New Roman" w:eastAsia="宋体" w:cs="Times New Roman"/>
                <w:color w:val="auto"/>
                <w:kern w:val="0"/>
                <w:sz w:val="24"/>
                <w:szCs w:val="24"/>
                <w:highlight w:val="none"/>
                <w:lang w:val="en-US" w:eastAsia="zh-CN" w:bidi="ar-SA"/>
              </w:rPr>
              <w:t>cm/s，裙角（0.4m 高度）采用墙面铺贴HDPE防渗膜并涂刷环氧树脂防护层作为防渗措施，渗透系数≤10</w:t>
            </w:r>
            <w:r>
              <w:rPr>
                <w:rFonts w:hint="default" w:ascii="Times New Roman" w:hAnsi="Times New Roman" w:eastAsia="宋体" w:cs="Times New Roman"/>
                <w:color w:val="auto"/>
                <w:kern w:val="0"/>
                <w:sz w:val="24"/>
                <w:szCs w:val="24"/>
                <w:highlight w:val="none"/>
                <w:vertAlign w:val="superscript"/>
                <w:lang w:val="en-US" w:eastAsia="zh-CN" w:bidi="ar-SA"/>
              </w:rPr>
              <w:t>-10</w:t>
            </w:r>
            <w:r>
              <w:rPr>
                <w:rFonts w:hint="default" w:ascii="Times New Roman" w:hAnsi="Times New Roman" w:eastAsia="宋体" w:cs="Times New Roman"/>
                <w:color w:val="auto"/>
                <w:kern w:val="0"/>
                <w:sz w:val="24"/>
                <w:szCs w:val="24"/>
                <w:highlight w:val="none"/>
                <w:lang w:val="en-US" w:eastAsia="zh-CN" w:bidi="ar-SA"/>
              </w:rPr>
              <w:t>cm/s。库内使用混凝土底座+彩钢结构作为隔断分隔出单独区域分别存放载金碳粉及灰皿。贮存设施、包装袋等按照HJ1276要求设置标志、标识。危废暂存间内四周留设200mm×200m贯通沟道作为导流槽，</w:t>
            </w:r>
            <w:r>
              <w:rPr>
                <w:rFonts w:hint="default" w:ascii="Times New Roman" w:hAnsi="Times New Roman" w:eastAsia="宋体" w:cs="Times New Roman"/>
                <w:color w:val="auto"/>
                <w:kern w:val="0"/>
                <w:sz w:val="24"/>
                <w:szCs w:val="24"/>
                <w:highlight w:val="none"/>
                <w:lang w:val="en-US" w:eastAsia="zh-CN" w:bidi="ar-SA"/>
              </w:rPr>
              <w:t>并与库外</w:t>
            </w:r>
            <w:r>
              <w:rPr>
                <w:rFonts w:hint="eastAsia" w:ascii="Times New Roman" w:hAnsi="Times New Roman" w:eastAsia="宋体" w:cs="Times New Roman"/>
                <w:color w:val="auto"/>
                <w:kern w:val="0"/>
                <w:sz w:val="24"/>
                <w:szCs w:val="24"/>
                <w:highlight w:val="none"/>
                <w:lang w:val="en-US" w:eastAsia="zh-CN" w:bidi="ar-SA"/>
              </w:rPr>
              <w:t>现有危废库设置的</w:t>
            </w:r>
            <w:r>
              <w:rPr>
                <w:rFonts w:hint="default" w:ascii="Times New Roman" w:hAnsi="Times New Roman" w:eastAsia="宋体" w:cs="Times New Roman"/>
                <w:color w:val="auto"/>
                <w:kern w:val="0"/>
                <w:sz w:val="24"/>
                <w:szCs w:val="24"/>
                <w:highlight w:val="none"/>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4</w:t>
            </w:r>
            <w:r>
              <w:rPr>
                <w:rFonts w:hint="default" w:ascii="Times New Roman" w:hAnsi="Times New Roman" w:eastAsia="宋体" w:cs="Times New Roman"/>
                <w:color w:val="auto"/>
                <w:kern w:val="0"/>
                <w:sz w:val="24"/>
                <w:szCs w:val="24"/>
                <w:highlight w:val="none"/>
                <w:lang w:val="en-US" w:eastAsia="zh-CN" w:bidi="ar-SA"/>
              </w:rPr>
              <w:t>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密闭集液池联</w:t>
            </w:r>
            <w:r>
              <w:rPr>
                <w:rFonts w:hint="default" w:ascii="Times New Roman" w:hAnsi="Times New Roman" w:eastAsia="宋体" w:cs="Times New Roman"/>
                <w:color w:val="auto"/>
                <w:kern w:val="0"/>
                <w:sz w:val="24"/>
                <w:szCs w:val="24"/>
                <w:highlight w:val="none"/>
                <w:lang w:val="en-US" w:eastAsia="zh-CN" w:bidi="ar-SA"/>
              </w:rPr>
              <w:t>通，导流槽与集液池均采用混凝土基础+HDPE防渗膜防渗，渗透系数≤10</w:t>
            </w:r>
            <w:r>
              <w:rPr>
                <w:rFonts w:hint="default" w:ascii="Times New Roman" w:hAnsi="Times New Roman" w:eastAsia="宋体" w:cs="Times New Roman"/>
                <w:color w:val="auto"/>
                <w:kern w:val="0"/>
                <w:sz w:val="24"/>
                <w:szCs w:val="24"/>
                <w:highlight w:val="none"/>
                <w:vertAlign w:val="superscript"/>
                <w:lang w:val="en-US" w:eastAsia="zh-CN" w:bidi="ar-SA"/>
              </w:rPr>
              <w:t>-10</w:t>
            </w:r>
            <w:r>
              <w:rPr>
                <w:rFonts w:hint="default" w:ascii="Times New Roman" w:hAnsi="Times New Roman" w:eastAsia="宋体" w:cs="Times New Roman"/>
                <w:color w:val="auto"/>
                <w:kern w:val="0"/>
                <w:sz w:val="24"/>
                <w:szCs w:val="24"/>
                <w:highlight w:val="none"/>
                <w:lang w:val="en-US" w:eastAsia="zh-CN" w:bidi="ar-SA"/>
              </w:rPr>
              <w:t>cm/s。库内配有干粉灭火器。</w:t>
            </w:r>
          </w:p>
          <w:p w14:paraId="42D34A50">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危险废物管理要求：根据《危险废物贮存污染控制标准》（GB18597-2023）对危废间进行管理，危废间的管理如下：</w:t>
            </w:r>
          </w:p>
          <w:p w14:paraId="676D1D6D">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w:t>
            </w:r>
            <w:r>
              <w:rPr>
                <w:rFonts w:hint="default" w:ascii="Times New Roman" w:hAnsi="Times New Roman" w:eastAsia="宋体" w:cs="Times New Roman"/>
                <w:color w:val="auto"/>
                <w:kern w:val="2"/>
                <w:sz w:val="24"/>
                <w:szCs w:val="24"/>
                <w:lang w:val="en-US" w:eastAsia="zh-CN" w:bidi="ar-SA"/>
              </w:rPr>
              <w:t>储存设施应根据危险废物的形态、物理化学性质、包装形式和污染物迁移途径，采取必要的防风、防晒、防雨、防漏、防渗、防腐以及其他环境污染防治措施，不应露天堆放危险废物。</w:t>
            </w:r>
          </w:p>
          <w:p w14:paraId="615DFDD0">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贮存设施应根据危险废物的类别、数量、形态、物理化学性质和污染防治等要求设置必要的贮存分区，避免不相容的危险废物接触、混合。</w:t>
            </w:r>
          </w:p>
          <w:p w14:paraId="16D3BCD1">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3.</w:t>
            </w:r>
            <w:r>
              <w:rPr>
                <w:rFonts w:hint="default" w:ascii="Times New Roman" w:hAnsi="Times New Roman" w:eastAsia="宋体" w:cs="Times New Roman"/>
                <w:color w:val="auto"/>
                <w:kern w:val="2"/>
                <w:sz w:val="24"/>
                <w:szCs w:val="24"/>
                <w:lang w:val="en-US" w:eastAsia="zh-CN" w:bidi="ar-SA"/>
              </w:rPr>
              <w:t>储存设施或贮存区内地面、墙面裙脚、堵截</w:t>
            </w:r>
            <w:r>
              <w:rPr>
                <w:rFonts w:hint="eastAsia" w:ascii="Times New Roman" w:hAnsi="Times New Roman" w:eastAsia="宋体" w:cs="Times New Roman"/>
                <w:color w:val="auto"/>
                <w:kern w:val="2"/>
                <w:sz w:val="24"/>
                <w:szCs w:val="24"/>
                <w:lang w:val="en-US" w:eastAsia="zh-CN" w:bidi="ar-SA"/>
              </w:rPr>
              <w:t>泄漏</w:t>
            </w:r>
            <w:r>
              <w:rPr>
                <w:rFonts w:hint="default" w:ascii="Times New Roman" w:hAnsi="Times New Roman" w:eastAsia="宋体" w:cs="Times New Roman"/>
                <w:color w:val="auto"/>
                <w:kern w:val="2"/>
                <w:sz w:val="24"/>
                <w:szCs w:val="24"/>
                <w:lang w:val="en-US" w:eastAsia="zh-CN" w:bidi="ar-SA"/>
              </w:rPr>
              <w:t>的围堰、接触危险废物的隔板和墙体等应采用坚固的材料制造，表面无裂缝。</w:t>
            </w:r>
          </w:p>
          <w:p w14:paraId="3A97E0DF">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4.</w:t>
            </w:r>
            <w:r>
              <w:rPr>
                <w:rFonts w:hint="default" w:ascii="Times New Roman" w:hAnsi="Times New Roman" w:eastAsia="宋体" w:cs="Times New Roman"/>
                <w:color w:val="auto"/>
                <w:kern w:val="2"/>
                <w:sz w:val="24"/>
                <w:szCs w:val="24"/>
                <w:lang w:val="en-US" w:eastAsia="zh-CN" w:bidi="ar-SA"/>
              </w:rPr>
              <w:t>贮存设施地面采取表面防渗措施；表面防渗材料应与所接触的物料或污染物相容，可采用抗渗混凝土、高密度聚乙烯膜等防渗材料。</w:t>
            </w:r>
          </w:p>
          <w:p w14:paraId="16339431">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5.</w:t>
            </w:r>
            <w:r>
              <w:rPr>
                <w:rFonts w:hint="default" w:ascii="Times New Roman" w:hAnsi="Times New Roman" w:eastAsia="宋体" w:cs="Times New Roman"/>
                <w:color w:val="auto"/>
                <w:kern w:val="2"/>
                <w:sz w:val="24"/>
                <w:szCs w:val="24"/>
                <w:lang w:val="en-US" w:eastAsia="zh-CN" w:bidi="ar-SA"/>
              </w:rPr>
              <w:t>统一贮存设施宜采用相同的防渗、防腐工艺，防渗、防腐材料应覆盖所有可能与废物集气渗滤液、渗漏液等接触的构筑物表面；采用不同防渗、防腐工艺应分别建设分区贮存。</w:t>
            </w:r>
          </w:p>
          <w:p w14:paraId="2F4BAB0C">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6.</w:t>
            </w:r>
            <w:r>
              <w:rPr>
                <w:rFonts w:hint="default" w:ascii="Times New Roman" w:hAnsi="Times New Roman" w:eastAsia="宋体" w:cs="Times New Roman"/>
                <w:color w:val="auto"/>
                <w:kern w:val="2"/>
                <w:sz w:val="24"/>
                <w:szCs w:val="24"/>
                <w:lang w:val="en-US" w:eastAsia="zh-CN" w:bidi="ar-SA"/>
              </w:rPr>
              <w:t>贮存设施应采取技术和管理措施，防止无关人员进入。</w:t>
            </w:r>
          </w:p>
          <w:p w14:paraId="5D8B06AD">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7.</w:t>
            </w:r>
            <w:r>
              <w:rPr>
                <w:rFonts w:hint="default" w:ascii="Times New Roman" w:hAnsi="Times New Roman" w:eastAsia="宋体" w:cs="Times New Roman"/>
                <w:color w:val="auto"/>
                <w:kern w:val="2"/>
                <w:sz w:val="24"/>
                <w:szCs w:val="24"/>
                <w:lang w:val="en-US" w:eastAsia="zh-CN" w:bidi="ar-SA"/>
              </w:rPr>
              <w:t>容器和包装物材质、内衬应与盛装的危险废物相容，容器及包装物应满 足相应的防渗、防漏、防腐和强度等要求； 硬质容器和包装物及其支护结构堆叠码放时不应有明显变形，无破损</w:t>
            </w:r>
            <w:r>
              <w:rPr>
                <w:rFonts w:hint="eastAsia" w:ascii="Times New Roman" w:hAnsi="Times New Roman" w:eastAsia="宋体" w:cs="Times New Roman"/>
                <w:color w:val="auto"/>
                <w:kern w:val="2"/>
                <w:sz w:val="24"/>
                <w:szCs w:val="24"/>
                <w:lang w:val="en-US" w:eastAsia="zh-CN" w:bidi="ar-SA"/>
              </w:rPr>
              <w:t>泄漏</w:t>
            </w:r>
            <w:r>
              <w:rPr>
                <w:rFonts w:hint="default" w:ascii="Times New Roman" w:hAnsi="Times New Roman" w:eastAsia="宋体" w:cs="Times New Roman"/>
                <w:color w:val="auto"/>
                <w:kern w:val="2"/>
                <w:sz w:val="24"/>
                <w:szCs w:val="24"/>
                <w:lang w:val="en-US" w:eastAsia="zh-CN" w:bidi="ar-SA"/>
              </w:rPr>
              <w:t>。容器和包装物外表面应保持清洁。</w:t>
            </w:r>
          </w:p>
          <w:p w14:paraId="7044DAF9">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8.</w:t>
            </w:r>
            <w:r>
              <w:rPr>
                <w:rFonts w:hint="default" w:ascii="Times New Roman" w:hAnsi="Times New Roman" w:eastAsia="宋体" w:cs="Times New Roman"/>
                <w:color w:val="auto"/>
                <w:kern w:val="2"/>
                <w:sz w:val="24"/>
                <w:szCs w:val="24"/>
                <w:lang w:val="en-US" w:eastAsia="zh-CN" w:bidi="ar-SA"/>
              </w:rPr>
              <w:t>容器或包装物粘贴符合标准要求的标签，标签格式和内容完整，准确。不得堆放接收未粘贴符合规定标签或标签没按规定填写的危险废物。</w:t>
            </w:r>
          </w:p>
          <w:p w14:paraId="046CF3CD">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9.</w:t>
            </w:r>
            <w:r>
              <w:rPr>
                <w:rFonts w:hint="default" w:ascii="Times New Roman" w:hAnsi="Times New Roman" w:eastAsia="宋体" w:cs="Times New Roman"/>
                <w:color w:val="auto"/>
                <w:kern w:val="2"/>
                <w:sz w:val="24"/>
                <w:szCs w:val="24"/>
                <w:lang w:val="en-US" w:eastAsia="zh-CN" w:bidi="ar-SA"/>
              </w:rPr>
              <w:t>应定期检查危险废物的贮存状况，及时清理贮存设施地面，更换破碎</w:t>
            </w:r>
            <w:r>
              <w:rPr>
                <w:rFonts w:hint="eastAsia" w:ascii="Times New Roman" w:hAnsi="Times New Roman" w:eastAsia="宋体" w:cs="Times New Roman"/>
                <w:color w:val="auto"/>
                <w:kern w:val="2"/>
                <w:sz w:val="24"/>
                <w:szCs w:val="24"/>
                <w:lang w:val="en-US" w:eastAsia="zh-CN" w:bidi="ar-SA"/>
              </w:rPr>
              <w:t>泄漏</w:t>
            </w:r>
            <w:r>
              <w:rPr>
                <w:rFonts w:hint="default" w:ascii="Times New Roman" w:hAnsi="Times New Roman" w:eastAsia="宋体" w:cs="Times New Roman"/>
                <w:color w:val="auto"/>
                <w:kern w:val="2"/>
                <w:sz w:val="24"/>
                <w:szCs w:val="24"/>
                <w:lang w:val="en-US" w:eastAsia="zh-CN" w:bidi="ar-SA"/>
              </w:rPr>
              <w:t>的危险废物贮存容器和包装物，保证堆放危险废物的防雨、防风、防扬尘等设施功能完好。</w:t>
            </w:r>
          </w:p>
          <w:p w14:paraId="2107595B">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10.</w:t>
            </w:r>
            <w:r>
              <w:rPr>
                <w:rFonts w:hint="default" w:ascii="Times New Roman" w:hAnsi="Times New Roman" w:eastAsia="宋体" w:cs="Times New Roman"/>
                <w:color w:val="auto"/>
                <w:kern w:val="2"/>
                <w:sz w:val="24"/>
                <w:szCs w:val="24"/>
                <w:lang w:val="en-US" w:eastAsia="zh-CN" w:bidi="ar-SA"/>
              </w:rPr>
              <w:t>贮存设施运行期间，应按国家有关标准和规定建立危险废物管理台账并保存。</w:t>
            </w:r>
          </w:p>
          <w:p w14:paraId="1E31BD0C">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11.</w:t>
            </w:r>
            <w:r>
              <w:rPr>
                <w:rFonts w:hint="default" w:ascii="Times New Roman" w:hAnsi="Times New Roman" w:eastAsia="宋体" w:cs="Times New Roman"/>
                <w:color w:val="auto"/>
                <w:kern w:val="2"/>
                <w:sz w:val="24"/>
                <w:szCs w:val="24"/>
                <w:lang w:val="en-US" w:eastAsia="zh-CN" w:bidi="ar-SA"/>
              </w:rPr>
              <w:t>贮存设施所有者和运营者应建立贮存设施环境管理制度、管理人员岗位职责制度、设施运行操作制度、人员岗位培训制度等。</w:t>
            </w:r>
          </w:p>
          <w:p w14:paraId="599C29AE">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12.</w:t>
            </w:r>
            <w:r>
              <w:rPr>
                <w:rFonts w:hint="default" w:ascii="Times New Roman" w:hAnsi="Times New Roman" w:eastAsia="宋体" w:cs="Times New Roman"/>
                <w:color w:val="auto"/>
                <w:kern w:val="2"/>
                <w:sz w:val="24"/>
                <w:szCs w:val="24"/>
                <w:lang w:val="en-US" w:eastAsia="zh-CN" w:bidi="ar-SA"/>
              </w:rPr>
              <w:t>贮存设施</w:t>
            </w:r>
            <w:r>
              <w:rPr>
                <w:rFonts w:hint="eastAsia" w:ascii="Times New Roman" w:hAnsi="Times New Roman" w:eastAsia="宋体" w:cs="Times New Roman"/>
                <w:color w:val="auto"/>
                <w:kern w:val="2"/>
                <w:sz w:val="24"/>
                <w:szCs w:val="24"/>
                <w:lang w:val="en-US" w:eastAsia="zh-CN" w:bidi="ar-SA"/>
              </w:rPr>
              <w:t>使用者</w:t>
            </w:r>
            <w:r>
              <w:rPr>
                <w:rFonts w:hint="default" w:ascii="Times New Roman" w:hAnsi="Times New Roman" w:eastAsia="宋体" w:cs="Times New Roman"/>
                <w:color w:val="auto"/>
                <w:kern w:val="2"/>
                <w:sz w:val="24"/>
                <w:szCs w:val="24"/>
                <w:lang w:val="en-US" w:eastAsia="zh-CN" w:bidi="ar-SA"/>
              </w:rPr>
              <w:t>或者运营者应建立贮存设施全部档案，包括设计、施工、验收、运行、监测和环境应急等，应按国家有关档案管理的法律法规进行整理和归档。</w:t>
            </w:r>
          </w:p>
          <w:p w14:paraId="63D3E586">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危险废物台账管理要求：</w:t>
            </w:r>
          </w:p>
          <w:p w14:paraId="06C83CA2">
            <w:pPr>
              <w:pStyle w:val="23"/>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lang w:val="en-US" w:eastAsia="zh-CN" w:bidi="ar-SA"/>
              </w:rPr>
              <w:t>危险废物在每次送入危废仓库时要进行登记，运送人员和仓库管理人员要签字确认，并完整记录台账，包括废物的代码、名称、类别、产生环节、物理性状、主要成分、污染特性等，当月台账记录保存在仓库内，每月汇总一次。危险废物委托处置出库时，应核对拟处置危险废物的名称、类别代码和数量，仓库管理人员与接收单位经办人须在记录台账上签字确认。产废单位需定期填报危险废物产生单位基本信息表、危险废物产生情况信息表、危险废物贮存设施信息表、危险废物转移情况信息表等，企业应根据实际产生情况按照相关指南完善台账管理。</w:t>
            </w:r>
          </w:p>
          <w:p w14:paraId="10E47E0B">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
              </w:rPr>
              <w:t>综上所述，本项目</w:t>
            </w:r>
            <w:r>
              <w:rPr>
                <w:rFonts w:hint="eastAsia" w:ascii="Times New Roman" w:hAnsi="Times New Roman" w:cs="Times New Roman"/>
                <w:b w:val="0"/>
                <w:bCs/>
                <w:color w:val="auto"/>
                <w:kern w:val="2"/>
                <w:sz w:val="24"/>
                <w:szCs w:val="24"/>
                <w:highlight w:val="none"/>
                <w:lang w:val="en-US" w:eastAsia="zh-CN" w:bidi="ar"/>
              </w:rPr>
              <w:t>危废库按相关管理要求储存及转移</w:t>
            </w:r>
            <w:r>
              <w:rPr>
                <w:rFonts w:hint="default" w:ascii="Times New Roman" w:hAnsi="Times New Roman" w:eastAsia="宋体" w:cs="Times New Roman"/>
                <w:b w:val="0"/>
                <w:bCs/>
                <w:color w:val="auto"/>
                <w:kern w:val="2"/>
                <w:sz w:val="24"/>
                <w:szCs w:val="24"/>
                <w:highlight w:val="none"/>
                <w:lang w:val="en-US" w:eastAsia="zh-CN" w:bidi="ar"/>
              </w:rPr>
              <w:t>，对外环境影响较小。</w:t>
            </w:r>
          </w:p>
          <w:p w14:paraId="77BC60A4">
            <w:pPr>
              <w:pStyle w:val="23"/>
              <w:keepNext w:val="0"/>
              <w:keepLines w:val="0"/>
              <w:widowControl w:val="0"/>
              <w:suppressLineNumbers w:val="0"/>
              <w:spacing w:before="0" w:beforeAutospacing="0" w:after="0" w:afterAutospacing="0" w:line="360" w:lineRule="auto"/>
              <w:ind w:left="0" w:right="0" w:firstLine="482" w:firstLineChars="200"/>
              <w:jc w:val="both"/>
              <w:rPr>
                <w:rFonts w:hint="default" w:ascii="Times New Roman" w:hAnsi="Times New Roman" w:eastAsia="宋体" w:cs="Times New Roman"/>
                <w:b/>
                <w:bCs w:val="0"/>
                <w:color w:val="auto"/>
                <w:kern w:val="2"/>
                <w:sz w:val="24"/>
                <w:szCs w:val="24"/>
                <w:highlight w:val="none"/>
                <w:lang w:val="en-US" w:eastAsia="zh-CN" w:bidi="ar"/>
              </w:rPr>
            </w:pPr>
            <w:r>
              <w:rPr>
                <w:rFonts w:hint="default" w:ascii="Times New Roman" w:hAnsi="Times New Roman" w:eastAsia="宋体" w:cs="Times New Roman"/>
                <w:b/>
                <w:bCs w:val="0"/>
                <w:color w:val="auto"/>
                <w:kern w:val="2"/>
                <w:sz w:val="24"/>
                <w:szCs w:val="24"/>
                <w:highlight w:val="none"/>
                <w:lang w:val="en-US" w:eastAsia="zh-CN" w:bidi="ar"/>
              </w:rPr>
              <w:t>五、地下水、土壤环境影响分析及防治措施</w:t>
            </w:r>
          </w:p>
          <w:p w14:paraId="7EEB85FB">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auto"/>
                <w:kern w:val="2"/>
                <w:sz w:val="24"/>
                <w:szCs w:val="24"/>
                <w:highlight w:val="none"/>
                <w:lang w:val="en-US" w:eastAsia="zh-CN" w:bidi="ar"/>
              </w:rPr>
            </w:pPr>
            <w:r>
              <w:rPr>
                <w:rFonts w:hint="default" w:ascii="Times New Roman" w:hAnsi="Times New Roman" w:eastAsia="宋体" w:cs="Times New Roman"/>
                <w:b w:val="0"/>
                <w:bCs/>
                <w:color w:val="auto"/>
                <w:kern w:val="2"/>
                <w:sz w:val="24"/>
                <w:szCs w:val="24"/>
                <w:highlight w:val="none"/>
                <w:lang w:val="en-US" w:eastAsia="zh-CN" w:bidi="ar"/>
              </w:rPr>
              <w:t>（1）地下水环境影响分析及防治措施</w:t>
            </w:r>
          </w:p>
          <w:p w14:paraId="14F2A7C7">
            <w:pPr>
              <w:pStyle w:val="76"/>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针对项目可能造成的地下水污染，地下水污染防治措施按照“源头控制、分区防治、污染监控、应急响应”相结合的原则，从污染物的产生、入渗、扩散、应急响应全阶段进行控制。</w:t>
            </w:r>
          </w:p>
          <w:p w14:paraId="1E5445EF">
            <w:pPr>
              <w:pStyle w:val="76"/>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分区防渗：</w:t>
            </w:r>
          </w:p>
          <w:p w14:paraId="47DE3AC3">
            <w:pPr>
              <w:pStyle w:val="76"/>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eastAsia" w:ascii="Times New Roman" w:hAnsi="Times New Roman" w:cs="Times New Roman"/>
                <w:color w:val="auto"/>
                <w:kern w:val="0"/>
                <w:sz w:val="24"/>
                <w:szCs w:val="24"/>
                <w:lang w:val="en-US" w:eastAsia="zh-CN" w:bidi="ar-SA"/>
              </w:rPr>
              <w:t>本项目危废暂存间</w:t>
            </w:r>
            <w:r>
              <w:rPr>
                <w:rFonts w:hint="default" w:ascii="Times New Roman" w:hAnsi="Times New Roman" w:cs="Times New Roman"/>
                <w:color w:val="auto"/>
                <w:kern w:val="0"/>
                <w:sz w:val="24"/>
                <w:szCs w:val="24"/>
                <w:lang w:val="en-US" w:eastAsia="zh-CN" w:bidi="ar-SA"/>
              </w:rPr>
              <w:t>地面</w:t>
            </w:r>
            <w:r>
              <w:rPr>
                <w:rFonts w:hint="default" w:ascii="Times New Roman" w:hAnsi="Times New Roman" w:eastAsia="宋体" w:cs="Times New Roman"/>
                <w:color w:val="auto"/>
                <w:kern w:val="0"/>
                <w:sz w:val="24"/>
                <w:szCs w:val="24"/>
                <w:lang w:val="en-US" w:eastAsia="zh-CN" w:bidi="ar-SA"/>
              </w:rPr>
              <w:t>进行防渗处理，固废不露天</w:t>
            </w:r>
            <w:r>
              <w:rPr>
                <w:rFonts w:hint="eastAsia" w:ascii="Times New Roman" w:hAnsi="Times New Roman" w:eastAsia="宋体" w:cs="Times New Roman"/>
                <w:color w:val="auto"/>
                <w:kern w:val="0"/>
                <w:sz w:val="24"/>
                <w:szCs w:val="24"/>
                <w:lang w:val="en-US" w:eastAsia="zh-CN" w:bidi="ar-SA"/>
              </w:rPr>
              <w:t>堆放</w:t>
            </w:r>
            <w:r>
              <w:rPr>
                <w:rFonts w:hint="default" w:ascii="Times New Roman" w:hAnsi="Times New Roman" w:eastAsia="宋体" w:cs="Times New Roman"/>
                <w:color w:val="auto"/>
                <w:kern w:val="0"/>
                <w:sz w:val="24"/>
                <w:szCs w:val="24"/>
                <w:lang w:val="en-US" w:eastAsia="zh-CN" w:bidi="ar-SA"/>
              </w:rPr>
              <w:t>，由专人管理，分类分区暂存，可以很大程度上</w:t>
            </w:r>
            <w:r>
              <w:rPr>
                <w:rFonts w:hint="default" w:ascii="Times New Roman" w:hAnsi="Times New Roman" w:cs="Times New Roman"/>
                <w:color w:val="auto"/>
                <w:kern w:val="0"/>
                <w:sz w:val="24"/>
                <w:szCs w:val="24"/>
                <w:lang w:val="en-US" w:eastAsia="zh-CN" w:bidi="ar-SA"/>
              </w:rPr>
              <w:t>防止</w:t>
            </w:r>
            <w:r>
              <w:rPr>
                <w:rFonts w:hint="default" w:ascii="Times New Roman" w:hAnsi="Times New Roman" w:eastAsia="宋体" w:cs="Times New Roman"/>
                <w:color w:val="auto"/>
                <w:kern w:val="0"/>
                <w:sz w:val="24"/>
                <w:szCs w:val="24"/>
                <w:lang w:val="en-US" w:eastAsia="zh-CN" w:bidi="ar-SA"/>
              </w:rPr>
              <w:t>物料</w:t>
            </w:r>
            <w:r>
              <w:rPr>
                <w:rFonts w:hint="eastAsia" w:ascii="Times New Roman" w:hAnsi="Times New Roman" w:eastAsia="宋体" w:cs="Times New Roman"/>
                <w:color w:val="auto"/>
                <w:kern w:val="0"/>
                <w:sz w:val="24"/>
                <w:szCs w:val="24"/>
                <w:lang w:val="en-US" w:eastAsia="zh-CN" w:bidi="ar-SA"/>
              </w:rPr>
              <w:t>泄漏</w:t>
            </w:r>
            <w:r>
              <w:rPr>
                <w:rFonts w:hint="default" w:ascii="Times New Roman" w:hAnsi="Times New Roman" w:eastAsia="宋体" w:cs="Times New Roman"/>
                <w:color w:val="auto"/>
                <w:kern w:val="0"/>
                <w:sz w:val="24"/>
                <w:szCs w:val="24"/>
                <w:lang w:val="en-US" w:eastAsia="zh-CN" w:bidi="ar-SA"/>
              </w:rPr>
              <w:t>对地下水造成影响。</w:t>
            </w:r>
          </w:p>
          <w:p w14:paraId="314D8D41">
            <w:pPr>
              <w:pStyle w:val="76"/>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根据《环境影响评价技术导则地下水环境》（HJ610-2016），各工程单元地下水污染防渗分区划分见下表。</w:t>
            </w:r>
          </w:p>
          <w:p w14:paraId="69F8B6D7">
            <w:pPr>
              <w:pStyle w:val="7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1"/>
                <w:szCs w:val="21"/>
                <w:lang w:val="en-US" w:eastAsia="zh-CN" w:bidi="ar"/>
              </w:rPr>
              <w:t>表</w:t>
            </w:r>
            <w:r>
              <w:rPr>
                <w:rFonts w:hint="default" w:ascii="Times New Roman" w:hAnsi="Times New Roman" w:cs="Times New Roman"/>
                <w:b/>
                <w:bCs/>
                <w:color w:val="auto"/>
                <w:kern w:val="2"/>
                <w:sz w:val="21"/>
                <w:szCs w:val="21"/>
                <w:lang w:val="en-US" w:eastAsia="zh-CN" w:bidi="ar"/>
              </w:rPr>
              <w:t xml:space="preserve">4-12 </w:t>
            </w:r>
            <w:r>
              <w:rPr>
                <w:rFonts w:hint="default" w:ascii="Times New Roman" w:hAnsi="Times New Roman" w:eastAsia="宋体" w:cs="Times New Roman"/>
                <w:b/>
                <w:bCs/>
                <w:color w:val="auto"/>
                <w:kern w:val="2"/>
                <w:sz w:val="21"/>
                <w:szCs w:val="21"/>
                <w:lang w:val="en-US" w:eastAsia="zh-CN" w:bidi="ar"/>
              </w:rPr>
              <w:t>项目各工程单元防渗分区划分表</w:t>
            </w:r>
          </w:p>
          <w:tbl>
            <w:tblPr>
              <w:tblStyle w:val="77"/>
              <w:tblW w:w="8809" w:type="dxa"/>
              <w:tblInd w:w="-17"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1392"/>
              <w:gridCol w:w="1078"/>
              <w:gridCol w:w="900"/>
              <w:gridCol w:w="2181"/>
              <w:gridCol w:w="2291"/>
              <w:gridCol w:w="967"/>
            </w:tblGrid>
            <w:tr w14:paraId="6E3FA54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1392" w:type="dxa"/>
                  <w:tcBorders>
                    <w:tl2br w:val="nil"/>
                    <w:tr2bl w:val="nil"/>
                  </w:tcBorders>
                  <w:noWrap w:val="0"/>
                  <w:vAlign w:val="center"/>
                </w:tcPr>
                <w:p w14:paraId="47C29A56">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工程单元</w:t>
                  </w:r>
                </w:p>
              </w:tc>
              <w:tc>
                <w:tcPr>
                  <w:tcW w:w="1078" w:type="dxa"/>
                  <w:tcBorders>
                    <w:tl2br w:val="nil"/>
                    <w:tr2bl w:val="nil"/>
                  </w:tcBorders>
                  <w:noWrap w:val="0"/>
                  <w:vAlign w:val="center"/>
                </w:tcPr>
                <w:p w14:paraId="4865878C">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污染物</w:t>
                  </w:r>
                  <w:r>
                    <w:rPr>
                      <w:rFonts w:hint="default" w:ascii="Times New Roman" w:hAnsi="Times New Roman" w:eastAsia="宋体" w:cs="Times New Roman"/>
                      <w:b/>
                      <w:bCs/>
                      <w:color w:val="auto"/>
                      <w:spacing w:val="-2"/>
                      <w:sz w:val="21"/>
                      <w:szCs w:val="21"/>
                    </w:rPr>
                    <w:t>类型</w:t>
                  </w:r>
                </w:p>
              </w:tc>
              <w:tc>
                <w:tcPr>
                  <w:tcW w:w="900" w:type="dxa"/>
                  <w:tcBorders>
                    <w:tl2br w:val="nil"/>
                    <w:tr2bl w:val="nil"/>
                  </w:tcBorders>
                  <w:noWrap w:val="0"/>
                  <w:vAlign w:val="center"/>
                </w:tcPr>
                <w:p w14:paraId="1082E78D">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6"/>
                      <w:sz w:val="21"/>
                      <w:szCs w:val="21"/>
                    </w:rPr>
                    <w:t>防渗分</w:t>
                  </w:r>
                  <w:r>
                    <w:rPr>
                      <w:rFonts w:hint="default" w:ascii="Times New Roman" w:hAnsi="Times New Roman" w:eastAsia="宋体" w:cs="Times New Roman"/>
                      <w:b/>
                      <w:bCs/>
                      <w:color w:val="auto"/>
                      <w:sz w:val="21"/>
                      <w:szCs w:val="21"/>
                    </w:rPr>
                    <w:t>区</w:t>
                  </w:r>
                </w:p>
              </w:tc>
              <w:tc>
                <w:tcPr>
                  <w:tcW w:w="2181" w:type="dxa"/>
                  <w:tcBorders>
                    <w:tl2br w:val="nil"/>
                    <w:tr2bl w:val="nil"/>
                  </w:tcBorders>
                  <w:noWrap w:val="0"/>
                  <w:vAlign w:val="center"/>
                </w:tcPr>
                <w:p w14:paraId="701BB204">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防渗技术要求</w:t>
                  </w:r>
                </w:p>
              </w:tc>
              <w:tc>
                <w:tcPr>
                  <w:tcW w:w="2291" w:type="dxa"/>
                  <w:tcBorders>
                    <w:tl2br w:val="nil"/>
                    <w:tr2bl w:val="nil"/>
                  </w:tcBorders>
                  <w:noWrap w:val="0"/>
                  <w:vAlign w:val="center"/>
                </w:tcPr>
                <w:p w14:paraId="6C888453">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采取的防渗措施</w:t>
                  </w:r>
                </w:p>
              </w:tc>
              <w:tc>
                <w:tcPr>
                  <w:tcW w:w="967" w:type="dxa"/>
                  <w:tcBorders>
                    <w:tl2br w:val="nil"/>
                    <w:tr2bl w:val="nil"/>
                  </w:tcBorders>
                  <w:noWrap w:val="0"/>
                  <w:vAlign w:val="center"/>
                </w:tcPr>
                <w:p w14:paraId="5B293332">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是否</w:t>
                  </w:r>
                  <w:r>
                    <w:rPr>
                      <w:rFonts w:hint="default" w:ascii="Times New Roman" w:hAnsi="Times New Roman" w:eastAsia="宋体" w:cs="Times New Roman"/>
                      <w:b/>
                      <w:bCs/>
                      <w:color w:val="auto"/>
                      <w:spacing w:val="-2"/>
                      <w:sz w:val="21"/>
                      <w:szCs w:val="21"/>
                    </w:rPr>
                    <w:t>满足</w:t>
                  </w:r>
                  <w:r>
                    <w:rPr>
                      <w:rFonts w:hint="default" w:ascii="Times New Roman" w:hAnsi="Times New Roman" w:eastAsia="宋体" w:cs="Times New Roman"/>
                      <w:b/>
                      <w:bCs/>
                      <w:color w:val="auto"/>
                      <w:spacing w:val="-5"/>
                      <w:sz w:val="21"/>
                      <w:szCs w:val="21"/>
                    </w:rPr>
                    <w:t>防渗</w:t>
                  </w:r>
                  <w:r>
                    <w:rPr>
                      <w:rFonts w:hint="default" w:ascii="Times New Roman" w:hAnsi="Times New Roman" w:eastAsia="宋体" w:cs="Times New Roman"/>
                      <w:b/>
                      <w:bCs/>
                      <w:color w:val="auto"/>
                      <w:spacing w:val="-2"/>
                      <w:sz w:val="21"/>
                      <w:szCs w:val="21"/>
                    </w:rPr>
                    <w:t>要求</w:t>
                  </w:r>
                </w:p>
              </w:tc>
            </w:tr>
            <w:tr w14:paraId="6E804CF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1392" w:type="dxa"/>
                  <w:tcBorders>
                    <w:tl2br w:val="nil"/>
                    <w:tr2bl w:val="nil"/>
                  </w:tcBorders>
                  <w:noWrap w:val="0"/>
                  <w:vAlign w:val="center"/>
                </w:tcPr>
                <w:p w14:paraId="25357983">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13"/>
                      <w:sz w:val="21"/>
                      <w:szCs w:val="21"/>
                    </w:rPr>
                    <w:t>危废暂存间</w:t>
                  </w:r>
                </w:p>
              </w:tc>
              <w:tc>
                <w:tcPr>
                  <w:tcW w:w="1078" w:type="dxa"/>
                  <w:tcBorders>
                    <w:tl2br w:val="nil"/>
                    <w:tr2bl w:val="nil"/>
                  </w:tcBorders>
                  <w:noWrap w:val="0"/>
                  <w:vAlign w:val="center"/>
                </w:tcPr>
                <w:p w14:paraId="54BE4FCC">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rPr>
                    <w:t>持久性</w:t>
                  </w:r>
                  <w:r>
                    <w:rPr>
                      <w:rFonts w:hint="default" w:ascii="Times New Roman" w:hAnsi="Times New Roman" w:eastAsia="宋体" w:cs="Times New Roman"/>
                      <w:color w:val="auto"/>
                      <w:spacing w:val="-2"/>
                      <w:sz w:val="21"/>
                      <w:szCs w:val="21"/>
                    </w:rPr>
                    <w:t>有机物污染物</w:t>
                  </w:r>
                  <w:r>
                    <w:rPr>
                      <w:rFonts w:hint="default" w:ascii="Times New Roman" w:hAnsi="Times New Roman" w:eastAsia="宋体" w:cs="Times New Roman"/>
                      <w:color w:val="auto"/>
                      <w:spacing w:val="-2"/>
                      <w:sz w:val="21"/>
                      <w:szCs w:val="21"/>
                      <w:lang w:val="en-US" w:eastAsia="zh-CN"/>
                    </w:rPr>
                    <w:t>等</w:t>
                  </w:r>
                </w:p>
              </w:tc>
              <w:tc>
                <w:tcPr>
                  <w:tcW w:w="900" w:type="dxa"/>
                  <w:tcBorders>
                    <w:tl2br w:val="nil"/>
                    <w:tr2bl w:val="nil"/>
                  </w:tcBorders>
                  <w:noWrap w:val="0"/>
                  <w:vAlign w:val="center"/>
                </w:tcPr>
                <w:p w14:paraId="20468A5D">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重点防渗区</w:t>
                  </w:r>
                </w:p>
              </w:tc>
              <w:tc>
                <w:tcPr>
                  <w:tcW w:w="2181" w:type="dxa"/>
                  <w:tcBorders>
                    <w:tl2br w:val="nil"/>
                    <w:tr2bl w:val="nil"/>
                  </w:tcBorders>
                  <w:noWrap w:val="0"/>
                  <w:vAlign w:val="center"/>
                </w:tcPr>
                <w:p w14:paraId="50E77362">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等效黏土防渗</w:t>
                  </w:r>
                  <w:r>
                    <w:rPr>
                      <w:rFonts w:hint="default" w:ascii="Times New Roman" w:hAnsi="Times New Roman" w:eastAsia="宋体" w:cs="Times New Roman"/>
                      <w:color w:val="auto"/>
                      <w:spacing w:val="-4"/>
                      <w:sz w:val="21"/>
                      <w:szCs w:val="21"/>
                    </w:rPr>
                    <w:t>层</w:t>
                  </w:r>
                  <w:r>
                    <w:rPr>
                      <w:rFonts w:hint="default" w:ascii="Times New Roman" w:hAnsi="Times New Roman" w:eastAsia="宋体" w:cs="Times New Roman"/>
                      <w:color w:val="auto"/>
                      <w:spacing w:val="-51"/>
                      <w:sz w:val="21"/>
                      <w:szCs w:val="21"/>
                    </w:rPr>
                    <w:t xml:space="preserve"> </w:t>
                  </w:r>
                  <w:r>
                    <w:rPr>
                      <w:rFonts w:hint="default" w:ascii="Times New Roman" w:hAnsi="Times New Roman" w:eastAsia="宋体" w:cs="Times New Roman"/>
                      <w:color w:val="auto"/>
                      <w:spacing w:val="-4"/>
                      <w:sz w:val="21"/>
                      <w:szCs w:val="21"/>
                    </w:rPr>
                    <w:t>Mb≥6m，K≤</w:t>
                  </w:r>
                  <w:r>
                    <w:rPr>
                      <w:rFonts w:hint="default" w:ascii="Times New Roman" w:hAnsi="Times New Roman" w:eastAsia="宋体" w:cs="Times New Roman"/>
                      <w:color w:val="auto"/>
                      <w:spacing w:val="-12"/>
                      <w:sz w:val="21"/>
                      <w:szCs w:val="21"/>
                    </w:rPr>
                    <w:t>10</w:t>
                  </w:r>
                  <w:r>
                    <w:rPr>
                      <w:rFonts w:hint="default" w:ascii="Times New Roman" w:hAnsi="Times New Roman" w:eastAsia="宋体" w:cs="Times New Roman"/>
                      <w:color w:val="auto"/>
                      <w:spacing w:val="-12"/>
                      <w:sz w:val="21"/>
                      <w:szCs w:val="21"/>
                      <w:lang w:val="en-US" w:eastAsia="zh-CN"/>
                    </w:rPr>
                    <w:t>-</w:t>
                  </w:r>
                  <w:r>
                    <w:rPr>
                      <w:rFonts w:hint="default" w:ascii="Times New Roman" w:hAnsi="Times New Roman" w:eastAsia="宋体" w:cs="Times New Roman"/>
                      <w:color w:val="auto"/>
                      <w:spacing w:val="-12"/>
                      <w:sz w:val="21"/>
                      <w:szCs w:val="21"/>
                      <w:vertAlign w:val="superscript"/>
                      <w:lang w:val="en-US" w:eastAsia="zh-CN"/>
                    </w:rPr>
                    <w:t>10</w:t>
                  </w:r>
                  <w:r>
                    <w:rPr>
                      <w:rFonts w:hint="default" w:ascii="Times New Roman" w:hAnsi="Times New Roman" w:eastAsia="宋体" w:cs="Times New Roman"/>
                      <w:color w:val="auto"/>
                      <w:spacing w:val="-4"/>
                      <w:sz w:val="21"/>
                      <w:szCs w:val="21"/>
                    </w:rPr>
                    <w:t>cm/s，或参</w:t>
                  </w:r>
                  <w:r>
                    <w:rPr>
                      <w:rFonts w:hint="default" w:ascii="Times New Roman" w:hAnsi="Times New Roman" w:eastAsia="宋体" w:cs="Times New Roman"/>
                      <w:color w:val="auto"/>
                      <w:sz w:val="21"/>
                      <w:szCs w:val="21"/>
                    </w:rPr>
                    <w:t>照</w:t>
                  </w:r>
                  <w:r>
                    <w:rPr>
                      <w:rFonts w:hint="default" w:ascii="Times New Roman" w:hAnsi="Times New Roman" w:eastAsia="宋体" w:cs="Times New Roman"/>
                      <w:color w:val="auto"/>
                      <w:spacing w:val="-1"/>
                      <w:sz w:val="21"/>
                      <w:szCs w:val="21"/>
                    </w:rPr>
                    <w:t>GB</w:t>
                  </w:r>
                  <w:r>
                    <w:rPr>
                      <w:rFonts w:hint="default" w:ascii="Times New Roman" w:hAnsi="Times New Roman" w:eastAsia="宋体" w:cs="Times New Roman"/>
                      <w:color w:val="auto"/>
                      <w:spacing w:val="-1"/>
                      <w:sz w:val="21"/>
                      <w:szCs w:val="21"/>
                      <w:lang w:eastAsia="zh-CN"/>
                    </w:rPr>
                    <w:t>18597-2023</w:t>
                  </w:r>
                  <w:r>
                    <w:rPr>
                      <w:rFonts w:hint="default" w:ascii="Times New Roman" w:hAnsi="Times New Roman" w:eastAsia="宋体" w:cs="Times New Roman"/>
                      <w:color w:val="auto"/>
                      <w:spacing w:val="-2"/>
                      <w:sz w:val="21"/>
                      <w:szCs w:val="21"/>
                    </w:rPr>
                    <w:t>执行</w:t>
                  </w:r>
                </w:p>
              </w:tc>
              <w:tc>
                <w:tcPr>
                  <w:tcW w:w="2291" w:type="dxa"/>
                  <w:tcBorders>
                    <w:tl2br w:val="nil"/>
                    <w:tr2bl w:val="nil"/>
                  </w:tcBorders>
                  <w:noWrap w:val="0"/>
                  <w:vAlign w:val="center"/>
                </w:tcPr>
                <w:p w14:paraId="02CB5E26">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应采用</w:t>
                  </w:r>
                  <w:r>
                    <w:rPr>
                      <w:rFonts w:hint="default" w:ascii="Times New Roman" w:hAnsi="Times New Roman" w:eastAsia="宋体" w:cs="Times New Roman"/>
                      <w:color w:val="auto"/>
                      <w:spacing w:val="-49"/>
                      <w:sz w:val="21"/>
                      <w:szCs w:val="21"/>
                    </w:rPr>
                    <w:t xml:space="preserve"> </w:t>
                  </w:r>
                  <w:r>
                    <w:rPr>
                      <w:rFonts w:hint="default" w:ascii="Times New Roman" w:hAnsi="Times New Roman" w:eastAsia="宋体" w:cs="Times New Roman"/>
                      <w:color w:val="auto"/>
                      <w:spacing w:val="-3"/>
                      <w:sz w:val="21"/>
                      <w:szCs w:val="21"/>
                    </w:rPr>
                    <w:t>2mm</w:t>
                  </w:r>
                  <w:r>
                    <w:rPr>
                      <w:rFonts w:hint="default" w:ascii="Times New Roman" w:hAnsi="Times New Roman" w:eastAsia="宋体" w:cs="Times New Roman"/>
                      <w:color w:val="auto"/>
                      <w:spacing w:val="-49"/>
                      <w:sz w:val="21"/>
                      <w:szCs w:val="21"/>
                    </w:rPr>
                    <w:t xml:space="preserve"> </w:t>
                  </w:r>
                  <w:r>
                    <w:rPr>
                      <w:rFonts w:hint="default" w:ascii="Times New Roman" w:hAnsi="Times New Roman" w:eastAsia="宋体" w:cs="Times New Roman"/>
                      <w:color w:val="auto"/>
                      <w:spacing w:val="-3"/>
                      <w:sz w:val="21"/>
                      <w:szCs w:val="21"/>
                    </w:rPr>
                    <w:t>厚的高密</w:t>
                  </w:r>
                  <w:r>
                    <w:rPr>
                      <w:rFonts w:hint="default" w:ascii="Times New Roman" w:hAnsi="Times New Roman" w:eastAsia="宋体" w:cs="Times New Roman"/>
                      <w:color w:val="auto"/>
                      <w:spacing w:val="-1"/>
                      <w:sz w:val="21"/>
                      <w:szCs w:val="21"/>
                    </w:rPr>
                    <w:t>度聚乙烯或其他人工</w:t>
                  </w:r>
                  <w:r>
                    <w:rPr>
                      <w:rFonts w:hint="default" w:ascii="Times New Roman" w:hAnsi="Times New Roman" w:eastAsia="宋体" w:cs="Times New Roman"/>
                      <w:color w:val="auto"/>
                      <w:spacing w:val="-13"/>
                      <w:sz w:val="21"/>
                      <w:szCs w:val="21"/>
                    </w:rPr>
                    <w:t>材料， 渗透系数≤</w:t>
                  </w:r>
                  <w:r>
                    <w:rPr>
                      <w:rFonts w:hint="default" w:ascii="Times New Roman" w:hAnsi="Times New Roman" w:eastAsia="宋体" w:cs="Times New Roman"/>
                      <w:color w:val="auto"/>
                      <w:spacing w:val="-12"/>
                      <w:sz w:val="21"/>
                      <w:szCs w:val="21"/>
                    </w:rPr>
                    <w:t>10</w:t>
                  </w:r>
                  <w:r>
                    <w:rPr>
                      <w:rFonts w:hint="default" w:ascii="Times New Roman" w:hAnsi="Times New Roman" w:eastAsia="宋体" w:cs="Times New Roman"/>
                      <w:color w:val="auto"/>
                      <w:spacing w:val="-12"/>
                      <w:sz w:val="21"/>
                      <w:szCs w:val="21"/>
                      <w:vertAlign w:val="superscript"/>
                      <w:lang w:val="en-US" w:eastAsia="zh-CN"/>
                    </w:rPr>
                    <w:t>-</w:t>
                  </w:r>
                  <w:r>
                    <w:rPr>
                      <w:rFonts w:hint="eastAsia" w:ascii="Times New Roman" w:hAnsi="Times New Roman" w:eastAsia="宋体" w:cs="Times New Roman"/>
                      <w:color w:val="auto"/>
                      <w:spacing w:val="-12"/>
                      <w:sz w:val="21"/>
                      <w:szCs w:val="21"/>
                      <w:vertAlign w:val="superscript"/>
                      <w:lang w:val="en-US" w:eastAsia="zh-CN"/>
                    </w:rPr>
                    <w:t>10</w:t>
                  </w:r>
                  <w:r>
                    <w:rPr>
                      <w:rFonts w:hint="default" w:ascii="Times New Roman" w:hAnsi="Times New Roman" w:eastAsia="宋体" w:cs="Times New Roman"/>
                      <w:color w:val="auto"/>
                      <w:sz w:val="21"/>
                      <w:szCs w:val="21"/>
                    </w:rPr>
                    <w:t>cm/s</w:t>
                  </w:r>
                </w:p>
              </w:tc>
              <w:tc>
                <w:tcPr>
                  <w:tcW w:w="967" w:type="dxa"/>
                  <w:tcBorders>
                    <w:tl2br w:val="nil"/>
                    <w:tr2bl w:val="nil"/>
                  </w:tcBorders>
                  <w:noWrap w:val="0"/>
                  <w:vAlign w:val="center"/>
                </w:tcPr>
                <w:p w14:paraId="3FF45147">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满足</w:t>
                  </w:r>
                </w:p>
              </w:tc>
            </w:tr>
          </w:tbl>
          <w:p w14:paraId="1EE3DC88">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Autospacing="0" w:line="360" w:lineRule="auto"/>
              <w:ind w:left="0" w:right="0" w:firstLine="480" w:firstLineChars="200"/>
              <w:jc w:val="left"/>
              <w:textAlignment w:val="auto"/>
              <w:rPr>
                <w:rFonts w:hint="default" w:ascii="Times New Roman" w:hAnsi="Times New Roman" w:cs="Times New Roman"/>
                <w:i w:val="0"/>
                <w:iCs w:val="0"/>
                <w:caps w:val="0"/>
                <w:color w:val="auto"/>
                <w:spacing w:val="0"/>
                <w:sz w:val="24"/>
                <w:szCs w:val="24"/>
              </w:rPr>
            </w:pPr>
            <w:r>
              <w:rPr>
                <w:rFonts w:hint="default" w:ascii="Times New Roman" w:hAnsi="Times New Roman" w:eastAsia="宋体" w:cs="Times New Roman"/>
                <w:color w:val="auto"/>
                <w:kern w:val="0"/>
                <w:sz w:val="24"/>
                <w:szCs w:val="24"/>
                <w:lang w:val="en-US" w:eastAsia="zh-CN" w:bidi="ar-SA"/>
              </w:rPr>
              <w:t>重点危险污染防治区（</w:t>
            </w:r>
            <w:r>
              <w:rPr>
                <w:rFonts w:hint="default" w:ascii="Times New Roman" w:hAnsi="Times New Roman" w:eastAsia="宋体" w:cs="Times New Roman"/>
                <w:color w:val="auto"/>
                <w:spacing w:val="-13"/>
                <w:sz w:val="24"/>
                <w:szCs w:val="24"/>
              </w:rPr>
              <w:t>危废暂存间</w:t>
            </w:r>
            <w:r>
              <w:rPr>
                <w:rFonts w:hint="default" w:ascii="Times New Roman" w:hAnsi="Times New Roman" w:eastAsia="宋体" w:cs="Times New Roman"/>
                <w:color w:val="auto"/>
                <w:spacing w:val="-13"/>
                <w:sz w:val="24"/>
                <w:szCs w:val="24"/>
                <w:lang w:eastAsia="zh-CN"/>
              </w:rPr>
              <w:t>、</w:t>
            </w:r>
            <w:r>
              <w:rPr>
                <w:rFonts w:hint="default" w:ascii="Times New Roman" w:hAnsi="Times New Roman" w:eastAsia="宋体" w:cs="Times New Roman"/>
                <w:color w:val="auto"/>
                <w:spacing w:val="-13"/>
                <w:sz w:val="24"/>
                <w:szCs w:val="24"/>
                <w:lang w:val="en-US" w:eastAsia="zh-CN"/>
              </w:rPr>
              <w:t>柴油储存库</w:t>
            </w:r>
            <w:r>
              <w:rPr>
                <w:rFonts w:hint="default" w:ascii="Times New Roman" w:hAnsi="Times New Roman" w:eastAsia="宋体" w:cs="Times New Roman"/>
                <w:color w:val="auto"/>
                <w:kern w:val="0"/>
                <w:sz w:val="24"/>
                <w:szCs w:val="24"/>
                <w:lang w:val="en-US" w:eastAsia="zh-CN" w:bidi="ar-SA"/>
              </w:rPr>
              <w:t>）参照《危险废物贮存污染控制标准》（GB18597-2023）要求设计防渗方案，危废暂存间地面高于厂房基准地面，混凝土基础做有防渗处理，防渗层采用2mm厚的防渗材料，采用环氧树脂做防腐防渗处理，渗透系数≤10</w:t>
            </w:r>
            <w:r>
              <w:rPr>
                <w:rFonts w:hint="default" w:ascii="Times New Roman" w:hAnsi="Times New Roman" w:eastAsia="宋体" w:cs="Times New Roman"/>
                <w:color w:val="auto"/>
                <w:kern w:val="0"/>
                <w:sz w:val="24"/>
                <w:szCs w:val="24"/>
                <w:vertAlign w:val="superscript"/>
                <w:lang w:val="en-US" w:eastAsia="zh-CN" w:bidi="ar-SA"/>
              </w:rPr>
              <w:t>-10</w:t>
            </w:r>
            <w:r>
              <w:rPr>
                <w:rFonts w:hint="default" w:ascii="Times New Roman" w:hAnsi="Times New Roman" w:eastAsia="宋体" w:cs="Times New Roman"/>
                <w:color w:val="auto"/>
                <w:kern w:val="0"/>
                <w:sz w:val="24"/>
                <w:szCs w:val="24"/>
                <w:lang w:val="en-US" w:eastAsia="zh-CN" w:bidi="ar-SA"/>
              </w:rPr>
              <w:t>cm/s。</w:t>
            </w:r>
          </w:p>
          <w:p w14:paraId="008BF28C">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经采取以上措施，正常情况下不会发生污染物渗漏。</w:t>
            </w:r>
          </w:p>
          <w:p w14:paraId="7B77801B">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污染防治：</w:t>
            </w:r>
          </w:p>
          <w:p w14:paraId="0E6A7506">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投产后，加强现场巡查，特别是在卫生清理、下雨地面水量较大时，重点检查有无渗漏情况，若发现问题，及时分析原因，找到渗漏点制定整改措施，尽快修补，确保防腐防渗层的完整性。通过采取严格有效的防渗措施，可以有效降低非正常工况发生的污染物</w:t>
            </w:r>
            <w:r>
              <w:rPr>
                <w:rFonts w:hint="eastAsia" w:ascii="Times New Roman" w:hAnsi="Times New Roman" w:eastAsia="宋体" w:cs="Times New Roman"/>
                <w:color w:val="auto"/>
                <w:kern w:val="0"/>
                <w:sz w:val="24"/>
                <w:szCs w:val="24"/>
                <w:lang w:val="en-US" w:eastAsia="zh-CN" w:bidi="ar-SA"/>
              </w:rPr>
              <w:t>泄漏</w:t>
            </w:r>
            <w:r>
              <w:rPr>
                <w:rFonts w:hint="default" w:ascii="Times New Roman" w:hAnsi="Times New Roman" w:eastAsia="宋体" w:cs="Times New Roman"/>
                <w:color w:val="auto"/>
                <w:kern w:val="0"/>
                <w:sz w:val="24"/>
                <w:szCs w:val="24"/>
                <w:lang w:val="en-US" w:eastAsia="zh-CN" w:bidi="ar-SA"/>
              </w:rPr>
              <w:t>事故；在发生</w:t>
            </w:r>
            <w:r>
              <w:rPr>
                <w:rFonts w:hint="eastAsia" w:ascii="Times New Roman" w:hAnsi="Times New Roman" w:eastAsia="宋体" w:cs="Times New Roman"/>
                <w:color w:val="auto"/>
                <w:kern w:val="0"/>
                <w:sz w:val="24"/>
                <w:szCs w:val="24"/>
                <w:lang w:val="en-US" w:eastAsia="zh-CN" w:bidi="ar-SA"/>
              </w:rPr>
              <w:t>泄漏</w:t>
            </w:r>
            <w:r>
              <w:rPr>
                <w:rFonts w:hint="default" w:ascii="Times New Roman" w:hAnsi="Times New Roman" w:eastAsia="宋体" w:cs="Times New Roman"/>
                <w:color w:val="auto"/>
                <w:kern w:val="0"/>
                <w:sz w:val="24"/>
                <w:szCs w:val="24"/>
                <w:lang w:val="en-US" w:eastAsia="zh-CN" w:bidi="ar-SA"/>
              </w:rPr>
              <w:t>情况下，采取有效的应急措施，可以</w:t>
            </w:r>
            <w:r>
              <w:rPr>
                <w:rFonts w:hint="default" w:ascii="Times New Roman" w:hAnsi="Times New Roman" w:cs="Times New Roman"/>
                <w:color w:val="auto"/>
                <w:kern w:val="0"/>
                <w:sz w:val="24"/>
                <w:szCs w:val="24"/>
                <w:lang w:val="en-US" w:eastAsia="zh-CN" w:bidi="ar-SA"/>
              </w:rPr>
              <w:t>将</w:t>
            </w:r>
            <w:r>
              <w:rPr>
                <w:rFonts w:hint="default" w:ascii="Times New Roman" w:hAnsi="Times New Roman" w:eastAsia="宋体" w:cs="Times New Roman"/>
                <w:color w:val="auto"/>
                <w:kern w:val="0"/>
                <w:sz w:val="24"/>
                <w:szCs w:val="24"/>
                <w:lang w:val="en-US" w:eastAsia="zh-CN" w:bidi="ar-SA"/>
              </w:rPr>
              <w:t>污染物进入地下水环境的风险降到最低。</w:t>
            </w:r>
          </w:p>
          <w:p w14:paraId="60D2D204">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综上所述，通过切实有效的地面防渗工程及运行管理，本项目对地下水环境的影响较小。</w:t>
            </w:r>
          </w:p>
          <w:p w14:paraId="4B452497">
            <w:pPr>
              <w:pStyle w:val="7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
              </w:rPr>
              <w:t>（2）土壤环境影响分析及防治措施</w:t>
            </w:r>
          </w:p>
          <w:p w14:paraId="100666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本项目运营期对土壤环境影响主要</w:t>
            </w:r>
            <w:r>
              <w:rPr>
                <w:rFonts w:hint="eastAsia" w:ascii="Times New Roman" w:hAnsi="Times New Roman" w:eastAsia="宋体" w:cs="Times New Roman"/>
                <w:color w:val="auto"/>
                <w:kern w:val="0"/>
                <w:sz w:val="24"/>
                <w:szCs w:val="24"/>
                <w:lang w:val="en-US" w:eastAsia="zh-CN"/>
              </w:rPr>
              <w:t>为</w:t>
            </w:r>
            <w:r>
              <w:rPr>
                <w:rFonts w:hint="default" w:ascii="Times New Roman" w:hAnsi="Times New Roman" w:eastAsia="宋体" w:cs="Times New Roman"/>
                <w:color w:val="auto"/>
                <w:kern w:val="0"/>
                <w:sz w:val="24"/>
                <w:szCs w:val="24"/>
                <w:lang w:val="en-US" w:eastAsia="zh-CN"/>
              </w:rPr>
              <w:t>危废暂存间地面发生渗漏，污染物进入土壤环境对土壤造成的影响。</w:t>
            </w:r>
          </w:p>
          <w:p w14:paraId="22C917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防控措施</w:t>
            </w:r>
          </w:p>
          <w:p w14:paraId="2E9964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针对工程可能发生的土壤污染，按照“源头控制、末端防治、污染监控、应急响应”相结合的原则，从污染物的产生、入渗、扩散、应急响应全阶段进行控制。</w:t>
            </w:r>
          </w:p>
          <w:p w14:paraId="21A09D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（1）源头控制措施</w:t>
            </w:r>
          </w:p>
          <w:p w14:paraId="1BD1FB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主要包括在工艺、管道、设备、污水储存及处理构筑物采取相应措施，防止和降低污染物跑、冒、滴、漏，将污染物泄漏的环境风险事故降到最低程度。</w:t>
            </w:r>
          </w:p>
          <w:p w14:paraId="7ECE1E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企业应采用国家鼓励的清洁生产工艺、设备，采用污染小、环保的原料、设备、生产工艺等，从源头上控制污染物的排放。</w:t>
            </w:r>
          </w:p>
          <w:p w14:paraId="11C729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（2）末端控制措施</w:t>
            </w:r>
          </w:p>
          <w:p w14:paraId="568EA5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主要包括厂内污染防控区地面的防渗措施和泄漏、渗漏污染物收集措施、污染物的治理等，即在污染区地面进行防渗处理，防止洒落地面的污染物渗入地下；末端控制采取分区防渗原则。</w:t>
            </w:r>
          </w:p>
          <w:p w14:paraId="2CFAF7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（3）污染监控体系</w:t>
            </w:r>
          </w:p>
          <w:p w14:paraId="20BAE1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实施覆盖生产区的地下水、土壤污染监控系统，包括建立完善的监测制度、配备先进的检测仪器和设备、科学、合理设置地下水污染监控井和土壤污染跟踪监测点位，及时发现污染、及时控制。</w:t>
            </w:r>
          </w:p>
          <w:p w14:paraId="2B0331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（4）应急响应措施</w:t>
            </w:r>
          </w:p>
          <w:p w14:paraId="2BC620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包括一旦发现土壤污染事故，立即启动应急预案、采取应急措施控制土壤污染，并使污染得到治理。</w:t>
            </w:r>
          </w:p>
          <w:p w14:paraId="581A2F6F">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bCs w:val="0"/>
                <w:color w:val="auto"/>
                <w:kern w:val="2"/>
                <w:sz w:val="24"/>
                <w:szCs w:val="24"/>
                <w:highlight w:val="none"/>
                <w:lang w:val="en-US" w:eastAsia="zh-CN" w:bidi="ar"/>
                <w:rPrChange w:id="0" w:author="Administrator" w:date="2026-03-26T16:15:00Z">
                  <w:rPr>
                    <w:rFonts w:hint="default" w:ascii="Times New Roman" w:hAnsi="Times New Roman" w:eastAsia="宋体" w:cs="Times New Roman"/>
                    <w:b/>
                    <w:bCs w:val="0"/>
                    <w:color w:val="auto"/>
                    <w:kern w:val="2"/>
                    <w:sz w:val="24"/>
                    <w:szCs w:val="24"/>
                    <w:highlight w:val="none"/>
                    <w:lang w:val="en-US" w:eastAsia="zh-CN" w:bidi="ar"/>
                  </w:rPr>
                </w:rPrChange>
              </w:rPr>
            </w:pPr>
            <w:r>
              <w:rPr>
                <w:rFonts w:hint="default" w:ascii="Times New Roman" w:hAnsi="Times New Roman" w:eastAsia="宋体" w:cs="Times New Roman"/>
                <w:color w:val="auto"/>
                <w:kern w:val="0"/>
                <w:sz w:val="24"/>
                <w:szCs w:val="24"/>
                <w:lang w:val="en-US" w:eastAsia="zh-CN"/>
                <w:rPrChange w:id="1" w:author="Administrator" w:date="2026-03-26T16:15:00Z">
                  <w:rPr>
                    <w:rFonts w:hint="default" w:ascii="Times New Roman" w:hAnsi="Times New Roman" w:eastAsia="宋体" w:cs="Times New Roman"/>
                    <w:color w:val="auto"/>
                    <w:kern w:val="0"/>
                    <w:sz w:val="24"/>
                    <w:szCs w:val="24"/>
                    <w:lang w:val="en-US" w:eastAsia="zh-CN"/>
                  </w:rPr>
                </w:rPrChange>
              </w:rPr>
              <w:t>针对工程可能发生的土壤污染，危废暂存间渗透系数小于10</w:t>
            </w:r>
            <w:r>
              <w:rPr>
                <w:rFonts w:hint="default" w:ascii="Times New Roman" w:hAnsi="Times New Roman" w:eastAsia="宋体" w:cs="Times New Roman"/>
                <w:color w:val="auto"/>
                <w:kern w:val="0"/>
                <w:sz w:val="24"/>
                <w:szCs w:val="24"/>
                <w:vertAlign w:val="superscript"/>
                <w:lang w:val="en-US" w:eastAsia="zh-CN"/>
                <w:rPrChange w:id="2" w:author="Administrator" w:date="2026-03-26T16:15:00Z">
                  <w:rPr>
                    <w:rFonts w:hint="default" w:ascii="Times New Roman" w:hAnsi="Times New Roman" w:eastAsia="宋体" w:cs="Times New Roman"/>
                    <w:color w:val="auto"/>
                    <w:kern w:val="0"/>
                    <w:sz w:val="24"/>
                    <w:szCs w:val="24"/>
                    <w:vertAlign w:val="superscript"/>
                    <w:lang w:val="en-US" w:eastAsia="zh-CN"/>
                  </w:rPr>
                </w:rPrChange>
              </w:rPr>
              <w:t>-10</w:t>
            </w:r>
            <w:r>
              <w:rPr>
                <w:rFonts w:hint="default" w:ascii="Times New Roman" w:hAnsi="Times New Roman" w:eastAsia="宋体" w:cs="Times New Roman"/>
                <w:color w:val="auto"/>
                <w:kern w:val="0"/>
                <w:sz w:val="24"/>
                <w:szCs w:val="24"/>
                <w:lang w:val="en-US" w:eastAsia="zh-CN"/>
                <w:rPrChange w:id="3" w:author="Administrator" w:date="2026-03-26T16:15:00Z">
                  <w:rPr>
                    <w:rFonts w:hint="default" w:ascii="Times New Roman" w:hAnsi="Times New Roman" w:eastAsia="宋体" w:cs="Times New Roman"/>
                    <w:color w:val="auto"/>
                    <w:kern w:val="0"/>
                    <w:sz w:val="24"/>
                    <w:szCs w:val="24"/>
                    <w:lang w:val="en-US" w:eastAsia="zh-CN"/>
                  </w:rPr>
                </w:rPrChange>
              </w:rPr>
              <w:t>cm/s</w:t>
            </w:r>
            <w:r>
              <w:rPr>
                <w:rFonts w:hint="default" w:ascii="Times New Roman" w:hAnsi="Times New Roman" w:eastAsia="宋体" w:cs="Times New Roman"/>
                <w:color w:val="auto"/>
                <w:kern w:val="0"/>
                <w:sz w:val="24"/>
                <w:szCs w:val="24"/>
                <w:lang w:val="en-US" w:eastAsia="zh-CN"/>
                <w:rPrChange w:id="4" w:author="Administrator" w:date="2026-03-26T16:15:00Z">
                  <w:rPr>
                    <w:rFonts w:hint="default" w:ascii="Times New Roman" w:hAnsi="Times New Roman" w:eastAsia="宋体" w:cs="Times New Roman"/>
                    <w:color w:val="auto"/>
                    <w:kern w:val="0"/>
                    <w:sz w:val="24"/>
                    <w:szCs w:val="24"/>
                    <w:lang w:val="en-US" w:eastAsia="zh-CN"/>
                  </w:rPr>
                </w:rPrChange>
              </w:rPr>
              <w:t>，正常情况下不会发生污染物渗漏。因此，正常情</w:t>
            </w:r>
            <w:r>
              <w:rPr>
                <w:rFonts w:hint="eastAsia" w:ascii="Times New Roman" w:hAnsi="Times New Roman" w:eastAsia="宋体" w:cs="Times New Roman"/>
                <w:color w:val="auto"/>
                <w:kern w:val="0"/>
                <w:sz w:val="24"/>
                <w:szCs w:val="24"/>
                <w:lang w:val="en-US" w:eastAsia="zh-CN"/>
                <w:rPrChange w:id="5" w:author="Administrator" w:date="2026-03-26T16:15:00Z">
                  <w:rPr>
                    <w:rFonts w:hint="eastAsia" w:ascii="Times New Roman" w:hAnsi="Times New Roman" w:eastAsia="宋体" w:cs="Times New Roman"/>
                    <w:color w:val="auto"/>
                    <w:kern w:val="0"/>
                    <w:sz w:val="24"/>
                    <w:szCs w:val="24"/>
                    <w:lang w:val="en-US" w:eastAsia="zh-CN"/>
                  </w:rPr>
                </w:rPrChange>
              </w:rPr>
              <w:t>况下</w:t>
            </w:r>
            <w:r>
              <w:rPr>
                <w:rFonts w:hint="default" w:ascii="Times New Roman" w:hAnsi="Times New Roman" w:eastAsia="宋体" w:cs="Times New Roman"/>
                <w:color w:val="auto"/>
                <w:kern w:val="0"/>
                <w:sz w:val="24"/>
                <w:szCs w:val="24"/>
                <w:lang w:val="en-US" w:eastAsia="zh-CN"/>
                <w:rPrChange w:id="6" w:author="Administrator" w:date="2026-03-26T16:15:00Z">
                  <w:rPr>
                    <w:rFonts w:hint="default" w:ascii="Times New Roman" w:hAnsi="Times New Roman" w:eastAsia="宋体" w:cs="Times New Roman"/>
                    <w:color w:val="auto"/>
                    <w:kern w:val="0"/>
                    <w:sz w:val="24"/>
                    <w:szCs w:val="24"/>
                    <w:lang w:val="en-US" w:eastAsia="zh-CN"/>
                  </w:rPr>
                </w:rPrChange>
              </w:rPr>
              <w:t>项目运行不会对土壤造成不利影响。</w:t>
            </w:r>
          </w:p>
          <w:p w14:paraId="456AD5D4">
            <w:pPr>
              <w:pStyle w:val="23"/>
              <w:keepNext w:val="0"/>
              <w:keepLines w:val="0"/>
              <w:widowControl w:val="0"/>
              <w:suppressLineNumbers w:val="0"/>
              <w:spacing w:before="0" w:beforeAutospacing="0" w:after="0" w:afterAutospacing="0" w:line="360" w:lineRule="auto"/>
              <w:ind w:left="0" w:right="0" w:firstLine="482" w:firstLineChars="200"/>
              <w:jc w:val="both"/>
              <w:rPr>
                <w:rFonts w:hint="default" w:ascii="Times New Roman" w:hAnsi="Times New Roman" w:eastAsia="宋体" w:cs="Times New Roman"/>
                <w:b/>
                <w:bCs w:val="0"/>
                <w:color w:val="auto"/>
                <w:kern w:val="2"/>
                <w:sz w:val="24"/>
                <w:szCs w:val="24"/>
                <w:highlight w:val="none"/>
                <w:lang w:val="en-US" w:eastAsia="zh-CN" w:bidi="ar"/>
              </w:rPr>
            </w:pPr>
            <w:r>
              <w:rPr>
                <w:rFonts w:hint="default" w:ascii="Times New Roman" w:hAnsi="Times New Roman" w:eastAsia="宋体" w:cs="Times New Roman"/>
                <w:b/>
                <w:bCs w:val="0"/>
                <w:color w:val="auto"/>
                <w:kern w:val="2"/>
                <w:sz w:val="24"/>
                <w:szCs w:val="24"/>
                <w:highlight w:val="none"/>
                <w:lang w:val="en-US" w:eastAsia="zh-CN" w:bidi="ar"/>
              </w:rPr>
              <w:t>六、环境风险分析</w:t>
            </w:r>
          </w:p>
          <w:p w14:paraId="0E651F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1、</w:t>
            </w:r>
            <w:r>
              <w:rPr>
                <w:rFonts w:hint="default" w:ascii="Times New Roman" w:hAnsi="Times New Roman" w:eastAsia="宋体" w:cs="Times New Roman"/>
                <w:color w:val="auto"/>
                <w:kern w:val="0"/>
                <w:sz w:val="24"/>
                <w:szCs w:val="24"/>
                <w:lang w:val="en-US" w:eastAsia="zh-CN"/>
              </w:rPr>
              <w:t>风险调查</w:t>
            </w:r>
          </w:p>
          <w:p w14:paraId="7E807F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根据《建设项目环境风险评价技术导则》（HJ169-2018）附录D，</w:t>
            </w:r>
            <w:r>
              <w:rPr>
                <w:rFonts w:hint="eastAsia" w:ascii="Times New Roman" w:hAnsi="Times New Roman" w:eastAsia="宋体" w:cs="Times New Roman"/>
                <w:color w:val="auto"/>
                <w:kern w:val="0"/>
                <w:sz w:val="24"/>
                <w:szCs w:val="24"/>
                <w:lang w:val="en-US" w:eastAsia="zh-CN"/>
              </w:rPr>
              <w:t>本项目不涉及其中所列危险物质。</w:t>
            </w:r>
          </w:p>
          <w:p w14:paraId="52BF6E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2、</w:t>
            </w:r>
            <w:r>
              <w:rPr>
                <w:rFonts w:hint="default" w:ascii="Times New Roman" w:hAnsi="Times New Roman" w:eastAsia="宋体" w:cs="Times New Roman"/>
                <w:color w:val="auto"/>
                <w:kern w:val="0"/>
                <w:sz w:val="24"/>
                <w:szCs w:val="24"/>
                <w:lang w:val="en-US" w:eastAsia="zh-CN"/>
              </w:rPr>
              <w:t>环境风险影响分析及风险防范措施</w:t>
            </w:r>
          </w:p>
          <w:p w14:paraId="4DE70B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鉴于项目暂存物质的特性，本次评价提出如下风险防范措施：</w:t>
            </w:r>
          </w:p>
          <w:p w14:paraId="37F86A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危废库内地面均设置导流槽，消防废水经仓库地面设置的导流槽收集进入集液池。危险废物均采用密封包装袋盛装。安装视频监控设备并联网，监控物料泄露。要求企业加强管理，严格按照《危险废物贮存污染控制标准》（GB18597-2023）的相关规定进行建设、管理运营，在此前提下，不会对周围环境造成影响。</w:t>
            </w:r>
          </w:p>
          <w:p w14:paraId="22C383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（1）</w:t>
            </w:r>
            <w:r>
              <w:rPr>
                <w:rFonts w:hint="default" w:ascii="Times New Roman" w:hAnsi="Times New Roman" w:eastAsia="宋体" w:cs="Times New Roman"/>
                <w:color w:val="auto"/>
                <w:kern w:val="0"/>
                <w:sz w:val="24"/>
                <w:szCs w:val="24"/>
                <w:lang w:val="en-US" w:eastAsia="zh-CN"/>
              </w:rPr>
              <w:t>危废库设计的事故防范措施</w:t>
            </w:r>
          </w:p>
          <w:p w14:paraId="76D488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危险废物暂存应根据《中华人民共和国固体废物环境污染防治法》、《危险废物贮存污染控制标准》(GB18597-2023)、《危险废物收集贮存运输技术规范》(HJ2025-2012)等有关文件的规定执行，要求做到以下几点。</w:t>
            </w:r>
          </w:p>
          <w:p w14:paraId="78F367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①基本要求</w:t>
            </w:r>
          </w:p>
          <w:p w14:paraId="761A6A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根据《中华人民共和国固体废物环境污染防治法》规定：对于危险废物，企业应按照国家有关规定进行申报登记，执行联单制度；对危险废物的容器和包装物以及收集、储存、运输、处置危险废物的设施、场所必须设置危险废物识别标志，并且危险废物的储存地应远离生产区，注意通风、防火以免引起火灾。危废库应设置防风、防雨、防晒装置；危险废物贮存单位应建立危险废物贮存的台账制度。</w:t>
            </w:r>
          </w:p>
          <w:p w14:paraId="0892E0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②危险废物贮存容器</w:t>
            </w:r>
          </w:p>
          <w:p w14:paraId="3D238C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据《危险废物贮存污染控制标准》（GB18597-2023）中的规定，应当使用符合标准的容器盛装危险废物；装载危险废物的容器及材质要满足相应的强度要求；装在危险废物的容器必须完好无损；盛装危险废物的容器材质和衬里要与危险废物相容（不相互反应）。危险废物贮存设施都必须按 GB15562.2 的规定设置警示标志，盛装危险废物的容器上必须粘贴符合《危险废物贮存污染控制标准》（GB18597-2023）附录 A 所示的标签。危险废物贮存设施内清理出来的泄漏物，一律按危废处理。</w:t>
            </w:r>
          </w:p>
          <w:p w14:paraId="550B37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③危险废物贮存设施（仓库式）的建设</w:t>
            </w:r>
          </w:p>
          <w:p w14:paraId="7EE301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地面与裙脚要用坚固、防渗的材料建造，建筑材料必须与危险废物相容；设施内要有安全照明设施和观察窗口；用以存放装载液体、半固体危险废物容器的地方，必须有耐腐蚀的硬化地面，且表面无裂隙；应设计堵截泄漏的裙脚。本项目危废库设置导流槽与集液池连通，消防废水通过导流槽进入废液池中。导流槽和废液池均做防腐防渗处理。如有消防废水产生，废水受到墙裙的阻隔，进而通向导流槽，最终进入集液池。</w:t>
            </w:r>
          </w:p>
          <w:p w14:paraId="30F7D9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④危险废物贮存设施的运行与管理</w:t>
            </w:r>
          </w:p>
          <w:p w14:paraId="721C5F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危险废物贮存前应进行检验，确保同预定接收的危险废物一致，并登记注册；不得接收未粘贴标签或标签没按规定填写的危险废物；盛装在容器内的同类危险废物可以堆叠存放；每个堆间应留有搬运通道；不得将不相容的废物混合或合并存放；须作好危险废物情况的记录，记录上须注明危险废物的名称、来源、数量、特性和包装容器的类别、入库日期、存放库位、废物出库日期及接收单位名称；危险废物的记录和货单在危险废物回取后应继续保留三年；必须定期对所贮存的危险废物包装容器及贮存设施进行检查，发现破损，应及时采取措施清理更换。</w:t>
            </w:r>
          </w:p>
          <w:p w14:paraId="76D4F6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⑤危险废物贮存设施的安全防护与监测</w:t>
            </w:r>
          </w:p>
          <w:p w14:paraId="6C5581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危险废物贮存设施都必须按 GB15562.2 的规定设置警示标志；危险废物贮存设施周围应设置围墙；危险废物贮存设施应配备通讯设备、照明设施、消防设施、安全防护服装及工具，并设有应急防护设施；危险废物贮存设施内清理出来的泄漏物，一律按危险废物处理；按国家污染源管理要求对危险废物贮存设施进行监测。</w:t>
            </w:r>
          </w:p>
          <w:p w14:paraId="26DE8D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⑥培训管理制度</w:t>
            </w:r>
          </w:p>
          <w:p w14:paraId="5A9906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转移危险废物的应当按照《危险废物转移管理办法》(部令第 23 号 2022.1.1）填写危险废物转移联单。收集、贮存危险废物时，应根据有关规定建立相应的规章制度，包括危险废物分析管理制度、安全管理制度等；建设单位应建立规范的管理和技术人员培训制度，定期针对管理和技术人员进行培训。培训内容至少应包括危险废物鉴别要求、危险废物经营许可证管理、危险废物转移联单管理、危险废物包装和标识、危险废物运输要求、危险废物事故应急办法等。</w:t>
            </w:r>
          </w:p>
          <w:p w14:paraId="5BFB9D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（2）应急预案要求</w:t>
            </w:r>
          </w:p>
          <w:p w14:paraId="5DAECC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sz w:val="24"/>
                <w:szCs w:val="24"/>
                <w:highlight w:val="none"/>
                <w:lang w:val="en-US" w:eastAsia="zh-CN"/>
              </w:rPr>
              <w:t>项目运营期应按照相关规定</w:t>
            </w:r>
            <w:r>
              <w:rPr>
                <w:rFonts w:hint="eastAsia" w:ascii="Times New Roman" w:hAnsi="Times New Roman" w:eastAsia="宋体" w:cs="Times New Roman"/>
                <w:color w:val="auto"/>
                <w:sz w:val="24"/>
                <w:szCs w:val="24"/>
                <w:highlight w:val="none"/>
                <w:lang w:val="en-US" w:eastAsia="zh-CN"/>
              </w:rPr>
              <w:t>对公司</w:t>
            </w:r>
            <w:r>
              <w:rPr>
                <w:rFonts w:hint="default" w:ascii="Times New Roman" w:hAnsi="Times New Roman" w:eastAsia="宋体" w:cs="Times New Roman"/>
                <w:color w:val="auto"/>
                <w:sz w:val="24"/>
                <w:szCs w:val="24"/>
                <w:highlight w:val="none"/>
                <w:lang w:val="en-US" w:eastAsia="zh-CN"/>
              </w:rPr>
              <w:t>突发环境事件风险应急预案</w:t>
            </w:r>
            <w:r>
              <w:rPr>
                <w:rFonts w:hint="eastAsia" w:ascii="Times New Roman" w:hAnsi="Times New Roman" w:eastAsia="宋体" w:cs="Times New Roman"/>
                <w:color w:val="auto"/>
                <w:sz w:val="24"/>
                <w:szCs w:val="24"/>
                <w:highlight w:val="none"/>
                <w:lang w:val="en-US" w:eastAsia="zh-CN"/>
              </w:rPr>
              <w:t>进行修订</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将本项目相关环境风险纳入公司应急预案，</w:t>
            </w:r>
            <w:r>
              <w:rPr>
                <w:rFonts w:hint="default" w:ascii="Times New Roman" w:hAnsi="Times New Roman" w:eastAsia="宋体" w:cs="Times New Roman"/>
                <w:color w:val="auto"/>
                <w:sz w:val="24"/>
                <w:szCs w:val="24"/>
                <w:highlight w:val="none"/>
                <w:lang w:val="en-US" w:eastAsia="zh-CN"/>
              </w:rPr>
              <w:t>配置相应应急设施和应急物资，定期开展演练</w:t>
            </w:r>
            <w:r>
              <w:rPr>
                <w:rFonts w:hint="default" w:ascii="Times New Roman" w:hAnsi="Times New Roman" w:eastAsia="宋体" w:cs="Times New Roman"/>
                <w:color w:val="auto"/>
                <w:kern w:val="0"/>
                <w:sz w:val="24"/>
                <w:szCs w:val="24"/>
                <w:lang w:val="en-US" w:eastAsia="zh-CN"/>
              </w:rPr>
              <w:t>。应急预案编制可参照《危险废物经营单位编制应急预案指南》，运营期一旦发生意外事故，建设单位应根据风险程度采取如下措施：</w:t>
            </w:r>
          </w:p>
          <w:p w14:paraId="27AB11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设立事故警戒线，启动应急预案，并按《突发环境事件信息报告办法》（部令第 17 号，2011.5.1）要求进行报告；若造成事故的危险，废物具有剧毒性、易燃性、爆炸性或高传染性，应立即疏散人群，并请求环境保护、消防、医疗、公安等相关部门支援；对事故现场受到污染的土壤和水体等环境介质应进行相应的清理和修复；清理过程中的所有废物均应按危险废物进行管理和处置；进入现场清理和包装危险废物的人员应收到专业培训，穿着防护服，并佩戴相应的防护用具。</w:t>
            </w:r>
          </w:p>
          <w:p w14:paraId="5A87C4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通过采取上述方式，项目储存的危险废物可得到有效处理处置，不产生二次污染，对周围环境影响较小。</w:t>
            </w:r>
          </w:p>
          <w:p w14:paraId="3C8E17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事故救援计划应包括以下内容：</w:t>
            </w:r>
          </w:p>
          <w:p w14:paraId="02B559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①应急救援系统的建立和组成；</w:t>
            </w:r>
          </w:p>
          <w:p w14:paraId="5A4154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②应急救援计划的制定；</w:t>
            </w:r>
          </w:p>
          <w:p w14:paraId="092DBB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③应急培训和演习；</w:t>
            </w:r>
          </w:p>
          <w:p w14:paraId="47F16A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④应急救援行动；</w:t>
            </w:r>
          </w:p>
          <w:p w14:paraId="67B33F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⑤现场清除与净化；</w:t>
            </w:r>
          </w:p>
          <w:p w14:paraId="019BBE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⑥系统的恢复和善后处理。</w:t>
            </w:r>
          </w:p>
          <w:p w14:paraId="19F2BA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事故应急预案应包括以下几个方面：</w:t>
            </w:r>
          </w:p>
          <w:p w14:paraId="03039C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①停电时的应急预案；</w:t>
            </w:r>
          </w:p>
          <w:p w14:paraId="1300E1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②物料（大量）泄漏时的应急预案；</w:t>
            </w:r>
          </w:p>
          <w:p w14:paraId="35D43F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③发生火灾时的应急预案；</w:t>
            </w:r>
          </w:p>
          <w:p w14:paraId="6838AB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④发生爆炸时的应急预案；</w:t>
            </w:r>
          </w:p>
          <w:p w14:paraId="0E0462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⑤发生人员中毒时的应急预案；</w:t>
            </w:r>
          </w:p>
          <w:p w14:paraId="60914C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⑥操作控制出现异常情况时的应急预案；</w:t>
            </w:r>
          </w:p>
          <w:p w14:paraId="7A3148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⑦特殊气象条件和自然火灾时的应急预案。</w:t>
            </w:r>
          </w:p>
          <w:p w14:paraId="339FA97F">
            <w:pPr>
              <w:pStyle w:val="23"/>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bCs w:val="0"/>
                <w:color w:val="auto"/>
                <w:kern w:val="2"/>
                <w:sz w:val="24"/>
                <w:szCs w:val="24"/>
                <w:highlight w:val="none"/>
                <w:lang w:val="en-US" w:eastAsia="zh-CN" w:bidi="ar"/>
              </w:rPr>
            </w:pPr>
            <w:r>
              <w:rPr>
                <w:rFonts w:hint="default" w:ascii="Times New Roman" w:hAnsi="Times New Roman" w:eastAsia="宋体" w:cs="Times New Roman"/>
                <w:color w:val="auto"/>
                <w:kern w:val="0"/>
                <w:sz w:val="24"/>
                <w:szCs w:val="24"/>
                <w:lang w:val="en-US" w:eastAsia="zh-CN"/>
              </w:rPr>
              <w:t>综上所述，本工程发生环境风险的</w:t>
            </w:r>
            <w:r>
              <w:rPr>
                <w:rFonts w:hint="eastAsia" w:ascii="Times New Roman" w:hAnsi="Times New Roman" w:eastAsia="宋体" w:cs="Times New Roman"/>
                <w:color w:val="auto"/>
                <w:kern w:val="0"/>
                <w:sz w:val="24"/>
                <w:szCs w:val="24"/>
                <w:lang w:val="en-US" w:eastAsia="zh-CN"/>
              </w:rPr>
              <w:t>概率</w:t>
            </w:r>
            <w:r>
              <w:rPr>
                <w:rFonts w:hint="default" w:ascii="Times New Roman" w:hAnsi="Times New Roman" w:eastAsia="宋体" w:cs="Times New Roman"/>
                <w:color w:val="auto"/>
                <w:kern w:val="0"/>
                <w:sz w:val="24"/>
                <w:szCs w:val="24"/>
                <w:lang w:val="en-US" w:eastAsia="zh-CN"/>
              </w:rPr>
              <w:t>很小，在采取严格管理措施的情况下，可得到有效</w:t>
            </w:r>
            <w:r>
              <w:rPr>
                <w:rFonts w:hint="eastAsia" w:ascii="Times New Roman" w:hAnsi="Times New Roman" w:eastAsia="宋体" w:cs="Times New Roman"/>
                <w:color w:val="auto"/>
                <w:kern w:val="0"/>
                <w:sz w:val="24"/>
                <w:szCs w:val="24"/>
                <w:lang w:val="en-US" w:eastAsia="zh-CN"/>
              </w:rPr>
              <w:t>地</w:t>
            </w:r>
            <w:r>
              <w:rPr>
                <w:rFonts w:hint="default" w:ascii="Times New Roman" w:hAnsi="Times New Roman" w:eastAsia="宋体" w:cs="Times New Roman"/>
                <w:color w:val="auto"/>
                <w:kern w:val="0"/>
                <w:sz w:val="24"/>
                <w:szCs w:val="24"/>
                <w:lang w:val="en-US" w:eastAsia="zh-CN"/>
              </w:rPr>
              <w:t>控制，对环境的影响很小。</w:t>
            </w:r>
          </w:p>
          <w:p w14:paraId="5B14C5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val="0"/>
                <w:color w:val="auto"/>
                <w:kern w:val="0"/>
                <w:sz w:val="24"/>
                <w:szCs w:val="24"/>
                <w:highlight w:val="none"/>
                <w:lang w:val="en-US" w:eastAsia="zh-CN"/>
              </w:rPr>
            </w:pPr>
            <w:r>
              <w:rPr>
                <w:rFonts w:hint="default" w:ascii="Times New Roman" w:hAnsi="Times New Roman" w:eastAsia="宋体" w:cs="Times New Roman"/>
                <w:b/>
                <w:bCs w:val="0"/>
                <w:color w:val="auto"/>
                <w:kern w:val="2"/>
                <w:sz w:val="24"/>
                <w:szCs w:val="24"/>
                <w:highlight w:val="none"/>
                <w:lang w:val="en-US" w:eastAsia="zh-CN" w:bidi="ar"/>
              </w:rPr>
              <w:t>七、</w:t>
            </w:r>
            <w:r>
              <w:rPr>
                <w:rFonts w:hint="default" w:ascii="Times New Roman" w:hAnsi="Times New Roman" w:eastAsia="宋体" w:cs="Times New Roman"/>
                <w:b/>
                <w:bCs w:val="0"/>
                <w:color w:val="auto"/>
                <w:kern w:val="0"/>
                <w:sz w:val="24"/>
                <w:szCs w:val="24"/>
                <w:highlight w:val="none"/>
                <w:lang w:val="en-US" w:eastAsia="zh-CN"/>
              </w:rPr>
              <w:t>环保投资</w:t>
            </w:r>
          </w:p>
          <w:p w14:paraId="6A7CE7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本项目总投资</w:t>
            </w:r>
            <w:r>
              <w:rPr>
                <w:rFonts w:hint="eastAsia" w:ascii="Times New Roman" w:hAnsi="Times New Roman" w:eastAsia="宋体" w:cs="Times New Roman"/>
                <w:color w:val="auto"/>
                <w:kern w:val="0"/>
                <w:sz w:val="24"/>
                <w:szCs w:val="24"/>
                <w:highlight w:val="none"/>
                <w:lang w:val="en-US" w:eastAsia="zh-CN"/>
              </w:rPr>
              <w:t>30</w:t>
            </w:r>
            <w:r>
              <w:rPr>
                <w:rFonts w:hint="default" w:ascii="Times New Roman" w:hAnsi="Times New Roman" w:eastAsia="宋体" w:cs="Times New Roman"/>
                <w:color w:val="auto"/>
                <w:kern w:val="0"/>
                <w:sz w:val="24"/>
                <w:szCs w:val="24"/>
                <w:highlight w:val="none"/>
                <w:lang w:val="en-US" w:eastAsia="zh-CN"/>
              </w:rPr>
              <w:t>万元，其中环保投资为</w:t>
            </w:r>
            <w:r>
              <w:rPr>
                <w:rFonts w:hint="eastAsia" w:ascii="Times New Roman" w:hAnsi="Times New Roman" w:eastAsia="宋体" w:cs="Times New Roman"/>
                <w:color w:val="auto"/>
                <w:kern w:val="0"/>
                <w:sz w:val="24"/>
                <w:szCs w:val="24"/>
                <w:highlight w:val="none"/>
                <w:lang w:val="en-US" w:eastAsia="zh-CN"/>
              </w:rPr>
              <w:t>18</w:t>
            </w:r>
            <w:r>
              <w:rPr>
                <w:rFonts w:hint="default" w:ascii="Times New Roman" w:hAnsi="Times New Roman" w:eastAsia="宋体" w:cs="Times New Roman"/>
                <w:color w:val="auto"/>
                <w:kern w:val="0"/>
                <w:sz w:val="24"/>
                <w:szCs w:val="24"/>
                <w:highlight w:val="none"/>
                <w:lang w:val="en-US" w:eastAsia="zh-CN"/>
              </w:rPr>
              <w:t>万元，占总投资</w:t>
            </w:r>
            <w:r>
              <w:rPr>
                <w:rFonts w:hint="eastAsia" w:ascii="Times New Roman" w:hAnsi="Times New Roman" w:eastAsia="宋体" w:cs="Times New Roman"/>
                <w:color w:val="auto"/>
                <w:kern w:val="0"/>
                <w:sz w:val="24"/>
                <w:szCs w:val="24"/>
                <w:highlight w:val="none"/>
                <w:lang w:val="en-US" w:eastAsia="zh-CN"/>
              </w:rPr>
              <w:t>60</w:t>
            </w:r>
            <w:r>
              <w:rPr>
                <w:rFonts w:hint="default" w:ascii="Times New Roman" w:hAnsi="Times New Roman" w:eastAsia="宋体" w:cs="Times New Roman"/>
                <w:color w:val="auto"/>
                <w:kern w:val="0"/>
                <w:sz w:val="24"/>
                <w:szCs w:val="24"/>
                <w:highlight w:val="none"/>
                <w:lang w:val="en-US" w:eastAsia="zh-CN"/>
              </w:rPr>
              <w:t>%。</w:t>
            </w:r>
          </w:p>
          <w:p w14:paraId="3CC39D9D">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4-22 环</w:t>
            </w:r>
            <w:r>
              <w:rPr>
                <w:rFonts w:hint="default" w:ascii="Times New Roman" w:hAnsi="Times New Roman" w:eastAsia="宋体" w:cs="Times New Roman"/>
                <w:b/>
                <w:bCs/>
                <w:color w:val="auto"/>
                <w:sz w:val="21"/>
                <w:szCs w:val="21"/>
                <w:highlight w:val="none"/>
              </w:rPr>
              <w:t>保投资概算表</w:t>
            </w:r>
          </w:p>
          <w:tbl>
            <w:tblPr>
              <w:tblStyle w:val="25"/>
              <w:tblW w:w="4997" w:type="pct"/>
              <w:tblInd w:w="-11"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533"/>
              <w:gridCol w:w="931"/>
              <w:gridCol w:w="1424"/>
              <w:gridCol w:w="4746"/>
              <w:gridCol w:w="1184"/>
            </w:tblGrid>
            <w:tr w14:paraId="3FFEB50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02" w:type="pct"/>
                  <w:tcBorders>
                    <w:tl2br w:val="nil"/>
                    <w:tr2bl w:val="nil"/>
                  </w:tcBorders>
                  <w:noWrap w:val="0"/>
                  <w:vAlign w:val="center"/>
                </w:tcPr>
                <w:p w14:paraId="664AFA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527" w:type="pct"/>
                  <w:tcBorders>
                    <w:tl2br w:val="nil"/>
                    <w:tr2bl w:val="nil"/>
                  </w:tcBorders>
                  <w:noWrap w:val="0"/>
                  <w:vAlign w:val="center"/>
                </w:tcPr>
                <w:p w14:paraId="208138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807" w:type="pct"/>
                  <w:tcBorders>
                    <w:tl2br w:val="nil"/>
                    <w:tr2bl w:val="nil"/>
                  </w:tcBorders>
                  <w:noWrap w:val="0"/>
                  <w:vAlign w:val="center"/>
                </w:tcPr>
                <w:p w14:paraId="3A7AF7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2691" w:type="pct"/>
                  <w:tcBorders>
                    <w:tl2br w:val="nil"/>
                    <w:tr2bl w:val="nil"/>
                  </w:tcBorders>
                  <w:noWrap w:val="0"/>
                  <w:vAlign w:val="center"/>
                </w:tcPr>
                <w:p w14:paraId="1ADB34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防治措施</w:t>
                  </w:r>
                </w:p>
              </w:tc>
              <w:tc>
                <w:tcPr>
                  <w:tcW w:w="671" w:type="pct"/>
                  <w:tcBorders>
                    <w:tl2br w:val="nil"/>
                    <w:tr2bl w:val="nil"/>
                  </w:tcBorders>
                  <w:noWrap w:val="0"/>
                  <w:vAlign w:val="center"/>
                </w:tcPr>
                <w:p w14:paraId="712BE1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环保投资（万元）</w:t>
                  </w:r>
                </w:p>
              </w:tc>
            </w:tr>
            <w:tr w14:paraId="4AC0097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02" w:type="pct"/>
                  <w:tcBorders>
                    <w:tl2br w:val="nil"/>
                    <w:tr2bl w:val="nil"/>
                  </w:tcBorders>
                  <w:noWrap w:val="0"/>
                  <w:vAlign w:val="center"/>
                </w:tcPr>
                <w:p w14:paraId="6F61A8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527" w:type="pct"/>
                  <w:tcBorders>
                    <w:tl2br w:val="nil"/>
                    <w:tr2bl w:val="nil"/>
                  </w:tcBorders>
                  <w:noWrap w:val="0"/>
                  <w:vAlign w:val="center"/>
                </w:tcPr>
                <w:p w14:paraId="10DF7E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废水污染防治</w:t>
                  </w:r>
                </w:p>
              </w:tc>
              <w:tc>
                <w:tcPr>
                  <w:tcW w:w="807" w:type="pct"/>
                  <w:tcBorders>
                    <w:tl2br w:val="nil"/>
                    <w:tr2bl w:val="nil"/>
                  </w:tcBorders>
                  <w:noWrap w:val="0"/>
                  <w:vAlign w:val="center"/>
                </w:tcPr>
                <w:p w14:paraId="4D7E93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生活污水</w:t>
                  </w:r>
                </w:p>
              </w:tc>
              <w:tc>
                <w:tcPr>
                  <w:tcW w:w="2691" w:type="pct"/>
                  <w:tcBorders>
                    <w:tl2br w:val="nil"/>
                    <w:tr2bl w:val="nil"/>
                  </w:tcBorders>
                  <w:noWrap w:val="0"/>
                  <w:vAlign w:val="center"/>
                </w:tcPr>
                <w:p w14:paraId="4A7C98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rPr>
                    <w:t>排入厂区现有生活污水处理站，处理后水作为道路和排土场洒水不外排</w:t>
                  </w:r>
                </w:p>
              </w:tc>
              <w:tc>
                <w:tcPr>
                  <w:tcW w:w="671" w:type="pct"/>
                  <w:tcBorders>
                    <w:tl2br w:val="nil"/>
                    <w:tr2bl w:val="nil"/>
                  </w:tcBorders>
                  <w:noWrap w:val="0"/>
                  <w:vAlign w:val="center"/>
                </w:tcPr>
                <w:p w14:paraId="48634B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1FDF742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02" w:type="pct"/>
                  <w:tcBorders>
                    <w:tl2br w:val="nil"/>
                    <w:tr2bl w:val="nil"/>
                  </w:tcBorders>
                  <w:noWrap w:val="0"/>
                  <w:vAlign w:val="center"/>
                </w:tcPr>
                <w:p w14:paraId="289B25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p>
              </w:tc>
              <w:tc>
                <w:tcPr>
                  <w:tcW w:w="527" w:type="pct"/>
                  <w:tcBorders>
                    <w:tl2br w:val="nil"/>
                    <w:tr2bl w:val="nil"/>
                  </w:tcBorders>
                  <w:noWrap w:val="0"/>
                  <w:vAlign w:val="center"/>
                </w:tcPr>
                <w:p w14:paraId="2E70DA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固废污染防治</w:t>
                  </w:r>
                </w:p>
              </w:tc>
              <w:tc>
                <w:tcPr>
                  <w:tcW w:w="807" w:type="pct"/>
                  <w:tcBorders>
                    <w:tl2br w:val="nil"/>
                    <w:tr2bl w:val="nil"/>
                  </w:tcBorders>
                  <w:noWrap w:val="0"/>
                  <w:vAlign w:val="center"/>
                </w:tcPr>
                <w:p w14:paraId="2720A1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2691" w:type="pct"/>
                  <w:tcBorders>
                    <w:tl2br w:val="nil"/>
                    <w:tr2bl w:val="nil"/>
                  </w:tcBorders>
                  <w:noWrap w:val="0"/>
                  <w:vAlign w:val="center"/>
                </w:tcPr>
                <w:p w14:paraId="2CDBE0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lang w:val="en-US" w:eastAsia="zh-CN" w:bidi="ar"/>
                    </w:rPr>
                    <w:t>由垃圾箱收集后统一堆放到厂区生活垃圾固定堆放点，由当地环卫部门统一收集处理</w:t>
                  </w:r>
                </w:p>
              </w:tc>
              <w:tc>
                <w:tcPr>
                  <w:tcW w:w="671" w:type="pct"/>
                  <w:tcBorders>
                    <w:tl2br w:val="nil"/>
                    <w:tr2bl w:val="nil"/>
                  </w:tcBorders>
                  <w:noWrap w:val="0"/>
                  <w:vAlign w:val="center"/>
                </w:tcPr>
                <w:p w14:paraId="53143E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3074F46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02" w:type="pct"/>
                  <w:tcBorders>
                    <w:tl2br w:val="nil"/>
                    <w:tr2bl w:val="nil"/>
                  </w:tcBorders>
                  <w:noWrap w:val="0"/>
                  <w:vAlign w:val="center"/>
                </w:tcPr>
                <w:p w14:paraId="077D14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527" w:type="pct"/>
                  <w:tcBorders>
                    <w:tl2br w:val="nil"/>
                    <w:tr2bl w:val="nil"/>
                  </w:tcBorders>
                  <w:noWrap w:val="0"/>
                  <w:vAlign w:val="center"/>
                </w:tcPr>
                <w:p w14:paraId="174B5C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防渗</w:t>
                  </w:r>
                </w:p>
              </w:tc>
              <w:tc>
                <w:tcPr>
                  <w:tcW w:w="807" w:type="pct"/>
                  <w:tcBorders>
                    <w:tl2br w:val="nil"/>
                    <w:tr2bl w:val="nil"/>
                  </w:tcBorders>
                  <w:noWrap w:val="0"/>
                  <w:vAlign w:val="center"/>
                </w:tcPr>
                <w:p w14:paraId="681AEC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w:t>
                  </w:r>
                  <w:r>
                    <w:rPr>
                      <w:rFonts w:hint="eastAsia" w:ascii="Times New Roman" w:hAnsi="Times New Roman" w:eastAsia="宋体" w:cs="Times New Roman"/>
                      <w:color w:val="auto"/>
                      <w:sz w:val="21"/>
                      <w:szCs w:val="21"/>
                      <w:highlight w:val="none"/>
                      <w:lang w:val="en-US" w:eastAsia="zh-CN"/>
                    </w:rPr>
                    <w:t>暂存库</w:t>
                  </w:r>
                </w:p>
              </w:tc>
              <w:tc>
                <w:tcPr>
                  <w:tcW w:w="2691" w:type="pct"/>
                  <w:tcBorders>
                    <w:tl2br w:val="nil"/>
                    <w:tr2bl w:val="nil"/>
                  </w:tcBorders>
                  <w:noWrap w:val="0"/>
                  <w:vAlign w:val="center"/>
                </w:tcPr>
                <w:p w14:paraId="254021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利用现有氰化钠库房进行改造，利用库房现有混凝土基础，并铺设2mm厚HDPE防渗膜，上做压光水泥地面保护层并涂刷环氧树脂防护层，渗透系数≤10</w:t>
                  </w:r>
                  <w:r>
                    <w:rPr>
                      <w:rFonts w:hint="default" w:ascii="Times New Roman" w:hAnsi="Times New Roman" w:eastAsia="宋体" w:cs="Times New Roman"/>
                      <w:b w:val="0"/>
                      <w:bCs w:val="0"/>
                      <w:color w:val="auto"/>
                      <w:kern w:val="2"/>
                      <w:sz w:val="21"/>
                      <w:szCs w:val="21"/>
                      <w:vertAlign w:val="superscript"/>
                      <w:lang w:val="en-US" w:eastAsia="zh-CN" w:bidi="ar"/>
                    </w:rPr>
                    <w:t>-10</w:t>
                  </w:r>
                  <w:r>
                    <w:rPr>
                      <w:rFonts w:hint="default" w:ascii="Times New Roman" w:hAnsi="Times New Roman" w:eastAsia="宋体" w:cs="Times New Roman"/>
                      <w:b w:val="0"/>
                      <w:bCs w:val="0"/>
                      <w:color w:val="auto"/>
                      <w:kern w:val="2"/>
                      <w:sz w:val="21"/>
                      <w:szCs w:val="21"/>
                      <w:lang w:val="en-US" w:eastAsia="zh-CN" w:bidi="ar"/>
                    </w:rPr>
                    <w:t>cm/s。设置0.8m高防渗墙裙。周围设置导流槽及集液池，与危废库地面做同样防渗措施。废灰皿、废滤袋、</w:t>
                  </w:r>
                  <w:r>
                    <w:rPr>
                      <w:rFonts w:hint="eastAsia" w:ascii="Times New Roman" w:hAnsi="Times New Roman" w:eastAsia="宋体" w:cs="Times New Roman"/>
                      <w:color w:val="auto"/>
                      <w:kern w:val="24"/>
                      <w:sz w:val="21"/>
                      <w:szCs w:val="21"/>
                      <w:lang w:val="en-US" w:eastAsia="zh-CN" w:bidi="ar"/>
                    </w:rPr>
                    <w:t>药剂瓶/药剂废包装</w:t>
                  </w:r>
                  <w:r>
                    <w:rPr>
                      <w:rFonts w:hint="default" w:ascii="Times New Roman" w:hAnsi="Times New Roman" w:eastAsia="宋体" w:cs="Times New Roman"/>
                      <w:color w:val="auto"/>
                      <w:kern w:val="24"/>
                      <w:sz w:val="21"/>
                      <w:szCs w:val="21"/>
                      <w:lang w:val="en-US" w:eastAsia="zh-CN" w:bidi="ar"/>
                    </w:rPr>
                    <w:t>、</w:t>
                  </w:r>
                  <w:r>
                    <w:rPr>
                      <w:rFonts w:hint="eastAsia" w:ascii="Times New Roman" w:hAnsi="Times New Roman" w:eastAsia="宋体" w:cs="Times New Roman"/>
                      <w:color w:val="auto"/>
                      <w:kern w:val="24"/>
                      <w:sz w:val="21"/>
                      <w:szCs w:val="21"/>
                      <w:lang w:val="en-US" w:eastAsia="zh-CN" w:bidi="ar"/>
                    </w:rPr>
                    <w:t>质检部</w:t>
                  </w:r>
                  <w:r>
                    <w:rPr>
                      <w:rFonts w:hint="default" w:ascii="Times New Roman" w:hAnsi="Times New Roman" w:eastAsia="宋体" w:cs="Times New Roman"/>
                      <w:color w:val="auto"/>
                      <w:kern w:val="24"/>
                      <w:sz w:val="21"/>
                      <w:szCs w:val="21"/>
                      <w:lang w:val="en-US" w:eastAsia="zh-CN" w:bidi="ar"/>
                    </w:rPr>
                    <w:t>废液及沾染实验药品的废消耗品、</w:t>
                  </w:r>
                  <w:r>
                    <w:rPr>
                      <w:rFonts w:hint="default" w:ascii="Times New Roman" w:hAnsi="Times New Roman" w:cs="Times New Roman"/>
                      <w:color w:val="auto"/>
                      <w:sz w:val="21"/>
                      <w:szCs w:val="21"/>
                      <w:lang w:val="en-US" w:eastAsia="zh-CN"/>
                    </w:rPr>
                    <w:t>实验器具初次清洗废水、</w:t>
                  </w:r>
                  <w:r>
                    <w:rPr>
                      <w:rFonts w:hint="eastAsia" w:ascii="Times New Roman" w:hAnsi="Times New Roman" w:eastAsia="宋体" w:cs="Times New Roman"/>
                      <w:color w:val="auto"/>
                      <w:sz w:val="21"/>
                      <w:szCs w:val="21"/>
                      <w:lang w:val="en-US" w:eastAsia="zh-CN"/>
                    </w:rPr>
                    <w:t>试金灰吹系统</w:t>
                  </w:r>
                  <w:r>
                    <w:rPr>
                      <w:rFonts w:hint="default" w:ascii="Times New Roman" w:hAnsi="Times New Roman" w:eastAsia="宋体" w:cs="Times New Roman"/>
                      <w:color w:val="auto"/>
                      <w:sz w:val="21"/>
                      <w:szCs w:val="21"/>
                      <w:lang w:val="en-US" w:eastAsia="zh-CN"/>
                    </w:rPr>
                    <w:t>除尘灰</w:t>
                  </w:r>
                  <w:r>
                    <w:rPr>
                      <w:rFonts w:hint="default" w:ascii="Times New Roman" w:hAnsi="Times New Roman" w:cs="Times New Roman"/>
                      <w:color w:val="auto"/>
                      <w:sz w:val="21"/>
                      <w:szCs w:val="21"/>
                      <w:lang w:val="en-US" w:eastAsia="zh-CN"/>
                    </w:rPr>
                    <w:t>、水喷淋装置尘泥、</w:t>
                  </w:r>
                  <w:r>
                    <w:rPr>
                      <w:rFonts w:hint="default" w:ascii="Times New Roman" w:hAnsi="Times New Roman" w:eastAsia="宋体" w:cs="Times New Roman"/>
                      <w:color w:val="auto"/>
                      <w:sz w:val="21"/>
                      <w:szCs w:val="21"/>
                    </w:rPr>
                    <w:t>废SDG吸附剂</w:t>
                  </w:r>
                  <w:r>
                    <w:rPr>
                      <w:rFonts w:hint="default" w:ascii="Times New Roman" w:hAnsi="Times New Roman" w:eastAsia="宋体" w:cs="Times New Roman"/>
                      <w:color w:val="auto"/>
                      <w:sz w:val="21"/>
                      <w:szCs w:val="21"/>
                      <w:lang w:val="en-US" w:eastAsia="zh-CN"/>
                    </w:rPr>
                    <w:t>暂存于危废暂存库定期交由有资质单位拉运处置</w:t>
                  </w:r>
                </w:p>
              </w:tc>
              <w:tc>
                <w:tcPr>
                  <w:tcW w:w="671" w:type="pct"/>
                  <w:tcBorders>
                    <w:tl2br w:val="nil"/>
                    <w:tr2bl w:val="nil"/>
                  </w:tcBorders>
                  <w:noWrap w:val="0"/>
                  <w:vAlign w:val="center"/>
                </w:tcPr>
                <w:p w14:paraId="1C0BD7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r>
            <w:tr w14:paraId="75DEE7A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02" w:type="pct"/>
                  <w:tcBorders>
                    <w:tl2br w:val="nil"/>
                    <w:tr2bl w:val="nil"/>
                  </w:tcBorders>
                  <w:noWrap w:val="0"/>
                  <w:vAlign w:val="center"/>
                </w:tcPr>
                <w:p w14:paraId="0CD84D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w:t>
                  </w:r>
                </w:p>
              </w:tc>
              <w:tc>
                <w:tcPr>
                  <w:tcW w:w="527" w:type="pct"/>
                  <w:tcBorders>
                    <w:tl2br w:val="nil"/>
                    <w:tr2bl w:val="nil"/>
                  </w:tcBorders>
                  <w:noWrap w:val="0"/>
                  <w:vAlign w:val="center"/>
                </w:tcPr>
                <w:p w14:paraId="7C1046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噪声污染防治</w:t>
                  </w:r>
                </w:p>
              </w:tc>
              <w:tc>
                <w:tcPr>
                  <w:tcW w:w="807" w:type="pct"/>
                  <w:tcBorders>
                    <w:tl2br w:val="nil"/>
                    <w:tr2bl w:val="nil"/>
                  </w:tcBorders>
                  <w:noWrap w:val="0"/>
                  <w:vAlign w:val="center"/>
                </w:tcPr>
                <w:p w14:paraId="0312A4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生产设备</w:t>
                  </w:r>
                </w:p>
              </w:tc>
              <w:tc>
                <w:tcPr>
                  <w:tcW w:w="2691" w:type="pct"/>
                  <w:tcBorders>
                    <w:tl2br w:val="nil"/>
                    <w:tr2bl w:val="nil"/>
                  </w:tcBorders>
                  <w:noWrap w:val="0"/>
                  <w:vAlign w:val="center"/>
                </w:tcPr>
                <w:p w14:paraId="0C6E2E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选购低噪声设备，采取消声</w:t>
                  </w:r>
                  <w:r>
                    <w:rPr>
                      <w:rFonts w:hint="default" w:ascii="Times New Roman" w:hAnsi="Times New Roman" w:eastAsia="宋体" w:cs="Times New Roman"/>
                      <w:bCs/>
                      <w:color w:val="auto"/>
                      <w:sz w:val="21"/>
                      <w:szCs w:val="21"/>
                      <w:highlight w:val="none"/>
                    </w:rPr>
                    <w:t>等措施</w:t>
                  </w:r>
                  <w:r>
                    <w:rPr>
                      <w:rFonts w:hint="default" w:ascii="Times New Roman" w:hAnsi="Times New Roman" w:eastAsia="宋体" w:cs="Times New Roman"/>
                      <w:bCs/>
                      <w:color w:val="auto"/>
                      <w:sz w:val="21"/>
                      <w:szCs w:val="21"/>
                      <w:highlight w:val="none"/>
                      <w:lang w:val="en-US" w:eastAsia="zh-CN"/>
                    </w:rPr>
                    <w:t>且定期保养维护</w:t>
                  </w:r>
                </w:p>
              </w:tc>
              <w:tc>
                <w:tcPr>
                  <w:tcW w:w="671" w:type="pct"/>
                  <w:tcBorders>
                    <w:tl2br w:val="nil"/>
                    <w:tr2bl w:val="nil"/>
                  </w:tcBorders>
                  <w:noWrap w:val="0"/>
                  <w:vAlign w:val="center"/>
                </w:tcPr>
                <w:p w14:paraId="53D54B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r>
            <w:tr w14:paraId="6105839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328" w:type="pct"/>
                  <w:gridSpan w:val="4"/>
                  <w:tcBorders>
                    <w:tl2br w:val="nil"/>
                    <w:tr2bl w:val="nil"/>
                  </w:tcBorders>
                  <w:noWrap w:val="0"/>
                  <w:vAlign w:val="center"/>
                </w:tcPr>
                <w:p w14:paraId="2B8CB7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671" w:type="pct"/>
                  <w:tcBorders>
                    <w:tl2br w:val="nil"/>
                    <w:tr2bl w:val="nil"/>
                  </w:tcBorders>
                  <w:noWrap w:val="0"/>
                  <w:vAlign w:val="center"/>
                </w:tcPr>
                <w:p w14:paraId="394FE3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w:t>
                  </w:r>
                </w:p>
              </w:tc>
            </w:tr>
          </w:tbl>
          <w:p w14:paraId="0E7C31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val="0"/>
                <w:color w:val="auto"/>
                <w:kern w:val="2"/>
                <w:sz w:val="24"/>
                <w:szCs w:val="24"/>
                <w:highlight w:val="none"/>
                <w:lang w:val="en-US" w:eastAsia="zh-CN" w:bidi="ar"/>
              </w:rPr>
            </w:pPr>
            <w:r>
              <w:rPr>
                <w:rFonts w:hint="eastAsia" w:ascii="Times New Roman" w:hAnsi="Times New Roman" w:eastAsia="宋体" w:cs="Times New Roman"/>
                <w:b/>
                <w:bCs w:val="0"/>
                <w:color w:val="auto"/>
                <w:kern w:val="2"/>
                <w:sz w:val="24"/>
                <w:szCs w:val="24"/>
                <w:highlight w:val="none"/>
                <w:lang w:val="en-US" w:eastAsia="zh-CN" w:bidi="ar"/>
              </w:rPr>
              <w:t>八</w:t>
            </w:r>
            <w:r>
              <w:rPr>
                <w:rFonts w:hint="default" w:ascii="Times New Roman" w:hAnsi="Times New Roman" w:eastAsia="宋体" w:cs="Times New Roman"/>
                <w:b/>
                <w:bCs w:val="0"/>
                <w:color w:val="auto"/>
                <w:kern w:val="2"/>
                <w:sz w:val="24"/>
                <w:szCs w:val="24"/>
                <w:highlight w:val="none"/>
                <w:lang w:val="en-US" w:eastAsia="zh-CN" w:bidi="ar"/>
              </w:rPr>
              <w:t>、环境监测计划</w:t>
            </w:r>
          </w:p>
          <w:p w14:paraId="3F68854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rPr>
              <w:t>根据《排污单位自行监测技术指南 总则》（HJ819-2017）等要求</w:t>
            </w:r>
            <w:r>
              <w:rPr>
                <w:rFonts w:hint="default" w:ascii="Times New Roman" w:hAnsi="Times New Roman" w:eastAsia="宋体" w:cs="Times New Roman"/>
                <w:color w:val="auto"/>
                <w:sz w:val="24"/>
                <w:szCs w:val="24"/>
                <w:highlight w:val="none"/>
              </w:rPr>
              <w:t>，建设单位需开展排污单位自行监测。拟建工程的环境监测事宜由建设单位委托地方环保监测站或第三方有相应检测资质的单位进行监测。</w:t>
            </w:r>
            <w:r>
              <w:rPr>
                <w:rFonts w:hint="default" w:ascii="Times New Roman" w:hAnsi="Times New Roman" w:eastAsia="宋体" w:cs="Times New Roman"/>
                <w:color w:val="auto"/>
                <w:sz w:val="24"/>
                <w:szCs w:val="24"/>
                <w:highlight w:val="none"/>
                <w:lang w:val="en-US" w:eastAsia="zh-CN"/>
              </w:rPr>
              <w:t>本次</w:t>
            </w:r>
            <w:r>
              <w:rPr>
                <w:rFonts w:hint="default" w:ascii="Times New Roman" w:hAnsi="Times New Roman" w:eastAsia="宋体" w:cs="Times New Roman"/>
                <w:color w:val="auto"/>
                <w:sz w:val="24"/>
                <w:szCs w:val="24"/>
                <w:highlight w:val="none"/>
              </w:rPr>
              <w:t>评价建议本项目环境监测的具体内容如下表所示：</w:t>
            </w:r>
          </w:p>
          <w:p w14:paraId="5BE43832">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w:t>
            </w: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环境监测计划见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w:t>
            </w:r>
          </w:p>
          <w:p w14:paraId="29B9CE0C">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 xml:space="preserve">4-24 </w:t>
            </w:r>
            <w:r>
              <w:rPr>
                <w:rFonts w:hint="default" w:ascii="Times New Roman" w:hAnsi="Times New Roman" w:eastAsia="宋体" w:cs="Times New Roman"/>
                <w:b/>
                <w:bCs/>
                <w:color w:val="auto"/>
                <w:sz w:val="21"/>
                <w:szCs w:val="21"/>
                <w:highlight w:val="none"/>
              </w:rPr>
              <w:t>环境监测计划</w:t>
            </w:r>
          </w:p>
          <w:tbl>
            <w:tblPr>
              <w:tblStyle w:val="25"/>
              <w:tblW w:w="8821"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685"/>
              <w:gridCol w:w="3132"/>
              <w:gridCol w:w="3868"/>
              <w:gridCol w:w="1136"/>
            </w:tblGrid>
            <w:tr w14:paraId="76FA345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85" w:type="dxa"/>
                  <w:tcBorders>
                    <w:tl2br w:val="nil"/>
                    <w:tr2bl w:val="nil"/>
                  </w:tcBorders>
                  <w:noWrap w:val="0"/>
                  <w:vAlign w:val="center"/>
                </w:tcPr>
                <w:p w14:paraId="14AB54D9">
                  <w:pP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类别</w:t>
                  </w:r>
                </w:p>
              </w:tc>
              <w:tc>
                <w:tcPr>
                  <w:tcW w:w="3132" w:type="dxa"/>
                  <w:tcBorders>
                    <w:tl2br w:val="nil"/>
                    <w:tr2bl w:val="nil"/>
                  </w:tcBorders>
                  <w:noWrap w:val="0"/>
                  <w:vAlign w:val="center"/>
                </w:tcPr>
                <w:p w14:paraId="69C6B2E2">
                  <w:pP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监测位置</w:t>
                  </w:r>
                </w:p>
              </w:tc>
              <w:tc>
                <w:tcPr>
                  <w:tcW w:w="3868" w:type="dxa"/>
                  <w:tcBorders>
                    <w:tl2br w:val="nil"/>
                    <w:tr2bl w:val="nil"/>
                  </w:tcBorders>
                  <w:noWrap w:val="0"/>
                  <w:vAlign w:val="center"/>
                </w:tcPr>
                <w:p w14:paraId="3638B4A7">
                  <w:pP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监测因子</w:t>
                  </w:r>
                </w:p>
              </w:tc>
              <w:tc>
                <w:tcPr>
                  <w:tcW w:w="1136" w:type="dxa"/>
                  <w:tcBorders>
                    <w:tl2br w:val="nil"/>
                    <w:tr2bl w:val="nil"/>
                  </w:tcBorders>
                  <w:noWrap w:val="0"/>
                  <w:vAlign w:val="center"/>
                </w:tcPr>
                <w:p w14:paraId="4542C1B7">
                  <w:pP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监测频率</w:t>
                  </w:r>
                </w:p>
              </w:tc>
            </w:tr>
            <w:tr w14:paraId="1D3E9D1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85" w:type="dxa"/>
                  <w:tcBorders>
                    <w:tl2br w:val="nil"/>
                    <w:tr2bl w:val="nil"/>
                  </w:tcBorders>
                  <w:noWrap w:val="0"/>
                  <w:vAlign w:val="center"/>
                </w:tcPr>
                <w:p w14:paraId="06901AC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3132" w:type="dxa"/>
                  <w:tcBorders>
                    <w:tl2br w:val="nil"/>
                    <w:tr2bl w:val="nil"/>
                  </w:tcBorders>
                  <w:noWrap w:val="0"/>
                  <w:vAlign w:val="center"/>
                </w:tcPr>
                <w:p w14:paraId="09011484">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w:t>
                  </w:r>
                </w:p>
              </w:tc>
              <w:tc>
                <w:tcPr>
                  <w:tcW w:w="3868" w:type="dxa"/>
                  <w:tcBorders>
                    <w:tl2br w:val="nil"/>
                    <w:tr2bl w:val="nil"/>
                  </w:tcBorders>
                  <w:noWrap w:val="0"/>
                  <w:vAlign w:val="center"/>
                </w:tcPr>
                <w:p w14:paraId="299FBAF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c>
                <w:tcPr>
                  <w:tcW w:w="1136" w:type="dxa"/>
                  <w:tcBorders>
                    <w:tl2br w:val="nil"/>
                    <w:tr2bl w:val="nil"/>
                  </w:tcBorders>
                  <w:noWrap w:val="0"/>
                  <w:vAlign w:val="center"/>
                </w:tcPr>
                <w:p w14:paraId="553DB43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1次</w:t>
                  </w:r>
                  <w:r>
                    <w:rPr>
                      <w:rFonts w:hint="default" w:ascii="Times New Roman" w:hAnsi="Times New Roman" w:eastAsia="宋体" w:cs="Times New Roman"/>
                      <w:color w:val="auto"/>
                      <w:sz w:val="21"/>
                      <w:szCs w:val="21"/>
                      <w:highlight w:val="none"/>
                      <w:lang w:val="en-US" w:eastAsia="zh-CN"/>
                    </w:rPr>
                    <w:t>/季度</w:t>
                  </w:r>
                </w:p>
              </w:tc>
            </w:tr>
          </w:tbl>
          <w:p w14:paraId="0B32B499">
            <w:pPr>
              <w:spacing w:line="360" w:lineRule="auto"/>
              <w:ind w:firstLine="482" w:firstLineChars="200"/>
              <w:jc w:val="left"/>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十</w:t>
            </w:r>
            <w:r>
              <w:rPr>
                <w:rFonts w:hint="default" w:ascii="Times New Roman" w:hAnsi="Times New Roman" w:eastAsia="宋体" w:cs="Times New Roman"/>
                <w:b/>
                <w:color w:val="auto"/>
                <w:sz w:val="24"/>
                <w:szCs w:val="24"/>
                <w:highlight w:val="none"/>
              </w:rPr>
              <w:t>、建设项目环境保护“三同时”验收内容</w:t>
            </w:r>
          </w:p>
          <w:p w14:paraId="657C41E3">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建设项目环境保护“三同时”验收内容见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w:t>
            </w:r>
          </w:p>
          <w:p w14:paraId="3EA42BA5">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 xml:space="preserve">4-25 </w:t>
            </w:r>
            <w:r>
              <w:rPr>
                <w:rFonts w:hint="default" w:ascii="Times New Roman" w:hAnsi="Times New Roman" w:eastAsia="宋体" w:cs="Times New Roman"/>
                <w:b/>
                <w:bCs/>
                <w:color w:val="auto"/>
                <w:sz w:val="21"/>
                <w:szCs w:val="21"/>
                <w:highlight w:val="none"/>
              </w:rPr>
              <w:t>建设项目环境保护“三同时”验收一览表</w:t>
            </w:r>
          </w:p>
          <w:tbl>
            <w:tblPr>
              <w:tblStyle w:val="25"/>
              <w:tblW w:w="4997"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28" w:type="dxa"/>
                <w:bottom w:w="0" w:type="dxa"/>
                <w:right w:w="28" w:type="dxa"/>
              </w:tblCellMar>
            </w:tblPr>
            <w:tblGrid>
              <w:gridCol w:w="393"/>
              <w:gridCol w:w="1252"/>
              <w:gridCol w:w="1820"/>
              <w:gridCol w:w="1965"/>
              <w:gridCol w:w="1965"/>
              <w:gridCol w:w="1423"/>
            </w:tblGrid>
            <w:tr w14:paraId="02A99FF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454" w:hRule="atLeast"/>
                <w:jc w:val="center"/>
              </w:trPr>
              <w:tc>
                <w:tcPr>
                  <w:tcW w:w="222" w:type="pct"/>
                  <w:tcBorders>
                    <w:tl2br w:val="nil"/>
                    <w:tr2bl w:val="nil"/>
                  </w:tcBorders>
                  <w:noWrap w:val="0"/>
                  <w:vAlign w:val="center"/>
                </w:tcPr>
                <w:p w14:paraId="2E728C5D">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类别</w:t>
                  </w:r>
                </w:p>
              </w:tc>
              <w:tc>
                <w:tcPr>
                  <w:tcW w:w="709" w:type="pct"/>
                  <w:tcBorders>
                    <w:tl2br w:val="nil"/>
                    <w:tr2bl w:val="nil"/>
                  </w:tcBorders>
                  <w:noWrap w:val="0"/>
                  <w:vAlign w:val="center"/>
                </w:tcPr>
                <w:p w14:paraId="2110C8C2">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污染源</w:t>
                  </w:r>
                </w:p>
              </w:tc>
              <w:tc>
                <w:tcPr>
                  <w:tcW w:w="1031" w:type="pct"/>
                  <w:tcBorders>
                    <w:tl2br w:val="nil"/>
                    <w:tr2bl w:val="nil"/>
                  </w:tcBorders>
                  <w:noWrap w:val="0"/>
                  <w:vAlign w:val="center"/>
                </w:tcPr>
                <w:p w14:paraId="7A9CE7D4">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环保设施名称及治理内容</w:t>
                  </w:r>
                </w:p>
              </w:tc>
              <w:tc>
                <w:tcPr>
                  <w:tcW w:w="1114" w:type="pct"/>
                  <w:tcBorders>
                    <w:tl2br w:val="nil"/>
                    <w:tr2bl w:val="nil"/>
                  </w:tcBorders>
                  <w:noWrap w:val="0"/>
                  <w:vAlign w:val="center"/>
                </w:tcPr>
                <w:p w14:paraId="26AFD0BD">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监测项目、监测点位、监测频次</w:t>
                  </w:r>
                </w:p>
              </w:tc>
              <w:tc>
                <w:tcPr>
                  <w:tcW w:w="1114" w:type="pct"/>
                  <w:tcBorders>
                    <w:tl2br w:val="nil"/>
                    <w:tr2bl w:val="nil"/>
                  </w:tcBorders>
                  <w:noWrap w:val="0"/>
                  <w:vAlign w:val="center"/>
                </w:tcPr>
                <w:p w14:paraId="4ED10E24">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执行标准</w:t>
                  </w:r>
                </w:p>
              </w:tc>
              <w:tc>
                <w:tcPr>
                  <w:tcW w:w="806" w:type="pct"/>
                  <w:tcBorders>
                    <w:tl2br w:val="nil"/>
                    <w:tr2bl w:val="nil"/>
                  </w:tcBorders>
                  <w:noWrap w:val="0"/>
                  <w:vAlign w:val="center"/>
                </w:tcPr>
                <w:p w14:paraId="01B95579">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验收内容</w:t>
                  </w:r>
                </w:p>
              </w:tc>
            </w:tr>
            <w:tr w14:paraId="13659C2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454" w:hRule="atLeast"/>
                <w:jc w:val="center"/>
              </w:trPr>
              <w:tc>
                <w:tcPr>
                  <w:tcW w:w="222" w:type="pct"/>
                  <w:vMerge w:val="restart"/>
                  <w:tcBorders>
                    <w:tl2br w:val="nil"/>
                    <w:tr2bl w:val="nil"/>
                  </w:tcBorders>
                  <w:noWrap w:val="0"/>
                  <w:vAlign w:val="center"/>
                </w:tcPr>
                <w:p w14:paraId="6F6A586D">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固体废物</w:t>
                  </w:r>
                </w:p>
              </w:tc>
              <w:tc>
                <w:tcPr>
                  <w:tcW w:w="709" w:type="pct"/>
                  <w:tcBorders>
                    <w:tl2br w:val="nil"/>
                    <w:tr2bl w:val="nil"/>
                  </w:tcBorders>
                  <w:noWrap w:val="0"/>
                  <w:vAlign w:val="center"/>
                </w:tcPr>
                <w:p w14:paraId="3EE8DEEC">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1031" w:type="pct"/>
                  <w:tcBorders>
                    <w:tl2br w:val="nil"/>
                    <w:tr2bl w:val="nil"/>
                  </w:tcBorders>
                  <w:noWrap w:val="0"/>
                  <w:vAlign w:val="center"/>
                </w:tcPr>
                <w:p w14:paraId="29495429">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1114" w:type="pct"/>
                  <w:tcBorders>
                    <w:tl2br w:val="nil"/>
                    <w:tr2bl w:val="nil"/>
                  </w:tcBorders>
                  <w:noWrap w:val="0"/>
                  <w:vAlign w:val="center"/>
                </w:tcPr>
                <w:p w14:paraId="412BA38C">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1114" w:type="pct"/>
                  <w:tcBorders>
                    <w:tl2br w:val="nil"/>
                    <w:tr2bl w:val="nil"/>
                  </w:tcBorders>
                  <w:noWrap w:val="0"/>
                  <w:vAlign w:val="center"/>
                </w:tcPr>
                <w:p w14:paraId="749578F8">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806" w:type="pct"/>
                  <w:tcBorders>
                    <w:tl2br w:val="nil"/>
                    <w:tr2bl w:val="nil"/>
                  </w:tcBorders>
                  <w:noWrap w:val="0"/>
                  <w:vAlign w:val="center"/>
                </w:tcPr>
                <w:p w14:paraId="376402D7">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p>
              </w:tc>
            </w:tr>
            <w:tr w14:paraId="2AF3258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454" w:hRule="atLeast"/>
                <w:jc w:val="center"/>
              </w:trPr>
              <w:tc>
                <w:tcPr>
                  <w:tcW w:w="222" w:type="pct"/>
                  <w:vMerge w:val="continue"/>
                  <w:tcBorders>
                    <w:tl2br w:val="nil"/>
                    <w:tr2bl w:val="nil"/>
                  </w:tcBorders>
                  <w:noWrap w:val="0"/>
                  <w:vAlign w:val="center"/>
                </w:tcPr>
                <w:p w14:paraId="27135E44">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709" w:type="pct"/>
                  <w:tcBorders>
                    <w:tl2br w:val="nil"/>
                    <w:tr2bl w:val="nil"/>
                  </w:tcBorders>
                  <w:noWrap w:val="0"/>
                  <w:vAlign w:val="center"/>
                </w:tcPr>
                <w:p w14:paraId="2FFAFF5A">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危废库防渗</w:t>
                  </w:r>
                </w:p>
              </w:tc>
              <w:tc>
                <w:tcPr>
                  <w:tcW w:w="1031" w:type="pct"/>
                  <w:tcBorders>
                    <w:tl2br w:val="nil"/>
                    <w:tr2bl w:val="nil"/>
                  </w:tcBorders>
                  <w:noWrap w:val="0"/>
                  <w:vAlign w:val="center"/>
                </w:tcPr>
                <w:p w14:paraId="0261D1AB">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lang w:val="en-US" w:eastAsia="zh-CN" w:bidi="ar"/>
                    </w:rPr>
                    <w:t>利用现有氰化钠库房进行改造，利用库房现有混凝土基础，并铺设2mm厚HDPE防渗膜，上做压光水泥地面保护层并涂刷环氧树脂防护层，渗透系数≤10</w:t>
                  </w:r>
                  <w:r>
                    <w:rPr>
                      <w:rFonts w:hint="default" w:ascii="Times New Roman" w:hAnsi="Times New Roman" w:eastAsia="宋体" w:cs="Times New Roman"/>
                      <w:b w:val="0"/>
                      <w:bCs w:val="0"/>
                      <w:color w:val="auto"/>
                      <w:kern w:val="2"/>
                      <w:sz w:val="21"/>
                      <w:szCs w:val="21"/>
                      <w:vertAlign w:val="superscript"/>
                      <w:lang w:val="en-US" w:eastAsia="zh-CN" w:bidi="ar"/>
                    </w:rPr>
                    <w:t>-10</w:t>
                  </w:r>
                  <w:r>
                    <w:rPr>
                      <w:rFonts w:hint="default" w:ascii="Times New Roman" w:hAnsi="Times New Roman" w:eastAsia="宋体" w:cs="Times New Roman"/>
                      <w:b w:val="0"/>
                      <w:bCs w:val="0"/>
                      <w:color w:val="auto"/>
                      <w:kern w:val="2"/>
                      <w:sz w:val="21"/>
                      <w:szCs w:val="21"/>
                      <w:lang w:val="en-US" w:eastAsia="zh-CN" w:bidi="ar"/>
                    </w:rPr>
                    <w:t>cm/s。设置0.8m高防渗墙裙。周围设置导流槽及集液池，与危废库地面做同样防渗措施。废灰皿、废滤袋、</w:t>
                  </w:r>
                  <w:r>
                    <w:rPr>
                      <w:rFonts w:hint="eastAsia" w:ascii="Times New Roman" w:hAnsi="Times New Roman" w:eastAsia="宋体" w:cs="Times New Roman"/>
                      <w:b w:val="0"/>
                      <w:bCs w:val="0"/>
                      <w:color w:val="auto"/>
                      <w:kern w:val="24"/>
                      <w:sz w:val="21"/>
                      <w:szCs w:val="21"/>
                      <w:lang w:val="en-US" w:eastAsia="zh-CN" w:bidi="ar"/>
                    </w:rPr>
                    <w:t>药剂瓶/药剂废包装</w:t>
                  </w:r>
                  <w:r>
                    <w:rPr>
                      <w:rFonts w:hint="default" w:ascii="Times New Roman" w:hAnsi="Times New Roman" w:eastAsia="宋体" w:cs="Times New Roman"/>
                      <w:b w:val="0"/>
                      <w:bCs w:val="0"/>
                      <w:color w:val="auto"/>
                      <w:kern w:val="24"/>
                      <w:sz w:val="21"/>
                      <w:szCs w:val="21"/>
                      <w:lang w:val="en-US" w:eastAsia="zh-CN" w:bidi="ar"/>
                    </w:rPr>
                    <w:t>、</w:t>
                  </w:r>
                  <w:r>
                    <w:rPr>
                      <w:rFonts w:hint="eastAsia" w:ascii="Times New Roman" w:hAnsi="Times New Roman" w:eastAsia="宋体" w:cs="Times New Roman"/>
                      <w:b w:val="0"/>
                      <w:bCs w:val="0"/>
                      <w:color w:val="auto"/>
                      <w:kern w:val="24"/>
                      <w:sz w:val="21"/>
                      <w:szCs w:val="21"/>
                      <w:lang w:val="en-US" w:eastAsia="zh-CN" w:bidi="ar"/>
                    </w:rPr>
                    <w:t>质检部</w:t>
                  </w:r>
                  <w:r>
                    <w:rPr>
                      <w:rFonts w:hint="default" w:ascii="Times New Roman" w:hAnsi="Times New Roman" w:eastAsia="宋体" w:cs="Times New Roman"/>
                      <w:b w:val="0"/>
                      <w:bCs w:val="0"/>
                      <w:color w:val="auto"/>
                      <w:kern w:val="24"/>
                      <w:sz w:val="21"/>
                      <w:szCs w:val="21"/>
                      <w:lang w:val="en-US" w:eastAsia="zh-CN" w:bidi="ar"/>
                    </w:rPr>
                    <w:t>废液及沾染实验药品的废消耗品、</w:t>
                  </w:r>
                  <w:r>
                    <w:rPr>
                      <w:rFonts w:hint="default" w:ascii="Times New Roman" w:hAnsi="Times New Roman" w:cs="Times New Roman"/>
                      <w:b w:val="0"/>
                      <w:bCs w:val="0"/>
                      <w:color w:val="auto"/>
                      <w:sz w:val="21"/>
                      <w:szCs w:val="21"/>
                      <w:lang w:val="en-US" w:eastAsia="zh-CN"/>
                    </w:rPr>
                    <w:t>实验器具初次清洗废水、</w:t>
                  </w:r>
                  <w:r>
                    <w:rPr>
                      <w:rFonts w:hint="eastAsia" w:ascii="Times New Roman" w:hAnsi="Times New Roman" w:eastAsia="宋体" w:cs="Times New Roman"/>
                      <w:b w:val="0"/>
                      <w:bCs w:val="0"/>
                      <w:color w:val="auto"/>
                      <w:sz w:val="21"/>
                      <w:szCs w:val="21"/>
                      <w:lang w:val="en-US" w:eastAsia="zh-CN"/>
                    </w:rPr>
                    <w:t>试金灰吹系统</w:t>
                  </w:r>
                  <w:r>
                    <w:rPr>
                      <w:rFonts w:hint="default" w:ascii="Times New Roman" w:hAnsi="Times New Roman" w:eastAsia="宋体" w:cs="Times New Roman"/>
                      <w:b w:val="0"/>
                      <w:bCs w:val="0"/>
                      <w:color w:val="auto"/>
                      <w:sz w:val="21"/>
                      <w:szCs w:val="21"/>
                      <w:lang w:val="en-US" w:eastAsia="zh-CN"/>
                    </w:rPr>
                    <w:t>除尘灰</w:t>
                  </w:r>
                  <w:r>
                    <w:rPr>
                      <w:rFonts w:hint="default" w:ascii="Times New Roman" w:hAnsi="Times New Roman" w:cs="Times New Roman"/>
                      <w:b w:val="0"/>
                      <w:bCs w:val="0"/>
                      <w:color w:val="auto"/>
                      <w:sz w:val="21"/>
                      <w:szCs w:val="21"/>
                      <w:lang w:val="en-US" w:eastAsia="zh-CN"/>
                    </w:rPr>
                    <w:t>、水喷淋装置尘泥、</w:t>
                  </w:r>
                  <w:r>
                    <w:rPr>
                      <w:rFonts w:hint="default" w:ascii="Times New Roman" w:hAnsi="Times New Roman" w:eastAsia="宋体" w:cs="Times New Roman"/>
                      <w:b w:val="0"/>
                      <w:bCs w:val="0"/>
                      <w:color w:val="auto"/>
                      <w:sz w:val="21"/>
                      <w:szCs w:val="21"/>
                    </w:rPr>
                    <w:t>废SDG吸附剂</w:t>
                  </w:r>
                  <w:r>
                    <w:rPr>
                      <w:rFonts w:hint="default" w:ascii="Times New Roman" w:hAnsi="Times New Roman" w:eastAsia="宋体" w:cs="Times New Roman"/>
                      <w:b w:val="0"/>
                      <w:bCs w:val="0"/>
                      <w:color w:val="auto"/>
                      <w:sz w:val="21"/>
                      <w:szCs w:val="21"/>
                      <w:lang w:val="en-US" w:eastAsia="zh-CN"/>
                    </w:rPr>
                    <w:t>暂存于危废暂存库定期交由有资质单位拉运处置</w:t>
                  </w:r>
                </w:p>
              </w:tc>
              <w:tc>
                <w:tcPr>
                  <w:tcW w:w="1114" w:type="pct"/>
                  <w:tcBorders>
                    <w:tl2br w:val="nil"/>
                    <w:tr2bl w:val="nil"/>
                  </w:tcBorders>
                  <w:noWrap w:val="0"/>
                  <w:vAlign w:val="center"/>
                </w:tcPr>
                <w:p w14:paraId="7E935826">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w:t>
                  </w:r>
                </w:p>
              </w:tc>
              <w:tc>
                <w:tcPr>
                  <w:tcW w:w="1114" w:type="pct"/>
                  <w:tcBorders>
                    <w:tl2br w:val="nil"/>
                    <w:tr2bl w:val="nil"/>
                  </w:tcBorders>
                  <w:noWrap w:val="0"/>
                  <w:vAlign w:val="center"/>
                </w:tcPr>
                <w:p w14:paraId="720267DF">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lang w:val="en-US" w:eastAsia="zh-CN"/>
                    </w:rPr>
                    <w:t>《危险废物贮存污染控制标准》（GB18597-2023）</w:t>
                  </w:r>
                </w:p>
              </w:tc>
              <w:tc>
                <w:tcPr>
                  <w:tcW w:w="806" w:type="pct"/>
                  <w:tcBorders>
                    <w:tl2br w:val="nil"/>
                    <w:tr2bl w:val="nil"/>
                  </w:tcBorders>
                  <w:noWrap w:val="0"/>
                  <w:vAlign w:val="center"/>
                </w:tcPr>
                <w:p w14:paraId="7CD1D180">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lang w:val="en-US" w:eastAsia="zh-CN"/>
                    </w:rPr>
                    <w:t>危险废物暂存间防渗、防漏、防风、防淋、防漫流等措施；标识合规性、危险废物委托处理合同及危废备案情况等</w:t>
                  </w:r>
                </w:p>
              </w:tc>
            </w:tr>
            <w:tr w14:paraId="248466E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454" w:hRule="atLeast"/>
                <w:jc w:val="center"/>
              </w:trPr>
              <w:tc>
                <w:tcPr>
                  <w:tcW w:w="222" w:type="pct"/>
                  <w:vMerge w:val="continue"/>
                  <w:tcBorders>
                    <w:tl2br w:val="nil"/>
                    <w:tr2bl w:val="nil"/>
                  </w:tcBorders>
                  <w:noWrap w:val="0"/>
                  <w:vAlign w:val="center"/>
                </w:tcPr>
                <w:p w14:paraId="4AC9A5BE">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p>
              </w:tc>
              <w:tc>
                <w:tcPr>
                  <w:tcW w:w="709" w:type="pct"/>
                  <w:tcBorders>
                    <w:tl2br w:val="nil"/>
                    <w:tr2bl w:val="nil"/>
                  </w:tcBorders>
                  <w:noWrap w:val="0"/>
                  <w:vAlign w:val="center"/>
                </w:tcPr>
                <w:p w14:paraId="70FC010B">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生活垃圾</w:t>
                  </w:r>
                </w:p>
              </w:tc>
              <w:tc>
                <w:tcPr>
                  <w:tcW w:w="1031" w:type="pct"/>
                  <w:tcBorders>
                    <w:tl2br w:val="nil"/>
                    <w:tr2bl w:val="nil"/>
                  </w:tcBorders>
                  <w:noWrap w:val="0"/>
                  <w:vAlign w:val="center"/>
                </w:tcPr>
                <w:p w14:paraId="3C9A2784">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交由环卫部门清运处理</w:t>
                  </w:r>
                </w:p>
              </w:tc>
              <w:tc>
                <w:tcPr>
                  <w:tcW w:w="1114" w:type="pct"/>
                  <w:tcBorders>
                    <w:tl2br w:val="nil"/>
                    <w:tr2bl w:val="nil"/>
                  </w:tcBorders>
                  <w:noWrap w:val="0"/>
                  <w:vAlign w:val="center"/>
                </w:tcPr>
                <w:p w14:paraId="10C27DDB">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w:t>
                  </w:r>
                </w:p>
              </w:tc>
              <w:tc>
                <w:tcPr>
                  <w:tcW w:w="1114" w:type="pct"/>
                  <w:tcBorders>
                    <w:tl2br w:val="nil"/>
                    <w:tr2bl w:val="nil"/>
                  </w:tcBorders>
                  <w:noWrap w:val="0"/>
                  <w:vAlign w:val="center"/>
                </w:tcPr>
                <w:p w14:paraId="091B3251">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806" w:type="pct"/>
                  <w:tcBorders>
                    <w:tl2br w:val="nil"/>
                    <w:tr2bl w:val="nil"/>
                  </w:tcBorders>
                  <w:noWrap w:val="0"/>
                  <w:vAlign w:val="center"/>
                </w:tcPr>
                <w:p w14:paraId="5A00FEF6">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生活垃圾处理合同</w:t>
                  </w:r>
                </w:p>
              </w:tc>
            </w:tr>
            <w:tr w14:paraId="0420F37B">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454" w:hRule="atLeast"/>
                <w:jc w:val="center"/>
              </w:trPr>
              <w:tc>
                <w:tcPr>
                  <w:tcW w:w="222" w:type="pct"/>
                  <w:tcBorders>
                    <w:tl2br w:val="nil"/>
                    <w:tr2bl w:val="nil"/>
                  </w:tcBorders>
                  <w:noWrap w:val="0"/>
                  <w:vAlign w:val="center"/>
                </w:tcPr>
                <w:p w14:paraId="72A2CC62">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噪声</w:t>
                  </w:r>
                </w:p>
              </w:tc>
              <w:tc>
                <w:tcPr>
                  <w:tcW w:w="709" w:type="pct"/>
                  <w:tcBorders>
                    <w:tl2br w:val="nil"/>
                    <w:tr2bl w:val="nil"/>
                  </w:tcBorders>
                  <w:noWrap w:val="0"/>
                  <w:vAlign w:val="center"/>
                </w:tcPr>
                <w:p w14:paraId="706F95CA">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设备噪声</w:t>
                  </w:r>
                </w:p>
              </w:tc>
              <w:tc>
                <w:tcPr>
                  <w:tcW w:w="1031" w:type="pct"/>
                  <w:tcBorders>
                    <w:tl2br w:val="nil"/>
                    <w:tr2bl w:val="nil"/>
                  </w:tcBorders>
                  <w:noWrap w:val="0"/>
                  <w:vAlign w:val="center"/>
                </w:tcPr>
                <w:p w14:paraId="1ACF2D84">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消声等</w:t>
                  </w:r>
                </w:p>
              </w:tc>
              <w:tc>
                <w:tcPr>
                  <w:tcW w:w="1114" w:type="pct"/>
                  <w:tcBorders>
                    <w:tl2br w:val="nil"/>
                    <w:tr2bl w:val="nil"/>
                  </w:tcBorders>
                  <w:noWrap w:val="0"/>
                  <w:vAlign w:val="center"/>
                </w:tcPr>
                <w:p w14:paraId="45B03CBD">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监测项目：噪声</w:t>
                  </w:r>
                </w:p>
                <w:p w14:paraId="36620692">
                  <w:pPr>
                    <w:bidi w:val="0"/>
                    <w:jc w:val="both"/>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监测点位：</w:t>
                  </w:r>
                  <w:r>
                    <w:rPr>
                      <w:rFonts w:hint="default" w:ascii="Times New Roman" w:hAnsi="Times New Roman" w:cs="Times New Roman"/>
                      <w:b w:val="0"/>
                      <w:bCs/>
                      <w:color w:val="auto"/>
                      <w:kern w:val="0"/>
                      <w:sz w:val="21"/>
                      <w:szCs w:val="21"/>
                      <w:highlight w:val="none"/>
                      <w:lang w:val="en-US" w:eastAsia="zh-CN"/>
                    </w:rPr>
                    <w:t>四周厂界外1m处</w:t>
                  </w:r>
                </w:p>
                <w:p w14:paraId="0AF2A731">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both"/>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监测频次：连续监测2日，每日1次</w:t>
                  </w:r>
                </w:p>
              </w:tc>
              <w:tc>
                <w:tcPr>
                  <w:tcW w:w="1114" w:type="pct"/>
                  <w:tcBorders>
                    <w:tl2br w:val="nil"/>
                    <w:tr2bl w:val="nil"/>
                  </w:tcBorders>
                  <w:noWrap w:val="0"/>
                  <w:vAlign w:val="center"/>
                </w:tcPr>
                <w:p w14:paraId="5C91443A">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《工业企业厂界环境噪声排放标准》（GB12348-2008）</w:t>
                  </w:r>
                  <w:r>
                    <w:rPr>
                      <w:rFonts w:hint="eastAsia" w:ascii="Times New Roman" w:hAnsi="Times New Roman" w:eastAsia="宋体" w:cs="Times New Roman"/>
                      <w:b w:val="0"/>
                      <w:bCs/>
                      <w:color w:val="auto"/>
                      <w:sz w:val="21"/>
                      <w:szCs w:val="21"/>
                      <w:highlight w:val="none"/>
                      <w:lang w:val="en-US" w:eastAsia="zh-CN"/>
                    </w:rPr>
                    <w:t>2类标准</w:t>
                  </w:r>
                </w:p>
              </w:tc>
              <w:tc>
                <w:tcPr>
                  <w:tcW w:w="806" w:type="pct"/>
                  <w:tcBorders>
                    <w:tl2br w:val="nil"/>
                    <w:tr2bl w:val="nil"/>
                  </w:tcBorders>
                  <w:noWrap w:val="0"/>
                  <w:vAlign w:val="center"/>
                </w:tcPr>
                <w:p w14:paraId="247C5CAB">
                  <w:pPr>
                    <w:pStyle w:val="82"/>
                    <w:keepNext w:val="0"/>
                    <w:keepLines w:val="0"/>
                    <w:pageBreakBefore w:val="0"/>
                    <w:widowControl w:val="0"/>
                    <w:kinsoku/>
                    <w:wordWrap/>
                    <w:overflowPunct/>
                    <w:topLinePunct w:val="0"/>
                    <w:autoSpaceDE w:val="0"/>
                    <w:autoSpaceDN w:val="0"/>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降噪措施落实情况、厂界达标情况</w:t>
                  </w:r>
                </w:p>
              </w:tc>
            </w:tr>
          </w:tbl>
          <w:p w14:paraId="78EA73BE">
            <w:pPr>
              <w:adjustRightInd w:val="0"/>
              <w:snapToGrid w:val="0"/>
              <w:rPr>
                <w:rFonts w:hint="default" w:ascii="Times New Roman" w:hAnsi="Times New Roman" w:eastAsia="宋体" w:cs="Times New Roman"/>
                <w:bCs/>
                <w:color w:val="auto"/>
                <w:spacing w:val="-10"/>
                <w:sz w:val="24"/>
                <w:szCs w:val="24"/>
                <w:highlight w:val="none"/>
              </w:rPr>
            </w:pPr>
          </w:p>
        </w:tc>
      </w:tr>
    </w:tbl>
    <w:p w14:paraId="71548EB4">
      <w:pPr>
        <w:adjustRightInd w:val="0"/>
        <w:snapToGrid w:val="0"/>
        <w:spacing w:line="360" w:lineRule="auto"/>
        <w:rPr>
          <w:rFonts w:hint="default" w:ascii="Times New Roman" w:hAnsi="Times New Roman" w:eastAsia="宋体" w:cs="Times New Roman"/>
          <w:b/>
          <w:color w:val="auto"/>
          <w:kern w:val="0"/>
          <w:sz w:val="28"/>
          <w:szCs w:val="28"/>
          <w:highlight w:val="none"/>
        </w:rPr>
        <w:sectPr>
          <w:pgSz w:w="11907" w:h="16840"/>
          <w:pgMar w:top="1701" w:right="1304" w:bottom="1701" w:left="1304"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5E67C6B1">
      <w:pPr>
        <w:pStyle w:val="23"/>
        <w:jc w:val="center"/>
        <w:outlineLvl w:val="0"/>
        <w:rPr>
          <w:rFonts w:hint="default" w:ascii="Times New Roman" w:hAnsi="Times New Roman" w:eastAsia="宋体" w:cs="Times New Roman"/>
          <w:snapToGrid w:val="0"/>
          <w:color w:val="auto"/>
          <w:sz w:val="30"/>
          <w:szCs w:val="30"/>
          <w:highlight w:val="none"/>
        </w:rPr>
      </w:pPr>
      <w:r>
        <w:rPr>
          <w:rFonts w:hint="default" w:ascii="Times New Roman" w:hAnsi="Times New Roman" w:eastAsia="宋体" w:cs="Times New Roman"/>
          <w:snapToGrid w:val="0"/>
          <w:color w:val="auto"/>
          <w:sz w:val="30"/>
          <w:szCs w:val="30"/>
          <w:highlight w:val="none"/>
        </w:rPr>
        <w:t>五、</w:t>
      </w:r>
      <w:bookmarkStart w:id="2" w:name="_Hlk54167917"/>
      <w:r>
        <w:rPr>
          <w:rFonts w:hint="default" w:ascii="Times New Roman" w:hAnsi="Times New Roman" w:eastAsia="宋体" w:cs="Times New Roman"/>
          <w:snapToGrid w:val="0"/>
          <w:color w:val="auto"/>
          <w:sz w:val="30"/>
          <w:szCs w:val="30"/>
          <w:highlight w:val="none"/>
        </w:rPr>
        <w:t>环境保护措施监督检查清单</w:t>
      </w:r>
      <w:bookmarkEnd w:id="2"/>
    </w:p>
    <w:tbl>
      <w:tblPr>
        <w:tblStyle w:val="77"/>
        <w:tblW w:w="5251"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791"/>
        <w:gridCol w:w="2654"/>
        <w:gridCol w:w="1198"/>
        <w:gridCol w:w="1723"/>
        <w:gridCol w:w="2586"/>
      </w:tblGrid>
      <w:tr w14:paraId="63D6927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442" w:type="pct"/>
            <w:tcBorders>
              <w:tl2br w:val="nil"/>
              <w:tr2bl w:val="nil"/>
            </w:tcBorders>
            <w:noWrap w:val="0"/>
            <w:vAlign w:val="center"/>
          </w:tcPr>
          <w:p w14:paraId="46CC1F21">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60288" behindDoc="0" locked="0" layoutInCell="1" allowOverlap="1">
                      <wp:simplePos x="0" y="0"/>
                      <wp:positionH relativeFrom="column">
                        <wp:posOffset>-5080</wp:posOffset>
                      </wp:positionH>
                      <wp:positionV relativeFrom="paragraph">
                        <wp:posOffset>-3175</wp:posOffset>
                      </wp:positionV>
                      <wp:extent cx="493395" cy="363220"/>
                      <wp:effectExtent l="2540" t="3810" r="18415" b="13970"/>
                      <wp:wrapNone/>
                      <wp:docPr id="2" name="直线 228"/>
                      <wp:cNvGraphicFramePr/>
                      <a:graphic xmlns:a="http://schemas.openxmlformats.org/drawingml/2006/main">
                        <a:graphicData uri="http://schemas.microsoft.com/office/word/2010/wordprocessingShape">
                          <wps:wsp>
                            <wps:cNvSpPr/>
                            <wps:spPr>
                              <a:xfrm>
                                <a:off x="0" y="0"/>
                                <a:ext cx="493395" cy="36322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228" o:spid="_x0000_s1026" o:spt="20" style="position:absolute;left:0pt;margin-left:-0.4pt;margin-top:-0.25pt;height:28.6pt;width:38.85pt;z-index:251660288;mso-width-relative:page;mso-height-relative:page;" filled="f" stroked="t" coordsize="21600,21600" o:gfxdata="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a&#10;oufUAAAABQEAAA8AAAAAAAAAAQAgAAAAIgAAAGRycy9kb3ducmV2LnhtbFBLAQIUABQAAAAIAIdO&#10;4kAOWMZi7gEAAOEDAAAOAAAAAAAAAAEAIAAAACMBAABkcnMvZTJvRG9jLnhtbFBLBQYAAAAABgAG&#10;AFkBAACDBQ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pacing w:val="-8"/>
                <w:sz w:val="21"/>
                <w:szCs w:val="21"/>
                <w:highlight w:val="none"/>
                <w:lang w:val="en-US" w:eastAsia="zh-CN"/>
              </w:rPr>
              <w:t xml:space="preserve">    </w:t>
            </w:r>
            <w:r>
              <w:rPr>
                <w:rFonts w:hint="default" w:ascii="Times New Roman" w:hAnsi="Times New Roman" w:eastAsia="宋体" w:cs="Times New Roman"/>
                <w:color w:val="auto"/>
                <w:spacing w:val="-8"/>
                <w:sz w:val="21"/>
                <w:szCs w:val="21"/>
                <w:highlight w:val="none"/>
              </w:rPr>
              <w:t>内容</w:t>
            </w:r>
          </w:p>
          <w:p w14:paraId="03B42733">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要素</w:t>
            </w:r>
          </w:p>
        </w:tc>
        <w:tc>
          <w:tcPr>
            <w:tcW w:w="1482" w:type="pct"/>
            <w:tcBorders>
              <w:tl2br w:val="nil"/>
              <w:tr2bl w:val="nil"/>
            </w:tcBorders>
            <w:noWrap w:val="0"/>
            <w:vAlign w:val="center"/>
          </w:tcPr>
          <w:p w14:paraId="14C11C7F">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排放口</w:t>
            </w:r>
            <w:r>
              <w:rPr>
                <w:rFonts w:hint="default" w:ascii="Times New Roman" w:hAnsi="Times New Roman" w:cs="Times New Roman"/>
                <w:color w:val="auto"/>
                <w:spacing w:val="-6"/>
                <w:sz w:val="21"/>
                <w:szCs w:val="21"/>
                <w:highlight w:val="none"/>
                <w:lang w:eastAsia="zh-CN"/>
              </w:rPr>
              <w:t>（</w:t>
            </w:r>
            <w:r>
              <w:rPr>
                <w:rFonts w:hint="default" w:ascii="Times New Roman" w:hAnsi="Times New Roman" w:eastAsia="宋体" w:cs="Times New Roman"/>
                <w:color w:val="auto"/>
                <w:spacing w:val="-6"/>
                <w:sz w:val="21"/>
                <w:szCs w:val="21"/>
                <w:highlight w:val="none"/>
              </w:rPr>
              <w:t>编号、</w:t>
            </w:r>
            <w:r>
              <w:rPr>
                <w:rFonts w:hint="default" w:ascii="Times New Roman" w:hAnsi="Times New Roman" w:eastAsia="宋体" w:cs="Times New Roman"/>
                <w:color w:val="auto"/>
                <w:spacing w:val="-1"/>
                <w:sz w:val="21"/>
                <w:szCs w:val="21"/>
                <w:highlight w:val="none"/>
              </w:rPr>
              <w:t>名称</w:t>
            </w:r>
            <w:r>
              <w:rPr>
                <w:rFonts w:hint="default" w:ascii="Times New Roman" w:hAnsi="Times New Roman" w:cs="Times New Roman"/>
                <w:color w:val="auto"/>
                <w:spacing w:val="-1"/>
                <w:sz w:val="21"/>
                <w:szCs w:val="21"/>
                <w:highlight w:val="none"/>
                <w:lang w:eastAsia="zh-CN"/>
              </w:rPr>
              <w:t>）</w:t>
            </w:r>
            <w:r>
              <w:rPr>
                <w:rFonts w:hint="default" w:ascii="Times New Roman" w:hAnsi="Times New Roman" w:eastAsia="宋体" w:cs="Times New Roman"/>
                <w:color w:val="auto"/>
                <w:spacing w:val="-1"/>
                <w:sz w:val="21"/>
                <w:szCs w:val="21"/>
                <w:highlight w:val="none"/>
              </w:rPr>
              <w:t>/污染源</w:t>
            </w:r>
          </w:p>
        </w:tc>
        <w:tc>
          <w:tcPr>
            <w:tcW w:w="669" w:type="pct"/>
            <w:tcBorders>
              <w:tl2br w:val="nil"/>
              <w:tr2bl w:val="nil"/>
            </w:tcBorders>
            <w:noWrap w:val="0"/>
            <w:vAlign w:val="center"/>
          </w:tcPr>
          <w:p w14:paraId="359469E6">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污染物项目</w:t>
            </w:r>
          </w:p>
        </w:tc>
        <w:tc>
          <w:tcPr>
            <w:tcW w:w="962" w:type="pct"/>
            <w:tcBorders>
              <w:tl2br w:val="nil"/>
              <w:tr2bl w:val="nil"/>
            </w:tcBorders>
            <w:noWrap w:val="0"/>
            <w:vAlign w:val="center"/>
          </w:tcPr>
          <w:p w14:paraId="6C036A12">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环境保护措施</w:t>
            </w:r>
          </w:p>
        </w:tc>
        <w:tc>
          <w:tcPr>
            <w:tcW w:w="1442" w:type="pct"/>
            <w:tcBorders>
              <w:tl2br w:val="nil"/>
              <w:tr2bl w:val="nil"/>
            </w:tcBorders>
            <w:noWrap w:val="0"/>
            <w:vAlign w:val="center"/>
          </w:tcPr>
          <w:p w14:paraId="7E25566B">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执行标准</w:t>
            </w:r>
          </w:p>
        </w:tc>
      </w:tr>
      <w:tr w14:paraId="7019234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02" w:hRule="atLeast"/>
        </w:trPr>
        <w:tc>
          <w:tcPr>
            <w:tcW w:w="442" w:type="pct"/>
            <w:vMerge w:val="restart"/>
            <w:tcBorders>
              <w:tl2br w:val="nil"/>
              <w:tr2bl w:val="nil"/>
            </w:tcBorders>
            <w:noWrap w:val="0"/>
            <w:vAlign w:val="center"/>
          </w:tcPr>
          <w:p w14:paraId="71D09C53">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大气环境</w:t>
            </w:r>
          </w:p>
        </w:tc>
        <w:tc>
          <w:tcPr>
            <w:tcW w:w="1482" w:type="pct"/>
            <w:tcBorders>
              <w:tl2br w:val="nil"/>
              <w:tr2bl w:val="nil"/>
            </w:tcBorders>
            <w:noWrap w:val="0"/>
            <w:vAlign w:val="center"/>
          </w:tcPr>
          <w:p w14:paraId="29903B66">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669" w:type="pct"/>
            <w:tcBorders>
              <w:tl2br w:val="nil"/>
              <w:tr2bl w:val="nil"/>
            </w:tcBorders>
            <w:noWrap w:val="0"/>
            <w:vAlign w:val="center"/>
          </w:tcPr>
          <w:p w14:paraId="786E5D9C">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962" w:type="pct"/>
            <w:vMerge w:val="restart"/>
            <w:tcBorders>
              <w:tl2br w:val="nil"/>
              <w:tr2bl w:val="nil"/>
            </w:tcBorders>
            <w:noWrap w:val="0"/>
            <w:vAlign w:val="center"/>
          </w:tcPr>
          <w:p w14:paraId="1909A1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442" w:type="pct"/>
            <w:vMerge w:val="restart"/>
            <w:tcBorders>
              <w:tl2br w:val="nil"/>
              <w:tr2bl w:val="nil"/>
            </w:tcBorders>
            <w:noWrap w:val="0"/>
            <w:vAlign w:val="center"/>
          </w:tcPr>
          <w:p w14:paraId="3002E36A">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14:paraId="4266CD8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68" w:hRule="atLeast"/>
        </w:trPr>
        <w:tc>
          <w:tcPr>
            <w:tcW w:w="442" w:type="pct"/>
            <w:tcBorders>
              <w:tl2br w:val="nil"/>
              <w:tr2bl w:val="nil"/>
            </w:tcBorders>
            <w:noWrap w:val="0"/>
            <w:vAlign w:val="center"/>
          </w:tcPr>
          <w:p w14:paraId="0E01652C">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地表水环境</w:t>
            </w:r>
          </w:p>
        </w:tc>
        <w:tc>
          <w:tcPr>
            <w:tcW w:w="1482" w:type="pct"/>
            <w:tcBorders>
              <w:tl2br w:val="nil"/>
              <w:tr2bl w:val="nil"/>
            </w:tcBorders>
            <w:noWrap w:val="0"/>
            <w:vAlign w:val="center"/>
          </w:tcPr>
          <w:p w14:paraId="5F615F3D">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highlight w:val="none"/>
                <w:lang w:val="en-US" w:eastAsia="zh-CN"/>
              </w:rPr>
            </w:pPr>
            <w:r>
              <w:rPr>
                <w:rFonts w:hint="eastAsia" w:ascii="Times New Roman" w:hAnsi="Times New Roman" w:cs="Times New Roman"/>
                <w:color w:val="auto"/>
                <w:spacing w:val="-2"/>
                <w:sz w:val="21"/>
                <w:szCs w:val="21"/>
                <w:highlight w:val="none"/>
                <w:lang w:val="en-US" w:eastAsia="zh-CN"/>
              </w:rPr>
              <w:t>/</w:t>
            </w:r>
          </w:p>
        </w:tc>
        <w:tc>
          <w:tcPr>
            <w:tcW w:w="669" w:type="pct"/>
            <w:tcBorders>
              <w:tl2br w:val="nil"/>
              <w:tr2bl w:val="nil"/>
            </w:tcBorders>
            <w:noWrap w:val="0"/>
            <w:vAlign w:val="center"/>
          </w:tcPr>
          <w:p w14:paraId="4601B809">
            <w:pPr>
              <w:pStyle w:val="5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962" w:type="pct"/>
            <w:tcBorders>
              <w:tl2br w:val="nil"/>
              <w:tr2bl w:val="nil"/>
            </w:tcBorders>
            <w:noWrap w:val="0"/>
            <w:vAlign w:val="center"/>
          </w:tcPr>
          <w:p w14:paraId="506C7011">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1442" w:type="pct"/>
            <w:tcBorders>
              <w:tl2br w:val="nil"/>
              <w:tr2bl w:val="nil"/>
            </w:tcBorders>
            <w:noWrap w:val="0"/>
            <w:vAlign w:val="center"/>
          </w:tcPr>
          <w:p w14:paraId="02D0441D">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14:paraId="09996E3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442" w:type="pct"/>
            <w:tcBorders>
              <w:tl2br w:val="nil"/>
              <w:tr2bl w:val="nil"/>
            </w:tcBorders>
            <w:noWrap w:val="0"/>
            <w:vAlign w:val="center"/>
          </w:tcPr>
          <w:p w14:paraId="278B7A0E">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声环境</w:t>
            </w:r>
          </w:p>
        </w:tc>
        <w:tc>
          <w:tcPr>
            <w:tcW w:w="1482" w:type="pct"/>
            <w:tcBorders>
              <w:tl2br w:val="nil"/>
              <w:tr2bl w:val="nil"/>
            </w:tcBorders>
            <w:noWrap w:val="0"/>
            <w:vAlign w:val="center"/>
          </w:tcPr>
          <w:p w14:paraId="6830CEB3">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生产设备</w:t>
            </w:r>
          </w:p>
        </w:tc>
        <w:tc>
          <w:tcPr>
            <w:tcW w:w="669" w:type="pct"/>
            <w:tcBorders>
              <w:tl2br w:val="nil"/>
              <w:tr2bl w:val="nil"/>
            </w:tcBorders>
            <w:noWrap w:val="0"/>
            <w:vAlign w:val="center"/>
          </w:tcPr>
          <w:p w14:paraId="4994198D">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噪声</w:t>
            </w:r>
          </w:p>
        </w:tc>
        <w:tc>
          <w:tcPr>
            <w:tcW w:w="962" w:type="pct"/>
            <w:tcBorders>
              <w:tl2br w:val="nil"/>
              <w:tr2bl w:val="nil"/>
            </w:tcBorders>
            <w:noWrap w:val="0"/>
            <w:vAlign w:val="center"/>
          </w:tcPr>
          <w:p w14:paraId="2E272D89">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1"/>
                <w:sz w:val="21"/>
                <w:szCs w:val="21"/>
                <w:highlight w:val="none"/>
              </w:rPr>
              <w:t>采用低噪声设</w:t>
            </w:r>
            <w:r>
              <w:rPr>
                <w:rFonts w:hint="default" w:ascii="Times New Roman" w:hAnsi="Times New Roman" w:eastAsia="宋体" w:cs="Times New Roman"/>
                <w:color w:val="auto"/>
                <w:spacing w:val="-2"/>
                <w:sz w:val="21"/>
                <w:szCs w:val="21"/>
                <w:highlight w:val="none"/>
              </w:rPr>
              <w:t>备、</w:t>
            </w:r>
            <w:r>
              <w:rPr>
                <w:rFonts w:hint="eastAsia" w:ascii="Times New Roman" w:hAnsi="Times New Roman" w:cs="Times New Roman"/>
                <w:color w:val="auto"/>
                <w:spacing w:val="-2"/>
                <w:sz w:val="21"/>
                <w:szCs w:val="21"/>
                <w:highlight w:val="none"/>
                <w:lang w:val="en-US" w:eastAsia="zh-CN"/>
              </w:rPr>
              <w:t>消声等措施</w:t>
            </w:r>
          </w:p>
        </w:tc>
        <w:tc>
          <w:tcPr>
            <w:tcW w:w="1442" w:type="pct"/>
            <w:tcBorders>
              <w:tl2br w:val="nil"/>
              <w:tr2bl w:val="nil"/>
            </w:tcBorders>
            <w:noWrap w:val="0"/>
            <w:vAlign w:val="center"/>
          </w:tcPr>
          <w:p w14:paraId="66522EA3">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《工业企业厂界环境噪声标准》（GB12348-2008）</w:t>
            </w:r>
            <w:r>
              <w:rPr>
                <w:rFonts w:hint="default" w:ascii="Times New Roman" w:hAnsi="Times New Roman" w:cs="Times New Roman"/>
                <w:color w:val="auto"/>
                <w:spacing w:val="-1"/>
                <w:sz w:val="21"/>
                <w:szCs w:val="21"/>
                <w:highlight w:val="none"/>
                <w:lang w:val="en-US" w:eastAsia="zh-CN"/>
              </w:rPr>
              <w:t>2</w:t>
            </w:r>
            <w:r>
              <w:rPr>
                <w:rFonts w:hint="default" w:ascii="Times New Roman" w:hAnsi="Times New Roman" w:eastAsia="宋体" w:cs="Times New Roman"/>
                <w:color w:val="auto"/>
                <w:spacing w:val="-1"/>
                <w:sz w:val="21"/>
                <w:szCs w:val="21"/>
                <w:highlight w:val="none"/>
              </w:rPr>
              <w:t>类标准</w:t>
            </w:r>
          </w:p>
        </w:tc>
      </w:tr>
      <w:tr w14:paraId="32F385D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442" w:type="pct"/>
            <w:tcBorders>
              <w:tl2br w:val="nil"/>
              <w:tr2bl w:val="nil"/>
            </w:tcBorders>
            <w:noWrap w:val="0"/>
            <w:vAlign w:val="center"/>
          </w:tcPr>
          <w:p w14:paraId="7DCDBFE8">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8"/>
                <w:sz w:val="21"/>
                <w:szCs w:val="21"/>
                <w:highlight w:val="none"/>
              </w:rPr>
              <w:t>电磁辐射</w:t>
            </w:r>
          </w:p>
        </w:tc>
        <w:tc>
          <w:tcPr>
            <w:tcW w:w="1482" w:type="pct"/>
            <w:tcBorders>
              <w:tl2br w:val="nil"/>
              <w:tr2bl w:val="nil"/>
            </w:tcBorders>
            <w:noWrap w:val="0"/>
            <w:vAlign w:val="center"/>
          </w:tcPr>
          <w:p w14:paraId="27AE6392">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669" w:type="pct"/>
            <w:tcBorders>
              <w:tl2br w:val="nil"/>
              <w:tr2bl w:val="nil"/>
            </w:tcBorders>
            <w:noWrap w:val="0"/>
            <w:vAlign w:val="center"/>
          </w:tcPr>
          <w:p w14:paraId="3AEDA03D">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62" w:type="pct"/>
            <w:tcBorders>
              <w:tl2br w:val="nil"/>
              <w:tr2bl w:val="nil"/>
            </w:tcBorders>
            <w:noWrap w:val="0"/>
            <w:vAlign w:val="center"/>
          </w:tcPr>
          <w:p w14:paraId="5CCC068A">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442" w:type="pct"/>
            <w:tcBorders>
              <w:tl2br w:val="nil"/>
              <w:tr2bl w:val="nil"/>
            </w:tcBorders>
            <w:noWrap w:val="0"/>
            <w:vAlign w:val="center"/>
          </w:tcPr>
          <w:p w14:paraId="5C76194F">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4A46E33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89" w:hRule="atLeast"/>
        </w:trPr>
        <w:tc>
          <w:tcPr>
            <w:tcW w:w="442" w:type="pct"/>
            <w:tcBorders>
              <w:tl2br w:val="nil"/>
              <w:tr2bl w:val="nil"/>
            </w:tcBorders>
            <w:noWrap w:val="0"/>
            <w:vAlign w:val="center"/>
          </w:tcPr>
          <w:p w14:paraId="23BBB0B1">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pacing w:val="-6"/>
                <w:sz w:val="21"/>
                <w:szCs w:val="21"/>
                <w:highlight w:val="none"/>
              </w:rPr>
              <w:t>固体废物</w:t>
            </w:r>
          </w:p>
        </w:tc>
        <w:tc>
          <w:tcPr>
            <w:tcW w:w="4557" w:type="pct"/>
            <w:gridSpan w:val="4"/>
            <w:tcBorders>
              <w:tl2br w:val="nil"/>
              <w:tr2bl w:val="nil"/>
            </w:tcBorders>
            <w:noWrap w:val="0"/>
            <w:vAlign w:val="center"/>
          </w:tcPr>
          <w:p w14:paraId="31F458DE">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0000FF"/>
                <w:sz w:val="21"/>
                <w:szCs w:val="21"/>
                <w:highlight w:val="none"/>
                <w:lang w:val="en-US"/>
              </w:rPr>
            </w:pPr>
            <w:r>
              <w:rPr>
                <w:rFonts w:hint="eastAsia" w:ascii="Times New Roman" w:hAnsi="Times New Roman" w:eastAsia="宋体" w:cs="Times New Roman"/>
                <w:color w:val="0000FF"/>
                <w:spacing w:val="-1"/>
                <w:sz w:val="21"/>
                <w:szCs w:val="21"/>
                <w:highlight w:val="none"/>
                <w:lang w:val="en-US" w:eastAsia="zh-CN"/>
              </w:rPr>
              <w:t>按照</w:t>
            </w:r>
            <w:r>
              <w:rPr>
                <w:rFonts w:hint="default" w:ascii="Times New Roman" w:hAnsi="Times New Roman" w:eastAsia="宋体" w:cs="Times New Roman"/>
                <w:color w:val="0000FF"/>
                <w:spacing w:val="-1"/>
                <w:sz w:val="21"/>
                <w:szCs w:val="21"/>
                <w:highlight w:val="none"/>
                <w:lang w:val="en-US" w:eastAsia="zh-CN"/>
              </w:rPr>
              <w:t>《危险废物贮存污染控制标准》（GB18597-2023）</w:t>
            </w:r>
            <w:r>
              <w:rPr>
                <w:rFonts w:hint="eastAsia" w:ascii="Times New Roman" w:hAnsi="Times New Roman" w:eastAsia="宋体" w:cs="Times New Roman"/>
                <w:color w:val="0000FF"/>
                <w:spacing w:val="-1"/>
                <w:sz w:val="21"/>
                <w:szCs w:val="21"/>
                <w:highlight w:val="none"/>
                <w:lang w:val="en-US" w:eastAsia="zh-CN"/>
              </w:rPr>
              <w:t>对危废的贮存、转运等过程进行管理</w:t>
            </w:r>
          </w:p>
        </w:tc>
      </w:tr>
      <w:tr w14:paraId="7B0C4F1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442" w:type="pct"/>
            <w:tcBorders>
              <w:tl2br w:val="nil"/>
              <w:tr2bl w:val="nil"/>
            </w:tcBorders>
            <w:noWrap w:val="0"/>
            <w:vAlign w:val="center"/>
          </w:tcPr>
          <w:p w14:paraId="18E01BC7">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土壤及地下水污染防治措施</w:t>
            </w:r>
          </w:p>
        </w:tc>
        <w:tc>
          <w:tcPr>
            <w:tcW w:w="4557" w:type="pct"/>
            <w:gridSpan w:val="4"/>
            <w:tcBorders>
              <w:tl2br w:val="nil"/>
              <w:tr2bl w:val="nil"/>
            </w:tcBorders>
            <w:noWrap w:val="0"/>
            <w:vAlign w:val="center"/>
          </w:tcPr>
          <w:p w14:paraId="1ACECEDB">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bidi="ar-SA"/>
              </w:rPr>
              <w:t>危废暂存间为重点防渗区，防渗做法为利用库房现有混凝土基础，并铺设 2mm 厚HDPE 防渗膜，上做压光水泥地面保护层并涂刷环氧树脂防护层，渗透系数≤10</w:t>
            </w:r>
            <w:r>
              <w:rPr>
                <w:rFonts w:hint="default" w:ascii="Times New Roman" w:hAnsi="Times New Roman" w:cs="Times New Roman"/>
                <w:color w:val="auto"/>
                <w:kern w:val="0"/>
                <w:sz w:val="21"/>
                <w:szCs w:val="21"/>
                <w:highlight w:val="none"/>
                <w:vertAlign w:val="superscript"/>
                <w:lang w:val="en-US" w:eastAsia="zh-CN" w:bidi="ar-SA"/>
              </w:rPr>
              <w:t>-10</w:t>
            </w:r>
            <w:r>
              <w:rPr>
                <w:rFonts w:hint="default" w:ascii="Times New Roman" w:hAnsi="Times New Roman" w:cs="Times New Roman"/>
                <w:color w:val="auto"/>
                <w:kern w:val="0"/>
                <w:sz w:val="21"/>
                <w:szCs w:val="21"/>
                <w:highlight w:val="none"/>
                <w:lang w:val="en-US" w:eastAsia="zh-CN" w:bidi="ar-SA"/>
              </w:rPr>
              <w:t>cm/s。设置 0.8m 高防渗墙裙。周围设置导流槽及集液池，与危废库地面做同样防渗措施，起到泄漏引流收集作用，以减少对地下水环境的影响。</w:t>
            </w:r>
          </w:p>
        </w:tc>
      </w:tr>
      <w:tr w14:paraId="66E0B24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442" w:type="pct"/>
            <w:tcBorders>
              <w:tl2br w:val="nil"/>
              <w:tr2bl w:val="nil"/>
            </w:tcBorders>
            <w:noWrap w:val="0"/>
            <w:vAlign w:val="center"/>
          </w:tcPr>
          <w:p w14:paraId="40BB9969">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生态保护措施</w:t>
            </w:r>
          </w:p>
        </w:tc>
        <w:tc>
          <w:tcPr>
            <w:tcW w:w="4557" w:type="pct"/>
            <w:gridSpan w:val="4"/>
            <w:tcBorders>
              <w:tl2br w:val="nil"/>
              <w:tr2bl w:val="nil"/>
            </w:tcBorders>
            <w:noWrap w:val="0"/>
            <w:vAlign w:val="center"/>
          </w:tcPr>
          <w:p w14:paraId="5FF5C15F">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3"/>
                <w:sz w:val="21"/>
                <w:szCs w:val="21"/>
                <w:highlight w:val="none"/>
                <w:lang w:val="en-US" w:eastAsia="zh-CN"/>
              </w:rPr>
              <w:t>/</w:t>
            </w:r>
          </w:p>
        </w:tc>
      </w:tr>
      <w:tr w14:paraId="78DC3FF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442" w:type="pct"/>
            <w:tcBorders>
              <w:tl2br w:val="nil"/>
              <w:tr2bl w:val="nil"/>
            </w:tcBorders>
            <w:noWrap w:val="0"/>
            <w:vAlign w:val="center"/>
          </w:tcPr>
          <w:p w14:paraId="08C055B6">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1"/>
                <w:sz w:val="21"/>
                <w:szCs w:val="21"/>
                <w:highlight w:val="none"/>
              </w:rPr>
              <w:t>环境风险</w:t>
            </w:r>
            <w:r>
              <w:rPr>
                <w:rFonts w:hint="default" w:ascii="Times New Roman" w:hAnsi="Times New Roman" w:eastAsia="宋体" w:cs="Times New Roman"/>
                <w:color w:val="auto"/>
                <w:spacing w:val="-13"/>
                <w:sz w:val="21"/>
                <w:szCs w:val="21"/>
                <w:highlight w:val="none"/>
              </w:rPr>
              <w:t>防范措施</w:t>
            </w:r>
          </w:p>
        </w:tc>
        <w:tc>
          <w:tcPr>
            <w:tcW w:w="4557" w:type="pct"/>
            <w:gridSpan w:val="4"/>
            <w:tcBorders>
              <w:tl2br w:val="nil"/>
              <w:tr2bl w:val="nil"/>
            </w:tcBorders>
            <w:noWrap w:val="0"/>
            <w:vAlign w:val="center"/>
          </w:tcPr>
          <w:p w14:paraId="772A23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鉴于项目暂存物质的特性，本次评价提出如下风险防范措施：</w:t>
            </w:r>
          </w:p>
          <w:p w14:paraId="6A038B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危废库内地面均设置导流槽，消防废水经仓库地面设置的导流槽收集进入集液池。危险废物均采用密封包装袋盛装。安装视频监控设备并联网，监控物料泄露。要求企业加强管理，严格按照《危险废物贮存污染控制标准》（GB18597-2023）的相关规定进行建设、管理运营，在此前提下，不会对周围环境造成影响。</w:t>
            </w:r>
          </w:p>
          <w:p w14:paraId="0BF91F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w:t>
            </w:r>
            <w:r>
              <w:rPr>
                <w:rFonts w:hint="default" w:ascii="Times New Roman" w:hAnsi="Times New Roman" w:eastAsia="宋体" w:cs="Times New Roman"/>
                <w:color w:val="auto"/>
                <w:kern w:val="0"/>
                <w:sz w:val="21"/>
                <w:szCs w:val="21"/>
                <w:lang w:val="en-US" w:eastAsia="zh-CN"/>
              </w:rPr>
              <w:t>危废库设计的事故防范措施</w:t>
            </w:r>
          </w:p>
          <w:p w14:paraId="64F48E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危险废物暂存应根据《中华人民共和国固体废物环境污染防治法》、《危险废物贮存污染控制标准》(GB18597-2023)、《危险废物收集贮存运输技术规范》(HJ2025-2012)等有关文件的规定执行，要求做到以下几点。</w:t>
            </w:r>
          </w:p>
          <w:p w14:paraId="709479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①基本要求</w:t>
            </w:r>
          </w:p>
          <w:p w14:paraId="22EAF5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根据《中华人民共和国固体废物环境污染防治法》规定：对于危险废物，企业应按照国家有关规定进行申报登记，执行联单制度；对危险废物的容器和包装物以及收集、储存、运输、处置危险废物的设施、场所必须设置危险废物识别标志，并且危险废物的储存地应远离生产区，注意通风、防火以免引起火灾。危废库应设置防风、防雨、防晒装置；危险废物贮存单位应建立危险废物贮存的台账制度。</w:t>
            </w:r>
          </w:p>
          <w:p w14:paraId="4CE12B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②危险废物贮存容器</w:t>
            </w:r>
          </w:p>
          <w:p w14:paraId="7A5C09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据《危险废物贮存污染控制标准》（GB18597-2023）中的规定，应当使用符合标准的容器盛装危险废物；装载危险废物的容器及材质要满足相应的强度要求；装在危险废物的容器必须完好无损；盛装危险废物的容器材质和衬里要与危险废物相容（不相互反应）。危险废物贮存设施都必须按 GB15562.2 的规定设置警示标志，盛装危险废物的容器上必须粘贴符合《危险废物贮存污染控制标准》（GB18597-2023）附录 A 所示的标签。危险废物贮存设施内清理出来的泄漏物，一律按危废处理。</w:t>
            </w:r>
          </w:p>
          <w:p w14:paraId="3C63CB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③危险废物贮存设施（仓库式）的建设</w:t>
            </w:r>
          </w:p>
          <w:p w14:paraId="717EE7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地面与裙脚要用坚固、防渗的材料建造，建筑材料必须与危险废物相容；设施内要有安全照明设施和观察窗口；用以存放装载液体、半固体危险废物容器的地方，必须有耐腐蚀的硬化地面，且表面无裂隙；应设计堵截泄漏的裙脚。本项目危废库设置导流槽与集液池连通，消防废水通过导流槽进入废液池中。导流槽和废液池均做防腐防渗处理。如有消防废水产生，废水受到墙裙的阻隔，进而通向导流槽，最终进入集液池。</w:t>
            </w:r>
          </w:p>
          <w:p w14:paraId="0B4828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④危险废物贮存设施的运行与管理</w:t>
            </w:r>
          </w:p>
          <w:p w14:paraId="65D135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危险废物贮存前应进行检验，确保同预定接收的危险废物一致，并登记注册；不得接收未粘贴标签或标签没按规定填写的危险废物；盛装在容器内的同类危险废物可以堆叠存放；每个堆间应留有搬运通道；不得将不相容的废物混合或合并存放；须作好危险废物情况的记录，记录上须注明危险废物的名称、来源、数量、特性和包装容器的类别、入库日期、存放库位、废物出库日期及接收单位名称；危险废物的记录和货单在危险废物回取后应继续保留三年；必须定期对所贮存的危险废物包装容器及贮存设施进行检查，发现破损，应及时采取措施清理更换。</w:t>
            </w:r>
          </w:p>
          <w:p w14:paraId="0B0736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⑤危险废物贮存设施的安全防护与监测</w:t>
            </w:r>
          </w:p>
          <w:p w14:paraId="7D56A6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危险废物贮存设施都必须按 GB15562.2 的规定设置警示标志；危险废物贮存设施周围应设置围墙；危险废物贮存设施应配备通讯设备、照明设施、消防设施、安全防护服装及工具，并设有应急防护设施；危险废物贮存设施内清理出来的泄漏物，一律按危险废物处理；按国家污染源管理要求对危险废物贮存设施进行监测。</w:t>
            </w:r>
          </w:p>
          <w:p w14:paraId="4EF313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⑥培训管理制度</w:t>
            </w:r>
          </w:p>
          <w:p w14:paraId="07D887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转移危险废物的应当按照《危险废物转移管理办法》(部令第 23 号 2022.1.1）填写危险废物转移联单。收集、贮存危险废物时，应根据有关规定建立相应的规章制度，包括危险废物分析管理制度、安全管理制度等；建设单位应建立规范的管理和技术人员培训制度，定期针对管理和技术人员进行培训。培训内容至少应包括危险废物鉴别要求、危险废物经营许可证管理、危险废物转移联单管理、危险废物包装和标识、危险废物运输要求、危险废物事故应急办法等。</w:t>
            </w:r>
          </w:p>
          <w:p w14:paraId="7E256C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（2）应急预案要求</w:t>
            </w:r>
          </w:p>
          <w:p w14:paraId="3A5C91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0000FF"/>
                <w:sz w:val="21"/>
                <w:szCs w:val="21"/>
                <w:highlight w:val="none"/>
                <w:lang w:val="en-US" w:eastAsia="zh-CN"/>
              </w:rPr>
              <w:t>项目运营期应按照相关规定</w:t>
            </w:r>
            <w:r>
              <w:rPr>
                <w:rFonts w:hint="eastAsia" w:ascii="Times New Roman" w:hAnsi="Times New Roman" w:eastAsia="宋体" w:cs="Times New Roman"/>
                <w:color w:val="0000FF"/>
                <w:sz w:val="21"/>
                <w:szCs w:val="21"/>
                <w:highlight w:val="none"/>
                <w:lang w:val="en-US" w:eastAsia="zh-CN"/>
              </w:rPr>
              <w:t>对公司</w:t>
            </w:r>
            <w:r>
              <w:rPr>
                <w:rFonts w:hint="default" w:ascii="Times New Roman" w:hAnsi="Times New Roman" w:eastAsia="宋体" w:cs="Times New Roman"/>
                <w:color w:val="0000FF"/>
                <w:sz w:val="21"/>
                <w:szCs w:val="21"/>
                <w:highlight w:val="none"/>
                <w:lang w:val="en-US" w:eastAsia="zh-CN"/>
              </w:rPr>
              <w:t>突发环境事件风险应急预案</w:t>
            </w:r>
            <w:r>
              <w:rPr>
                <w:rFonts w:hint="eastAsia" w:ascii="Times New Roman" w:hAnsi="Times New Roman" w:eastAsia="宋体" w:cs="Times New Roman"/>
                <w:color w:val="0000FF"/>
                <w:sz w:val="21"/>
                <w:szCs w:val="21"/>
                <w:highlight w:val="none"/>
                <w:lang w:val="en-US" w:eastAsia="zh-CN"/>
              </w:rPr>
              <w:t>进行修订</w:t>
            </w:r>
            <w:r>
              <w:rPr>
                <w:rFonts w:hint="default" w:ascii="Times New Roman" w:hAnsi="Times New Roman" w:eastAsia="宋体" w:cs="Times New Roman"/>
                <w:color w:val="0000FF"/>
                <w:sz w:val="21"/>
                <w:szCs w:val="21"/>
                <w:highlight w:val="none"/>
                <w:lang w:val="en-US" w:eastAsia="zh-CN"/>
              </w:rPr>
              <w:t>，</w:t>
            </w:r>
            <w:r>
              <w:rPr>
                <w:rFonts w:hint="eastAsia" w:ascii="Times New Roman" w:hAnsi="Times New Roman" w:eastAsia="宋体" w:cs="Times New Roman"/>
                <w:color w:val="0000FF"/>
                <w:sz w:val="21"/>
                <w:szCs w:val="21"/>
                <w:highlight w:val="none"/>
                <w:lang w:val="en-US" w:eastAsia="zh-CN"/>
              </w:rPr>
              <w:t>将本项目相关环境风险纳入公司应急预案，</w:t>
            </w:r>
            <w:r>
              <w:rPr>
                <w:rFonts w:hint="default" w:ascii="Times New Roman" w:hAnsi="Times New Roman" w:eastAsia="宋体" w:cs="Times New Roman"/>
                <w:color w:val="0000FF"/>
                <w:sz w:val="21"/>
                <w:szCs w:val="21"/>
                <w:highlight w:val="none"/>
                <w:lang w:val="en-US" w:eastAsia="zh-CN"/>
              </w:rPr>
              <w:t>配置相应应急设施和应急物资，定期开展演练</w:t>
            </w:r>
            <w:r>
              <w:rPr>
                <w:rFonts w:hint="default" w:ascii="Times New Roman" w:hAnsi="Times New Roman" w:eastAsia="宋体" w:cs="Times New Roman"/>
                <w:color w:val="0000FF"/>
                <w:kern w:val="0"/>
                <w:sz w:val="21"/>
                <w:szCs w:val="21"/>
                <w:lang w:val="en-US" w:eastAsia="zh-CN"/>
              </w:rPr>
              <w:t>。</w:t>
            </w:r>
            <w:r>
              <w:rPr>
                <w:rFonts w:hint="default" w:ascii="Times New Roman" w:hAnsi="Times New Roman" w:eastAsia="宋体" w:cs="Times New Roman"/>
                <w:color w:val="auto"/>
                <w:kern w:val="0"/>
                <w:sz w:val="21"/>
                <w:szCs w:val="21"/>
                <w:lang w:val="en-US" w:eastAsia="zh-CN"/>
              </w:rPr>
              <w:t>应急预案编制可参照《危险废物经营单位编制应急预案指南》，运营期一旦发生意外事故，建设单位应根据风险程度采取如下措施：</w:t>
            </w:r>
          </w:p>
          <w:p w14:paraId="62BC2E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设立事故警戒线，启动应急预案，并按《突发环境事件信息报告办法》（部令第 17 号，2011.5.1）要求进行报告；若造成事故的危险，废物具有剧毒性、易燃性、爆炸性或高传染性，应立即疏散人群，并请求环境保护、消防、医疗、公安等相关部门支援；对事故现场受到污染的土壤和水体等环境介质应进行相应的清理和修复；清理过程中的所有废物均应按危险废物进行管理和处置；进入现场清理和包装危险废物的人员应收到专业培训，穿着防护服，并佩戴相应的防护用具。</w:t>
            </w:r>
          </w:p>
          <w:p w14:paraId="4B826B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通过采取上述方式，项目储存的危险废物可得到有效处理处置，不产生二次污染，对周围环境影响较小。</w:t>
            </w:r>
          </w:p>
          <w:p w14:paraId="1A494C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事故救援计划应包括以下内容：</w:t>
            </w:r>
          </w:p>
          <w:p w14:paraId="4C6169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①应急救援系统的建立和组成；</w:t>
            </w:r>
          </w:p>
          <w:p w14:paraId="73AF37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②应急救援计划的制定；</w:t>
            </w:r>
          </w:p>
          <w:p w14:paraId="01FF11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③应急培训和演习；</w:t>
            </w:r>
          </w:p>
          <w:p w14:paraId="014A81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④应急救援行动；</w:t>
            </w:r>
          </w:p>
          <w:p w14:paraId="787D41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⑤现场清除与净化；</w:t>
            </w:r>
          </w:p>
          <w:p w14:paraId="5D3CF7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⑥系统的恢复和善后处理。</w:t>
            </w:r>
          </w:p>
          <w:p w14:paraId="0226DC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事故应急预案应包括以下几个方面：</w:t>
            </w:r>
          </w:p>
          <w:p w14:paraId="4668AE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①停电时的应急预案；</w:t>
            </w:r>
          </w:p>
          <w:p w14:paraId="756902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②物料（大量）泄漏时的应急预案；</w:t>
            </w:r>
          </w:p>
          <w:p w14:paraId="717E36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③发生火灾时的应急预案；</w:t>
            </w:r>
          </w:p>
          <w:p w14:paraId="6B70ED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④发生爆炸时的应急预案；</w:t>
            </w:r>
          </w:p>
          <w:p w14:paraId="034BFF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⑤发生人员中毒时的应急预案；</w:t>
            </w:r>
          </w:p>
          <w:p w14:paraId="699D41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⑥操作控制出现异常情况时的应急预案；</w:t>
            </w:r>
          </w:p>
          <w:p w14:paraId="28697EA3">
            <w:pPr>
              <w:bidi w:val="0"/>
              <w:spacing w:line="240" w:lineRule="auto"/>
              <w:ind w:firstLine="420" w:firstLineChars="200"/>
              <w:rPr>
                <w:rFonts w:hint="default" w:ascii="Times New Roman" w:hAnsi="Times New Roman" w:eastAsia="宋体" w:cs="Times New Roman"/>
                <w:color w:val="auto"/>
                <w:spacing w:val="-3"/>
                <w:szCs w:val="21"/>
                <w:highlight w:val="none"/>
              </w:rPr>
            </w:pPr>
            <w:r>
              <w:rPr>
                <w:rFonts w:hint="default" w:ascii="Times New Roman" w:hAnsi="Times New Roman" w:eastAsia="宋体" w:cs="Times New Roman"/>
                <w:color w:val="auto"/>
                <w:kern w:val="0"/>
                <w:sz w:val="21"/>
                <w:szCs w:val="21"/>
                <w:lang w:val="en-US" w:eastAsia="zh-CN"/>
              </w:rPr>
              <w:t>⑦特殊气象条件和自然火灾时的应急预案。</w:t>
            </w:r>
            <w:r>
              <w:rPr>
                <w:rFonts w:hint="default" w:ascii="Times New Roman" w:hAnsi="Times New Roman" w:eastAsia="宋体" w:cs="Times New Roman"/>
                <w:b w:val="0"/>
                <w:bCs w:val="0"/>
                <w:color w:val="auto"/>
                <w:sz w:val="21"/>
                <w:szCs w:val="21"/>
                <w:lang w:val="en-US" w:eastAsia="zh-CN"/>
              </w:rPr>
              <w:t xml:space="preserve"> </w:t>
            </w:r>
          </w:p>
        </w:tc>
      </w:tr>
      <w:tr w14:paraId="290D664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trPr>
        <w:tc>
          <w:tcPr>
            <w:tcW w:w="442" w:type="pct"/>
            <w:tcBorders>
              <w:tl2br w:val="nil"/>
              <w:tr2bl w:val="nil"/>
            </w:tcBorders>
            <w:noWrap w:val="0"/>
            <w:vAlign w:val="center"/>
          </w:tcPr>
          <w:p w14:paraId="13317F4A">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其他环境</w:t>
            </w:r>
          </w:p>
          <w:p w14:paraId="199D7A44">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2"/>
                <w:sz w:val="21"/>
                <w:szCs w:val="21"/>
                <w:highlight w:val="none"/>
              </w:rPr>
              <w:t>管理要求</w:t>
            </w:r>
          </w:p>
        </w:tc>
        <w:tc>
          <w:tcPr>
            <w:tcW w:w="4557" w:type="pct"/>
            <w:gridSpan w:val="4"/>
            <w:tcBorders>
              <w:tl2br w:val="nil"/>
              <w:tr2bl w:val="nil"/>
            </w:tcBorders>
            <w:noWrap w:val="0"/>
            <w:vAlign w:val="center"/>
          </w:tcPr>
          <w:p w14:paraId="1C7B1347">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w:t>
            </w:r>
            <w:r>
              <w:rPr>
                <w:rFonts w:hint="default" w:ascii="Times New Roman" w:hAnsi="Times New Roman" w:cs="Times New Roman"/>
                <w:color w:val="auto"/>
                <w:spacing w:val="-3"/>
                <w:sz w:val="21"/>
                <w:szCs w:val="21"/>
                <w:highlight w:val="none"/>
                <w:lang w:val="en-US" w:eastAsia="zh-CN"/>
              </w:rPr>
              <w:t>1</w:t>
            </w:r>
            <w:r>
              <w:rPr>
                <w:rFonts w:hint="default" w:ascii="Times New Roman" w:hAnsi="Times New Roman" w:eastAsia="宋体" w:cs="Times New Roman"/>
                <w:color w:val="auto"/>
                <w:spacing w:val="-3"/>
                <w:sz w:val="21"/>
                <w:szCs w:val="21"/>
                <w:highlight w:val="none"/>
              </w:rPr>
              <w:t>）为了缓解建设项目生产运行期对环境构成的不良影响，在采取环保治理工程措施解决建设项目环境影响的同时，必须制定全面的企业环境管理计划，同时要加强对管理人员的环保培训，不断提高管理水平。</w:t>
            </w:r>
          </w:p>
          <w:p w14:paraId="638369B6">
            <w:pPr>
              <w:pStyle w:val="76"/>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w:t>
            </w:r>
            <w:r>
              <w:rPr>
                <w:rFonts w:hint="default" w:ascii="Times New Roman" w:hAnsi="Times New Roman" w:cs="Times New Roman"/>
                <w:color w:val="auto"/>
                <w:spacing w:val="-3"/>
                <w:sz w:val="21"/>
                <w:szCs w:val="21"/>
                <w:highlight w:val="none"/>
                <w:lang w:val="en-US" w:eastAsia="zh-CN"/>
              </w:rPr>
              <w:t>2</w:t>
            </w:r>
            <w:r>
              <w:rPr>
                <w:rFonts w:hint="default" w:ascii="Times New Roman" w:hAnsi="Times New Roman" w:eastAsia="宋体" w:cs="Times New Roman"/>
                <w:color w:val="auto"/>
                <w:spacing w:val="-3"/>
                <w:sz w:val="21"/>
                <w:szCs w:val="21"/>
                <w:highlight w:val="none"/>
              </w:rPr>
              <w:t>）对污染治理设施和管理必须与生产经营活动一起纳入企业的日常管理中，要建立岗位责任制，制定操作规程，建立</w:t>
            </w:r>
            <w:r>
              <w:rPr>
                <w:rFonts w:hint="default" w:ascii="Times New Roman" w:hAnsi="Times New Roman" w:cs="Times New Roman"/>
                <w:color w:val="auto"/>
                <w:spacing w:val="-3"/>
                <w:sz w:val="21"/>
                <w:szCs w:val="21"/>
                <w:highlight w:val="none"/>
                <w:lang w:eastAsia="zh-CN"/>
              </w:rPr>
              <w:t>管理台账</w:t>
            </w:r>
            <w:r>
              <w:rPr>
                <w:rFonts w:hint="default" w:ascii="Times New Roman" w:hAnsi="Times New Roman" w:eastAsia="宋体" w:cs="Times New Roman"/>
                <w:color w:val="auto"/>
                <w:spacing w:val="-3"/>
                <w:sz w:val="21"/>
                <w:szCs w:val="21"/>
                <w:highlight w:val="none"/>
              </w:rPr>
              <w:t>。</w:t>
            </w:r>
          </w:p>
        </w:tc>
      </w:tr>
    </w:tbl>
    <w:p w14:paraId="2780FC2B">
      <w:pPr>
        <w:pStyle w:val="23"/>
        <w:jc w:val="center"/>
        <w:outlineLvl w:val="0"/>
        <w:rPr>
          <w:rFonts w:hint="default" w:ascii="Times New Roman" w:hAnsi="Times New Roman" w:eastAsia="宋体" w:cs="Times New Roman"/>
          <w:snapToGrid w:val="0"/>
          <w:color w:val="auto"/>
          <w:sz w:val="30"/>
          <w:szCs w:val="30"/>
          <w:highlight w:val="none"/>
        </w:rPr>
      </w:pPr>
      <w:r>
        <w:rPr>
          <w:rFonts w:hint="default" w:ascii="Times New Roman" w:hAnsi="Times New Roman" w:eastAsia="宋体" w:cs="Times New Roman"/>
          <w:snapToGrid w:val="0"/>
          <w:color w:val="auto"/>
          <w:highlight w:val="none"/>
        </w:rPr>
        <w:br w:type="page"/>
      </w:r>
      <w:r>
        <w:rPr>
          <w:rFonts w:hint="default" w:ascii="Times New Roman" w:hAnsi="Times New Roman" w:eastAsia="宋体" w:cs="Times New Roman"/>
          <w:snapToGrid w:val="0"/>
          <w:color w:val="auto"/>
          <w:sz w:val="30"/>
          <w:szCs w:val="30"/>
          <w:highlight w:val="none"/>
        </w:rPr>
        <w:t>六、结论</w:t>
      </w:r>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20"/>
      </w:tblGrid>
      <w:tr w14:paraId="47D64B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trHeight w:val="11991" w:hRule="atLeast"/>
          <w:jc w:val="center"/>
        </w:trPr>
        <w:tc>
          <w:tcPr>
            <w:tcW w:w="5000" w:type="pct"/>
            <w:noWrap w:val="0"/>
            <w:vAlign w:val="top"/>
          </w:tcPr>
          <w:p w14:paraId="642A3951">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eastAsia="宋体" w:cs="Times New Roman"/>
                <w:color w:val="auto"/>
                <w:sz w:val="24"/>
                <w:szCs w:val="24"/>
                <w:highlight w:val="none"/>
              </w:rPr>
            </w:pPr>
          </w:p>
          <w:p w14:paraId="330756AC">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eastAsia="宋体" w:cs="Times New Roman"/>
                <w:color w:val="auto"/>
                <w:sz w:val="24"/>
                <w:szCs w:val="24"/>
                <w:highlight w:val="none"/>
              </w:rPr>
            </w:pPr>
          </w:p>
          <w:p w14:paraId="30E448CD">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eastAsia="宋体" w:cs="Times New Roman"/>
                <w:color w:val="auto"/>
                <w:sz w:val="24"/>
                <w:szCs w:val="24"/>
                <w:highlight w:val="none"/>
              </w:rPr>
            </w:pPr>
          </w:p>
          <w:p w14:paraId="2F841E10">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eastAsia="zh-CN"/>
              </w:rPr>
              <w:t>建设符合国家产业政策，选址合理。项目</w:t>
            </w:r>
            <w:r>
              <w:rPr>
                <w:rFonts w:hint="default" w:ascii="Times New Roman" w:hAnsi="Times New Roman" w:eastAsia="宋体" w:cs="Times New Roman"/>
                <w:color w:val="auto"/>
                <w:sz w:val="24"/>
                <w:szCs w:val="24"/>
                <w:highlight w:val="none"/>
              </w:rPr>
              <w:t>施工期、运营期不可避免</w:t>
            </w:r>
            <w:r>
              <w:rPr>
                <w:rFonts w:hint="default" w:ascii="Times New Roman" w:hAnsi="Times New Roman" w:eastAsia="宋体" w:cs="Times New Roman"/>
                <w:color w:val="auto"/>
                <w:sz w:val="24"/>
                <w:szCs w:val="24"/>
                <w:highlight w:val="none"/>
                <w:lang w:eastAsia="zh-CN"/>
              </w:rPr>
              <w:t>地</w:t>
            </w:r>
            <w:r>
              <w:rPr>
                <w:rFonts w:hint="default" w:ascii="Times New Roman" w:hAnsi="Times New Roman" w:eastAsia="宋体" w:cs="Times New Roman"/>
                <w:color w:val="auto"/>
                <w:sz w:val="24"/>
                <w:szCs w:val="24"/>
                <w:highlight w:val="none"/>
              </w:rPr>
              <w:t>会对周围环境产生影响，在认真落实本报告中提出的各项污染防治措施及建议的前提下，加强环境管理，其废气、废水、噪声、固废等污染物对周围环境的影响</w:t>
            </w:r>
            <w:r>
              <w:rPr>
                <w:rFonts w:hint="default" w:ascii="Times New Roman" w:hAnsi="Times New Roman" w:eastAsia="宋体" w:cs="Times New Roman"/>
                <w:color w:val="auto"/>
                <w:sz w:val="24"/>
                <w:szCs w:val="24"/>
                <w:highlight w:val="none"/>
                <w:lang w:val="en-US" w:eastAsia="zh-CN"/>
              </w:rPr>
              <w:t>能够</w:t>
            </w:r>
            <w:r>
              <w:rPr>
                <w:rFonts w:hint="default" w:ascii="Times New Roman" w:hAnsi="Times New Roman" w:eastAsia="宋体" w:cs="Times New Roman"/>
                <w:color w:val="auto"/>
                <w:sz w:val="24"/>
                <w:szCs w:val="24"/>
                <w:highlight w:val="none"/>
              </w:rPr>
              <w:t>控制在可接受范围内，从环境保护角度分析，该建设项目可行。</w:t>
            </w:r>
          </w:p>
        </w:tc>
      </w:tr>
    </w:tbl>
    <w:p w14:paraId="06834851">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textAlignment w:val="auto"/>
        <w:outlineLvl w:val="0"/>
        <w:rPr>
          <w:rFonts w:hint="default" w:ascii="Times New Roman" w:hAnsi="Times New Roman" w:eastAsia="宋体" w:cs="Times New Roman"/>
          <w:snapToGrid w:val="0"/>
          <w:color w:val="auto"/>
          <w:sz w:val="32"/>
          <w:szCs w:val="32"/>
          <w:highlight w:val="none"/>
        </w:rPr>
        <w:sectPr>
          <w:footerReference r:id="rId8" w:type="default"/>
          <w:pgSz w:w="11906" w:h="16838"/>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6628401A">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textAlignment w:val="auto"/>
        <w:outlineLvl w:val="0"/>
        <w:rPr>
          <w:rFonts w:hint="default" w:ascii="Times New Roman" w:hAnsi="Times New Roman" w:eastAsia="宋体" w:cs="Times New Roman"/>
          <w:snapToGrid w:val="0"/>
          <w:color w:val="auto"/>
          <w:sz w:val="32"/>
          <w:szCs w:val="32"/>
          <w:highlight w:val="none"/>
        </w:rPr>
      </w:pPr>
      <w:r>
        <w:rPr>
          <w:rFonts w:hint="default" w:ascii="Times New Roman" w:hAnsi="Times New Roman" w:eastAsia="宋体" w:cs="Times New Roman"/>
          <w:snapToGrid w:val="0"/>
          <w:color w:val="auto"/>
          <w:sz w:val="32"/>
          <w:szCs w:val="32"/>
          <w:highlight w:val="none"/>
        </w:rPr>
        <w:t>附表</w:t>
      </w:r>
    </w:p>
    <w:p w14:paraId="402F4F2A">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hint="default" w:ascii="Times New Roman" w:hAnsi="Times New Roman" w:eastAsia="宋体" w:cs="Times New Roman"/>
          <w:snapToGrid w:val="0"/>
          <w:color w:val="auto"/>
          <w:sz w:val="38"/>
          <w:szCs w:val="38"/>
          <w:highlight w:val="none"/>
        </w:rPr>
      </w:pPr>
      <w:r>
        <w:rPr>
          <w:rFonts w:hint="default" w:ascii="Times New Roman" w:hAnsi="Times New Roman" w:eastAsia="宋体" w:cs="Times New Roman"/>
          <w:snapToGrid w:val="0"/>
          <w:color w:val="auto"/>
          <w:sz w:val="38"/>
          <w:szCs w:val="38"/>
          <w:highlight w:val="none"/>
        </w:rPr>
        <w:t>建设项目污染物排放量汇总表</w:t>
      </w:r>
    </w:p>
    <w:tbl>
      <w:tblPr>
        <w:tblStyle w:val="25"/>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68"/>
        <w:gridCol w:w="1537"/>
        <w:gridCol w:w="1701"/>
        <w:gridCol w:w="1276"/>
        <w:gridCol w:w="1701"/>
        <w:gridCol w:w="1478"/>
        <w:gridCol w:w="1725"/>
        <w:gridCol w:w="1538"/>
        <w:gridCol w:w="1364"/>
      </w:tblGrid>
      <w:tr w14:paraId="1976A4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468" w:type="dxa"/>
            <w:tcBorders>
              <w:tl2br w:val="single" w:color="auto" w:sz="4" w:space="0"/>
            </w:tcBorders>
            <w:noWrap w:val="0"/>
            <w:tcMar>
              <w:left w:w="28" w:type="dxa"/>
              <w:right w:w="28" w:type="dxa"/>
            </w:tcMar>
            <w:vAlign w:val="center"/>
          </w:tcPr>
          <w:p w14:paraId="2546B9F3">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项目</w:t>
            </w:r>
          </w:p>
          <w:p w14:paraId="340B066E">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分类</w:t>
            </w:r>
          </w:p>
        </w:tc>
        <w:tc>
          <w:tcPr>
            <w:tcW w:w="1537" w:type="dxa"/>
            <w:noWrap w:val="0"/>
            <w:tcMar>
              <w:left w:w="28" w:type="dxa"/>
              <w:right w:w="28" w:type="dxa"/>
            </w:tcMar>
            <w:vAlign w:val="center"/>
          </w:tcPr>
          <w:p w14:paraId="102227D9">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污染物名称</w:t>
            </w:r>
          </w:p>
        </w:tc>
        <w:tc>
          <w:tcPr>
            <w:tcW w:w="1701" w:type="dxa"/>
            <w:noWrap w:val="0"/>
            <w:tcMar>
              <w:left w:w="28" w:type="dxa"/>
              <w:right w:w="28" w:type="dxa"/>
            </w:tcMar>
            <w:vAlign w:val="center"/>
          </w:tcPr>
          <w:p w14:paraId="0CF0209D">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现有工程</w:t>
            </w:r>
          </w:p>
          <w:p w14:paraId="7D04FE2E">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①</w:t>
            </w:r>
            <w:r>
              <w:rPr>
                <w:rFonts w:hint="default" w:ascii="Times New Roman" w:hAnsi="Times New Roman" w:eastAsia="宋体" w:cs="Times New Roman"/>
                <w:snapToGrid w:val="0"/>
                <w:color w:val="auto"/>
                <w:spacing w:val="-6"/>
                <w:kern w:val="21"/>
                <w:sz w:val="21"/>
                <w:szCs w:val="21"/>
                <w:highlight w:val="none"/>
              </w:rPr>
              <w:fldChar w:fldCharType="end"/>
            </w:r>
          </w:p>
        </w:tc>
        <w:tc>
          <w:tcPr>
            <w:tcW w:w="1276" w:type="dxa"/>
            <w:noWrap w:val="0"/>
            <w:tcMar>
              <w:left w:w="28" w:type="dxa"/>
              <w:right w:w="28" w:type="dxa"/>
            </w:tcMar>
            <w:vAlign w:val="center"/>
          </w:tcPr>
          <w:p w14:paraId="4FACD6EA">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现有工程</w:t>
            </w:r>
          </w:p>
          <w:p w14:paraId="3512CE1B">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许可排放量</w:t>
            </w:r>
          </w:p>
          <w:p w14:paraId="57C2F7B9">
            <w:pPr>
              <w:pStyle w:val="50"/>
              <w:spacing w:beforeLines="0" w:afterLines="0"/>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2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snapToGrid w:val="0"/>
                <w:color w:val="auto"/>
                <w:spacing w:val="-6"/>
                <w:kern w:val="21"/>
                <w:sz w:val="21"/>
                <w:szCs w:val="21"/>
                <w:highlight w:val="none"/>
              </w:rPr>
              <w:t>②</w:t>
            </w:r>
            <w:r>
              <w:rPr>
                <w:rFonts w:hint="default" w:ascii="Times New Roman" w:hAnsi="Times New Roman" w:eastAsia="宋体" w:cs="Times New Roman"/>
                <w:snapToGrid w:val="0"/>
                <w:color w:val="auto"/>
                <w:spacing w:val="-6"/>
                <w:kern w:val="21"/>
                <w:sz w:val="21"/>
                <w:szCs w:val="21"/>
                <w:highlight w:val="none"/>
              </w:rPr>
              <w:fldChar w:fldCharType="end"/>
            </w:r>
          </w:p>
        </w:tc>
        <w:tc>
          <w:tcPr>
            <w:tcW w:w="1701" w:type="dxa"/>
            <w:noWrap w:val="0"/>
            <w:tcMar>
              <w:left w:w="28" w:type="dxa"/>
              <w:right w:w="28" w:type="dxa"/>
            </w:tcMar>
            <w:vAlign w:val="center"/>
          </w:tcPr>
          <w:p w14:paraId="61036059">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在建工程</w:t>
            </w:r>
          </w:p>
          <w:p w14:paraId="0EA00E49">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③</w:t>
            </w:r>
            <w:r>
              <w:rPr>
                <w:rFonts w:hint="default" w:ascii="Times New Roman" w:hAnsi="Times New Roman" w:eastAsia="宋体" w:cs="Times New Roman"/>
                <w:snapToGrid w:val="0"/>
                <w:color w:val="auto"/>
                <w:spacing w:val="-6"/>
                <w:kern w:val="21"/>
                <w:sz w:val="21"/>
                <w:szCs w:val="21"/>
                <w:highlight w:val="none"/>
              </w:rPr>
              <w:fldChar w:fldCharType="end"/>
            </w:r>
          </w:p>
        </w:tc>
        <w:tc>
          <w:tcPr>
            <w:tcW w:w="1478" w:type="dxa"/>
            <w:noWrap w:val="0"/>
            <w:tcMar>
              <w:left w:w="28" w:type="dxa"/>
              <w:right w:w="28" w:type="dxa"/>
            </w:tcMar>
            <w:vAlign w:val="center"/>
          </w:tcPr>
          <w:p w14:paraId="2EB5FF33">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本项目</w:t>
            </w:r>
          </w:p>
          <w:p w14:paraId="3048A641">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④</w:t>
            </w:r>
            <w:r>
              <w:rPr>
                <w:rFonts w:hint="default" w:ascii="Times New Roman" w:hAnsi="Times New Roman" w:eastAsia="宋体" w:cs="Times New Roman"/>
                <w:snapToGrid w:val="0"/>
                <w:color w:val="auto"/>
                <w:spacing w:val="-6"/>
                <w:kern w:val="21"/>
                <w:sz w:val="21"/>
                <w:szCs w:val="21"/>
                <w:highlight w:val="none"/>
              </w:rPr>
              <w:fldChar w:fldCharType="end"/>
            </w:r>
          </w:p>
        </w:tc>
        <w:tc>
          <w:tcPr>
            <w:tcW w:w="1725" w:type="dxa"/>
            <w:noWrap w:val="0"/>
            <w:tcMar>
              <w:left w:w="28" w:type="dxa"/>
              <w:right w:w="28" w:type="dxa"/>
            </w:tcMar>
            <w:vAlign w:val="center"/>
          </w:tcPr>
          <w:p w14:paraId="610F4416">
            <w:pPr>
              <w:pStyle w:val="50"/>
              <w:spacing w:beforeLines="0" w:afterLines="0" w:line="240" w:lineRule="auto"/>
              <w:jc w:val="center"/>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以新带老削减量</w:t>
            </w:r>
          </w:p>
          <w:p w14:paraId="0949D83B">
            <w:pPr>
              <w:pStyle w:val="50"/>
              <w:spacing w:beforeLines="0" w:afterLines="0" w:line="240" w:lineRule="auto"/>
              <w:jc w:val="center"/>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（新建项目不填）</w:t>
            </w:r>
            <w:r>
              <w:rPr>
                <w:rFonts w:hint="default" w:ascii="Times New Roman" w:hAnsi="Times New Roman" w:eastAsia="宋体" w:cs="Times New Roman"/>
                <w:snapToGrid w:val="0"/>
                <w:color w:val="auto"/>
                <w:spacing w:val="-16"/>
                <w:kern w:val="21"/>
                <w:sz w:val="21"/>
                <w:szCs w:val="21"/>
                <w:highlight w:val="none"/>
              </w:rPr>
              <w:fldChar w:fldCharType="begin"/>
            </w:r>
            <w:r>
              <w:rPr>
                <w:rFonts w:hint="default" w:ascii="Times New Roman" w:hAnsi="Times New Roman" w:eastAsia="宋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⑤</w:t>
            </w:r>
            <w:r>
              <w:rPr>
                <w:rFonts w:hint="default" w:ascii="Times New Roman" w:hAnsi="Times New Roman" w:eastAsia="宋体" w:cs="Times New Roman"/>
                <w:snapToGrid w:val="0"/>
                <w:color w:val="auto"/>
                <w:spacing w:val="-16"/>
                <w:kern w:val="21"/>
                <w:sz w:val="21"/>
                <w:szCs w:val="21"/>
                <w:highlight w:val="none"/>
              </w:rPr>
              <w:fldChar w:fldCharType="end"/>
            </w:r>
          </w:p>
        </w:tc>
        <w:tc>
          <w:tcPr>
            <w:tcW w:w="1538" w:type="dxa"/>
            <w:noWrap w:val="0"/>
            <w:tcMar>
              <w:left w:w="28" w:type="dxa"/>
              <w:right w:w="28" w:type="dxa"/>
            </w:tcMar>
            <w:vAlign w:val="center"/>
          </w:tcPr>
          <w:p w14:paraId="0DD03DCA">
            <w:pPr>
              <w:pStyle w:val="50"/>
              <w:spacing w:beforeLines="0" w:afterLines="0" w:line="240" w:lineRule="auto"/>
              <w:jc w:val="center"/>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本项目建成后</w:t>
            </w:r>
          </w:p>
          <w:p w14:paraId="6BFC4F61">
            <w:pPr>
              <w:pStyle w:val="50"/>
              <w:spacing w:beforeLines="0" w:afterLines="0" w:line="240" w:lineRule="auto"/>
              <w:jc w:val="center"/>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全厂排放量（固体废物产生量）</w:t>
            </w:r>
            <w:r>
              <w:rPr>
                <w:rFonts w:hint="default" w:ascii="Times New Roman" w:hAnsi="Times New Roman" w:eastAsia="宋体" w:cs="Times New Roman"/>
                <w:snapToGrid w:val="0"/>
                <w:color w:val="auto"/>
                <w:spacing w:val="-16"/>
                <w:kern w:val="21"/>
                <w:sz w:val="21"/>
                <w:szCs w:val="21"/>
                <w:highlight w:val="none"/>
              </w:rPr>
              <w:fldChar w:fldCharType="begin"/>
            </w:r>
            <w:r>
              <w:rPr>
                <w:rFonts w:hint="default" w:ascii="Times New Roman" w:hAnsi="Times New Roman" w:eastAsia="宋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⑥</w:t>
            </w:r>
            <w:r>
              <w:rPr>
                <w:rFonts w:hint="default" w:ascii="Times New Roman" w:hAnsi="Times New Roman" w:eastAsia="宋体" w:cs="Times New Roman"/>
                <w:snapToGrid w:val="0"/>
                <w:color w:val="auto"/>
                <w:spacing w:val="-16"/>
                <w:kern w:val="21"/>
                <w:sz w:val="21"/>
                <w:szCs w:val="21"/>
                <w:highlight w:val="none"/>
              </w:rPr>
              <w:fldChar w:fldCharType="end"/>
            </w:r>
          </w:p>
        </w:tc>
        <w:tc>
          <w:tcPr>
            <w:tcW w:w="1364" w:type="dxa"/>
            <w:noWrap w:val="0"/>
            <w:tcMar>
              <w:left w:w="28" w:type="dxa"/>
              <w:right w:w="28" w:type="dxa"/>
            </w:tcMar>
            <w:vAlign w:val="center"/>
          </w:tcPr>
          <w:p w14:paraId="42D26148">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变化量</w:t>
            </w:r>
          </w:p>
          <w:p w14:paraId="566E9023">
            <w:pPr>
              <w:pStyle w:val="50"/>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⑦</w:t>
            </w:r>
            <w:r>
              <w:rPr>
                <w:rFonts w:hint="default" w:ascii="Times New Roman" w:hAnsi="Times New Roman" w:eastAsia="宋体" w:cs="Times New Roman"/>
                <w:snapToGrid w:val="0"/>
                <w:color w:val="auto"/>
                <w:spacing w:val="-6"/>
                <w:kern w:val="21"/>
                <w:sz w:val="21"/>
                <w:szCs w:val="21"/>
                <w:highlight w:val="none"/>
              </w:rPr>
              <w:fldChar w:fldCharType="end"/>
            </w:r>
          </w:p>
        </w:tc>
      </w:tr>
      <w:tr w14:paraId="2BB78D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468" w:type="dxa"/>
            <w:noWrap w:val="0"/>
            <w:vAlign w:val="center"/>
          </w:tcPr>
          <w:p w14:paraId="16C6C456">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废气</w:t>
            </w:r>
          </w:p>
        </w:tc>
        <w:tc>
          <w:tcPr>
            <w:tcW w:w="1537" w:type="dxa"/>
            <w:noWrap w:val="0"/>
            <w:vAlign w:val="center"/>
          </w:tcPr>
          <w:p w14:paraId="75F6951E">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701" w:type="dxa"/>
            <w:noWrap w:val="0"/>
            <w:vAlign w:val="center"/>
          </w:tcPr>
          <w:p w14:paraId="2FA958A3">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76" w:type="dxa"/>
            <w:noWrap w:val="0"/>
            <w:vAlign w:val="center"/>
          </w:tcPr>
          <w:p w14:paraId="1F84DF8C">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701" w:type="dxa"/>
            <w:noWrap w:val="0"/>
            <w:vAlign w:val="center"/>
          </w:tcPr>
          <w:p w14:paraId="3F6E2D3A">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478" w:type="dxa"/>
            <w:noWrap w:val="0"/>
            <w:vAlign w:val="center"/>
          </w:tcPr>
          <w:p w14:paraId="02D0998B">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p>
        </w:tc>
        <w:tc>
          <w:tcPr>
            <w:tcW w:w="1725" w:type="dxa"/>
            <w:noWrap w:val="0"/>
            <w:vAlign w:val="center"/>
          </w:tcPr>
          <w:p w14:paraId="4A437759">
            <w:pPr>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538" w:type="dxa"/>
            <w:noWrap w:val="0"/>
            <w:vAlign w:val="center"/>
          </w:tcPr>
          <w:p w14:paraId="5236AEDD">
            <w:pPr>
              <w:keepNext w:val="0"/>
              <w:keepLines w:val="0"/>
              <w:widowControl/>
              <w:suppressLineNumbers w:val="0"/>
              <w:jc w:val="center"/>
              <w:textAlignment w:val="bottom"/>
              <w:rPr>
                <w:rFonts w:hint="default" w:ascii="Times New Roman" w:hAnsi="Times New Roman" w:eastAsia="宋体" w:cs="Times New Roman"/>
                <w:color w:val="auto"/>
                <w:kern w:val="2"/>
                <w:sz w:val="21"/>
                <w:szCs w:val="21"/>
                <w:highlight w:val="none"/>
                <w:lang w:val="en-US" w:eastAsia="zh-CN" w:bidi="ar-SA"/>
              </w:rPr>
            </w:pPr>
          </w:p>
        </w:tc>
        <w:tc>
          <w:tcPr>
            <w:tcW w:w="1364" w:type="dxa"/>
            <w:noWrap w:val="0"/>
            <w:vAlign w:val="center"/>
          </w:tcPr>
          <w:p w14:paraId="78D256E3">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p>
        </w:tc>
      </w:tr>
      <w:tr w14:paraId="7003D3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468" w:type="dxa"/>
            <w:noWrap w:val="0"/>
            <w:vAlign w:val="center"/>
          </w:tcPr>
          <w:p w14:paraId="47FEFF30">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废水</w:t>
            </w:r>
          </w:p>
        </w:tc>
        <w:tc>
          <w:tcPr>
            <w:tcW w:w="1537" w:type="dxa"/>
            <w:noWrap w:val="0"/>
            <w:vAlign w:val="center"/>
          </w:tcPr>
          <w:p w14:paraId="3ED3BE98">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701" w:type="dxa"/>
            <w:noWrap w:val="0"/>
            <w:vAlign w:val="center"/>
          </w:tcPr>
          <w:p w14:paraId="4CDC0E50">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76" w:type="dxa"/>
            <w:noWrap w:val="0"/>
            <w:vAlign w:val="center"/>
          </w:tcPr>
          <w:p w14:paraId="32057407">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701" w:type="dxa"/>
            <w:noWrap w:val="0"/>
            <w:vAlign w:val="center"/>
          </w:tcPr>
          <w:p w14:paraId="7A5E7313">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478" w:type="dxa"/>
            <w:noWrap w:val="0"/>
            <w:vAlign w:val="center"/>
          </w:tcPr>
          <w:p w14:paraId="2EE555C6">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p>
        </w:tc>
        <w:tc>
          <w:tcPr>
            <w:tcW w:w="1725" w:type="dxa"/>
            <w:noWrap w:val="0"/>
            <w:vAlign w:val="center"/>
          </w:tcPr>
          <w:p w14:paraId="198C88FC">
            <w:pPr>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538" w:type="dxa"/>
            <w:noWrap w:val="0"/>
            <w:vAlign w:val="center"/>
          </w:tcPr>
          <w:p w14:paraId="685043FD">
            <w:pPr>
              <w:keepNext w:val="0"/>
              <w:keepLines w:val="0"/>
              <w:widowControl/>
              <w:suppressLineNumbers w:val="0"/>
              <w:jc w:val="center"/>
              <w:textAlignment w:val="bottom"/>
              <w:rPr>
                <w:rFonts w:hint="default" w:ascii="Times New Roman" w:hAnsi="Times New Roman" w:eastAsia="宋体" w:cs="Times New Roman"/>
                <w:color w:val="auto"/>
                <w:kern w:val="2"/>
                <w:sz w:val="21"/>
                <w:szCs w:val="21"/>
                <w:highlight w:val="none"/>
                <w:lang w:val="en-US" w:eastAsia="zh-CN" w:bidi="ar-SA"/>
              </w:rPr>
            </w:pPr>
          </w:p>
        </w:tc>
        <w:tc>
          <w:tcPr>
            <w:tcW w:w="1364" w:type="dxa"/>
            <w:noWrap w:val="0"/>
            <w:vAlign w:val="center"/>
          </w:tcPr>
          <w:p w14:paraId="0EC16BE2">
            <w:pPr>
              <w:spacing w:line="0" w:lineRule="atLeast"/>
              <w:jc w:val="center"/>
              <w:rPr>
                <w:rFonts w:hint="default" w:ascii="Times New Roman" w:hAnsi="Times New Roman" w:eastAsia="宋体" w:cs="Times New Roman"/>
                <w:color w:val="auto"/>
                <w:kern w:val="2"/>
                <w:sz w:val="21"/>
                <w:szCs w:val="21"/>
                <w:highlight w:val="none"/>
                <w:lang w:val="en-US" w:eastAsia="zh-CN" w:bidi="ar-SA"/>
              </w:rPr>
            </w:pPr>
          </w:p>
        </w:tc>
      </w:tr>
      <w:tr w14:paraId="13AA1A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468" w:type="dxa"/>
            <w:noWrap w:val="0"/>
            <w:vAlign w:val="center"/>
          </w:tcPr>
          <w:p w14:paraId="7CE74FDC">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一般工业固体废物</w:t>
            </w:r>
          </w:p>
        </w:tc>
        <w:tc>
          <w:tcPr>
            <w:tcW w:w="1537" w:type="dxa"/>
            <w:noWrap w:val="0"/>
            <w:vAlign w:val="center"/>
          </w:tcPr>
          <w:p w14:paraId="790E0BCA">
            <w:pPr>
              <w:jc w:val="center"/>
              <w:rPr>
                <w:rFonts w:hint="default" w:ascii="Times New Roman" w:hAnsi="Times New Roman" w:eastAsia="宋体" w:cs="Times New Roman"/>
                <w:snapToGrid w:val="0"/>
                <w:color w:val="auto"/>
                <w:kern w:val="21"/>
                <w:sz w:val="21"/>
                <w:szCs w:val="21"/>
                <w:highlight w:val="none"/>
                <w:lang w:val="en-US" w:eastAsia="zh-CN" w:bidi="ar-SA"/>
              </w:rPr>
            </w:pPr>
          </w:p>
        </w:tc>
        <w:tc>
          <w:tcPr>
            <w:tcW w:w="1701" w:type="dxa"/>
            <w:noWrap w:val="0"/>
            <w:vAlign w:val="center"/>
          </w:tcPr>
          <w:p w14:paraId="24CECD69">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276" w:type="dxa"/>
            <w:noWrap w:val="0"/>
            <w:vAlign w:val="center"/>
          </w:tcPr>
          <w:p w14:paraId="7870EF11">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701" w:type="dxa"/>
            <w:noWrap w:val="0"/>
            <w:vAlign w:val="center"/>
          </w:tcPr>
          <w:p w14:paraId="7C56391F">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478" w:type="dxa"/>
            <w:noWrap w:val="0"/>
            <w:vAlign w:val="center"/>
          </w:tcPr>
          <w:p w14:paraId="10BE17BD">
            <w:pPr>
              <w:pStyle w:val="73"/>
              <w:jc w:val="center"/>
              <w:rPr>
                <w:rFonts w:hint="default" w:ascii="Times New Roman" w:hAnsi="Times New Roman" w:eastAsia="宋体" w:cs="Times New Roman"/>
                <w:snapToGrid w:val="0"/>
                <w:color w:val="auto"/>
                <w:kern w:val="21"/>
                <w:sz w:val="21"/>
                <w:szCs w:val="21"/>
                <w:highlight w:val="none"/>
                <w:lang w:val="en-US" w:eastAsia="zh-CN"/>
              </w:rPr>
            </w:pPr>
          </w:p>
        </w:tc>
        <w:tc>
          <w:tcPr>
            <w:tcW w:w="1725" w:type="dxa"/>
            <w:noWrap w:val="0"/>
            <w:vAlign w:val="center"/>
          </w:tcPr>
          <w:p w14:paraId="49533771">
            <w:pPr>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rPr>
            </w:pPr>
          </w:p>
        </w:tc>
        <w:tc>
          <w:tcPr>
            <w:tcW w:w="1538" w:type="dxa"/>
            <w:noWrap w:val="0"/>
            <w:vAlign w:val="center"/>
          </w:tcPr>
          <w:p w14:paraId="4B5B403F">
            <w:pPr>
              <w:pStyle w:val="73"/>
              <w:jc w:val="center"/>
              <w:rPr>
                <w:rFonts w:hint="default" w:ascii="Times New Roman" w:hAnsi="Times New Roman" w:eastAsia="宋体" w:cs="Times New Roman"/>
                <w:snapToGrid w:val="0"/>
                <w:color w:val="auto"/>
                <w:kern w:val="21"/>
                <w:sz w:val="21"/>
                <w:szCs w:val="21"/>
                <w:highlight w:val="none"/>
                <w:lang w:val="en-US" w:eastAsia="zh-CN"/>
              </w:rPr>
            </w:pPr>
          </w:p>
        </w:tc>
        <w:tc>
          <w:tcPr>
            <w:tcW w:w="1364" w:type="dxa"/>
            <w:noWrap w:val="0"/>
            <w:vAlign w:val="center"/>
          </w:tcPr>
          <w:p w14:paraId="22FC43E8">
            <w:pPr>
              <w:pStyle w:val="73"/>
              <w:jc w:val="center"/>
              <w:rPr>
                <w:rFonts w:hint="default" w:ascii="Times New Roman" w:hAnsi="Times New Roman" w:eastAsia="宋体" w:cs="Times New Roman"/>
                <w:snapToGrid w:val="0"/>
                <w:color w:val="auto"/>
                <w:kern w:val="21"/>
                <w:sz w:val="21"/>
                <w:szCs w:val="21"/>
                <w:highlight w:val="none"/>
                <w:lang w:val="en-US" w:eastAsia="zh-CN" w:bidi="ar-SA"/>
              </w:rPr>
            </w:pPr>
          </w:p>
        </w:tc>
      </w:tr>
      <w:tr w14:paraId="41A41B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468" w:type="dxa"/>
            <w:noWrap w:val="0"/>
            <w:vAlign w:val="center"/>
          </w:tcPr>
          <w:p w14:paraId="6A5665DD">
            <w:pPr>
              <w:pStyle w:val="50"/>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危险废物</w:t>
            </w:r>
          </w:p>
        </w:tc>
        <w:tc>
          <w:tcPr>
            <w:tcW w:w="1537" w:type="dxa"/>
            <w:noWrap w:val="0"/>
            <w:vAlign w:val="center"/>
          </w:tcPr>
          <w:p w14:paraId="383D95E9">
            <w:pPr>
              <w:topLinePunct/>
              <w:adjustRightInd w:val="0"/>
              <w:snapToGrid w:val="0"/>
              <w:jc w:val="center"/>
              <w:rPr>
                <w:rFonts w:hint="default" w:ascii="Times New Roman" w:hAnsi="Times New Roman" w:eastAsia="宋体" w:cs="Times New Roman"/>
                <w:snapToGrid w:val="0"/>
                <w:color w:val="auto"/>
                <w:kern w:val="21"/>
                <w:sz w:val="21"/>
                <w:szCs w:val="21"/>
                <w:highlight w:val="none"/>
                <w:lang w:val="en-US" w:eastAsia="zh-CN" w:bidi="ar-SA"/>
              </w:rPr>
            </w:pPr>
          </w:p>
        </w:tc>
        <w:tc>
          <w:tcPr>
            <w:tcW w:w="1701" w:type="dxa"/>
            <w:noWrap w:val="0"/>
            <w:vAlign w:val="center"/>
          </w:tcPr>
          <w:p w14:paraId="556D66FB">
            <w:pPr>
              <w:jc w:val="center"/>
              <w:rPr>
                <w:rFonts w:hint="default" w:ascii="Times New Roman" w:hAnsi="Times New Roman" w:eastAsia="宋体" w:cs="Times New Roman"/>
                <w:snapToGrid w:val="0"/>
                <w:color w:val="auto"/>
                <w:kern w:val="21"/>
                <w:sz w:val="21"/>
                <w:szCs w:val="21"/>
                <w:highlight w:val="none"/>
                <w:lang w:val="en-US" w:eastAsia="zh-CN"/>
              </w:rPr>
            </w:pPr>
          </w:p>
        </w:tc>
        <w:tc>
          <w:tcPr>
            <w:tcW w:w="1276" w:type="dxa"/>
            <w:noWrap w:val="0"/>
            <w:vAlign w:val="center"/>
          </w:tcPr>
          <w:p w14:paraId="1F0D0E96">
            <w:pPr>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701" w:type="dxa"/>
            <w:noWrap w:val="0"/>
            <w:vAlign w:val="center"/>
          </w:tcPr>
          <w:p w14:paraId="7845EF56">
            <w:pPr>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p>
        </w:tc>
        <w:tc>
          <w:tcPr>
            <w:tcW w:w="1478" w:type="dxa"/>
            <w:noWrap w:val="0"/>
            <w:vAlign w:val="center"/>
          </w:tcPr>
          <w:p w14:paraId="2714559C">
            <w:pPr>
              <w:topLinePunct/>
              <w:adjustRightInd w:val="0"/>
              <w:snapToGrid w:val="0"/>
              <w:jc w:val="center"/>
              <w:rPr>
                <w:rFonts w:hint="default" w:ascii="Times New Roman" w:hAnsi="Times New Roman" w:eastAsia="宋体" w:cs="Times New Roman"/>
                <w:snapToGrid w:val="0"/>
                <w:color w:val="auto"/>
                <w:kern w:val="21"/>
                <w:sz w:val="21"/>
                <w:szCs w:val="21"/>
                <w:highlight w:val="none"/>
                <w:lang w:val="en-US" w:eastAsia="zh-CN" w:bidi="ar-SA"/>
              </w:rPr>
            </w:pPr>
          </w:p>
        </w:tc>
        <w:tc>
          <w:tcPr>
            <w:tcW w:w="1725" w:type="dxa"/>
            <w:noWrap w:val="0"/>
            <w:vAlign w:val="center"/>
          </w:tcPr>
          <w:p w14:paraId="545A6BE5">
            <w:pPr>
              <w:keepNext w:val="0"/>
              <w:keepLines w:val="0"/>
              <w:pageBreakBefore w:val="0"/>
              <w:widowControl w:val="0"/>
              <w:kinsoku/>
              <w:wordWrap/>
              <w:overflowPunct/>
              <w:topLinePunct w:val="0"/>
              <w:autoSpaceDE/>
              <w:autoSpaceDN/>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rPr>
            </w:pPr>
          </w:p>
        </w:tc>
        <w:tc>
          <w:tcPr>
            <w:tcW w:w="1538" w:type="dxa"/>
            <w:noWrap w:val="0"/>
            <w:vAlign w:val="center"/>
          </w:tcPr>
          <w:p w14:paraId="03BAE912">
            <w:pPr>
              <w:topLinePunct/>
              <w:adjustRightInd w:val="0"/>
              <w:snapToGrid w:val="0"/>
              <w:jc w:val="center"/>
              <w:rPr>
                <w:rFonts w:hint="default" w:ascii="Times New Roman" w:hAnsi="Times New Roman" w:eastAsia="宋体" w:cs="Times New Roman"/>
                <w:snapToGrid w:val="0"/>
                <w:color w:val="auto"/>
                <w:kern w:val="21"/>
                <w:sz w:val="21"/>
                <w:szCs w:val="21"/>
                <w:highlight w:val="none"/>
                <w:lang w:val="en-US" w:eastAsia="zh-CN" w:bidi="ar-SA"/>
              </w:rPr>
            </w:pPr>
          </w:p>
        </w:tc>
        <w:tc>
          <w:tcPr>
            <w:tcW w:w="1364" w:type="dxa"/>
            <w:noWrap w:val="0"/>
            <w:vAlign w:val="center"/>
          </w:tcPr>
          <w:p w14:paraId="28AFD154">
            <w:pPr>
              <w:topLinePunct/>
              <w:adjustRightInd w:val="0"/>
              <w:snapToGrid w:val="0"/>
              <w:jc w:val="center"/>
              <w:rPr>
                <w:rFonts w:hint="default" w:ascii="Times New Roman" w:hAnsi="Times New Roman" w:eastAsia="宋体" w:cs="Times New Roman"/>
                <w:snapToGrid w:val="0"/>
                <w:color w:val="auto"/>
                <w:kern w:val="21"/>
                <w:sz w:val="21"/>
                <w:szCs w:val="21"/>
                <w:highlight w:val="none"/>
                <w:lang w:val="en-US" w:eastAsia="zh-CN" w:bidi="ar-SA"/>
              </w:rPr>
            </w:pPr>
          </w:p>
        </w:tc>
      </w:tr>
    </w:tbl>
    <w:p w14:paraId="73F916B9">
      <w:pPr>
        <w:pStyle w:val="50"/>
        <w:spacing w:before="192" w:beforeLines="80" w:after="24"/>
        <w:jc w:val="left"/>
        <w:rPr>
          <w:rFonts w:hint="default" w:ascii="Times New Roman" w:hAnsi="Times New Roman" w:eastAsia="宋体" w:cs="Times New Roman"/>
          <w:color w:val="auto"/>
          <w:highlight w:val="none"/>
        </w:rPr>
        <w:sectPr>
          <w:pgSz w:w="16838" w:h="11906" w:orient="landscape"/>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default" w:ascii="Times New Roman" w:hAnsi="Times New Roman" w:eastAsia="宋体" w:cs="Times New Roman"/>
          <w:snapToGrid w:val="0"/>
          <w:color w:val="auto"/>
          <w:kern w:val="21"/>
          <w:szCs w:val="21"/>
          <w:highlight w:val="none"/>
        </w:rPr>
        <w:t>注：</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③</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p w14:paraId="1FB62DFC">
      <w:pPr>
        <w:keepNext w:val="0"/>
        <w:keepLines w:val="0"/>
        <w:pageBreakBefore w:val="0"/>
        <w:widowControl w:val="0"/>
        <w:kinsoku/>
        <w:wordWrap/>
        <w:overflowPunct/>
        <w:topLinePunct w:val="0"/>
        <w:autoSpaceDE/>
        <w:autoSpaceDN/>
        <w:bidi w:val="0"/>
        <w:spacing w:line="240" w:lineRule="auto"/>
        <w:jc w:val="both"/>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附件1委托书</w:t>
      </w:r>
    </w:p>
    <w:p w14:paraId="38CF94F9">
      <w:pPr>
        <w:keepNext w:val="0"/>
        <w:keepLines w:val="0"/>
        <w:pageBreakBefore w:val="0"/>
        <w:widowControl w:val="0"/>
        <w:kinsoku/>
        <w:wordWrap/>
        <w:overflowPunct/>
        <w:topLinePunct w:val="0"/>
        <w:autoSpaceDE/>
        <w:autoSpaceDN/>
        <w:bidi w:val="0"/>
        <w:spacing w:line="240" w:lineRule="auto"/>
        <w:jc w:val="both"/>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drawing>
          <wp:inline distT="0" distB="0" distL="114300" distR="114300">
            <wp:extent cx="5238750" cy="7414895"/>
            <wp:effectExtent l="0" t="0" r="0" b="14605"/>
            <wp:docPr id="19" name="图片 357"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57" descr="委托书"/>
                    <pic:cNvPicPr>
                      <a:picLocks noChangeAspect="1"/>
                    </pic:cNvPicPr>
                  </pic:nvPicPr>
                  <pic:blipFill>
                    <a:blip r:embed="rId17"/>
                    <a:stretch>
                      <a:fillRect/>
                    </a:stretch>
                  </pic:blipFill>
                  <pic:spPr>
                    <a:xfrm>
                      <a:off x="0" y="0"/>
                      <a:ext cx="5238750" cy="7414895"/>
                    </a:xfrm>
                    <a:prstGeom prst="rect">
                      <a:avLst/>
                    </a:prstGeom>
                    <a:noFill/>
                    <a:ln>
                      <a:noFill/>
                    </a:ln>
                  </pic:spPr>
                </pic:pic>
              </a:graphicData>
            </a:graphic>
          </wp:inline>
        </w:drawing>
      </w:r>
    </w:p>
    <w:p w14:paraId="3077016F">
      <w:pPr>
        <w:keepNext w:val="0"/>
        <w:keepLines w:val="0"/>
        <w:pageBreakBefore w:val="0"/>
        <w:widowControl w:val="0"/>
        <w:kinsoku/>
        <w:wordWrap/>
        <w:overflowPunct/>
        <w:topLinePunct w:val="0"/>
        <w:autoSpaceDE/>
        <w:autoSpaceDN/>
        <w:bidi w:val="0"/>
        <w:spacing w:line="240" w:lineRule="auto"/>
        <w:jc w:val="both"/>
        <w:textAlignment w:val="auto"/>
        <w:rPr>
          <w:rFonts w:hint="eastAsia" w:ascii="Times New Roman" w:hAnsi="Times New Roman" w:cs="Times New Roman"/>
          <w:color w:val="auto"/>
          <w:lang w:val="en-US" w:eastAsia="zh-CN"/>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6232AEA2">
      <w:pPr>
        <w:keepNext w:val="0"/>
        <w:keepLines w:val="0"/>
        <w:pageBreakBefore w:val="0"/>
        <w:widowControl w:val="0"/>
        <w:kinsoku/>
        <w:wordWrap/>
        <w:overflowPunct/>
        <w:topLinePunct w:val="0"/>
        <w:autoSpaceDE/>
        <w:autoSpaceDN/>
        <w:bidi w:val="0"/>
        <w:spacing w:line="240" w:lineRule="auto"/>
        <w:jc w:val="both"/>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附件2内蒙古自治区环境保护局关于内蒙古乌拉特中旗浩尧尔忽洞金矿项目环境影响报告书的批复</w:t>
      </w:r>
    </w:p>
    <w:p w14:paraId="4016ED75">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114300" distR="114300">
            <wp:extent cx="5273675" cy="7543165"/>
            <wp:effectExtent l="0" t="0" r="3175" b="635"/>
            <wp:docPr id="20"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86"/>
                    <pic:cNvPicPr>
                      <a:picLocks noChangeAspect="1"/>
                    </pic:cNvPicPr>
                  </pic:nvPicPr>
                  <pic:blipFill>
                    <a:blip r:embed="rId18"/>
                    <a:stretch>
                      <a:fillRect/>
                    </a:stretch>
                  </pic:blipFill>
                  <pic:spPr>
                    <a:xfrm>
                      <a:off x="0" y="0"/>
                      <a:ext cx="5273675" cy="7543165"/>
                    </a:xfrm>
                    <a:prstGeom prst="rect">
                      <a:avLst/>
                    </a:prstGeom>
                    <a:noFill/>
                    <a:ln>
                      <a:noFill/>
                    </a:ln>
                  </pic:spPr>
                </pic:pic>
              </a:graphicData>
            </a:graphic>
          </wp:inline>
        </w:drawing>
      </w:r>
      <w:r>
        <w:rPr>
          <w:color w:val="auto"/>
        </w:rPr>
        <w:drawing>
          <wp:inline distT="0" distB="0" distL="114300" distR="114300">
            <wp:extent cx="5269865" cy="7331075"/>
            <wp:effectExtent l="0" t="0" r="6985" b="3175"/>
            <wp:docPr id="21"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87"/>
                    <pic:cNvPicPr>
                      <a:picLocks noChangeAspect="1"/>
                    </pic:cNvPicPr>
                  </pic:nvPicPr>
                  <pic:blipFill>
                    <a:blip r:embed="rId19"/>
                    <a:stretch>
                      <a:fillRect/>
                    </a:stretch>
                  </pic:blipFill>
                  <pic:spPr>
                    <a:xfrm>
                      <a:off x="0" y="0"/>
                      <a:ext cx="5269865" cy="7331075"/>
                    </a:xfrm>
                    <a:prstGeom prst="rect">
                      <a:avLst/>
                    </a:prstGeom>
                    <a:noFill/>
                    <a:ln>
                      <a:noFill/>
                    </a:ln>
                  </pic:spPr>
                </pic:pic>
              </a:graphicData>
            </a:graphic>
          </wp:inline>
        </w:drawing>
      </w:r>
      <w:r>
        <w:rPr>
          <w:color w:val="auto"/>
        </w:rPr>
        <w:drawing>
          <wp:inline distT="0" distB="0" distL="114300" distR="114300">
            <wp:extent cx="5270500" cy="7439025"/>
            <wp:effectExtent l="0" t="0" r="6350" b="9525"/>
            <wp:docPr id="22"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88"/>
                    <pic:cNvPicPr>
                      <a:picLocks noChangeAspect="1"/>
                    </pic:cNvPicPr>
                  </pic:nvPicPr>
                  <pic:blipFill>
                    <a:blip r:embed="rId20"/>
                    <a:stretch>
                      <a:fillRect/>
                    </a:stretch>
                  </pic:blipFill>
                  <pic:spPr>
                    <a:xfrm>
                      <a:off x="0" y="0"/>
                      <a:ext cx="5270500" cy="7439025"/>
                    </a:xfrm>
                    <a:prstGeom prst="rect">
                      <a:avLst/>
                    </a:prstGeom>
                    <a:noFill/>
                    <a:ln>
                      <a:noFill/>
                    </a:ln>
                  </pic:spPr>
                </pic:pic>
              </a:graphicData>
            </a:graphic>
          </wp:inline>
        </w:drawing>
      </w:r>
    </w:p>
    <w:p w14:paraId="2122E5EB">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5149F775">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650B9211">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4D75A71D">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5E9EA78D">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74D24063">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41AE2A9E">
      <w:pPr>
        <w:keepNext w:val="0"/>
        <w:keepLines w:val="0"/>
        <w:pageBreakBefore w:val="0"/>
        <w:widowControl w:val="0"/>
        <w:kinsoku/>
        <w:wordWrap/>
        <w:overflowPunct/>
        <w:topLinePunct w:val="0"/>
        <w:autoSpaceDE/>
        <w:autoSpaceDN/>
        <w:bidi w:val="0"/>
        <w:spacing w:line="240" w:lineRule="auto"/>
        <w:jc w:val="both"/>
        <w:textAlignment w:val="auto"/>
        <w:rPr>
          <w:rFonts w:hint="eastAsia" w:ascii="Times New Roman" w:hAnsi="Times New Roman" w:cs="Times New Roman"/>
          <w:color w:val="auto"/>
          <w:lang w:val="en-US" w:eastAsia="zh-CN"/>
        </w:rPr>
      </w:pPr>
      <w:r>
        <w:rPr>
          <w:rFonts w:hint="eastAsia"/>
          <w:color w:val="auto"/>
          <w:lang w:val="en-US" w:eastAsia="zh-CN"/>
        </w:rPr>
        <w:t>附件3</w:t>
      </w:r>
      <w:r>
        <w:rPr>
          <w:rFonts w:hint="eastAsia" w:ascii="Times New Roman" w:hAnsi="Times New Roman" w:cs="Times New Roman"/>
          <w:color w:val="auto"/>
          <w:lang w:val="en-US" w:eastAsia="zh-CN"/>
        </w:rPr>
        <w:t>内蒙古乌拉特中旗浩尧尔忽洞金矿项目竣工环境保护验收组验收意见</w:t>
      </w:r>
    </w:p>
    <w:p w14:paraId="5F2EBE44">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r>
        <w:rPr>
          <w:color w:val="auto"/>
        </w:rPr>
        <w:drawing>
          <wp:inline distT="0" distB="0" distL="114300" distR="114300">
            <wp:extent cx="5274310" cy="7437120"/>
            <wp:effectExtent l="0" t="0" r="2540" b="11430"/>
            <wp:docPr id="23"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92"/>
                    <pic:cNvPicPr>
                      <a:picLocks noChangeAspect="1"/>
                    </pic:cNvPicPr>
                  </pic:nvPicPr>
                  <pic:blipFill>
                    <a:blip r:embed="rId21"/>
                    <a:stretch>
                      <a:fillRect/>
                    </a:stretch>
                  </pic:blipFill>
                  <pic:spPr>
                    <a:xfrm>
                      <a:off x="0" y="0"/>
                      <a:ext cx="5274310" cy="7437120"/>
                    </a:xfrm>
                    <a:prstGeom prst="rect">
                      <a:avLst/>
                    </a:prstGeom>
                    <a:noFill/>
                    <a:ln>
                      <a:noFill/>
                    </a:ln>
                  </pic:spPr>
                </pic:pic>
              </a:graphicData>
            </a:graphic>
          </wp:inline>
        </w:drawing>
      </w:r>
      <w:r>
        <w:rPr>
          <w:color w:val="auto"/>
        </w:rPr>
        <w:drawing>
          <wp:inline distT="0" distB="0" distL="114300" distR="114300">
            <wp:extent cx="5257800" cy="7515225"/>
            <wp:effectExtent l="0" t="0" r="0" b="9525"/>
            <wp:docPr id="24"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93"/>
                    <pic:cNvPicPr>
                      <a:picLocks noChangeAspect="1"/>
                    </pic:cNvPicPr>
                  </pic:nvPicPr>
                  <pic:blipFill>
                    <a:blip r:embed="rId22"/>
                    <a:stretch>
                      <a:fillRect/>
                    </a:stretch>
                  </pic:blipFill>
                  <pic:spPr>
                    <a:xfrm>
                      <a:off x="0" y="0"/>
                      <a:ext cx="5257800" cy="7515225"/>
                    </a:xfrm>
                    <a:prstGeom prst="rect">
                      <a:avLst/>
                    </a:prstGeom>
                    <a:noFill/>
                    <a:ln>
                      <a:noFill/>
                    </a:ln>
                  </pic:spPr>
                </pic:pic>
              </a:graphicData>
            </a:graphic>
          </wp:inline>
        </w:drawing>
      </w:r>
      <w:r>
        <w:rPr>
          <w:color w:val="auto"/>
        </w:rPr>
        <w:drawing>
          <wp:inline distT="0" distB="0" distL="114300" distR="114300">
            <wp:extent cx="4914900" cy="7324725"/>
            <wp:effectExtent l="0" t="0" r="0" b="9525"/>
            <wp:docPr id="25"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94"/>
                    <pic:cNvPicPr>
                      <a:picLocks noChangeAspect="1"/>
                    </pic:cNvPicPr>
                  </pic:nvPicPr>
                  <pic:blipFill>
                    <a:blip r:embed="rId23"/>
                    <a:stretch>
                      <a:fillRect/>
                    </a:stretch>
                  </pic:blipFill>
                  <pic:spPr>
                    <a:xfrm>
                      <a:off x="0" y="0"/>
                      <a:ext cx="4914900" cy="7324725"/>
                    </a:xfrm>
                    <a:prstGeom prst="rect">
                      <a:avLst/>
                    </a:prstGeom>
                    <a:noFill/>
                    <a:ln>
                      <a:noFill/>
                    </a:ln>
                  </pic:spPr>
                </pic:pic>
              </a:graphicData>
            </a:graphic>
          </wp:inline>
        </w:drawing>
      </w:r>
      <w:r>
        <w:rPr>
          <w:color w:val="auto"/>
        </w:rPr>
        <w:drawing>
          <wp:inline distT="0" distB="0" distL="114300" distR="114300">
            <wp:extent cx="4905375" cy="7458075"/>
            <wp:effectExtent l="0" t="0" r="9525" b="9525"/>
            <wp:docPr id="26"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95"/>
                    <pic:cNvPicPr>
                      <a:picLocks noChangeAspect="1"/>
                    </pic:cNvPicPr>
                  </pic:nvPicPr>
                  <pic:blipFill>
                    <a:blip r:embed="rId24"/>
                    <a:stretch>
                      <a:fillRect/>
                    </a:stretch>
                  </pic:blipFill>
                  <pic:spPr>
                    <a:xfrm>
                      <a:off x="0" y="0"/>
                      <a:ext cx="4905375" cy="7458075"/>
                    </a:xfrm>
                    <a:prstGeom prst="rect">
                      <a:avLst/>
                    </a:prstGeom>
                    <a:noFill/>
                    <a:ln>
                      <a:noFill/>
                    </a:ln>
                  </pic:spPr>
                </pic:pic>
              </a:graphicData>
            </a:graphic>
          </wp:inline>
        </w:drawing>
      </w:r>
      <w:r>
        <w:rPr>
          <w:color w:val="auto"/>
        </w:rPr>
        <w:drawing>
          <wp:inline distT="0" distB="0" distL="114300" distR="114300">
            <wp:extent cx="4981575" cy="7277100"/>
            <wp:effectExtent l="0" t="0" r="9525" b="0"/>
            <wp:docPr id="27"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96"/>
                    <pic:cNvPicPr>
                      <a:picLocks noChangeAspect="1"/>
                    </pic:cNvPicPr>
                  </pic:nvPicPr>
                  <pic:blipFill>
                    <a:blip r:embed="rId25"/>
                    <a:stretch>
                      <a:fillRect/>
                    </a:stretch>
                  </pic:blipFill>
                  <pic:spPr>
                    <a:xfrm>
                      <a:off x="0" y="0"/>
                      <a:ext cx="4981575" cy="7277100"/>
                    </a:xfrm>
                    <a:prstGeom prst="rect">
                      <a:avLst/>
                    </a:prstGeom>
                    <a:noFill/>
                    <a:ln>
                      <a:noFill/>
                    </a:ln>
                  </pic:spPr>
                </pic:pic>
              </a:graphicData>
            </a:graphic>
          </wp:inline>
        </w:drawing>
      </w:r>
      <w:r>
        <w:rPr>
          <w:color w:val="auto"/>
        </w:rPr>
        <w:drawing>
          <wp:inline distT="0" distB="0" distL="114300" distR="114300">
            <wp:extent cx="5076825" cy="7534275"/>
            <wp:effectExtent l="0" t="0" r="9525" b="9525"/>
            <wp:docPr id="28"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97"/>
                    <pic:cNvPicPr>
                      <a:picLocks noChangeAspect="1"/>
                    </pic:cNvPicPr>
                  </pic:nvPicPr>
                  <pic:blipFill>
                    <a:blip r:embed="rId26"/>
                    <a:stretch>
                      <a:fillRect/>
                    </a:stretch>
                  </pic:blipFill>
                  <pic:spPr>
                    <a:xfrm>
                      <a:off x="0" y="0"/>
                      <a:ext cx="5076825" cy="7534275"/>
                    </a:xfrm>
                    <a:prstGeom prst="rect">
                      <a:avLst/>
                    </a:prstGeom>
                    <a:noFill/>
                    <a:ln>
                      <a:noFill/>
                    </a:ln>
                  </pic:spPr>
                </pic:pic>
              </a:graphicData>
            </a:graphic>
          </wp:inline>
        </w:drawing>
      </w:r>
      <w:r>
        <w:rPr>
          <w:color w:val="auto"/>
        </w:rPr>
        <w:drawing>
          <wp:inline distT="0" distB="0" distL="114300" distR="114300">
            <wp:extent cx="5076825" cy="7372350"/>
            <wp:effectExtent l="0" t="0" r="9525" b="0"/>
            <wp:docPr id="29"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8"/>
                    <pic:cNvPicPr>
                      <a:picLocks noChangeAspect="1"/>
                    </pic:cNvPicPr>
                  </pic:nvPicPr>
                  <pic:blipFill>
                    <a:blip r:embed="rId27"/>
                    <a:stretch>
                      <a:fillRect/>
                    </a:stretch>
                  </pic:blipFill>
                  <pic:spPr>
                    <a:xfrm>
                      <a:off x="0" y="0"/>
                      <a:ext cx="5076825" cy="7372350"/>
                    </a:xfrm>
                    <a:prstGeom prst="rect">
                      <a:avLst/>
                    </a:prstGeom>
                    <a:noFill/>
                    <a:ln>
                      <a:noFill/>
                    </a:ln>
                  </pic:spPr>
                </pic:pic>
              </a:graphicData>
            </a:graphic>
          </wp:inline>
        </w:drawing>
      </w:r>
    </w:p>
    <w:p w14:paraId="3053EC32">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5C0D1886">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17C38E83">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7E792A52">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6BF621C4">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5BA603BE">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7A2698A9">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r>
        <w:rPr>
          <w:rFonts w:hint="eastAsia"/>
          <w:color w:val="auto"/>
          <w:lang w:val="en-US" w:eastAsia="zh-CN"/>
        </w:rPr>
        <w:t>附件4关于《内蒙古太平矿业有限公司</w:t>
      </w:r>
      <w:r>
        <w:rPr>
          <w:rFonts w:hint="eastAsia" w:ascii="Times New Roman" w:hAnsi="Times New Roman" w:cs="Times New Roman"/>
          <w:color w:val="auto"/>
          <w:lang w:val="en-US" w:eastAsia="zh-CN"/>
        </w:rPr>
        <w:t>浩尧尔忽洞金矿新增660万吨（日新增2万吨）原矿采选技改扩建项目环境影响报告书</w:t>
      </w:r>
      <w:r>
        <w:rPr>
          <w:rFonts w:hint="eastAsia"/>
          <w:color w:val="auto"/>
          <w:lang w:val="en-US" w:eastAsia="zh-CN"/>
        </w:rPr>
        <w:t>》的批复</w:t>
      </w:r>
    </w:p>
    <w:p w14:paraId="2DFD5CBF">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114300" distR="114300">
            <wp:extent cx="5271135" cy="7100570"/>
            <wp:effectExtent l="0" t="0" r="5715" b="5080"/>
            <wp:docPr id="30"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9"/>
                    <pic:cNvPicPr>
                      <a:picLocks noChangeAspect="1"/>
                    </pic:cNvPicPr>
                  </pic:nvPicPr>
                  <pic:blipFill>
                    <a:blip r:embed="rId28"/>
                    <a:stretch>
                      <a:fillRect/>
                    </a:stretch>
                  </pic:blipFill>
                  <pic:spPr>
                    <a:xfrm>
                      <a:off x="0" y="0"/>
                      <a:ext cx="5271135" cy="7100570"/>
                    </a:xfrm>
                    <a:prstGeom prst="rect">
                      <a:avLst/>
                    </a:prstGeom>
                    <a:noFill/>
                    <a:ln>
                      <a:noFill/>
                    </a:ln>
                  </pic:spPr>
                </pic:pic>
              </a:graphicData>
            </a:graphic>
          </wp:inline>
        </w:drawing>
      </w:r>
      <w:r>
        <w:rPr>
          <w:color w:val="auto"/>
        </w:rPr>
        <w:drawing>
          <wp:inline distT="0" distB="0" distL="114300" distR="114300">
            <wp:extent cx="5272405" cy="7439660"/>
            <wp:effectExtent l="0" t="0" r="4445" b="8890"/>
            <wp:docPr id="31"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90"/>
                    <pic:cNvPicPr>
                      <a:picLocks noChangeAspect="1"/>
                    </pic:cNvPicPr>
                  </pic:nvPicPr>
                  <pic:blipFill>
                    <a:blip r:embed="rId29"/>
                    <a:stretch>
                      <a:fillRect/>
                    </a:stretch>
                  </pic:blipFill>
                  <pic:spPr>
                    <a:xfrm>
                      <a:off x="0" y="0"/>
                      <a:ext cx="5272405" cy="7439660"/>
                    </a:xfrm>
                    <a:prstGeom prst="rect">
                      <a:avLst/>
                    </a:prstGeom>
                    <a:noFill/>
                    <a:ln>
                      <a:noFill/>
                    </a:ln>
                  </pic:spPr>
                </pic:pic>
              </a:graphicData>
            </a:graphic>
          </wp:inline>
        </w:drawing>
      </w:r>
      <w:r>
        <w:rPr>
          <w:color w:val="auto"/>
        </w:rPr>
        <w:drawing>
          <wp:inline distT="0" distB="0" distL="114300" distR="114300">
            <wp:extent cx="5270500" cy="7439025"/>
            <wp:effectExtent l="0" t="0" r="6350" b="9525"/>
            <wp:docPr id="32"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91"/>
                    <pic:cNvPicPr>
                      <a:picLocks noChangeAspect="1"/>
                    </pic:cNvPicPr>
                  </pic:nvPicPr>
                  <pic:blipFill>
                    <a:blip r:embed="rId30"/>
                    <a:stretch>
                      <a:fillRect/>
                    </a:stretch>
                  </pic:blipFill>
                  <pic:spPr>
                    <a:xfrm>
                      <a:off x="0" y="0"/>
                      <a:ext cx="5270500" cy="7439025"/>
                    </a:xfrm>
                    <a:prstGeom prst="rect">
                      <a:avLst/>
                    </a:prstGeom>
                    <a:noFill/>
                    <a:ln>
                      <a:noFill/>
                    </a:ln>
                  </pic:spPr>
                </pic:pic>
              </a:graphicData>
            </a:graphic>
          </wp:inline>
        </w:drawing>
      </w:r>
    </w:p>
    <w:p w14:paraId="013343AC">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6AC08050">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18B634B0">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54079D69">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4D7C0325">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24B360A4">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34B7298E">
      <w:pPr>
        <w:keepNext w:val="0"/>
        <w:keepLines w:val="0"/>
        <w:pageBreakBefore w:val="0"/>
        <w:widowControl w:val="0"/>
        <w:kinsoku/>
        <w:wordWrap/>
        <w:overflowPunct/>
        <w:topLinePunct w:val="0"/>
        <w:autoSpaceDE/>
        <w:autoSpaceDN/>
        <w:bidi w:val="0"/>
        <w:spacing w:line="240" w:lineRule="auto"/>
        <w:jc w:val="both"/>
        <w:textAlignment w:val="auto"/>
        <w:rPr>
          <w:rFonts w:hint="eastAsia" w:ascii="Times New Roman" w:hAnsi="Times New Roman" w:cs="Times New Roman"/>
          <w:color w:val="auto"/>
          <w:lang w:val="en-US" w:eastAsia="zh-CN"/>
        </w:rPr>
      </w:pPr>
      <w:r>
        <w:rPr>
          <w:rFonts w:hint="eastAsia"/>
          <w:color w:val="auto"/>
          <w:lang w:val="en-US" w:eastAsia="zh-CN"/>
        </w:rPr>
        <w:t>附件6内蒙古太平矿业有限公司</w:t>
      </w:r>
      <w:r>
        <w:rPr>
          <w:rFonts w:hint="eastAsia" w:ascii="Times New Roman" w:hAnsi="Times New Roman" w:cs="Times New Roman"/>
          <w:color w:val="auto"/>
          <w:lang w:val="en-US" w:eastAsia="zh-CN"/>
        </w:rPr>
        <w:t>浩尧尔忽洞金矿新增660万吨（日新增2万吨）原矿采选技改扩建项目竣工环境保护验收意见</w:t>
      </w:r>
    </w:p>
    <w:p w14:paraId="47408D78">
      <w:pPr>
        <w:keepNext w:val="0"/>
        <w:keepLines w:val="0"/>
        <w:pageBreakBefore w:val="0"/>
        <w:widowControl w:val="0"/>
        <w:kinsoku/>
        <w:wordWrap/>
        <w:overflowPunct/>
        <w:topLinePunct w:val="0"/>
        <w:autoSpaceDE/>
        <w:autoSpaceDN/>
        <w:bidi w:val="0"/>
        <w:spacing w:line="240" w:lineRule="auto"/>
        <w:jc w:val="both"/>
        <w:textAlignment w:val="auto"/>
        <w:rPr>
          <w:color w:val="auto"/>
        </w:rPr>
      </w:pPr>
      <w:r>
        <w:rPr>
          <w:color w:val="auto"/>
        </w:rPr>
        <w:drawing>
          <wp:inline distT="0" distB="0" distL="114300" distR="114300">
            <wp:extent cx="5272405" cy="7452360"/>
            <wp:effectExtent l="0" t="0" r="4445" b="15240"/>
            <wp:docPr id="33"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9"/>
                    <pic:cNvPicPr>
                      <a:picLocks noChangeAspect="1"/>
                    </pic:cNvPicPr>
                  </pic:nvPicPr>
                  <pic:blipFill>
                    <a:blip r:embed="rId31"/>
                    <a:stretch>
                      <a:fillRect/>
                    </a:stretch>
                  </pic:blipFill>
                  <pic:spPr>
                    <a:xfrm>
                      <a:off x="0" y="0"/>
                      <a:ext cx="5272405" cy="7452360"/>
                    </a:xfrm>
                    <a:prstGeom prst="rect">
                      <a:avLst/>
                    </a:prstGeom>
                    <a:noFill/>
                    <a:ln>
                      <a:noFill/>
                    </a:ln>
                  </pic:spPr>
                </pic:pic>
              </a:graphicData>
            </a:graphic>
          </wp:inline>
        </w:drawing>
      </w:r>
      <w:r>
        <w:rPr>
          <w:color w:val="auto"/>
        </w:rPr>
        <w:drawing>
          <wp:inline distT="0" distB="0" distL="114300" distR="114300">
            <wp:extent cx="5269230" cy="7452360"/>
            <wp:effectExtent l="0" t="0" r="7620" b="15240"/>
            <wp:docPr id="34"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0"/>
                    <pic:cNvPicPr>
                      <a:picLocks noChangeAspect="1"/>
                    </pic:cNvPicPr>
                  </pic:nvPicPr>
                  <pic:blipFill>
                    <a:blip r:embed="rId32"/>
                    <a:stretch>
                      <a:fillRect/>
                    </a:stretch>
                  </pic:blipFill>
                  <pic:spPr>
                    <a:xfrm>
                      <a:off x="0" y="0"/>
                      <a:ext cx="5269230" cy="7452360"/>
                    </a:xfrm>
                    <a:prstGeom prst="rect">
                      <a:avLst/>
                    </a:prstGeom>
                    <a:noFill/>
                    <a:ln>
                      <a:noFill/>
                    </a:ln>
                  </pic:spPr>
                </pic:pic>
              </a:graphicData>
            </a:graphic>
          </wp:inline>
        </w:drawing>
      </w:r>
      <w:r>
        <w:rPr>
          <w:color w:val="auto"/>
        </w:rPr>
        <w:drawing>
          <wp:inline distT="0" distB="0" distL="114300" distR="114300">
            <wp:extent cx="5269230" cy="7452360"/>
            <wp:effectExtent l="0" t="0" r="7620" b="15240"/>
            <wp:docPr id="35"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01"/>
                    <pic:cNvPicPr>
                      <a:picLocks noChangeAspect="1"/>
                    </pic:cNvPicPr>
                  </pic:nvPicPr>
                  <pic:blipFill>
                    <a:blip r:embed="rId33"/>
                    <a:stretch>
                      <a:fillRect/>
                    </a:stretch>
                  </pic:blipFill>
                  <pic:spPr>
                    <a:xfrm>
                      <a:off x="0" y="0"/>
                      <a:ext cx="5269230" cy="7452360"/>
                    </a:xfrm>
                    <a:prstGeom prst="rect">
                      <a:avLst/>
                    </a:prstGeom>
                    <a:noFill/>
                    <a:ln>
                      <a:noFill/>
                    </a:ln>
                  </pic:spPr>
                </pic:pic>
              </a:graphicData>
            </a:graphic>
          </wp:inline>
        </w:drawing>
      </w:r>
      <w:r>
        <w:rPr>
          <w:color w:val="auto"/>
        </w:rPr>
        <w:drawing>
          <wp:inline distT="0" distB="0" distL="114300" distR="114300">
            <wp:extent cx="5273675" cy="7498080"/>
            <wp:effectExtent l="0" t="0" r="3175" b="7620"/>
            <wp:docPr id="36"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02"/>
                    <pic:cNvPicPr>
                      <a:picLocks noChangeAspect="1"/>
                    </pic:cNvPicPr>
                  </pic:nvPicPr>
                  <pic:blipFill>
                    <a:blip r:embed="rId34"/>
                    <a:stretch>
                      <a:fillRect/>
                    </a:stretch>
                  </pic:blipFill>
                  <pic:spPr>
                    <a:xfrm>
                      <a:off x="0" y="0"/>
                      <a:ext cx="5273675" cy="7498080"/>
                    </a:xfrm>
                    <a:prstGeom prst="rect">
                      <a:avLst/>
                    </a:prstGeom>
                    <a:noFill/>
                    <a:ln>
                      <a:noFill/>
                    </a:ln>
                  </pic:spPr>
                </pic:pic>
              </a:graphicData>
            </a:graphic>
          </wp:inline>
        </w:drawing>
      </w:r>
      <w:r>
        <w:rPr>
          <w:color w:val="auto"/>
        </w:rPr>
        <w:drawing>
          <wp:inline distT="0" distB="0" distL="114300" distR="114300">
            <wp:extent cx="5269230" cy="7452360"/>
            <wp:effectExtent l="0" t="0" r="7620" b="15240"/>
            <wp:docPr id="37"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03"/>
                    <pic:cNvPicPr>
                      <a:picLocks noChangeAspect="1"/>
                    </pic:cNvPicPr>
                  </pic:nvPicPr>
                  <pic:blipFill>
                    <a:blip r:embed="rId35"/>
                    <a:stretch>
                      <a:fillRect/>
                    </a:stretch>
                  </pic:blipFill>
                  <pic:spPr>
                    <a:xfrm>
                      <a:off x="0" y="0"/>
                      <a:ext cx="5269230" cy="7452360"/>
                    </a:xfrm>
                    <a:prstGeom prst="rect">
                      <a:avLst/>
                    </a:prstGeom>
                    <a:noFill/>
                    <a:ln>
                      <a:noFill/>
                    </a:ln>
                  </pic:spPr>
                </pic:pic>
              </a:graphicData>
            </a:graphic>
          </wp:inline>
        </w:drawing>
      </w:r>
      <w:r>
        <w:rPr>
          <w:color w:val="auto"/>
        </w:rPr>
        <w:drawing>
          <wp:inline distT="0" distB="0" distL="114300" distR="114300">
            <wp:extent cx="5272405" cy="7452360"/>
            <wp:effectExtent l="0" t="0" r="4445" b="15240"/>
            <wp:docPr id="38"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04"/>
                    <pic:cNvPicPr>
                      <a:picLocks noChangeAspect="1"/>
                    </pic:cNvPicPr>
                  </pic:nvPicPr>
                  <pic:blipFill>
                    <a:blip r:embed="rId36"/>
                    <a:stretch>
                      <a:fillRect/>
                    </a:stretch>
                  </pic:blipFill>
                  <pic:spPr>
                    <a:xfrm>
                      <a:off x="0" y="0"/>
                      <a:ext cx="5272405" cy="7452360"/>
                    </a:xfrm>
                    <a:prstGeom prst="rect">
                      <a:avLst/>
                    </a:prstGeom>
                    <a:noFill/>
                    <a:ln>
                      <a:noFill/>
                    </a:ln>
                  </pic:spPr>
                </pic:pic>
              </a:graphicData>
            </a:graphic>
          </wp:inline>
        </w:drawing>
      </w:r>
    </w:p>
    <w:p w14:paraId="2622FAAE">
      <w:pPr>
        <w:keepNext w:val="0"/>
        <w:keepLines w:val="0"/>
        <w:pageBreakBefore w:val="0"/>
        <w:widowControl w:val="0"/>
        <w:kinsoku/>
        <w:wordWrap/>
        <w:overflowPunct/>
        <w:topLinePunct w:val="0"/>
        <w:autoSpaceDE/>
        <w:autoSpaceDN/>
        <w:bidi w:val="0"/>
        <w:spacing w:line="240" w:lineRule="auto"/>
        <w:jc w:val="both"/>
        <w:textAlignment w:val="auto"/>
        <w:rPr>
          <w:color w:val="auto"/>
        </w:rPr>
      </w:pPr>
    </w:p>
    <w:p w14:paraId="162805E3">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5E3080DC">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3B51FEB2">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35549B95">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3C4D5CF1">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lang w:val="en-US" w:eastAsia="zh-CN"/>
        </w:rPr>
      </w:pPr>
    </w:p>
    <w:p w14:paraId="66E872FC">
      <w:pPr>
        <w:keepNext w:val="0"/>
        <w:keepLines w:val="0"/>
        <w:pageBreakBefore w:val="0"/>
        <w:widowControl w:val="0"/>
        <w:kinsoku/>
        <w:wordWrap/>
        <w:overflowPunct/>
        <w:topLinePunct w:val="0"/>
        <w:autoSpaceDE/>
        <w:autoSpaceDN/>
        <w:bidi w:val="0"/>
        <w:spacing w:line="240" w:lineRule="auto"/>
        <w:jc w:val="both"/>
        <w:textAlignment w:val="auto"/>
        <w:rPr>
          <w:rFonts w:hint="default"/>
          <w:color w:val="auto"/>
          <w:lang w:val="en-US" w:eastAsia="zh-CN"/>
        </w:rPr>
      </w:pPr>
      <w:r>
        <w:rPr>
          <w:rFonts w:hint="eastAsia"/>
          <w:color w:val="auto"/>
          <w:lang w:val="en-US" w:eastAsia="zh-CN"/>
        </w:rPr>
        <w:t>附件7关于内蒙古太平矿业有限公司危废暂存库改造项目环境影响报告表的批复</w:t>
      </w:r>
    </w:p>
    <w:p w14:paraId="1B8E2363">
      <w:pPr>
        <w:bidi w:val="0"/>
        <w:rPr>
          <w:color w:val="auto"/>
        </w:rPr>
      </w:pPr>
      <w:r>
        <w:rPr>
          <w:color w:val="auto"/>
        </w:rPr>
        <w:drawing>
          <wp:inline distT="0" distB="0" distL="114300" distR="114300">
            <wp:extent cx="5274310" cy="7519035"/>
            <wp:effectExtent l="0" t="0" r="2540" b="5715"/>
            <wp:docPr id="39" name="IM 36"/>
            <wp:cNvGraphicFramePr/>
            <a:graphic xmlns:a="http://schemas.openxmlformats.org/drawingml/2006/main">
              <a:graphicData uri="http://schemas.openxmlformats.org/drawingml/2006/picture">
                <pic:pic xmlns:pic="http://schemas.openxmlformats.org/drawingml/2006/picture">
                  <pic:nvPicPr>
                    <pic:cNvPr id="39" name="IM 36"/>
                    <pic:cNvPicPr/>
                  </pic:nvPicPr>
                  <pic:blipFill>
                    <a:blip r:embed="rId37"/>
                    <a:stretch>
                      <a:fillRect/>
                    </a:stretch>
                  </pic:blipFill>
                  <pic:spPr>
                    <a:xfrm>
                      <a:off x="0" y="0"/>
                      <a:ext cx="5274310" cy="7519035"/>
                    </a:xfrm>
                    <a:prstGeom prst="rect">
                      <a:avLst/>
                    </a:prstGeom>
                    <a:noFill/>
                    <a:ln>
                      <a:noFill/>
                    </a:ln>
                  </pic:spPr>
                </pic:pic>
              </a:graphicData>
            </a:graphic>
          </wp:inline>
        </w:drawing>
      </w:r>
      <w:r>
        <w:rPr>
          <w:color w:val="auto"/>
        </w:rPr>
        <w:drawing>
          <wp:inline distT="0" distB="0" distL="114300" distR="114300">
            <wp:extent cx="5274310" cy="7519670"/>
            <wp:effectExtent l="0" t="0" r="2540" b="5080"/>
            <wp:docPr id="40" name="IM 38"/>
            <wp:cNvGraphicFramePr/>
            <a:graphic xmlns:a="http://schemas.openxmlformats.org/drawingml/2006/main">
              <a:graphicData uri="http://schemas.openxmlformats.org/drawingml/2006/picture">
                <pic:pic xmlns:pic="http://schemas.openxmlformats.org/drawingml/2006/picture">
                  <pic:nvPicPr>
                    <pic:cNvPr id="40" name="IM 38"/>
                    <pic:cNvPicPr/>
                  </pic:nvPicPr>
                  <pic:blipFill>
                    <a:blip r:embed="rId38"/>
                    <a:stretch>
                      <a:fillRect/>
                    </a:stretch>
                  </pic:blipFill>
                  <pic:spPr>
                    <a:xfrm>
                      <a:off x="0" y="0"/>
                      <a:ext cx="5274310" cy="7519670"/>
                    </a:xfrm>
                    <a:prstGeom prst="rect">
                      <a:avLst/>
                    </a:prstGeom>
                    <a:noFill/>
                    <a:ln>
                      <a:noFill/>
                    </a:ln>
                  </pic:spPr>
                </pic:pic>
              </a:graphicData>
            </a:graphic>
          </wp:inline>
        </w:drawing>
      </w:r>
      <w:r>
        <w:rPr>
          <w:color w:val="auto"/>
        </w:rPr>
        <w:drawing>
          <wp:inline distT="0" distB="0" distL="114300" distR="114300">
            <wp:extent cx="5274310" cy="7519670"/>
            <wp:effectExtent l="0" t="0" r="2540" b="5080"/>
            <wp:docPr id="41" name="IM 40"/>
            <wp:cNvGraphicFramePr/>
            <a:graphic xmlns:a="http://schemas.openxmlformats.org/drawingml/2006/main">
              <a:graphicData uri="http://schemas.openxmlformats.org/drawingml/2006/picture">
                <pic:pic xmlns:pic="http://schemas.openxmlformats.org/drawingml/2006/picture">
                  <pic:nvPicPr>
                    <pic:cNvPr id="41" name="IM 40"/>
                    <pic:cNvPicPr/>
                  </pic:nvPicPr>
                  <pic:blipFill>
                    <a:blip r:embed="rId39"/>
                    <a:stretch>
                      <a:fillRect/>
                    </a:stretch>
                  </pic:blipFill>
                  <pic:spPr>
                    <a:xfrm>
                      <a:off x="0" y="0"/>
                      <a:ext cx="5274310" cy="7519670"/>
                    </a:xfrm>
                    <a:prstGeom prst="rect">
                      <a:avLst/>
                    </a:prstGeom>
                    <a:noFill/>
                    <a:ln>
                      <a:noFill/>
                    </a:ln>
                  </pic:spPr>
                </pic:pic>
              </a:graphicData>
            </a:graphic>
          </wp:inline>
        </w:drawing>
      </w:r>
    </w:p>
    <w:p w14:paraId="0ACB9298">
      <w:pPr>
        <w:bidi w:val="0"/>
        <w:rPr>
          <w:rFonts w:hint="eastAsia"/>
          <w:color w:val="auto"/>
          <w:lang w:val="en-US" w:eastAsia="zh-CN"/>
        </w:rPr>
      </w:pPr>
    </w:p>
    <w:p w14:paraId="582D4C37">
      <w:pPr>
        <w:bidi w:val="0"/>
        <w:rPr>
          <w:rFonts w:hint="eastAsia"/>
          <w:color w:val="auto"/>
          <w:lang w:val="en-US" w:eastAsia="zh-CN"/>
        </w:rPr>
      </w:pPr>
    </w:p>
    <w:p w14:paraId="3D6E6A1C">
      <w:pPr>
        <w:bidi w:val="0"/>
        <w:rPr>
          <w:rFonts w:hint="eastAsia"/>
          <w:color w:val="auto"/>
          <w:lang w:val="en-US" w:eastAsia="zh-CN"/>
        </w:rPr>
      </w:pPr>
    </w:p>
    <w:p w14:paraId="6057E9B2">
      <w:pPr>
        <w:bidi w:val="0"/>
        <w:rPr>
          <w:rFonts w:hint="eastAsia"/>
          <w:color w:val="auto"/>
          <w:lang w:val="en-US" w:eastAsia="zh-CN"/>
        </w:rPr>
      </w:pPr>
    </w:p>
    <w:p w14:paraId="32F4E49E">
      <w:pPr>
        <w:bidi w:val="0"/>
        <w:rPr>
          <w:rFonts w:hint="eastAsia"/>
          <w:color w:val="auto"/>
          <w:lang w:val="en-US" w:eastAsia="zh-CN"/>
        </w:rPr>
      </w:pPr>
    </w:p>
    <w:p w14:paraId="2B0334B8">
      <w:pPr>
        <w:bidi w:val="0"/>
        <w:rPr>
          <w:rFonts w:hint="eastAsia"/>
          <w:color w:val="auto"/>
          <w:lang w:val="en-US" w:eastAsia="zh-CN"/>
        </w:rPr>
      </w:pPr>
    </w:p>
    <w:p w14:paraId="57E0615E">
      <w:pPr>
        <w:bidi w:val="0"/>
        <w:rPr>
          <w:rFonts w:hint="eastAsia"/>
          <w:color w:val="auto"/>
          <w:lang w:val="en-US" w:eastAsia="zh-CN"/>
        </w:rPr>
      </w:pPr>
      <w:r>
        <w:rPr>
          <w:rFonts w:hint="eastAsia"/>
          <w:color w:val="auto"/>
          <w:lang w:val="en-US" w:eastAsia="zh-CN"/>
        </w:rPr>
        <w:t>附件8内蒙古太平矿业有限公司危废暂存库改造项目竣工环境保护验收意见</w:t>
      </w:r>
    </w:p>
    <w:p w14:paraId="6A66E175">
      <w:pPr>
        <w:bidi w:val="0"/>
        <w:rPr>
          <w:rFonts w:hint="eastAsia"/>
          <w:color w:val="auto"/>
          <w:lang w:val="en-US" w:eastAsia="zh-CN"/>
        </w:rPr>
      </w:pPr>
      <w:r>
        <w:rPr>
          <w:rFonts w:hint="eastAsia"/>
          <w:color w:val="auto"/>
          <w:lang w:val="en-US" w:eastAsia="zh-CN"/>
        </w:rPr>
        <w:drawing>
          <wp:inline distT="0" distB="0" distL="114300" distR="114300">
            <wp:extent cx="5247005" cy="7496810"/>
            <wp:effectExtent l="0" t="0" r="10795" b="8890"/>
            <wp:docPr id="42" name="图片 308" descr="内蒙古太平矿业有限公司危废暂存库改造项目竣工环境保护自主验收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08" descr="内蒙古太平矿业有限公司危废暂存库改造项目竣工环境保护自主验收意见_01"/>
                    <pic:cNvPicPr>
                      <a:picLocks noChangeAspect="1"/>
                    </pic:cNvPicPr>
                  </pic:nvPicPr>
                  <pic:blipFill>
                    <a:blip r:embed="rId40"/>
                    <a:stretch>
                      <a:fillRect/>
                    </a:stretch>
                  </pic:blipFill>
                  <pic:spPr>
                    <a:xfrm>
                      <a:off x="0" y="0"/>
                      <a:ext cx="5247005" cy="7496810"/>
                    </a:xfrm>
                    <a:prstGeom prst="rect">
                      <a:avLst/>
                    </a:prstGeom>
                    <a:noFill/>
                    <a:ln>
                      <a:noFill/>
                    </a:ln>
                  </pic:spPr>
                </pic:pic>
              </a:graphicData>
            </a:graphic>
          </wp:inline>
        </w:drawing>
      </w:r>
    </w:p>
    <w:p w14:paraId="700070A4">
      <w:pPr>
        <w:bidi w:val="0"/>
        <w:rPr>
          <w:rFonts w:hint="eastAsia"/>
          <w:color w:val="auto"/>
          <w:lang w:val="en-US" w:eastAsia="zh-CN"/>
        </w:rPr>
      </w:pPr>
      <w:r>
        <w:rPr>
          <w:rFonts w:hint="eastAsia"/>
          <w:color w:val="auto"/>
          <w:lang w:val="en-US" w:eastAsia="zh-CN"/>
        </w:rPr>
        <w:drawing>
          <wp:inline distT="0" distB="0" distL="114300" distR="114300">
            <wp:extent cx="5247005" cy="7496810"/>
            <wp:effectExtent l="0" t="0" r="10795" b="8890"/>
            <wp:docPr id="43" name="图片 310" descr="内蒙古太平矿业有限公司危废暂存库改造项目竣工环境保护自主验收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10" descr="内蒙古太平矿业有限公司危废暂存库改造项目竣工环境保护自主验收意见_02"/>
                    <pic:cNvPicPr>
                      <a:picLocks noChangeAspect="1"/>
                    </pic:cNvPicPr>
                  </pic:nvPicPr>
                  <pic:blipFill>
                    <a:blip r:embed="rId41"/>
                    <a:stretch>
                      <a:fillRect/>
                    </a:stretch>
                  </pic:blipFill>
                  <pic:spPr>
                    <a:xfrm>
                      <a:off x="0" y="0"/>
                      <a:ext cx="5247005" cy="7496810"/>
                    </a:xfrm>
                    <a:prstGeom prst="rect">
                      <a:avLst/>
                    </a:prstGeom>
                    <a:noFill/>
                    <a:ln>
                      <a:noFill/>
                    </a:ln>
                  </pic:spPr>
                </pic:pic>
              </a:graphicData>
            </a:graphic>
          </wp:inline>
        </w:drawing>
      </w:r>
      <w:r>
        <w:rPr>
          <w:rFonts w:hint="eastAsia"/>
          <w:color w:val="auto"/>
          <w:lang w:val="en-US" w:eastAsia="zh-CN"/>
        </w:rPr>
        <w:drawing>
          <wp:inline distT="0" distB="0" distL="114300" distR="114300">
            <wp:extent cx="5247005" cy="7496810"/>
            <wp:effectExtent l="0" t="0" r="10795" b="8890"/>
            <wp:docPr id="44" name="图片 311" descr="内蒙古太平矿业有限公司危废暂存库改造项目竣工环境保护自主验收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1" descr="内蒙古太平矿业有限公司危废暂存库改造项目竣工环境保护自主验收意见_03"/>
                    <pic:cNvPicPr>
                      <a:picLocks noChangeAspect="1"/>
                    </pic:cNvPicPr>
                  </pic:nvPicPr>
                  <pic:blipFill>
                    <a:blip r:embed="rId42"/>
                    <a:stretch>
                      <a:fillRect/>
                    </a:stretch>
                  </pic:blipFill>
                  <pic:spPr>
                    <a:xfrm>
                      <a:off x="0" y="0"/>
                      <a:ext cx="5247005" cy="7496810"/>
                    </a:xfrm>
                    <a:prstGeom prst="rect">
                      <a:avLst/>
                    </a:prstGeom>
                    <a:noFill/>
                    <a:ln>
                      <a:noFill/>
                    </a:ln>
                  </pic:spPr>
                </pic:pic>
              </a:graphicData>
            </a:graphic>
          </wp:inline>
        </w:drawing>
      </w:r>
      <w:r>
        <w:rPr>
          <w:rFonts w:hint="eastAsia"/>
          <w:color w:val="auto"/>
          <w:lang w:val="en-US" w:eastAsia="zh-CN"/>
        </w:rPr>
        <w:drawing>
          <wp:inline distT="0" distB="0" distL="114300" distR="114300">
            <wp:extent cx="5247005" cy="7496810"/>
            <wp:effectExtent l="0" t="0" r="10795" b="8890"/>
            <wp:docPr id="45" name="图片 312" descr="内蒙古太平矿业有限公司危废暂存库改造项目竣工环境保护自主验收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12" descr="内蒙古太平矿业有限公司危废暂存库改造项目竣工环境保护自主验收意见_04"/>
                    <pic:cNvPicPr>
                      <a:picLocks noChangeAspect="1"/>
                    </pic:cNvPicPr>
                  </pic:nvPicPr>
                  <pic:blipFill>
                    <a:blip r:embed="rId43"/>
                    <a:stretch>
                      <a:fillRect/>
                    </a:stretch>
                  </pic:blipFill>
                  <pic:spPr>
                    <a:xfrm>
                      <a:off x="0" y="0"/>
                      <a:ext cx="5247005" cy="7496810"/>
                    </a:xfrm>
                    <a:prstGeom prst="rect">
                      <a:avLst/>
                    </a:prstGeom>
                    <a:noFill/>
                    <a:ln>
                      <a:noFill/>
                    </a:ln>
                  </pic:spPr>
                </pic:pic>
              </a:graphicData>
            </a:graphic>
          </wp:inline>
        </w:drawing>
      </w:r>
    </w:p>
    <w:p w14:paraId="349B0BC5">
      <w:pPr>
        <w:bidi w:val="0"/>
        <w:rPr>
          <w:rFonts w:hint="eastAsia"/>
          <w:color w:val="auto"/>
          <w:lang w:val="en-US" w:eastAsia="zh-CN"/>
        </w:rPr>
      </w:pPr>
    </w:p>
    <w:p w14:paraId="1E9B7486">
      <w:pPr>
        <w:bidi w:val="0"/>
        <w:rPr>
          <w:rFonts w:hint="eastAsia"/>
          <w:color w:val="auto"/>
          <w:lang w:val="en-US" w:eastAsia="zh-CN"/>
        </w:rPr>
      </w:pPr>
    </w:p>
    <w:p w14:paraId="70CA8171">
      <w:pPr>
        <w:bidi w:val="0"/>
        <w:rPr>
          <w:rFonts w:hint="eastAsia"/>
          <w:color w:val="auto"/>
          <w:lang w:val="en-US" w:eastAsia="zh-CN"/>
        </w:rPr>
      </w:pPr>
    </w:p>
    <w:p w14:paraId="7CA8D5CB">
      <w:pPr>
        <w:bidi w:val="0"/>
        <w:rPr>
          <w:rFonts w:hint="eastAsia"/>
          <w:color w:val="auto"/>
          <w:lang w:val="en-US" w:eastAsia="zh-CN"/>
        </w:rPr>
      </w:pPr>
    </w:p>
    <w:p w14:paraId="00958FF1">
      <w:pPr>
        <w:bidi w:val="0"/>
        <w:rPr>
          <w:rFonts w:hint="eastAsia"/>
          <w:color w:val="auto"/>
          <w:lang w:val="en-US" w:eastAsia="zh-CN"/>
        </w:rPr>
      </w:pPr>
    </w:p>
    <w:p w14:paraId="396B426A">
      <w:pPr>
        <w:bidi w:val="0"/>
        <w:rPr>
          <w:rFonts w:hint="eastAsia"/>
          <w:color w:val="auto"/>
          <w:lang w:val="en-US" w:eastAsia="zh-CN"/>
        </w:rPr>
      </w:pPr>
    </w:p>
    <w:p w14:paraId="04BE89F2">
      <w:pPr>
        <w:bidi w:val="0"/>
        <w:rPr>
          <w:rFonts w:hint="default"/>
          <w:color w:val="auto"/>
          <w:lang w:val="en-US" w:eastAsia="zh-CN"/>
        </w:rPr>
      </w:pPr>
      <w:r>
        <w:rPr>
          <w:rFonts w:hint="eastAsia"/>
          <w:color w:val="auto"/>
          <w:lang w:val="en-US" w:eastAsia="zh-CN"/>
        </w:rPr>
        <w:t>附件9关于《内蒙古太平矿业有限公司浩尧尔忽洞金矿年开采825万吨金矿石建设项目环境影响报告书》的批复</w:t>
      </w:r>
    </w:p>
    <w:p w14:paraId="6F09812F">
      <w:pPr>
        <w:bidi w:val="0"/>
        <w:rPr>
          <w:rFonts w:hint="default"/>
          <w:color w:val="auto"/>
          <w:lang w:val="en-US" w:eastAsia="zh-CN"/>
        </w:rPr>
      </w:pPr>
      <w:r>
        <w:rPr>
          <w:rFonts w:hint="default"/>
          <w:color w:val="auto"/>
          <w:lang w:val="en-US" w:eastAsia="zh-CN"/>
        </w:rPr>
        <w:drawing>
          <wp:inline distT="0" distB="0" distL="114300" distR="114300">
            <wp:extent cx="5238750" cy="7414895"/>
            <wp:effectExtent l="0" t="0" r="0" b="14605"/>
            <wp:docPr id="46" name="图片 313" descr="巴环审〔2025〕22号内蒙古太平矿业有限公司浩尧尔忽洞金矿年开采825万吨金矿石建设项目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13" descr="巴环审〔2025〕22号内蒙古太平矿业有限公司浩尧尔忽洞金矿年开采825万吨金矿石建设项目 (1)_01"/>
                    <pic:cNvPicPr>
                      <a:picLocks noChangeAspect="1"/>
                    </pic:cNvPicPr>
                  </pic:nvPicPr>
                  <pic:blipFill>
                    <a:blip r:embed="rId44"/>
                    <a:stretch>
                      <a:fillRect/>
                    </a:stretch>
                  </pic:blipFill>
                  <pic:spPr>
                    <a:xfrm>
                      <a:off x="0" y="0"/>
                      <a:ext cx="5238750" cy="7414895"/>
                    </a:xfrm>
                    <a:prstGeom prst="rect">
                      <a:avLst/>
                    </a:prstGeom>
                    <a:noFill/>
                    <a:ln>
                      <a:noFill/>
                    </a:ln>
                  </pic:spPr>
                </pic:pic>
              </a:graphicData>
            </a:graphic>
          </wp:inline>
        </w:drawing>
      </w:r>
      <w:r>
        <w:rPr>
          <w:rFonts w:hint="default"/>
          <w:color w:val="auto"/>
          <w:lang w:val="en-US" w:eastAsia="zh-CN"/>
        </w:rPr>
        <w:drawing>
          <wp:inline distT="0" distB="0" distL="114300" distR="114300">
            <wp:extent cx="5238750" cy="7414895"/>
            <wp:effectExtent l="0" t="0" r="0" b="14605"/>
            <wp:docPr id="47" name="图片 315" descr="巴环审〔2025〕22号内蒙古太平矿业有限公司浩尧尔忽洞金矿年开采825万吨金矿石建设项目 (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15" descr="巴环审〔2025〕22号内蒙古太平矿业有限公司浩尧尔忽洞金矿年开采825万吨金矿石建设项目 (1)_02"/>
                    <pic:cNvPicPr>
                      <a:picLocks noChangeAspect="1"/>
                    </pic:cNvPicPr>
                  </pic:nvPicPr>
                  <pic:blipFill>
                    <a:blip r:embed="rId45"/>
                    <a:stretch>
                      <a:fillRect/>
                    </a:stretch>
                  </pic:blipFill>
                  <pic:spPr>
                    <a:xfrm>
                      <a:off x="0" y="0"/>
                      <a:ext cx="5238750" cy="7414895"/>
                    </a:xfrm>
                    <a:prstGeom prst="rect">
                      <a:avLst/>
                    </a:prstGeom>
                    <a:noFill/>
                    <a:ln>
                      <a:noFill/>
                    </a:ln>
                  </pic:spPr>
                </pic:pic>
              </a:graphicData>
            </a:graphic>
          </wp:inline>
        </w:drawing>
      </w:r>
      <w:r>
        <w:rPr>
          <w:rFonts w:hint="default"/>
          <w:color w:val="auto"/>
          <w:lang w:val="en-US" w:eastAsia="zh-CN"/>
        </w:rPr>
        <w:drawing>
          <wp:inline distT="0" distB="0" distL="114300" distR="114300">
            <wp:extent cx="5238750" cy="7414895"/>
            <wp:effectExtent l="0" t="0" r="0" b="14605"/>
            <wp:docPr id="48" name="图片 316" descr="巴环审〔2025〕22号内蒙古太平矿业有限公司浩尧尔忽洞金矿年开采825万吨金矿石建设项目 (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16" descr="巴环审〔2025〕22号内蒙古太平矿业有限公司浩尧尔忽洞金矿年开采825万吨金矿石建设项目 (1)_03"/>
                    <pic:cNvPicPr>
                      <a:picLocks noChangeAspect="1"/>
                    </pic:cNvPicPr>
                  </pic:nvPicPr>
                  <pic:blipFill>
                    <a:blip r:embed="rId46"/>
                    <a:stretch>
                      <a:fillRect/>
                    </a:stretch>
                  </pic:blipFill>
                  <pic:spPr>
                    <a:xfrm>
                      <a:off x="0" y="0"/>
                      <a:ext cx="5238750" cy="7414895"/>
                    </a:xfrm>
                    <a:prstGeom prst="rect">
                      <a:avLst/>
                    </a:prstGeom>
                    <a:noFill/>
                    <a:ln>
                      <a:noFill/>
                    </a:ln>
                  </pic:spPr>
                </pic:pic>
              </a:graphicData>
            </a:graphic>
          </wp:inline>
        </w:drawing>
      </w:r>
      <w:r>
        <w:rPr>
          <w:rFonts w:hint="default"/>
          <w:color w:val="auto"/>
          <w:lang w:val="en-US" w:eastAsia="zh-CN"/>
        </w:rPr>
        <w:drawing>
          <wp:inline distT="0" distB="0" distL="114300" distR="114300">
            <wp:extent cx="5238750" cy="7414895"/>
            <wp:effectExtent l="0" t="0" r="0" b="14605"/>
            <wp:docPr id="49" name="图片 317" descr="巴环审〔2025〕22号内蒙古太平矿业有限公司浩尧尔忽洞金矿年开采825万吨金矿石建设项目 (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17" descr="巴环审〔2025〕22号内蒙古太平矿业有限公司浩尧尔忽洞金矿年开采825万吨金矿石建设项目 (1)_04"/>
                    <pic:cNvPicPr>
                      <a:picLocks noChangeAspect="1"/>
                    </pic:cNvPicPr>
                  </pic:nvPicPr>
                  <pic:blipFill>
                    <a:blip r:embed="rId47"/>
                    <a:stretch>
                      <a:fillRect/>
                    </a:stretch>
                  </pic:blipFill>
                  <pic:spPr>
                    <a:xfrm>
                      <a:off x="0" y="0"/>
                      <a:ext cx="5238750" cy="7414895"/>
                    </a:xfrm>
                    <a:prstGeom prst="rect">
                      <a:avLst/>
                    </a:prstGeom>
                    <a:noFill/>
                    <a:ln>
                      <a:noFill/>
                    </a:ln>
                  </pic:spPr>
                </pic:pic>
              </a:graphicData>
            </a:graphic>
          </wp:inline>
        </w:drawing>
      </w:r>
    </w:p>
    <w:p w14:paraId="21619806">
      <w:pPr>
        <w:bidi w:val="0"/>
        <w:rPr>
          <w:rFonts w:hint="eastAsia"/>
          <w:color w:val="auto"/>
          <w:lang w:val="en-US" w:eastAsia="zh-CN"/>
        </w:rPr>
      </w:pPr>
    </w:p>
    <w:p w14:paraId="20200445">
      <w:pPr>
        <w:bidi w:val="0"/>
        <w:rPr>
          <w:rFonts w:hint="eastAsia"/>
          <w:color w:val="auto"/>
          <w:lang w:val="en-US" w:eastAsia="zh-CN"/>
        </w:rPr>
      </w:pPr>
    </w:p>
    <w:p w14:paraId="3AE06643">
      <w:pPr>
        <w:bidi w:val="0"/>
        <w:rPr>
          <w:rFonts w:hint="eastAsia"/>
          <w:color w:val="auto"/>
          <w:lang w:val="en-US" w:eastAsia="zh-CN"/>
        </w:rPr>
      </w:pPr>
    </w:p>
    <w:p w14:paraId="78579E5E">
      <w:pPr>
        <w:bidi w:val="0"/>
        <w:rPr>
          <w:rFonts w:hint="eastAsia"/>
          <w:color w:val="auto"/>
          <w:lang w:val="en-US" w:eastAsia="zh-CN"/>
        </w:rPr>
      </w:pPr>
    </w:p>
    <w:p w14:paraId="4921882A">
      <w:pPr>
        <w:bidi w:val="0"/>
        <w:rPr>
          <w:rFonts w:hint="eastAsia"/>
          <w:color w:val="auto"/>
          <w:lang w:val="en-US" w:eastAsia="zh-CN"/>
        </w:rPr>
      </w:pPr>
    </w:p>
    <w:p w14:paraId="6456EE84">
      <w:pPr>
        <w:bidi w:val="0"/>
        <w:rPr>
          <w:rFonts w:hint="eastAsia"/>
          <w:color w:val="auto"/>
          <w:lang w:val="en-US" w:eastAsia="zh-CN"/>
        </w:rPr>
      </w:pPr>
    </w:p>
    <w:p w14:paraId="0BDE321A">
      <w:pPr>
        <w:bidi w:val="0"/>
        <w:rPr>
          <w:rFonts w:hint="default"/>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1DFF241B">
      <w:pPr>
        <w:bidi w:val="0"/>
        <w:rPr>
          <w:rFonts w:hint="eastAsia"/>
          <w:color w:val="auto"/>
          <w:lang w:val="en-US" w:eastAsia="zh-CN"/>
        </w:rPr>
      </w:pPr>
      <w:r>
        <w:rPr>
          <w:rFonts w:hint="eastAsia"/>
          <w:color w:val="auto"/>
          <w:lang w:val="en-US" w:eastAsia="zh-CN"/>
        </w:rPr>
        <w:t>附件10三线一单查询文件</w:t>
      </w:r>
    </w:p>
    <w:p w14:paraId="51FFA9BC">
      <w:pPr>
        <w:bidi w:val="0"/>
        <w:rPr>
          <w:rFonts w:hint="default"/>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color w:val="auto"/>
        </w:rPr>
        <w:drawing>
          <wp:inline distT="0" distB="0" distL="114300" distR="114300">
            <wp:extent cx="5261610" cy="3017520"/>
            <wp:effectExtent l="0" t="0" r="15240" b="11430"/>
            <wp:docPr id="50"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54"/>
                    <pic:cNvPicPr>
                      <a:picLocks noChangeAspect="1"/>
                    </pic:cNvPicPr>
                  </pic:nvPicPr>
                  <pic:blipFill>
                    <a:blip r:embed="rId48"/>
                    <a:stretch>
                      <a:fillRect/>
                    </a:stretch>
                  </pic:blipFill>
                  <pic:spPr>
                    <a:xfrm>
                      <a:off x="0" y="0"/>
                      <a:ext cx="5261610" cy="3017520"/>
                    </a:xfrm>
                    <a:prstGeom prst="rect">
                      <a:avLst/>
                    </a:prstGeom>
                    <a:noFill/>
                    <a:ln>
                      <a:noFill/>
                    </a:ln>
                  </pic:spPr>
                </pic:pic>
              </a:graphicData>
            </a:graphic>
          </wp:inline>
        </w:drawing>
      </w:r>
    </w:p>
    <w:p w14:paraId="168D237E">
      <w:pPr>
        <w:bidi w:val="0"/>
        <w:jc w:val="center"/>
        <w:rPr>
          <w:color w:val="auto"/>
        </w:rPr>
      </w:pPr>
      <w:r>
        <w:rPr>
          <w:color w:val="auto"/>
        </w:rPr>
        <w:drawing>
          <wp:inline distT="0" distB="0" distL="114300" distR="114300">
            <wp:extent cx="7013575" cy="4850765"/>
            <wp:effectExtent l="0" t="0" r="15875" b="6985"/>
            <wp:docPr id="51"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18"/>
                    <pic:cNvPicPr>
                      <a:picLocks noChangeAspect="1"/>
                    </pic:cNvPicPr>
                  </pic:nvPicPr>
                  <pic:blipFill>
                    <a:blip r:embed="rId49"/>
                    <a:stretch>
                      <a:fillRect/>
                    </a:stretch>
                  </pic:blipFill>
                  <pic:spPr>
                    <a:xfrm>
                      <a:off x="0" y="0"/>
                      <a:ext cx="7013575" cy="4850765"/>
                    </a:xfrm>
                    <a:prstGeom prst="rect">
                      <a:avLst/>
                    </a:prstGeom>
                    <a:noFill/>
                    <a:ln>
                      <a:noFill/>
                    </a:ln>
                  </pic:spPr>
                </pic:pic>
              </a:graphicData>
            </a:graphic>
          </wp:inline>
        </w:drawing>
      </w:r>
    </w:p>
    <w:p w14:paraId="6946F333">
      <w:pPr>
        <w:bidi w:val="0"/>
        <w:jc w:val="center"/>
        <w:rPr>
          <w:rFonts w:hint="eastAsia"/>
          <w:b/>
          <w:bCs/>
          <w:color w:val="auto"/>
          <w:lang w:val="en-US" w:eastAsia="zh-CN"/>
        </w:rPr>
      </w:pPr>
      <w:r>
        <w:rPr>
          <w:rFonts w:hint="eastAsia"/>
          <w:b/>
          <w:bCs/>
          <w:color w:val="auto"/>
          <w:lang w:val="en-US" w:eastAsia="zh-CN"/>
        </w:rPr>
        <w:t>附图1项目地理位置图</w:t>
      </w:r>
    </w:p>
    <w:p w14:paraId="2429287A">
      <w:pPr>
        <w:bidi w:val="0"/>
        <w:jc w:val="center"/>
        <w:rPr>
          <w:rFonts w:hint="default"/>
          <w:b/>
          <w:bCs/>
          <w:color w:val="auto"/>
          <w:lang w:val="en-US" w:eastAsia="zh-CN"/>
        </w:rPr>
      </w:pPr>
      <w:r>
        <w:rPr>
          <w:color w:val="auto"/>
        </w:rPr>
        <w:drawing>
          <wp:anchor distT="0" distB="0" distL="114300" distR="114300" simplePos="0" relativeHeight="251659264" behindDoc="1" locked="0" layoutInCell="1" allowOverlap="1">
            <wp:simplePos x="0" y="0"/>
            <wp:positionH relativeFrom="column">
              <wp:posOffset>0</wp:posOffset>
            </wp:positionH>
            <wp:positionV relativeFrom="paragraph">
              <wp:posOffset>73660</wp:posOffset>
            </wp:positionV>
            <wp:extent cx="8721090" cy="4533265"/>
            <wp:effectExtent l="0" t="0" r="3810" b="635"/>
            <wp:wrapNone/>
            <wp:docPr id="1" name="图片 586"/>
            <wp:cNvGraphicFramePr/>
            <a:graphic xmlns:a="http://schemas.openxmlformats.org/drawingml/2006/main">
              <a:graphicData uri="http://schemas.openxmlformats.org/drawingml/2006/picture">
                <pic:pic xmlns:pic="http://schemas.openxmlformats.org/drawingml/2006/picture">
                  <pic:nvPicPr>
                    <pic:cNvPr id="1" name="图片 586"/>
                    <pic:cNvPicPr/>
                  </pic:nvPicPr>
                  <pic:blipFill>
                    <a:blip r:embed="rId50"/>
                    <a:stretch>
                      <a:fillRect/>
                    </a:stretch>
                  </pic:blipFill>
                  <pic:spPr>
                    <a:xfrm>
                      <a:off x="0" y="0"/>
                      <a:ext cx="8721090" cy="4533265"/>
                    </a:xfrm>
                    <a:prstGeom prst="rect">
                      <a:avLst/>
                    </a:prstGeom>
                    <a:noFill/>
                    <a:ln>
                      <a:noFill/>
                    </a:ln>
                  </pic:spPr>
                </pic:pic>
              </a:graphicData>
            </a:graphic>
          </wp:anchor>
        </w:drawing>
      </w:r>
    </w:p>
    <w:p w14:paraId="62A6EEB7">
      <w:pPr>
        <w:bidi w:val="0"/>
        <w:rPr>
          <w:rFonts w:hint="default"/>
          <w:color w:val="auto"/>
          <w:lang w:val="en-US" w:eastAsia="zh-CN"/>
        </w:rPr>
      </w:pPr>
    </w:p>
    <w:p w14:paraId="1843E671">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07F507EF">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54E72F57">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17F9D645">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1E18607B">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56E8AD5B">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2D16C693">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3D11E29F">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0AB2B02A">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2A83E2AA">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2C45A8EC">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6F6DEDF8">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15A8D236">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5DA53F1F">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56D71734">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1713230</wp:posOffset>
                </wp:positionH>
                <wp:positionV relativeFrom="paragraph">
                  <wp:posOffset>137160</wp:posOffset>
                </wp:positionV>
                <wp:extent cx="1181100" cy="276225"/>
                <wp:effectExtent l="4445" t="5080" r="395605" b="556895"/>
                <wp:wrapNone/>
                <wp:docPr id="6" name="自选图形 584"/>
                <wp:cNvGraphicFramePr/>
                <a:graphic xmlns:a="http://schemas.openxmlformats.org/drawingml/2006/main">
                  <a:graphicData uri="http://schemas.microsoft.com/office/word/2010/wordprocessingShape">
                    <wps:wsp>
                      <wps:cNvSpPr/>
                      <wps:spPr>
                        <a:xfrm>
                          <a:off x="0" y="0"/>
                          <a:ext cx="1181100" cy="276225"/>
                        </a:xfrm>
                        <a:prstGeom prst="wedgeRectCallout">
                          <a:avLst>
                            <a:gd name="adj1" fmla="val 80852"/>
                            <a:gd name="adj2" fmla="val 238968"/>
                          </a:avLst>
                        </a:prstGeom>
                        <a:solidFill>
                          <a:srgbClr val="FFFFFF"/>
                        </a:solidFill>
                        <a:ln w="9525" cap="flat" cmpd="sng">
                          <a:solidFill>
                            <a:srgbClr val="000000"/>
                          </a:solidFill>
                          <a:prstDash val="solid"/>
                          <a:miter/>
                          <a:headEnd type="none" w="med" len="med"/>
                          <a:tailEnd type="none" w="med" len="med"/>
                        </a:ln>
                      </wps:spPr>
                      <wps:txbx>
                        <w:txbxContent>
                          <w:p w14:paraId="3F9B973B">
                            <w:pPr>
                              <w:rPr>
                                <w:rFonts w:hint="default" w:eastAsia="宋体"/>
                                <w:b/>
                                <w:bCs/>
                                <w:color w:val="FF0000"/>
                                <w:lang w:val="en-US" w:eastAsia="zh-CN"/>
                              </w:rPr>
                            </w:pPr>
                            <w:r>
                              <w:rPr>
                                <w:rFonts w:hint="eastAsia"/>
                                <w:b/>
                                <w:bCs/>
                                <w:color w:val="FF0000"/>
                                <w:lang w:val="en-US" w:eastAsia="zh-CN"/>
                              </w:rPr>
                              <w:t>本次改造危废库</w:t>
                            </w:r>
                          </w:p>
                        </w:txbxContent>
                      </wps:txbx>
                      <wps:bodyPr vert="horz" wrap="square" anchor="t" anchorCtr="0" upright="1"/>
                    </wps:wsp>
                  </a:graphicData>
                </a:graphic>
              </wp:anchor>
            </w:drawing>
          </mc:Choice>
          <mc:Fallback>
            <w:pict>
              <v:shape id="自选图形 584" o:spid="_x0000_s1026" o:spt="61" type="#_x0000_t61" style="position:absolute;left:0pt;margin-left:134.9pt;margin-top:10.8pt;height:21.75pt;width:93pt;z-index:251664384;mso-width-relative:page;mso-height-relative:page;" fillcolor="#FFFFFF" filled="t" stroked="t" coordsize="21600,21600" o:gfxdata="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GpfcItgA&#10;AAAJAQAADwAAAAAAAAABACAAAAAiAAAAZHJzL2Rvd25yZXYueG1sUEsBAhQAFAAAAAgAh07iQIQ6&#10;JmJYAgAAwgQAAA4AAAAAAAAAAQAgAAAAJwEAAGRycy9lMm9Eb2MueG1sUEsFBgAAAAAGAAYAWQEA&#10;APEFAAAAAA==&#10;" adj="28264,62417">
                <v:fill on="t" focussize="0,0"/>
                <v:stroke color="#000000" joinstyle="miter"/>
                <v:imagedata o:title=""/>
                <o:lock v:ext="edit" aspectratio="f"/>
                <v:textbox>
                  <w:txbxContent>
                    <w:p w14:paraId="3F9B973B">
                      <w:pPr>
                        <w:rPr>
                          <w:rFonts w:hint="default" w:eastAsia="宋体"/>
                          <w:b/>
                          <w:bCs/>
                          <w:color w:val="FF0000"/>
                          <w:lang w:val="en-US" w:eastAsia="zh-CN"/>
                        </w:rPr>
                      </w:pPr>
                      <w:r>
                        <w:rPr>
                          <w:rFonts w:hint="eastAsia"/>
                          <w:b/>
                          <w:bCs/>
                          <w:color w:val="FF0000"/>
                          <w:lang w:val="en-US" w:eastAsia="zh-CN"/>
                        </w:rPr>
                        <w:t>本次改造危废库</w:t>
                      </w:r>
                    </w:p>
                  </w:txbxContent>
                </v:textbox>
              </v:shape>
            </w:pict>
          </mc:Fallback>
        </mc:AlternateContent>
      </w:r>
    </w:p>
    <w:p w14:paraId="1F930202">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47CAD949">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r>
        <w:rPr>
          <w:color w:val="auto"/>
          <w:sz w:val="21"/>
        </w:rPr>
        <mc:AlternateContent>
          <mc:Choice Requires="wps">
            <w:drawing>
              <wp:anchor distT="0" distB="0" distL="114300" distR="114300" simplePos="0" relativeHeight="251662336" behindDoc="0" locked="0" layoutInCell="1" allowOverlap="1">
                <wp:simplePos x="0" y="0"/>
                <wp:positionH relativeFrom="column">
                  <wp:posOffset>3179445</wp:posOffset>
                </wp:positionH>
                <wp:positionV relativeFrom="paragraph">
                  <wp:posOffset>198120</wp:posOffset>
                </wp:positionV>
                <wp:extent cx="400050" cy="466725"/>
                <wp:effectExtent l="4445" t="4445" r="14605" b="5080"/>
                <wp:wrapNone/>
                <wp:docPr id="4" name="矩形 568"/>
                <wp:cNvGraphicFramePr/>
                <a:graphic xmlns:a="http://schemas.openxmlformats.org/drawingml/2006/main">
                  <a:graphicData uri="http://schemas.microsoft.com/office/word/2010/wordprocessingShape">
                    <wps:wsp>
                      <wps:cNvSpPr/>
                      <wps:spPr>
                        <a:xfrm>
                          <a:off x="0" y="0"/>
                          <a:ext cx="400050" cy="466725"/>
                        </a:xfrm>
                        <a:prstGeom prst="rect">
                          <a:avLst/>
                        </a:prstGeom>
                        <a:solidFill>
                          <a:srgbClr val="FF0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568" o:spid="_x0000_s1026" o:spt="1" style="position:absolute;left:0pt;margin-left:250.35pt;margin-top:15.6pt;height:36.75pt;width:31.5pt;z-index:251662336;mso-width-relative:page;mso-height-relative:page;" fillcolor="#FF0000" filled="t" stroked="t" coordsize="21600,21600" o:gfxdata="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1znuR2AAAAAoB&#10;AAAPAAAAAAAAAAEAIAAAACIAAABkcnMvZG93bnJldi54bWxQSwECFAAUAAAACACHTuJACOU4KBsC&#10;AABSBAAADgAAAAAAAAABACAAAAAnAQAAZHJzL2Uyb0RvYy54bWxQSwUGAAAAAAYABgBZAQAAtAUA&#10;AAAA&#10;">
                <v:fill on="t" focussize="0,0"/>
                <v:stroke color="#000000" joinstyle="miter"/>
                <v:imagedata o:title=""/>
                <o:lock v:ext="edit" aspectratio="f"/>
              </v:rect>
            </w:pict>
          </mc:Fallback>
        </mc:AlternateContent>
      </w:r>
    </w:p>
    <w:p w14:paraId="187CCC9D">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r>
        <w:rPr>
          <w:color w:val="auto"/>
          <w:sz w:val="21"/>
        </w:rPr>
        <mc:AlternateContent>
          <mc:Choice Requires="wps">
            <w:drawing>
              <wp:anchor distT="0" distB="0" distL="114300" distR="114300" simplePos="0" relativeHeight="251661312" behindDoc="0" locked="0" layoutInCell="1" allowOverlap="1">
                <wp:simplePos x="0" y="0"/>
                <wp:positionH relativeFrom="column">
                  <wp:posOffset>3579495</wp:posOffset>
                </wp:positionH>
                <wp:positionV relativeFrom="paragraph">
                  <wp:posOffset>9525</wp:posOffset>
                </wp:positionV>
                <wp:extent cx="400050" cy="466725"/>
                <wp:effectExtent l="4445" t="4445" r="14605" b="5080"/>
                <wp:wrapNone/>
                <wp:docPr id="3" name="矩形 567"/>
                <wp:cNvGraphicFramePr/>
                <a:graphic xmlns:a="http://schemas.openxmlformats.org/drawingml/2006/main">
                  <a:graphicData uri="http://schemas.microsoft.com/office/word/2010/wordprocessingShape">
                    <wps:wsp>
                      <wps:cNvSpPr/>
                      <wps:spPr>
                        <a:xfrm>
                          <a:off x="0" y="0"/>
                          <a:ext cx="400050" cy="466725"/>
                        </a:xfrm>
                        <a:prstGeom prst="rect">
                          <a:avLst/>
                        </a:prstGeom>
                        <a:solidFill>
                          <a:srgbClr val="4F81BD"/>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567" o:spid="_x0000_s1026" o:spt="1" style="position:absolute;left:0pt;margin-left:281.85pt;margin-top:0.75pt;height:36.75pt;width:31.5pt;z-index:251661312;mso-width-relative:page;mso-height-relative:page;" fillcolor="#4F81BD" filled="t" stroked="t" coordsize="21600,21600" o:gfxdata="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KDbQBNQAAAAIAQAA&#10;DwAAAAAAAAABACAAAAAiAAAAZHJzL2Rvd25yZXYueG1sUEsBAhQAFAAAAAgAh07iQEU3wl8dAgAA&#10;UgQAAA4AAAAAAAAAAQAgAAAAIwEAAGRycy9lMm9Eb2MueG1sUEsFBgAAAAAGAAYAWQEAALIFAAAA&#10;AA==&#10;">
                <v:fill on="t" focussize="0,0"/>
                <v:stroke color="#000000" joinstyle="miter"/>
                <v:imagedata o:title=""/>
                <o:lock v:ext="edit" aspectratio="f"/>
              </v:rect>
            </w:pict>
          </mc:Fallback>
        </mc:AlternateContent>
      </w:r>
    </w:p>
    <w:p w14:paraId="5B5A5D0F">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41948DC3">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250BA8BC">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3798570</wp:posOffset>
                </wp:positionH>
                <wp:positionV relativeFrom="paragraph">
                  <wp:posOffset>129540</wp:posOffset>
                </wp:positionV>
                <wp:extent cx="819150" cy="276225"/>
                <wp:effectExtent l="6985" t="414655" r="12065" b="13970"/>
                <wp:wrapNone/>
                <wp:docPr id="5" name="自选图形 583"/>
                <wp:cNvGraphicFramePr/>
                <a:graphic xmlns:a="http://schemas.openxmlformats.org/drawingml/2006/main">
                  <a:graphicData uri="http://schemas.microsoft.com/office/word/2010/wordprocessingShape">
                    <wps:wsp>
                      <wps:cNvSpPr/>
                      <wps:spPr>
                        <a:xfrm>
                          <a:off x="0" y="0"/>
                          <a:ext cx="819150" cy="276225"/>
                        </a:xfrm>
                        <a:prstGeom prst="wedgeRectCallout">
                          <a:avLst>
                            <a:gd name="adj1" fmla="val -49343"/>
                            <a:gd name="adj2" fmla="val -192356"/>
                          </a:avLst>
                        </a:prstGeom>
                        <a:solidFill>
                          <a:srgbClr val="FFFFFF"/>
                        </a:solidFill>
                        <a:ln w="9525" cap="flat" cmpd="sng">
                          <a:solidFill>
                            <a:srgbClr val="000000"/>
                          </a:solidFill>
                          <a:prstDash val="solid"/>
                          <a:miter/>
                          <a:headEnd type="none" w="med" len="med"/>
                          <a:tailEnd type="none" w="med" len="med"/>
                        </a:ln>
                      </wps:spPr>
                      <wps:txbx>
                        <w:txbxContent>
                          <w:p w14:paraId="5A2771AD">
                            <w:pPr>
                              <w:rPr>
                                <w:rFonts w:hint="default" w:eastAsia="宋体"/>
                                <w:b/>
                                <w:bCs/>
                                <w:color w:val="0070C0"/>
                                <w:lang w:val="en-US" w:eastAsia="zh-CN"/>
                              </w:rPr>
                            </w:pPr>
                            <w:r>
                              <w:rPr>
                                <w:rFonts w:hint="eastAsia"/>
                                <w:b/>
                                <w:bCs/>
                                <w:color w:val="0070C0"/>
                                <w:lang w:val="en-US" w:eastAsia="zh-CN"/>
                              </w:rPr>
                              <w:t>原危废库</w:t>
                            </w:r>
                          </w:p>
                        </w:txbxContent>
                      </wps:txbx>
                      <wps:bodyPr vert="horz" wrap="square" anchor="t" anchorCtr="0" upright="1"/>
                    </wps:wsp>
                  </a:graphicData>
                </a:graphic>
              </wp:anchor>
            </w:drawing>
          </mc:Choice>
          <mc:Fallback>
            <w:pict>
              <v:shape id="自选图形 583" o:spid="_x0000_s1026" o:spt="61" type="#_x0000_t61" style="position:absolute;left:0pt;margin-left:299.1pt;margin-top:10.2pt;height:21.75pt;width:64.5pt;z-index:251663360;mso-width-relative:page;mso-height-relative:page;" fillcolor="#FFFFFF" filled="t" stroked="t" coordsize="21600,21600" o:gfxdata="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n&#10;w8mN2QAAAAkBAAAPAAAAAAAAAAEAIAAAACIAAABkcnMvZG93bnJldi54bWxQSwECFAAUAAAACACH&#10;TuJAmiuQy1wCAADDBAAADgAAAAAAAAABACAAAAAoAQAAZHJzL2Uyb0RvYy54bWxQSwUGAAAAAAYA&#10;BgBZAQAA9gUAAAAA&#10;" adj="142,-30749">
                <v:fill on="t" focussize="0,0"/>
                <v:stroke color="#000000" joinstyle="miter"/>
                <v:imagedata o:title=""/>
                <o:lock v:ext="edit" aspectratio="f"/>
                <v:textbox>
                  <w:txbxContent>
                    <w:p w14:paraId="5A2771AD">
                      <w:pPr>
                        <w:rPr>
                          <w:rFonts w:hint="default" w:eastAsia="宋体"/>
                          <w:b/>
                          <w:bCs/>
                          <w:color w:val="0070C0"/>
                          <w:lang w:val="en-US" w:eastAsia="zh-CN"/>
                        </w:rPr>
                      </w:pPr>
                      <w:r>
                        <w:rPr>
                          <w:rFonts w:hint="eastAsia"/>
                          <w:b/>
                          <w:bCs/>
                          <w:color w:val="0070C0"/>
                          <w:lang w:val="en-US" w:eastAsia="zh-CN"/>
                        </w:rPr>
                        <w:t>原危废库</w:t>
                      </w:r>
                    </w:p>
                  </w:txbxContent>
                </v:textbox>
              </v:shape>
            </w:pict>
          </mc:Fallback>
        </mc:AlternateContent>
      </w:r>
    </w:p>
    <w:p w14:paraId="3C34D668">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0FA1220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lang w:val="en-US" w:eastAsia="zh-CN"/>
        </w:rPr>
      </w:pPr>
      <w:r>
        <w:rPr>
          <w:rFonts w:hint="default" w:ascii="Times New Roman" w:hAnsi="Times New Roman" w:eastAsia="宋体" w:cs="Times New Roman"/>
          <w:b/>
          <w:bCs/>
          <w:color w:val="auto"/>
          <w:spacing w:val="-3"/>
          <w:sz w:val="22"/>
          <w:szCs w:val="22"/>
          <w:lang w:val="en-US" w:eastAsia="zh-CN"/>
        </w:rPr>
        <w:t>附图2</w:t>
      </w:r>
      <w:r>
        <w:rPr>
          <w:rFonts w:hint="default" w:ascii="Times New Roman" w:hAnsi="Times New Roman" w:eastAsia="宋体" w:cs="Times New Roman"/>
          <w:b/>
          <w:bCs/>
          <w:color w:val="auto"/>
          <w:spacing w:val="-3"/>
          <w:sz w:val="22"/>
          <w:szCs w:val="22"/>
        </w:rPr>
        <w:t>本项目危废暂存库在厂区位置示意图</w:t>
      </w:r>
    </w:p>
    <w:p w14:paraId="73E0547C">
      <w:pPr>
        <w:keepNext w:val="0"/>
        <w:keepLines w:val="0"/>
        <w:pageBreakBefore w:val="0"/>
        <w:widowControl w:val="0"/>
        <w:kinsoku/>
        <w:wordWrap/>
        <w:overflowPunct/>
        <w:topLinePunct w:val="0"/>
        <w:autoSpaceDE/>
        <w:autoSpaceDN/>
        <w:bidi w:val="0"/>
        <w:spacing w:line="240" w:lineRule="auto"/>
        <w:jc w:val="both"/>
        <w:textAlignment w:val="auto"/>
        <w:rPr>
          <w:rFonts w:hint="default" w:ascii="Times New Roman" w:hAnsi="Times New Roman" w:cs="Times New Roman"/>
          <w:color w:val="auto"/>
          <w:lang w:val="en-US" w:eastAsia="zh-CN"/>
        </w:rPr>
      </w:pPr>
    </w:p>
    <w:p w14:paraId="35AC21FF">
      <w:pPr>
        <w:keepNext w:val="0"/>
        <w:keepLines w:val="0"/>
        <w:pageBreakBefore w:val="0"/>
        <w:widowControl w:val="0"/>
        <w:kinsoku/>
        <w:wordWrap/>
        <w:overflowPunct/>
        <w:topLinePunct w:val="0"/>
        <w:autoSpaceDE/>
        <w:autoSpaceDN/>
        <w:bidi w:val="0"/>
        <w:spacing w:line="240" w:lineRule="auto"/>
        <w:jc w:val="center"/>
        <w:textAlignment w:val="auto"/>
        <w:rPr>
          <w:color w:val="auto"/>
        </w:rPr>
      </w:pP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2541905</wp:posOffset>
                </wp:positionH>
                <wp:positionV relativeFrom="paragraph">
                  <wp:posOffset>3415665</wp:posOffset>
                </wp:positionV>
                <wp:extent cx="1181100" cy="276225"/>
                <wp:effectExtent l="4445" t="5080" r="395605" b="556895"/>
                <wp:wrapNone/>
                <wp:docPr id="7" name="自选图形 587"/>
                <wp:cNvGraphicFramePr/>
                <a:graphic xmlns:a="http://schemas.openxmlformats.org/drawingml/2006/main">
                  <a:graphicData uri="http://schemas.microsoft.com/office/word/2010/wordprocessingShape">
                    <wps:wsp>
                      <wps:cNvSpPr/>
                      <wps:spPr>
                        <a:xfrm>
                          <a:off x="0" y="0"/>
                          <a:ext cx="1181100" cy="276225"/>
                        </a:xfrm>
                        <a:prstGeom prst="wedgeRectCallout">
                          <a:avLst>
                            <a:gd name="adj1" fmla="val 80852"/>
                            <a:gd name="adj2" fmla="val 238968"/>
                          </a:avLst>
                        </a:prstGeom>
                        <a:solidFill>
                          <a:srgbClr val="FFFFFF"/>
                        </a:solidFill>
                        <a:ln w="9525" cap="flat" cmpd="sng">
                          <a:solidFill>
                            <a:srgbClr val="000000"/>
                          </a:solidFill>
                          <a:prstDash val="solid"/>
                          <a:miter/>
                          <a:headEnd type="none" w="med" len="med"/>
                          <a:tailEnd type="none" w="med" len="med"/>
                        </a:ln>
                      </wps:spPr>
                      <wps:txbx>
                        <w:txbxContent>
                          <w:p w14:paraId="37506C5D">
                            <w:pPr>
                              <w:rPr>
                                <w:rFonts w:hint="default" w:eastAsia="宋体"/>
                                <w:b/>
                                <w:bCs/>
                                <w:color w:val="FF0000"/>
                                <w:lang w:val="en-US" w:eastAsia="zh-CN"/>
                              </w:rPr>
                            </w:pPr>
                            <w:r>
                              <w:rPr>
                                <w:rFonts w:hint="eastAsia"/>
                                <w:b/>
                                <w:bCs/>
                                <w:color w:val="FF0000"/>
                                <w:lang w:val="en-US" w:eastAsia="zh-CN"/>
                              </w:rPr>
                              <w:t>本项目位置</w:t>
                            </w:r>
                          </w:p>
                        </w:txbxContent>
                      </wps:txbx>
                      <wps:bodyPr wrap="square" upright="1"/>
                    </wps:wsp>
                  </a:graphicData>
                </a:graphic>
              </wp:anchor>
            </w:drawing>
          </mc:Choice>
          <mc:Fallback>
            <w:pict>
              <v:shape id="自选图形 587" o:spid="_x0000_s1026" o:spt="61" type="#_x0000_t61" style="position:absolute;left:0pt;margin-left:200.15pt;margin-top:268.95pt;height:21.75pt;width:93pt;z-index:251665408;mso-width-relative:page;mso-height-relative:page;" fillcolor="#FFFFFF" filled="t" stroked="t" coordsize="21600,21600" o:gfxdata="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hDugQ2QAAAAsBAAAPAAAAAAAAAAEAIAAA&#10;ACIAAABkcnMvZG93bnJldi54bWxQSwECFAAUAAAACACHTuJArxoMrkQCAACdBAAADgAAAAAAAAAB&#10;ACAAAAAoAQAAZHJzL2Uyb0RvYy54bWxQSwUGAAAAAAYABgBZAQAA3gUAAAAA&#10;" adj="28264,62417">
                <v:fill on="t" focussize="0,0"/>
                <v:stroke color="#000000" joinstyle="miter"/>
                <v:imagedata o:title=""/>
                <o:lock v:ext="edit" aspectratio="f"/>
                <v:textbox>
                  <w:txbxContent>
                    <w:p w14:paraId="37506C5D">
                      <w:pPr>
                        <w:rPr>
                          <w:rFonts w:hint="default" w:eastAsia="宋体"/>
                          <w:b/>
                          <w:bCs/>
                          <w:color w:val="FF0000"/>
                          <w:lang w:val="en-US" w:eastAsia="zh-CN"/>
                        </w:rPr>
                      </w:pPr>
                      <w:r>
                        <w:rPr>
                          <w:rFonts w:hint="eastAsia"/>
                          <w:b/>
                          <w:bCs/>
                          <w:color w:val="FF0000"/>
                          <w:lang w:val="en-US" w:eastAsia="zh-CN"/>
                        </w:rPr>
                        <w:t>本项目位置</w:t>
                      </w:r>
                    </w:p>
                  </w:txbxContent>
                </v:textbox>
              </v:shape>
            </w:pict>
          </mc:Fallback>
        </mc:AlternateContent>
      </w:r>
      <w:r>
        <w:rPr>
          <w:color w:val="auto"/>
        </w:rPr>
        <w:drawing>
          <wp:inline distT="0" distB="0" distL="114300" distR="114300">
            <wp:extent cx="6888480" cy="4893310"/>
            <wp:effectExtent l="0" t="0" r="7620" b="2540"/>
            <wp:docPr id="52"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21"/>
                    <pic:cNvPicPr>
                      <a:picLocks noChangeAspect="1"/>
                    </pic:cNvPicPr>
                  </pic:nvPicPr>
                  <pic:blipFill>
                    <a:blip r:embed="rId51"/>
                    <a:stretch>
                      <a:fillRect/>
                    </a:stretch>
                  </pic:blipFill>
                  <pic:spPr>
                    <a:xfrm>
                      <a:off x="0" y="0"/>
                      <a:ext cx="6888480" cy="4893310"/>
                    </a:xfrm>
                    <a:prstGeom prst="rect">
                      <a:avLst/>
                    </a:prstGeom>
                    <a:noFill/>
                    <a:ln>
                      <a:noFill/>
                    </a:ln>
                  </pic:spPr>
                </pic:pic>
              </a:graphicData>
            </a:graphic>
          </wp:inline>
        </w:drawing>
      </w:r>
    </w:p>
    <w:p w14:paraId="3A30A176">
      <w:pPr>
        <w:keepNext w:val="0"/>
        <w:keepLines w:val="0"/>
        <w:pageBreakBefore w:val="0"/>
        <w:widowControl w:val="0"/>
        <w:kinsoku/>
        <w:wordWrap/>
        <w:overflowPunct/>
        <w:topLinePunct w:val="0"/>
        <w:autoSpaceDE/>
        <w:autoSpaceDN/>
        <w:bidi w:val="0"/>
        <w:spacing w:line="240" w:lineRule="auto"/>
        <w:jc w:val="center"/>
        <w:textAlignment w:val="auto"/>
        <w:rPr>
          <w:rFonts w:hint="eastAsia"/>
          <w:b/>
          <w:bCs/>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b/>
          <w:bCs/>
          <w:color w:val="auto"/>
          <w:lang w:val="en-US" w:eastAsia="zh-CN"/>
        </w:rPr>
        <w:t>附图3 本项目在矿区位置示意图</w:t>
      </w:r>
    </w:p>
    <w:p w14:paraId="37D304B6">
      <w:pPr>
        <w:keepNext w:val="0"/>
        <w:keepLines w:val="0"/>
        <w:pageBreakBefore w:val="0"/>
        <w:widowControl w:val="0"/>
        <w:kinsoku/>
        <w:wordWrap/>
        <w:overflowPunct/>
        <w:topLinePunct w:val="0"/>
        <w:autoSpaceDE/>
        <w:autoSpaceDN/>
        <w:bidi w:val="0"/>
        <w:spacing w:line="240" w:lineRule="auto"/>
        <w:jc w:val="center"/>
        <w:textAlignment w:val="auto"/>
        <w:rPr>
          <w:rFonts w:hint="eastAsia"/>
          <w:b/>
          <w:bCs/>
          <w:color w:val="auto"/>
          <w:lang w:val="en-US" w:eastAsia="zh-CN"/>
        </w:rPr>
      </w:pP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3632835</wp:posOffset>
                </wp:positionH>
                <wp:positionV relativeFrom="paragraph">
                  <wp:posOffset>3378200</wp:posOffset>
                </wp:positionV>
                <wp:extent cx="833755" cy="265430"/>
                <wp:effectExtent l="4445" t="4445" r="285750" b="15875"/>
                <wp:wrapNone/>
                <wp:docPr id="8" name="自选图形 588"/>
                <wp:cNvGraphicFramePr/>
                <a:graphic xmlns:a="http://schemas.openxmlformats.org/drawingml/2006/main">
                  <a:graphicData uri="http://schemas.microsoft.com/office/word/2010/wordprocessingShape">
                    <wps:wsp>
                      <wps:cNvSpPr/>
                      <wps:spPr>
                        <a:xfrm>
                          <a:off x="0" y="0"/>
                          <a:ext cx="833755" cy="265430"/>
                        </a:xfrm>
                        <a:prstGeom prst="wedgeRectCallout">
                          <a:avLst>
                            <a:gd name="adj1" fmla="val 79157"/>
                            <a:gd name="adj2" fmla="val 50255"/>
                          </a:avLst>
                        </a:prstGeom>
                        <a:noFill/>
                        <a:ln w="9525" cap="flat" cmpd="sng">
                          <a:solidFill>
                            <a:srgbClr val="000000"/>
                          </a:solidFill>
                          <a:prstDash val="solid"/>
                          <a:miter/>
                          <a:headEnd type="none" w="med" len="med"/>
                          <a:tailEnd type="none" w="med" len="med"/>
                        </a:ln>
                      </wps:spPr>
                      <wps:txbx>
                        <w:txbxContent>
                          <w:p w14:paraId="269B7F9D">
                            <w:pPr>
                              <w:rPr>
                                <w:rFonts w:hint="default" w:eastAsia="宋体"/>
                                <w:b/>
                                <w:bCs/>
                                <w:color w:val="FF0000"/>
                                <w:sz w:val="18"/>
                                <w:szCs w:val="18"/>
                                <w:lang w:val="en-US" w:eastAsia="zh-CN"/>
                              </w:rPr>
                            </w:pPr>
                            <w:r>
                              <w:rPr>
                                <w:rFonts w:hint="eastAsia"/>
                                <w:b/>
                                <w:bCs/>
                                <w:color w:val="FF0000"/>
                                <w:sz w:val="18"/>
                                <w:szCs w:val="18"/>
                                <w:lang w:val="en-US" w:eastAsia="zh-CN"/>
                              </w:rPr>
                              <w:t>危废库位置</w:t>
                            </w:r>
                          </w:p>
                        </w:txbxContent>
                      </wps:txbx>
                      <wps:bodyPr vert="horz" wrap="square" anchor="t" anchorCtr="0" upright="1"/>
                    </wps:wsp>
                  </a:graphicData>
                </a:graphic>
              </wp:anchor>
            </w:drawing>
          </mc:Choice>
          <mc:Fallback>
            <w:pict>
              <v:shape id="自选图形 588" o:spid="_x0000_s1026" o:spt="61" type="#_x0000_t61" style="position:absolute;left:0pt;margin-left:286.05pt;margin-top:266pt;height:20.9pt;width:65.65pt;z-index:251666432;mso-width-relative:page;mso-height-relative:page;" filled="f" stroked="t" coordsize="21600,21600" o:gfxdata="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1J/s22QAAAAsB&#10;AAAPAAAAAAAAAAEAIAAAACIAAABkcnMvZG93bnJldi54bWxQSwECFAAUAAAACACHTuJAlKiw31MC&#10;AACXBAAADgAAAAAAAAABACAAAAAoAQAAZHJzL2Uyb0RvYy54bWxQSwUGAAAAAAYABgBZAQAA7QUA&#10;AAAA&#10;" adj="27898,21655">
                <v:fill on="f" focussize="0,0"/>
                <v:stroke color="#000000" joinstyle="miter"/>
                <v:imagedata o:title=""/>
                <o:lock v:ext="edit" aspectratio="f"/>
                <v:textbox>
                  <w:txbxContent>
                    <w:p w14:paraId="269B7F9D">
                      <w:pPr>
                        <w:rPr>
                          <w:rFonts w:hint="default" w:eastAsia="宋体"/>
                          <w:b/>
                          <w:bCs/>
                          <w:color w:val="FF0000"/>
                          <w:sz w:val="18"/>
                          <w:szCs w:val="18"/>
                          <w:lang w:val="en-US" w:eastAsia="zh-CN"/>
                        </w:rPr>
                      </w:pPr>
                      <w:r>
                        <w:rPr>
                          <w:rFonts w:hint="eastAsia"/>
                          <w:b/>
                          <w:bCs/>
                          <w:color w:val="FF0000"/>
                          <w:sz w:val="18"/>
                          <w:szCs w:val="18"/>
                          <w:lang w:val="en-US" w:eastAsia="zh-CN"/>
                        </w:rPr>
                        <w:t>危废库位置</w:t>
                      </w:r>
                    </w:p>
                  </w:txbxContent>
                </v:textbox>
              </v:shape>
            </w:pict>
          </mc:Fallback>
        </mc:AlternateContent>
      </w:r>
      <w:r>
        <w:rPr>
          <w:rFonts w:hint="eastAsia"/>
          <w:b/>
          <w:bCs/>
          <w:color w:val="auto"/>
          <w:lang w:val="en-US" w:eastAsia="zh-CN"/>
        </w:rPr>
        <w:drawing>
          <wp:inline distT="0" distB="0" distL="114300" distR="114300">
            <wp:extent cx="7823835" cy="4932045"/>
            <wp:effectExtent l="0" t="0" r="5715" b="1905"/>
            <wp:docPr id="53" name="图片 323" descr="环境质量现状监测点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23" descr="环境质量现状监测点位图"/>
                    <pic:cNvPicPr>
                      <a:picLocks noChangeAspect="1"/>
                    </pic:cNvPicPr>
                  </pic:nvPicPr>
                  <pic:blipFill>
                    <a:blip r:embed="rId52"/>
                    <a:stretch>
                      <a:fillRect/>
                    </a:stretch>
                  </pic:blipFill>
                  <pic:spPr>
                    <a:xfrm>
                      <a:off x="0" y="0"/>
                      <a:ext cx="7823835" cy="4932045"/>
                    </a:xfrm>
                    <a:prstGeom prst="rect">
                      <a:avLst/>
                    </a:prstGeom>
                    <a:noFill/>
                    <a:ln>
                      <a:noFill/>
                    </a:ln>
                  </pic:spPr>
                </pic:pic>
              </a:graphicData>
            </a:graphic>
          </wp:inline>
        </w:drawing>
      </w:r>
    </w:p>
    <w:p w14:paraId="5C4C410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lang w:val="en-US" w:eastAsia="zh-CN"/>
        </w:rPr>
      </w:pPr>
      <w:r>
        <w:rPr>
          <w:rFonts w:hint="eastAsia"/>
          <w:b/>
          <w:bCs/>
          <w:color w:val="auto"/>
          <w:lang w:val="en-US" w:eastAsia="zh-CN"/>
        </w:rPr>
        <w:t>附图4 环境质量现状监测布点图</w:t>
      </w:r>
    </w:p>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720"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Administrator" w:date="2026-05-07T09:11:00Z" w:initials="A">
    <w:p w14:paraId="51FD3D14">
      <w:pPr>
        <w:pStyle w:val="12"/>
        <w:rPr>
          <w:rFonts w:hint="eastAsia"/>
          <w:lang w:val="en-US" w:eastAsia="zh-CN"/>
        </w:rPr>
      </w:pPr>
      <w:r>
        <w:rPr>
          <w:rFonts w:hint="eastAsia"/>
          <w:lang w:val="en-US" w:eastAsia="zh-CN"/>
        </w:rPr>
        <w:t>关于行业类别的说明：</w:t>
      </w:r>
    </w:p>
    <w:p w14:paraId="1163EA70">
      <w:pPr>
        <w:pStyle w:val="12"/>
        <w:rPr>
          <w:rFonts w:hint="default"/>
          <w:lang w:val="en-US" w:eastAsia="zh-CN"/>
        </w:rPr>
      </w:pPr>
      <w:r>
        <w:rPr>
          <w:rFonts w:hint="eastAsia"/>
          <w:lang w:val="en-US" w:eastAsia="zh-CN"/>
        </w:rPr>
        <w:t>太平公司2023年8月批的危废库改造项目报告表的类别是按</w:t>
      </w:r>
      <w:r>
        <w:rPr>
          <w:rFonts w:hint="eastAsia" w:ascii="Times New Roman" w:hAnsi="Times New Roman" w:eastAsia="宋体" w:cs="Times New Roman"/>
          <w:b w:val="0"/>
          <w:bCs w:val="0"/>
          <w:color w:val="auto"/>
          <w:sz w:val="21"/>
          <w:szCs w:val="21"/>
          <w:shd w:val="clear" w:color="auto" w:fill="auto"/>
          <w:vertAlign w:val="baseline"/>
          <w:lang w:val="en-US" w:eastAsia="zh-CN"/>
        </w:rPr>
        <w:t>四十七、</w:t>
      </w:r>
      <w:r>
        <w:rPr>
          <w:rFonts w:hint="default" w:ascii="Times New Roman" w:hAnsi="Times New Roman" w:eastAsia="宋体" w:cs="Times New Roman"/>
          <w:b w:val="0"/>
          <w:bCs w:val="0"/>
          <w:color w:val="auto"/>
          <w:sz w:val="21"/>
          <w:szCs w:val="21"/>
          <w:shd w:val="clear" w:color="auto" w:fill="auto"/>
          <w:vertAlign w:val="baseline"/>
          <w:lang w:val="en-US" w:eastAsia="zh-CN"/>
        </w:rPr>
        <w:t>生态保护和环境治理业—101、危险废物（不含医疗废物）利用及处置—其他</w:t>
      </w:r>
      <w:r>
        <w:rPr>
          <w:rFonts w:hint="eastAsia" w:ascii="Times New Roman" w:hAnsi="Times New Roman" w:eastAsia="宋体" w:cs="Times New Roman"/>
          <w:b w:val="0"/>
          <w:bCs w:val="0"/>
          <w:color w:val="auto"/>
          <w:sz w:val="21"/>
          <w:szCs w:val="21"/>
          <w:shd w:val="clear" w:color="auto" w:fill="auto"/>
          <w:vertAlign w:val="baseline"/>
          <w:lang w:val="en-US" w:eastAsia="zh-CN"/>
        </w:rPr>
        <w:t>走的，如下：也查了很多报告多数按这个类别走的</w:t>
      </w:r>
      <w:r>
        <w:drawing>
          <wp:inline distT="0" distB="0" distL="114300" distR="114300">
            <wp:extent cx="5896610" cy="3622675"/>
            <wp:effectExtent l="0" t="0" r="8890" b="15875"/>
            <wp:docPr id="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59"/>
                    <pic:cNvPicPr>
                      <a:picLocks noChangeAspect="1"/>
                    </pic:cNvPicPr>
                  </pic:nvPicPr>
                  <pic:blipFill>
                    <a:blip r:embed="rId1"/>
                    <a:stretch>
                      <a:fillRect/>
                    </a:stretch>
                  </pic:blipFill>
                  <pic:spPr>
                    <a:xfrm>
                      <a:off x="0" y="0"/>
                      <a:ext cx="5896610" cy="3622675"/>
                    </a:xfrm>
                    <a:prstGeom prst="rect">
                      <a:avLst/>
                    </a:prstGeom>
                    <a:noFill/>
                    <a:ln>
                      <a:noFill/>
                    </a:ln>
                  </pic:spPr>
                </pic:pic>
              </a:graphicData>
            </a:graphic>
          </wp:inline>
        </w:drawing>
      </w:r>
    </w:p>
    <w:p w14:paraId="1A5C7425">
      <w:pPr>
        <w:pStyle w:val="12"/>
        <w:rPr>
          <w:rFonts w:hint="eastAsia"/>
          <w:lang w:val="en-US" w:eastAsia="zh-CN"/>
        </w:rPr>
      </w:pPr>
    </w:p>
    <w:p w14:paraId="6B446A2C">
      <w:pPr>
        <w:pStyle w:val="12"/>
        <w:rPr>
          <w:rFonts w:hint="default"/>
          <w:lang w:val="en-US" w:eastAsia="zh-CN"/>
        </w:rPr>
      </w:pPr>
      <w:r>
        <w:drawing>
          <wp:inline distT="0" distB="0" distL="114300" distR="114300">
            <wp:extent cx="5898515" cy="3625215"/>
            <wp:effectExtent l="0" t="0" r="6985" b="13335"/>
            <wp:docPr id="10"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58"/>
                    <pic:cNvPicPr>
                      <a:picLocks noChangeAspect="1"/>
                    </pic:cNvPicPr>
                  </pic:nvPicPr>
                  <pic:blipFill>
                    <a:blip r:embed="rId2"/>
                    <a:stretch>
                      <a:fillRect/>
                    </a:stretch>
                  </pic:blipFill>
                  <pic:spPr>
                    <a:xfrm>
                      <a:off x="0" y="0"/>
                      <a:ext cx="5898515" cy="3625215"/>
                    </a:xfrm>
                    <a:prstGeom prst="rect">
                      <a:avLst/>
                    </a:prstGeom>
                    <a:noFill/>
                    <a:ln>
                      <a:noFill/>
                    </a:ln>
                  </pic:spPr>
                </pic:pic>
              </a:graphicData>
            </a:graphic>
          </wp:inline>
        </w:drawing>
      </w:r>
    </w:p>
  </w:comment>
  <w:comment w:id="1" w:author="Administrator" w:date="2026-05-07T08:35:00Z" w:initials="A">
    <w:p w14:paraId="754AED1C">
      <w:pPr>
        <w:pStyle w:val="12"/>
        <w:rPr>
          <w:rFonts w:hint="default" w:eastAsia="宋体"/>
          <w:lang w:val="en-US" w:eastAsia="zh-CN"/>
        </w:rPr>
      </w:pPr>
      <w:r>
        <w:rPr>
          <w:rFonts w:hint="eastAsia"/>
          <w:lang w:val="en-US" w:eastAsia="zh-CN"/>
        </w:rPr>
        <w:t>此表是描述现有危废库项目内容</w:t>
      </w:r>
    </w:p>
  </w:comment>
  <w:comment w:id="2" w:author="Administrator" w:date="2026-05-07T08:41:00Z" w:initials="A">
    <w:p w14:paraId="32E07343">
      <w:pPr>
        <w:pStyle w:val="12"/>
        <w:rPr>
          <w:rFonts w:hint="default" w:eastAsia="宋体"/>
          <w:lang w:val="en-US" w:eastAsia="zh-CN"/>
        </w:rPr>
      </w:pPr>
      <w:r>
        <w:rPr>
          <w:rFonts w:hint="eastAsia"/>
          <w:lang w:val="en-US" w:eastAsia="zh-CN"/>
        </w:rPr>
        <w:t>根据原有危废库项目环评及2025版危废名录行业来源</w:t>
      </w:r>
      <w:r>
        <w:drawing>
          <wp:inline distT="0" distB="0" distL="114300" distR="114300">
            <wp:extent cx="5899785" cy="2439035"/>
            <wp:effectExtent l="0" t="0" r="5715" b="18415"/>
            <wp:docPr id="11"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56"/>
                    <pic:cNvPicPr>
                      <a:picLocks noChangeAspect="1"/>
                    </pic:cNvPicPr>
                  </pic:nvPicPr>
                  <pic:blipFill>
                    <a:blip r:embed="rId3"/>
                    <a:stretch>
                      <a:fillRect/>
                    </a:stretch>
                  </pic:blipFill>
                  <pic:spPr>
                    <a:xfrm>
                      <a:off x="0" y="0"/>
                      <a:ext cx="5899785" cy="2439035"/>
                    </a:xfrm>
                    <a:prstGeom prst="rect">
                      <a:avLst/>
                    </a:prstGeom>
                    <a:noFill/>
                    <a:ln>
                      <a:noFill/>
                    </a:ln>
                  </pic:spPr>
                </pic:pic>
              </a:graphicData>
            </a:graphic>
          </wp:inline>
        </w:drawing>
      </w:r>
    </w:p>
    <w:p w14:paraId="7A6234ED">
      <w:pPr>
        <w:pStyle w:val="12"/>
        <w:rPr>
          <w:rFonts w:hint="eastAsia" w:eastAsia="宋体"/>
          <w:lang w:eastAsia="zh-CN"/>
        </w:rPr>
      </w:pPr>
      <w:r>
        <w:rPr>
          <w:rFonts w:hint="eastAsia" w:eastAsia="宋体"/>
          <w:lang w:eastAsia="zh-CN"/>
        </w:rPr>
        <w:drawing>
          <wp:inline distT="0" distB="0" distL="114300" distR="114300">
            <wp:extent cx="5897245" cy="1884680"/>
            <wp:effectExtent l="0" t="0" r="8255" b="1270"/>
            <wp:docPr id="12" name="图片 355" descr="228315e8-b9e5-4606-a2e4-147099ef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55" descr="228315e8-b9e5-4606-a2e4-147099ef7406"/>
                    <pic:cNvPicPr>
                      <a:picLocks noChangeAspect="1"/>
                    </pic:cNvPicPr>
                  </pic:nvPicPr>
                  <pic:blipFill>
                    <a:blip r:embed="rId4"/>
                    <a:stretch>
                      <a:fillRect/>
                    </a:stretch>
                  </pic:blipFill>
                  <pic:spPr>
                    <a:xfrm>
                      <a:off x="0" y="0"/>
                      <a:ext cx="5897245" cy="1884680"/>
                    </a:xfrm>
                    <a:prstGeom prst="rect">
                      <a:avLst/>
                    </a:prstGeom>
                    <a:noFill/>
                    <a:ln>
                      <a:noFill/>
                    </a:ln>
                  </pic:spPr>
                </pic:pic>
              </a:graphicData>
            </a:graphic>
          </wp:inline>
        </w:drawing>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6B446A2C" w15:done="0"/>
  <w15:commentEx w15:paraId="754AED1C" w15:done="0"/>
  <w15:commentEx w15:paraId="7A6234ED"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02"/>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Arial">
    <w:panose1 w:val="020B0604020202020204"/>
    <w:charset w:val="00"/>
    <w:family w:val="swiss"/>
    <w:pitch w:val="default"/>
    <w:sig w:usb0="E0002EFF" w:usb1="C000785B" w:usb2="00000009" w:usb3="00000000" w:csb0="400001FF" w:csb1="FFFF0000"/>
  </w:font>
  <w:font w:name="楷体_GB2312">
    <w:panose1 w:val="02010609030101010101"/>
    <w:charset w:val="86"/>
    <w:family w:val="modern"/>
    <w:pitch w:val="default"/>
    <w:sig w:usb0="00000001" w:usb1="080E0000" w:usb2="00000000" w:usb3="00000000" w:csb0="00040000" w:csb1="00000000"/>
  </w:font>
  <w:font w:name="Courier New">
    <w:panose1 w:val="02070309020205020404"/>
    <w:charset w:val="00"/>
    <w:family w:val="modern"/>
    <w:pitch w:val="default"/>
    <w:sig w:usb0="E0002EFF" w:usb1="C0007843" w:usb2="00000009" w:usb3="00000000" w:csb0="400001FF" w:csb1="FFFF0000"/>
  </w:font>
  <w:font w:name="MS Mincho">
    <w:altName w:val="Segoe Print"/>
    <w:panose1 w:val="02020609040205080304"/>
    <w:charset w:val="00"/>
    <w:family w:val="modern"/>
    <w:pitch w:val="default"/>
    <w:sig w:usb0="00000000" w:usb1="00000000" w:usb2="00000010" w:usb3="00000000" w:csb0="4002009F" w:csb1="DFD70000"/>
  </w:font>
  <w:font w:name="Wingdings 2">
    <w:altName w:val="Wingdings"/>
    <w:panose1 w:val="05020102010507070707"/>
    <w:charset w:val="02"/>
    <w:family w:val="auto"/>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409ED1">
    <w:pPr>
      <w:pStyle w:val="1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F2610">
    <w:pPr>
      <w:pStyle w:val="19"/>
      <w:framePr w:wrap="around" w:vAnchor="text" w:hAnchor="margin" w:xAlign="center" w:y="1"/>
      <w:rPr>
        <w:rStyle w:val="29"/>
      </w:rPr>
    </w:pPr>
    <w:r>
      <w:fldChar w:fldCharType="begin"/>
    </w:r>
    <w:r>
      <w:rPr>
        <w:rStyle w:val="29"/>
      </w:rPr>
      <w:instrText xml:space="preserve">PAGE  </w:instrText>
    </w:r>
    <w:r>
      <w:fldChar w:fldCharType="end"/>
    </w:r>
  </w:p>
  <w:p w14:paraId="3C46D823">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FBFDAC">
    <w:pPr>
      <w:pStyle w:val="19"/>
      <w:ind w:right="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4" name="文本框 2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FBC7EE5">
                          <w:pPr>
                            <w:pStyle w:val="19"/>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2050"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4Qut44QEAAMIDAAAOAAAA&#10;AAAAAAEAIAAAAB4BAABkcnMvZTJvRG9jLnhtbFBLBQYAAAAABgAGAFkBAABxBQAAAAA=&#10;">
              <v:fill on="f" focussize="0,0"/>
              <v:stroke on="f"/>
              <v:imagedata o:title=""/>
              <o:lock v:ext="edit" aspectratio="f"/>
              <v:textbox inset="0mm,0mm,0mm,0mm" style="mso-fit-shape-to-text:t;">
                <w:txbxContent>
                  <w:p w14:paraId="1FBC7EE5">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F3E2BE">
    <w:pPr>
      <w:pStyle w:val="19"/>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20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7749B7E">
                          <w:pPr>
                            <w:pStyle w:val="19"/>
                          </w:pPr>
                          <w:r>
                            <w:fldChar w:fldCharType="begin"/>
                          </w:r>
                          <w:r>
                            <w:instrText xml:space="preserve"> PAGE  \* MERGEFORMAT </w:instrText>
                          </w:r>
                          <w:r>
                            <w:fldChar w:fldCharType="separate"/>
                          </w:r>
                          <w:r>
                            <w:t>41</w:t>
                          </w:r>
                          <w:r>
                            <w:fldChar w:fldCharType="end"/>
                          </w:r>
                        </w:p>
                      </w:txbxContent>
                    </wps:txbx>
                    <wps:bodyPr vert="horz" wrap="none" lIns="0" tIns="0" rIns="0" bIns="0" anchor="t" anchorCtr="0" upright="0">
                      <a:spAutoFit/>
                    </wps:bodyPr>
                  </wps:wsp>
                </a:graphicData>
              </a:graphic>
            </wp:anchor>
          </w:drawing>
        </mc:Choice>
        <mc:Fallback>
          <w:pict>
            <v:shape id="文本框 205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Ok+cI4QEAAMIDAAAOAAAA&#10;AAAAAAEAIAAAAB4BAABkcnMvZTJvRG9jLnhtbFBLBQYAAAAABgAGAFkBAABxBQAAAAA=&#10;">
              <v:fill on="f" focussize="0,0"/>
              <v:stroke on="f"/>
              <v:imagedata o:title=""/>
              <o:lock v:ext="edit" aspectratio="f"/>
              <v:textbox inset="0mm,0mm,0mm,0mm" style="mso-fit-shape-to-text:t;">
                <w:txbxContent>
                  <w:p w14:paraId="07749B7E">
                    <w:pPr>
                      <w:pStyle w:val="19"/>
                    </w:pPr>
                    <w:r>
                      <w:fldChar w:fldCharType="begin"/>
                    </w:r>
                    <w:r>
                      <w:instrText xml:space="preserve"> PAGE  \* MERGEFORMAT </w:instrText>
                    </w:r>
                    <w:r>
                      <w:fldChar w:fldCharType="separate"/>
                    </w:r>
                    <w:r>
                      <w:t>41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D74BB9">
    <w:pPr>
      <w:pStyle w:val="19"/>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20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45A6B24">
                          <w:pPr>
                            <w:pStyle w:val="19"/>
                          </w:pPr>
                          <w:r>
                            <w:fldChar w:fldCharType="begin"/>
                          </w:r>
                          <w:r>
                            <w:instrText xml:space="preserve"> PAGE  \* MERGEFORMAT </w:instrText>
                          </w:r>
                          <w:r>
                            <w:fldChar w:fldCharType="separate"/>
                          </w:r>
                          <w:r>
                            <w:t>3</w:t>
                          </w:r>
                          <w:r>
                            <w:fldChar w:fldCharType="end"/>
                          </w:r>
                        </w:p>
                      </w:txbxContent>
                    </wps:txbx>
                    <wps:bodyPr vert="horz" wrap="none" lIns="0" tIns="0" rIns="0" bIns="0" anchor="t" anchorCtr="0" upright="0">
                      <a:spAutoFit/>
                    </wps:bodyPr>
                  </wps:wsp>
                </a:graphicData>
              </a:graphic>
            </wp:anchor>
          </w:drawing>
        </mc:Choice>
        <mc:Fallback>
          <w:pict>
            <v:shape id="文本框 2059"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35yTOIBAADCAwAADgAA&#10;AAAAAAABACAAAAAeAQAAZHJzL2Uyb0RvYy54bWxQSwUGAAAAAAYABgBZAQAAcgUAAAAA&#10;">
              <v:fill on="f" focussize="0,0"/>
              <v:stroke on="f"/>
              <v:imagedata o:title=""/>
              <o:lock v:ext="edit" aspectratio="f"/>
              <v:textbox inset="0mm,0mm,0mm,0mm" style="mso-fit-shape-to-text:t;">
                <w:txbxContent>
                  <w:p w14:paraId="545A6B24">
                    <w:pPr>
                      <w:pStyle w:val="19"/>
                    </w:pPr>
                    <w:r>
                      <w:fldChar w:fldCharType="begin"/>
                    </w:r>
                    <w:r>
                      <w:instrText xml:space="preserve"> PAGE  \* MERGEFORMAT </w:instrText>
                    </w:r>
                    <w:r>
                      <w:fldChar w:fldCharType="separate"/>
                    </w:r>
                    <w:r>
                      <w:t>3</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1BE5461"/>
    <w:multiLevelType w:val="multilevel"/>
    <w:tmpl w:val="A1BE5461"/>
    <w:lvl w:ilvl="0" w:tentative="0">
      <w:start w:val="1"/>
      <w:numFmt w:val="decimal"/>
      <w:lvlText w:val="%1."/>
      <w:lvlJc w:val="left"/>
      <w:pPr>
        <w:ind w:left="2160" w:firstLine="0"/>
      </w:pPr>
      <w:rPr>
        <w:rFonts w:hint="default" w:ascii="Times New Roman" w:hAnsi="Times New Roman" w:eastAsia="宋体" w:cs="宋体"/>
        <w:b/>
        <w:i w:val="0"/>
        <w:sz w:val="32"/>
      </w:rPr>
    </w:lvl>
    <w:lvl w:ilvl="1" w:tentative="0">
      <w:start w:val="1"/>
      <w:numFmt w:val="decimal"/>
      <w:lvlText w:val="%1.%2"/>
      <w:lvlJc w:val="left"/>
      <w:pPr>
        <w:ind w:left="2138" w:firstLine="0"/>
      </w:pPr>
      <w:rPr>
        <w:b w:val="0"/>
        <w:bCs w:val="0"/>
        <w:i w:val="0"/>
        <w:iCs w:val="0"/>
        <w:caps w:val="0"/>
        <w:smallCaps w:val="0"/>
        <w:strike w:val="0"/>
        <w:dstrike w:val="0"/>
        <w:vanish w:val="0"/>
        <w:spacing w:val="0"/>
        <w:position w:val="0"/>
        <w:u w:val="none"/>
        <w:vertAlign w:val="baseline"/>
      </w:rPr>
    </w:lvl>
    <w:lvl w:ilvl="2" w:tentative="0">
      <w:start w:val="1"/>
      <w:numFmt w:val="decimal"/>
      <w:pStyle w:val="4"/>
      <w:lvlText w:val="%1.%2.%3"/>
      <w:lvlJc w:val="left"/>
      <w:pPr>
        <w:ind w:left="2880" w:firstLine="0"/>
      </w:pPr>
      <w:rPr>
        <w:b/>
        <w:bCs/>
        <w:i w:val="0"/>
        <w:iCs w:val="0"/>
        <w:caps w:val="0"/>
        <w:smallCaps w:val="0"/>
        <w:strike w:val="0"/>
        <w:dstrike w:val="0"/>
        <w:vanish w:val="0"/>
        <w:spacing w:val="0"/>
        <w:position w:val="0"/>
        <w:u w:val="none"/>
        <w:vertAlign w:val="baseline"/>
      </w:rPr>
    </w:lvl>
    <w:lvl w:ilvl="3" w:tentative="0">
      <w:start w:val="1"/>
      <w:numFmt w:val="decimal"/>
      <w:lvlText w:val="%1.%2.%3.%4"/>
      <w:lvlJc w:val="left"/>
      <w:pPr>
        <w:tabs>
          <w:tab w:val="left" w:pos="0"/>
        </w:tabs>
        <w:ind w:left="7440" w:firstLine="0"/>
      </w:pPr>
      <w:rPr>
        <w:rFonts w:hint="eastAsia"/>
        <w:b/>
        <w:bCs/>
        <w:i w:val="0"/>
        <w:iCs w:val="0"/>
        <w:caps w:val="0"/>
        <w:smallCaps w:val="0"/>
        <w:strike w:val="0"/>
        <w:dstrike w:val="0"/>
        <w:vanish w:val="0"/>
        <w:spacing w:val="0"/>
        <w:position w:val="0"/>
        <w:u w:val="none"/>
        <w:vertAlign w:val="baseline"/>
      </w:rPr>
    </w:lvl>
    <w:lvl w:ilvl="4" w:tentative="0">
      <w:start w:val="1"/>
      <w:numFmt w:val="decimal"/>
      <w:lvlText w:val="%1.%2.%3.%4.%5."/>
      <w:lvlJc w:val="left"/>
      <w:pPr>
        <w:ind w:left="0" w:firstLine="0"/>
      </w:pPr>
      <w:rPr>
        <w:rFonts w:hint="default"/>
      </w:rPr>
    </w:lvl>
    <w:lvl w:ilvl="5" w:tentative="0">
      <w:start w:val="1"/>
      <w:numFmt w:val="decimal"/>
      <w:lvlText w:val="%1.%2.%3.%4.%5.%6."/>
      <w:lvlJc w:val="left"/>
      <w:pPr>
        <w:ind w:left="0" w:firstLine="0"/>
      </w:pPr>
      <w:rPr>
        <w:rFonts w:hint="default"/>
      </w:rPr>
    </w:lvl>
    <w:lvl w:ilvl="6" w:tentative="0">
      <w:start w:val="1"/>
      <w:numFmt w:val="decimal"/>
      <w:lvlText w:val="%1.%2.%3.%4.%5.%6.%7."/>
      <w:lvlJc w:val="left"/>
      <w:pPr>
        <w:ind w:left="0" w:firstLine="0"/>
      </w:pPr>
      <w:rPr>
        <w:rFonts w:hint="default"/>
      </w:rPr>
    </w:lvl>
    <w:lvl w:ilvl="7" w:tentative="0">
      <w:start w:val="1"/>
      <w:numFmt w:val="decimal"/>
      <w:lvlText w:val="%1.%2.%3.%4.%5.%6.%7.%8."/>
      <w:lvlJc w:val="left"/>
      <w:pPr>
        <w:ind w:left="0" w:firstLine="0"/>
      </w:pPr>
      <w:rPr>
        <w:rFonts w:hint="default"/>
      </w:rPr>
    </w:lvl>
    <w:lvl w:ilvl="8" w:tentative="0">
      <w:start w:val="1"/>
      <w:numFmt w:val="decimal"/>
      <w:lvlText w:val="%1.%2.%3.%4.%5.%6.%7.%8.%9."/>
      <w:lvlJc w:val="left"/>
      <w:pPr>
        <w:ind w:left="0" w:firstLine="0"/>
      </w:pPr>
      <w:rPr>
        <w:rFonts w:hint="default"/>
      </w:rPr>
    </w:lvl>
  </w:abstractNum>
  <w:abstractNum w:abstractNumId="1">
    <w:nsid w:val="057B6B10"/>
    <w:multiLevelType w:val="multilevel"/>
    <w:tmpl w:val="057B6B10"/>
    <w:lvl w:ilvl="0" w:tentative="0">
      <w:start w:val="3"/>
      <w:numFmt w:val="decimal"/>
      <w:suff w:val="space"/>
      <w:lvlText w:val="%1"/>
      <w:lvlJc w:val="left"/>
      <w:pPr>
        <w:ind w:left="142" w:firstLine="0"/>
      </w:pPr>
      <w:rPr>
        <w:rFonts w:hint="default" w:ascii="Times New Roman" w:hAnsi="Times New Roman" w:eastAsia="黑体"/>
        <w:b w:val="0"/>
        <w:i w:val="0"/>
        <w:color w:val="auto"/>
        <w:sz w:val="30"/>
        <w:szCs w:val="30"/>
      </w:rPr>
    </w:lvl>
    <w:lvl w:ilvl="1" w:tentative="0">
      <w:start w:val="1"/>
      <w:numFmt w:val="decimal"/>
      <w:suff w:val="space"/>
      <w:lvlText w:val="%1.%2"/>
      <w:lvlJc w:val="left"/>
      <w:pPr>
        <w:ind w:left="284" w:firstLine="0"/>
      </w:pPr>
      <w:rPr>
        <w:rFonts w:hint="default" w:ascii="Times New Roman" w:hAnsi="Times New Roman" w:eastAsia="宋体"/>
        <w:b w:val="0"/>
        <w:i w:val="0"/>
        <w:sz w:val="28"/>
        <w:szCs w:val="28"/>
      </w:rPr>
    </w:lvl>
    <w:lvl w:ilvl="2" w:tentative="0">
      <w:start w:val="1"/>
      <w:numFmt w:val="decimal"/>
      <w:suff w:val="space"/>
      <w:lvlText w:val="%1.%2.%3"/>
      <w:lvlJc w:val="left"/>
      <w:pPr>
        <w:ind w:left="284" w:firstLine="0"/>
      </w:pPr>
      <w:rPr>
        <w:rFonts w:hint="default" w:ascii="Times New Roman" w:hAnsi="Times New Roman" w:eastAsia="宋体" w:cs="Times New Roman"/>
        <w:b w:val="0"/>
        <w:bCs w:val="0"/>
        <w:i w:val="0"/>
        <w:iCs w:val="0"/>
        <w:caps w:val="0"/>
        <w:smallCaps w:val="0"/>
        <w:strike w:val="0"/>
        <w:dstrike w:val="0"/>
        <w:spacing w:val="0"/>
        <w:position w:val="0"/>
        <w:sz w:val="24"/>
        <w:szCs w:val="24"/>
        <w:u w:val="none"/>
      </w:rPr>
    </w:lvl>
    <w:lvl w:ilvl="3" w:tentative="0">
      <w:start w:val="1"/>
      <w:numFmt w:val="decimal"/>
      <w:suff w:val="space"/>
      <w:lvlText w:val="%1.%2.%3.%4"/>
      <w:lvlJc w:val="left"/>
      <w:pPr>
        <w:ind w:left="851" w:hanging="851"/>
      </w:pPr>
      <w:rPr>
        <w:rFonts w:hint="default" w:ascii="Times New Roman" w:hAnsi="Times New Roman" w:eastAsia="宋体" w:cs="Times New Roman"/>
        <w:b w:val="0"/>
        <w:bCs w:val="0"/>
        <w:i w:val="0"/>
        <w:iCs w:val="0"/>
        <w:caps w:val="0"/>
        <w:smallCaps w:val="0"/>
        <w:strike w:val="0"/>
        <w:dstrike w:val="0"/>
        <w:spacing w:val="0"/>
        <w:position w:val="0"/>
        <w:sz w:val="24"/>
        <w:szCs w:val="24"/>
        <w:u w:val="none"/>
      </w:rPr>
    </w:lvl>
    <w:lvl w:ilvl="4" w:tentative="0">
      <w:start w:val="1"/>
      <w:numFmt w:val="decimal"/>
      <w:lvlRestart w:val="1"/>
      <w:isLgl/>
      <w:lvlText w:val="表%1-%5"/>
      <w:lvlJc w:val="center"/>
      <w:pPr>
        <w:tabs>
          <w:tab w:val="left" w:pos="227"/>
        </w:tabs>
        <w:ind w:left="0" w:firstLine="0"/>
      </w:pPr>
      <w:rPr>
        <w:rFonts w:hint="default" w:ascii="Times New Roman" w:hAnsi="Times New Roman"/>
        <w:b/>
        <w:bCs w:val="0"/>
        <w:i w:val="0"/>
        <w:iCs w:val="0"/>
        <w:caps w:val="0"/>
        <w:smallCaps w:val="0"/>
        <w:strike w:val="0"/>
        <w:dstrike w:val="0"/>
        <w:spacing w:val="0"/>
        <w:position w:val="0"/>
        <w:u w:val="none"/>
        <w:lang w:val="en-US"/>
      </w:rPr>
    </w:lvl>
    <w:lvl w:ilvl="5" w:tentative="0">
      <w:start w:val="1"/>
      <w:numFmt w:val="decimal"/>
      <w:lvlRestart w:val="1"/>
      <w:isLgl/>
      <w:suff w:val="space"/>
      <w:lvlText w:val="图%1-%6"/>
      <w:lvlJc w:val="center"/>
      <w:pPr>
        <w:ind w:left="0" w:firstLine="288"/>
      </w:pPr>
      <w:rPr>
        <w:rFonts w:hint="default" w:ascii="Times New Roman" w:hAnsi="Times New Roman" w:eastAsia="宋体" w:cs="Times New Roman"/>
        <w:b/>
        <w:bCs w:val="0"/>
        <w:i w:val="0"/>
        <w:iCs w:val="0"/>
        <w:caps w:val="0"/>
        <w:smallCaps w:val="0"/>
        <w:strike w:val="0"/>
        <w:dstrike w:val="0"/>
        <w:spacing w:val="0"/>
        <w:position w:val="0"/>
        <w:sz w:val="24"/>
        <w:szCs w:val="24"/>
        <w:u w:val="none"/>
      </w:rPr>
    </w:lvl>
    <w:lvl w:ilvl="6" w:tentative="0">
      <w:start w:val="1"/>
      <w:numFmt w:val="decimal"/>
      <w:lvlRestart w:val="4"/>
      <w:pStyle w:val="63"/>
      <w:suff w:val="nothing"/>
      <w:lvlText w:val="（%7）"/>
      <w:lvlJc w:val="left"/>
      <w:pPr>
        <w:ind w:left="426" w:hanging="142"/>
      </w:pPr>
      <w:rPr>
        <w:rFonts w:hint="default" w:ascii="Times New Roman" w:hAnsi="Times New Roman" w:eastAsia="宋体"/>
        <w:b w:val="0"/>
        <w:i w:val="0"/>
        <w:sz w:val="24"/>
        <w:szCs w:val="24"/>
        <w:lang w:val="en-US"/>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
    <w:nsid w:val="7F2A0187"/>
    <w:multiLevelType w:val="singleLevel"/>
    <w:tmpl w:val="7F2A0187"/>
    <w:lvl w:ilvl="0" w:tentative="0">
      <w:start w:val="1"/>
      <w:numFmt w:val="decimal"/>
      <w:pStyle w:val="85"/>
      <w:suff w:val="space"/>
      <w:lvlText w:val="表%1"/>
      <w:lvlJc w:val="left"/>
      <w:pPr>
        <w:tabs>
          <w:tab w:val="left" w:pos="0"/>
        </w:tabs>
        <w:ind w:left="0" w:firstLine="0"/>
      </w:pPr>
      <w:rPr>
        <w:rFonts w:hint="default" w:ascii="Times New Roman" w:hAnsi="Times New Roman" w:eastAsia="黑体" w:cs="宋体"/>
        <w:sz w:val="21"/>
        <w:highlight w:val="green"/>
      </w:rPr>
    </w:lvl>
  </w:abstractNum>
  <w:num w:numId="1">
    <w:abstractNumId w:val="0"/>
  </w:num>
  <w:num w:numId="2">
    <w:abstractNumId w:val="1"/>
  </w:num>
  <w:num w:numId="3">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RlYzc4YzNhMWEyM2U5YzJjZjA3ZDQ5YmFjNTcxOWMifQ=="/>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0CCE"/>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2E4ACE"/>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014BB2"/>
    <w:rsid w:val="01290F7E"/>
    <w:rsid w:val="015D1E09"/>
    <w:rsid w:val="01B25163"/>
    <w:rsid w:val="01E220EB"/>
    <w:rsid w:val="022E2587"/>
    <w:rsid w:val="023A423B"/>
    <w:rsid w:val="02697903"/>
    <w:rsid w:val="02963F39"/>
    <w:rsid w:val="02970412"/>
    <w:rsid w:val="02BA1505"/>
    <w:rsid w:val="02D9795A"/>
    <w:rsid w:val="02F96569"/>
    <w:rsid w:val="03454F9F"/>
    <w:rsid w:val="03EA7B21"/>
    <w:rsid w:val="042A2060"/>
    <w:rsid w:val="0485561B"/>
    <w:rsid w:val="05BD20D5"/>
    <w:rsid w:val="05F83EAE"/>
    <w:rsid w:val="06077EE5"/>
    <w:rsid w:val="061D5312"/>
    <w:rsid w:val="063E7D85"/>
    <w:rsid w:val="06805878"/>
    <w:rsid w:val="069A1C6B"/>
    <w:rsid w:val="07293586"/>
    <w:rsid w:val="07295285"/>
    <w:rsid w:val="07455ECF"/>
    <w:rsid w:val="07636392"/>
    <w:rsid w:val="076A6D88"/>
    <w:rsid w:val="076B7FAB"/>
    <w:rsid w:val="076E445B"/>
    <w:rsid w:val="07770C56"/>
    <w:rsid w:val="079B407B"/>
    <w:rsid w:val="0802172A"/>
    <w:rsid w:val="083E2EAA"/>
    <w:rsid w:val="092217DD"/>
    <w:rsid w:val="093A7294"/>
    <w:rsid w:val="09815BB3"/>
    <w:rsid w:val="09FF1211"/>
    <w:rsid w:val="0A263993"/>
    <w:rsid w:val="0A2D3AC2"/>
    <w:rsid w:val="0AA755DF"/>
    <w:rsid w:val="0AD95D1A"/>
    <w:rsid w:val="0B120D44"/>
    <w:rsid w:val="0B6E0B59"/>
    <w:rsid w:val="0BC35E1D"/>
    <w:rsid w:val="0BD27BF6"/>
    <w:rsid w:val="0C3B3C7D"/>
    <w:rsid w:val="0C571EFC"/>
    <w:rsid w:val="0C5B7A9F"/>
    <w:rsid w:val="0C96436A"/>
    <w:rsid w:val="0CAB2EAE"/>
    <w:rsid w:val="0CEE25E3"/>
    <w:rsid w:val="0D0F7FF3"/>
    <w:rsid w:val="0D117159"/>
    <w:rsid w:val="0D621C7D"/>
    <w:rsid w:val="0D7A7CCD"/>
    <w:rsid w:val="0E73034D"/>
    <w:rsid w:val="0F13775A"/>
    <w:rsid w:val="0F334EAC"/>
    <w:rsid w:val="0F5F45FE"/>
    <w:rsid w:val="0F9A112B"/>
    <w:rsid w:val="0FA2099E"/>
    <w:rsid w:val="100751E8"/>
    <w:rsid w:val="100A086B"/>
    <w:rsid w:val="106D2F64"/>
    <w:rsid w:val="10B63710"/>
    <w:rsid w:val="10F10820"/>
    <w:rsid w:val="111C2F7A"/>
    <w:rsid w:val="11665CA1"/>
    <w:rsid w:val="11715B1C"/>
    <w:rsid w:val="1193627B"/>
    <w:rsid w:val="119E079E"/>
    <w:rsid w:val="12DB4259"/>
    <w:rsid w:val="132E201D"/>
    <w:rsid w:val="1340306A"/>
    <w:rsid w:val="137849BC"/>
    <w:rsid w:val="137E51E9"/>
    <w:rsid w:val="13951726"/>
    <w:rsid w:val="139623C7"/>
    <w:rsid w:val="13B0081A"/>
    <w:rsid w:val="13F92232"/>
    <w:rsid w:val="13FB295E"/>
    <w:rsid w:val="143811B7"/>
    <w:rsid w:val="14396509"/>
    <w:rsid w:val="14A81756"/>
    <w:rsid w:val="14DD2C3C"/>
    <w:rsid w:val="151A0538"/>
    <w:rsid w:val="15330C3E"/>
    <w:rsid w:val="15FE4ADA"/>
    <w:rsid w:val="16087E1D"/>
    <w:rsid w:val="162F20E9"/>
    <w:rsid w:val="16DF6EB3"/>
    <w:rsid w:val="17701D14"/>
    <w:rsid w:val="17735226"/>
    <w:rsid w:val="17A25D6C"/>
    <w:rsid w:val="184976B6"/>
    <w:rsid w:val="18552583"/>
    <w:rsid w:val="18665AE2"/>
    <w:rsid w:val="18707171"/>
    <w:rsid w:val="189F624C"/>
    <w:rsid w:val="18FC0A05"/>
    <w:rsid w:val="191B713B"/>
    <w:rsid w:val="197928EE"/>
    <w:rsid w:val="197F26E3"/>
    <w:rsid w:val="19D2182E"/>
    <w:rsid w:val="1A1C66C0"/>
    <w:rsid w:val="1A42393B"/>
    <w:rsid w:val="1A603023"/>
    <w:rsid w:val="1AAD45DE"/>
    <w:rsid w:val="1AC51A2C"/>
    <w:rsid w:val="1B046F80"/>
    <w:rsid w:val="1B3267B5"/>
    <w:rsid w:val="1B40161D"/>
    <w:rsid w:val="1B441859"/>
    <w:rsid w:val="1B6606B1"/>
    <w:rsid w:val="1B9D449D"/>
    <w:rsid w:val="1C1C66D0"/>
    <w:rsid w:val="1C5E7925"/>
    <w:rsid w:val="1C6D4058"/>
    <w:rsid w:val="1CFA131F"/>
    <w:rsid w:val="1CFD070F"/>
    <w:rsid w:val="1D5D7D68"/>
    <w:rsid w:val="1D5F6196"/>
    <w:rsid w:val="1D6132A5"/>
    <w:rsid w:val="1D7C2914"/>
    <w:rsid w:val="1D7C6A14"/>
    <w:rsid w:val="1D8E56D5"/>
    <w:rsid w:val="1E2336AE"/>
    <w:rsid w:val="1E321012"/>
    <w:rsid w:val="1E592455"/>
    <w:rsid w:val="1E760C46"/>
    <w:rsid w:val="1E7A43DA"/>
    <w:rsid w:val="1EDA17E8"/>
    <w:rsid w:val="1F231A2D"/>
    <w:rsid w:val="1FE7539E"/>
    <w:rsid w:val="2052767E"/>
    <w:rsid w:val="20671BE0"/>
    <w:rsid w:val="20963CB8"/>
    <w:rsid w:val="20A81A1B"/>
    <w:rsid w:val="20B07FB6"/>
    <w:rsid w:val="20B646FB"/>
    <w:rsid w:val="210804AA"/>
    <w:rsid w:val="211C0758"/>
    <w:rsid w:val="213B74B1"/>
    <w:rsid w:val="215A2310"/>
    <w:rsid w:val="21656CD6"/>
    <w:rsid w:val="21DE318A"/>
    <w:rsid w:val="21EF5B80"/>
    <w:rsid w:val="224D5800"/>
    <w:rsid w:val="22520EDD"/>
    <w:rsid w:val="22576990"/>
    <w:rsid w:val="22B20196"/>
    <w:rsid w:val="22B40268"/>
    <w:rsid w:val="22F47480"/>
    <w:rsid w:val="23474E07"/>
    <w:rsid w:val="238A1F25"/>
    <w:rsid w:val="23944515"/>
    <w:rsid w:val="239D04A4"/>
    <w:rsid w:val="23AA5F04"/>
    <w:rsid w:val="23D93C30"/>
    <w:rsid w:val="23DE1C48"/>
    <w:rsid w:val="23ED78C8"/>
    <w:rsid w:val="240210CD"/>
    <w:rsid w:val="241035B6"/>
    <w:rsid w:val="24936C54"/>
    <w:rsid w:val="24BF09F7"/>
    <w:rsid w:val="24DD6982"/>
    <w:rsid w:val="24FB6014"/>
    <w:rsid w:val="25266F4C"/>
    <w:rsid w:val="252D53FE"/>
    <w:rsid w:val="25500287"/>
    <w:rsid w:val="257B2137"/>
    <w:rsid w:val="2580145D"/>
    <w:rsid w:val="25EC2D81"/>
    <w:rsid w:val="25FA050D"/>
    <w:rsid w:val="26172789"/>
    <w:rsid w:val="26306192"/>
    <w:rsid w:val="26576583"/>
    <w:rsid w:val="26675895"/>
    <w:rsid w:val="26AA4F5E"/>
    <w:rsid w:val="27210100"/>
    <w:rsid w:val="277057A2"/>
    <w:rsid w:val="27963409"/>
    <w:rsid w:val="281113A9"/>
    <w:rsid w:val="29206EB8"/>
    <w:rsid w:val="29595666"/>
    <w:rsid w:val="29874881"/>
    <w:rsid w:val="29E325E0"/>
    <w:rsid w:val="2A2348E5"/>
    <w:rsid w:val="2A3B3218"/>
    <w:rsid w:val="2A452503"/>
    <w:rsid w:val="2B2F07C6"/>
    <w:rsid w:val="2B5F730E"/>
    <w:rsid w:val="2BA936A8"/>
    <w:rsid w:val="2BAE2033"/>
    <w:rsid w:val="2BEA633E"/>
    <w:rsid w:val="2C315A5A"/>
    <w:rsid w:val="2C4B1C25"/>
    <w:rsid w:val="2C62428F"/>
    <w:rsid w:val="2CB05936"/>
    <w:rsid w:val="2CEE6588"/>
    <w:rsid w:val="2D2003BB"/>
    <w:rsid w:val="2D2F7E06"/>
    <w:rsid w:val="2D9E56F5"/>
    <w:rsid w:val="2DF2794A"/>
    <w:rsid w:val="2E5D795E"/>
    <w:rsid w:val="2E667F96"/>
    <w:rsid w:val="2E672BC8"/>
    <w:rsid w:val="2E8226AB"/>
    <w:rsid w:val="2EFF2324"/>
    <w:rsid w:val="2F293CB5"/>
    <w:rsid w:val="2FD065E6"/>
    <w:rsid w:val="2FD96870"/>
    <w:rsid w:val="30580BC9"/>
    <w:rsid w:val="307B6BC3"/>
    <w:rsid w:val="309A2968"/>
    <w:rsid w:val="311E2ED7"/>
    <w:rsid w:val="315619EE"/>
    <w:rsid w:val="315C449C"/>
    <w:rsid w:val="3190373A"/>
    <w:rsid w:val="319C46DB"/>
    <w:rsid w:val="31AE2B0D"/>
    <w:rsid w:val="31B82709"/>
    <w:rsid w:val="31D05482"/>
    <w:rsid w:val="320A783A"/>
    <w:rsid w:val="32195D2C"/>
    <w:rsid w:val="32400B34"/>
    <w:rsid w:val="3269378D"/>
    <w:rsid w:val="329E6876"/>
    <w:rsid w:val="333015F2"/>
    <w:rsid w:val="334B6320"/>
    <w:rsid w:val="33D934D4"/>
    <w:rsid w:val="33FE2F6A"/>
    <w:rsid w:val="340E07E5"/>
    <w:rsid w:val="34235BF7"/>
    <w:rsid w:val="358C5FA8"/>
    <w:rsid w:val="35C15DF1"/>
    <w:rsid w:val="36074A7F"/>
    <w:rsid w:val="36282899"/>
    <w:rsid w:val="36703491"/>
    <w:rsid w:val="36923549"/>
    <w:rsid w:val="36B75FBF"/>
    <w:rsid w:val="36BD0C45"/>
    <w:rsid w:val="36C81428"/>
    <w:rsid w:val="37E00298"/>
    <w:rsid w:val="38091027"/>
    <w:rsid w:val="38B302F9"/>
    <w:rsid w:val="38F12CD3"/>
    <w:rsid w:val="38F94775"/>
    <w:rsid w:val="392971ED"/>
    <w:rsid w:val="39325651"/>
    <w:rsid w:val="39902DCC"/>
    <w:rsid w:val="3A0B68A2"/>
    <w:rsid w:val="3A3C225A"/>
    <w:rsid w:val="3A872856"/>
    <w:rsid w:val="3AEA4414"/>
    <w:rsid w:val="3B041421"/>
    <w:rsid w:val="3B3763D1"/>
    <w:rsid w:val="3BB24C42"/>
    <w:rsid w:val="3C2F6E1E"/>
    <w:rsid w:val="3C4F64BA"/>
    <w:rsid w:val="3CC04A68"/>
    <w:rsid w:val="3CC72177"/>
    <w:rsid w:val="3CDA245A"/>
    <w:rsid w:val="3CDF2BDA"/>
    <w:rsid w:val="3D1E06B7"/>
    <w:rsid w:val="3DF86659"/>
    <w:rsid w:val="3E6A0916"/>
    <w:rsid w:val="3E6F5651"/>
    <w:rsid w:val="3EDA0523"/>
    <w:rsid w:val="3FE53BB1"/>
    <w:rsid w:val="403C5E26"/>
    <w:rsid w:val="40630CA5"/>
    <w:rsid w:val="407A6407"/>
    <w:rsid w:val="409C2E53"/>
    <w:rsid w:val="40B51F4B"/>
    <w:rsid w:val="40ED2A5F"/>
    <w:rsid w:val="417E204C"/>
    <w:rsid w:val="4200449D"/>
    <w:rsid w:val="4227482B"/>
    <w:rsid w:val="423A3BCC"/>
    <w:rsid w:val="424E57D2"/>
    <w:rsid w:val="42B26C49"/>
    <w:rsid w:val="433A6FE6"/>
    <w:rsid w:val="43480868"/>
    <w:rsid w:val="4350713C"/>
    <w:rsid w:val="436653E0"/>
    <w:rsid w:val="43B43985"/>
    <w:rsid w:val="43C4431A"/>
    <w:rsid w:val="448269A1"/>
    <w:rsid w:val="44B951CC"/>
    <w:rsid w:val="44C41054"/>
    <w:rsid w:val="44CD14E0"/>
    <w:rsid w:val="44F20B0B"/>
    <w:rsid w:val="452E5F4C"/>
    <w:rsid w:val="45612018"/>
    <w:rsid w:val="458946E9"/>
    <w:rsid w:val="458C3025"/>
    <w:rsid w:val="45A47C0E"/>
    <w:rsid w:val="45FE1FE4"/>
    <w:rsid w:val="46577FD6"/>
    <w:rsid w:val="46587430"/>
    <w:rsid w:val="46D955A7"/>
    <w:rsid w:val="46E44A90"/>
    <w:rsid w:val="47122C93"/>
    <w:rsid w:val="47133957"/>
    <w:rsid w:val="479B4C0E"/>
    <w:rsid w:val="47A07E0C"/>
    <w:rsid w:val="47FC7662"/>
    <w:rsid w:val="481A592A"/>
    <w:rsid w:val="4870272E"/>
    <w:rsid w:val="48761B31"/>
    <w:rsid w:val="489F1731"/>
    <w:rsid w:val="48D72CAA"/>
    <w:rsid w:val="48DB1B35"/>
    <w:rsid w:val="49122685"/>
    <w:rsid w:val="49574089"/>
    <w:rsid w:val="496839BB"/>
    <w:rsid w:val="49DC7715"/>
    <w:rsid w:val="4A023139"/>
    <w:rsid w:val="4A2E51DF"/>
    <w:rsid w:val="4A4C4A99"/>
    <w:rsid w:val="4A6255FA"/>
    <w:rsid w:val="4A6763BA"/>
    <w:rsid w:val="4A7B576F"/>
    <w:rsid w:val="4A9E613C"/>
    <w:rsid w:val="4AF561A9"/>
    <w:rsid w:val="4C4A0649"/>
    <w:rsid w:val="4C7E5ECA"/>
    <w:rsid w:val="4C876AA5"/>
    <w:rsid w:val="4D0E00FB"/>
    <w:rsid w:val="4D176606"/>
    <w:rsid w:val="4D330192"/>
    <w:rsid w:val="4DAB4B5C"/>
    <w:rsid w:val="4DEC4FB0"/>
    <w:rsid w:val="4E075D8A"/>
    <w:rsid w:val="4E6508C8"/>
    <w:rsid w:val="4E785778"/>
    <w:rsid w:val="4E8D24E0"/>
    <w:rsid w:val="4EC00FAD"/>
    <w:rsid w:val="4EDA137E"/>
    <w:rsid w:val="4EE72FE2"/>
    <w:rsid w:val="4F4176E2"/>
    <w:rsid w:val="4F89739D"/>
    <w:rsid w:val="4F9843DC"/>
    <w:rsid w:val="4FA335E4"/>
    <w:rsid w:val="4FC62A8C"/>
    <w:rsid w:val="4FE20F0D"/>
    <w:rsid w:val="4FE51552"/>
    <w:rsid w:val="50504C4B"/>
    <w:rsid w:val="50643D28"/>
    <w:rsid w:val="509C6E7C"/>
    <w:rsid w:val="50E44E25"/>
    <w:rsid w:val="50FD59A0"/>
    <w:rsid w:val="50FE0AB7"/>
    <w:rsid w:val="5107796B"/>
    <w:rsid w:val="5162104E"/>
    <w:rsid w:val="52151BB7"/>
    <w:rsid w:val="527931B1"/>
    <w:rsid w:val="52EA3E16"/>
    <w:rsid w:val="530F0185"/>
    <w:rsid w:val="53293192"/>
    <w:rsid w:val="53A039CC"/>
    <w:rsid w:val="53A1505A"/>
    <w:rsid w:val="53E83051"/>
    <w:rsid w:val="53EC4BF7"/>
    <w:rsid w:val="54063E08"/>
    <w:rsid w:val="543437E8"/>
    <w:rsid w:val="545958DF"/>
    <w:rsid w:val="5468331E"/>
    <w:rsid w:val="54840AB2"/>
    <w:rsid w:val="54F73313"/>
    <w:rsid w:val="54F80955"/>
    <w:rsid w:val="54F94D09"/>
    <w:rsid w:val="555170A7"/>
    <w:rsid w:val="5587536D"/>
    <w:rsid w:val="559B174B"/>
    <w:rsid w:val="559B31C1"/>
    <w:rsid w:val="55C35653"/>
    <w:rsid w:val="55CE0CF4"/>
    <w:rsid w:val="562C5721"/>
    <w:rsid w:val="567614A9"/>
    <w:rsid w:val="56B22A9C"/>
    <w:rsid w:val="57455D8C"/>
    <w:rsid w:val="579E63B3"/>
    <w:rsid w:val="57B72A76"/>
    <w:rsid w:val="57C3426C"/>
    <w:rsid w:val="57CE1F93"/>
    <w:rsid w:val="580A3068"/>
    <w:rsid w:val="583A54EE"/>
    <w:rsid w:val="58602EB4"/>
    <w:rsid w:val="588743D1"/>
    <w:rsid w:val="5887701A"/>
    <w:rsid w:val="59083B9F"/>
    <w:rsid w:val="5940621E"/>
    <w:rsid w:val="597833BE"/>
    <w:rsid w:val="59C0439F"/>
    <w:rsid w:val="59CC4EA4"/>
    <w:rsid w:val="5ABE2233"/>
    <w:rsid w:val="5BDF5D95"/>
    <w:rsid w:val="5BEB1FF6"/>
    <w:rsid w:val="5BFE7528"/>
    <w:rsid w:val="5CD21C37"/>
    <w:rsid w:val="5D0E0FF5"/>
    <w:rsid w:val="5E0776BD"/>
    <w:rsid w:val="5E2467F1"/>
    <w:rsid w:val="5E3E5727"/>
    <w:rsid w:val="5EF05BEE"/>
    <w:rsid w:val="5F1A2B43"/>
    <w:rsid w:val="5F651F50"/>
    <w:rsid w:val="5F760004"/>
    <w:rsid w:val="5FA519A6"/>
    <w:rsid w:val="5FB837BB"/>
    <w:rsid w:val="5FFA64D6"/>
    <w:rsid w:val="6050700C"/>
    <w:rsid w:val="60CC405A"/>
    <w:rsid w:val="60DB381E"/>
    <w:rsid w:val="60E01002"/>
    <w:rsid w:val="60F564E6"/>
    <w:rsid w:val="6116418A"/>
    <w:rsid w:val="61E215D8"/>
    <w:rsid w:val="621B3775"/>
    <w:rsid w:val="62364782"/>
    <w:rsid w:val="62977FC4"/>
    <w:rsid w:val="63591E7C"/>
    <w:rsid w:val="6394356A"/>
    <w:rsid w:val="63AF5C01"/>
    <w:rsid w:val="63C61B2C"/>
    <w:rsid w:val="63D40BE9"/>
    <w:rsid w:val="64102431"/>
    <w:rsid w:val="64A5243A"/>
    <w:rsid w:val="64D65E03"/>
    <w:rsid w:val="64F531DE"/>
    <w:rsid w:val="65373578"/>
    <w:rsid w:val="6559356A"/>
    <w:rsid w:val="655C0AF3"/>
    <w:rsid w:val="656D547E"/>
    <w:rsid w:val="65956E83"/>
    <w:rsid w:val="6631271E"/>
    <w:rsid w:val="671F124A"/>
    <w:rsid w:val="67744A64"/>
    <w:rsid w:val="677A33C6"/>
    <w:rsid w:val="681F6961"/>
    <w:rsid w:val="68610A2F"/>
    <w:rsid w:val="68805514"/>
    <w:rsid w:val="68911762"/>
    <w:rsid w:val="69316E2F"/>
    <w:rsid w:val="694A16A0"/>
    <w:rsid w:val="694E2071"/>
    <w:rsid w:val="69674F73"/>
    <w:rsid w:val="696E09F2"/>
    <w:rsid w:val="69766163"/>
    <w:rsid w:val="697A3B33"/>
    <w:rsid w:val="69D44760"/>
    <w:rsid w:val="69F25411"/>
    <w:rsid w:val="6A520EC7"/>
    <w:rsid w:val="6A7E6E86"/>
    <w:rsid w:val="6AEE63CF"/>
    <w:rsid w:val="6AF03CF3"/>
    <w:rsid w:val="6AF87E20"/>
    <w:rsid w:val="6B2C582D"/>
    <w:rsid w:val="6B322639"/>
    <w:rsid w:val="6B78105E"/>
    <w:rsid w:val="6C1D25E8"/>
    <w:rsid w:val="6C4A55B4"/>
    <w:rsid w:val="6C570F14"/>
    <w:rsid w:val="6C636C38"/>
    <w:rsid w:val="6C9C608B"/>
    <w:rsid w:val="6CF50B68"/>
    <w:rsid w:val="6D400E34"/>
    <w:rsid w:val="6D54588F"/>
    <w:rsid w:val="6D56562A"/>
    <w:rsid w:val="6D832D27"/>
    <w:rsid w:val="6DB34098"/>
    <w:rsid w:val="6DB545B6"/>
    <w:rsid w:val="6DE02FB4"/>
    <w:rsid w:val="6E296169"/>
    <w:rsid w:val="6E514CED"/>
    <w:rsid w:val="6EB563D5"/>
    <w:rsid w:val="6ED92677"/>
    <w:rsid w:val="6F225983"/>
    <w:rsid w:val="6F2D6692"/>
    <w:rsid w:val="6FFC5590"/>
    <w:rsid w:val="706D1DD0"/>
    <w:rsid w:val="70856B87"/>
    <w:rsid w:val="70BA1EAD"/>
    <w:rsid w:val="70D527EE"/>
    <w:rsid w:val="71091110"/>
    <w:rsid w:val="710A7E52"/>
    <w:rsid w:val="71301D0B"/>
    <w:rsid w:val="715B5300"/>
    <w:rsid w:val="719227FA"/>
    <w:rsid w:val="71D27F8A"/>
    <w:rsid w:val="720B77DF"/>
    <w:rsid w:val="722513B1"/>
    <w:rsid w:val="72484A5C"/>
    <w:rsid w:val="7249391E"/>
    <w:rsid w:val="72553024"/>
    <w:rsid w:val="7271507A"/>
    <w:rsid w:val="73122968"/>
    <w:rsid w:val="731F5D5E"/>
    <w:rsid w:val="73C51294"/>
    <w:rsid w:val="73C51AD5"/>
    <w:rsid w:val="73CE12CA"/>
    <w:rsid w:val="741E793C"/>
    <w:rsid w:val="745E3944"/>
    <w:rsid w:val="7511305D"/>
    <w:rsid w:val="755D33F5"/>
    <w:rsid w:val="75801475"/>
    <w:rsid w:val="75834F63"/>
    <w:rsid w:val="75C06E25"/>
    <w:rsid w:val="7635099D"/>
    <w:rsid w:val="764E3467"/>
    <w:rsid w:val="776A243C"/>
    <w:rsid w:val="77762421"/>
    <w:rsid w:val="77B56B1F"/>
    <w:rsid w:val="77D71B0C"/>
    <w:rsid w:val="77EA7DE3"/>
    <w:rsid w:val="780F09F4"/>
    <w:rsid w:val="7813534C"/>
    <w:rsid w:val="784F3EEE"/>
    <w:rsid w:val="78A90480"/>
    <w:rsid w:val="78BB0A0D"/>
    <w:rsid w:val="78F47DC3"/>
    <w:rsid w:val="78F817C4"/>
    <w:rsid w:val="790774A4"/>
    <w:rsid w:val="79371B10"/>
    <w:rsid w:val="79C91FE7"/>
    <w:rsid w:val="7A364017"/>
    <w:rsid w:val="7A8265E1"/>
    <w:rsid w:val="7ACB76CA"/>
    <w:rsid w:val="7B686D42"/>
    <w:rsid w:val="7B7F3677"/>
    <w:rsid w:val="7B841746"/>
    <w:rsid w:val="7BD51FC6"/>
    <w:rsid w:val="7BD973D6"/>
    <w:rsid w:val="7C003D20"/>
    <w:rsid w:val="7C6C5AC7"/>
    <w:rsid w:val="7C906B10"/>
    <w:rsid w:val="7CC6544B"/>
    <w:rsid w:val="7CC75260"/>
    <w:rsid w:val="7CCF1860"/>
    <w:rsid w:val="7D0239FF"/>
    <w:rsid w:val="7D1D61C1"/>
    <w:rsid w:val="7D525E3E"/>
    <w:rsid w:val="7D5E40CD"/>
    <w:rsid w:val="7D9C1FEA"/>
    <w:rsid w:val="7D9D331E"/>
    <w:rsid w:val="7DC4436B"/>
    <w:rsid w:val="7DC70B18"/>
    <w:rsid w:val="7DCD56F2"/>
    <w:rsid w:val="7DD97455"/>
    <w:rsid w:val="7E3978BC"/>
    <w:rsid w:val="7E74369B"/>
    <w:rsid w:val="7ECA6102"/>
    <w:rsid w:val="7F001CE7"/>
    <w:rsid w:val="7FE47E50"/>
    <w:rsid w:val="EFAFD66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2"/>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9" w:semiHidden="0" w:name="heading 2" w:locked="1"/>
    <w:lsdException w:qFormat="1"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unhideWhenUsed="0" w:uiPriority="0" w:name="annotation text"/>
    <w:lsdException w:unhideWhenUsed="0" w:uiPriority="0" w:semiHidden="0" w:name="header"/>
    <w:lsdException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name="annotation reference"/>
    <w:lsdException w:unhideWhenUsed="0" w:uiPriority="0" w:semiHidden="0" w:name="line number" w:locked="1"/>
    <w:lsdException w:unhideWhenUsed="0" w:uiPriority="0" w:semiHidden="0" w:name="page number" w:locked="1"/>
    <w:lsdException w:unhideWhenUsed="0" w:uiPriority="0" w:semiHidden="0" w:name="endnote reference" w:locked="1"/>
    <w:lsdException w:qFormat="1" w:unhideWhenUsed="0" w:uiPriority="99" w:semiHidden="0" w:name="endnote text" w:locked="1"/>
    <w:lsdException w:unhideWhenUsed="0" w:uiPriority="0" w:semiHidden="0" w:name="table of authorities" w:locked="1"/>
    <w:lsdException w:unhideWhenUsed="0" w:uiPriority="0" w:semiHidden="0" w:name="macro" w:locked="1"/>
    <w:lsdException w:qFormat="1"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iPriority="99"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unhideWhenUsed="0" w:uiPriority="0" w:name="Normal Table"/>
    <w:lsdException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unhideWhenUsed="0" w:uiPriority="0" w:name="Balloon Text"/>
    <w:lsdException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99"/>
    <w:pPr>
      <w:keepNext/>
      <w:keepLines/>
      <w:spacing w:line="360" w:lineRule="auto"/>
      <w:jc w:val="left"/>
      <w:outlineLvl w:val="1"/>
    </w:pPr>
    <w:rPr>
      <w:rFonts w:ascii="Cambria" w:hAnsi="Cambria" w:eastAsia="黑体" w:cs="Cambria"/>
      <w:sz w:val="28"/>
      <w:szCs w:val="28"/>
    </w:rPr>
  </w:style>
  <w:style w:type="paragraph" w:styleId="4">
    <w:name w:val="heading 3"/>
    <w:basedOn w:val="1"/>
    <w:next w:val="1"/>
    <w:unhideWhenUsed/>
    <w:qFormat/>
    <w:locked/>
    <w:uiPriority w:val="0"/>
    <w:pPr>
      <w:keepNext/>
      <w:keepLines/>
      <w:numPr>
        <w:ilvl w:val="2"/>
        <w:numId w:val="1"/>
      </w:numPr>
      <w:tabs>
        <w:tab w:val="left" w:pos="0"/>
      </w:tabs>
      <w:adjustRightInd w:val="0"/>
      <w:snapToGrid w:val="0"/>
      <w:ind w:firstLineChars="0"/>
      <w:outlineLvl w:val="2"/>
    </w:pPr>
    <w:rPr>
      <w:b/>
      <w:sz w:val="28"/>
      <w:szCs w:val="32"/>
      <w:lang w:val="zh-CN"/>
    </w:rPr>
  </w:style>
  <w:style w:type="paragraph" w:styleId="5">
    <w:name w:val="heading 4"/>
    <w:basedOn w:val="1"/>
    <w:next w:val="1"/>
    <w:unhideWhenUsed/>
    <w:qFormat/>
    <w:locked/>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27">
    <w:name w:val="Default Paragraph Font"/>
    <w:semiHidden/>
    <w:uiPriority w:val="0"/>
  </w:style>
  <w:style w:type="table" w:default="1" w:styleId="25">
    <w:name w:val="Normal Table"/>
    <w:semiHidden/>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Style w:val="25"/>
      <w:tblCellMar>
        <w:top w:w="0" w:type="dxa"/>
        <w:left w:w="108" w:type="dxa"/>
        <w:bottom w:w="0" w:type="dxa"/>
        <w:right w:w="108" w:type="dxa"/>
      </w:tblCellMar>
    </w:tblPr>
  </w:style>
  <w:style w:type="paragraph" w:styleId="6">
    <w:name w:val="Normal Indent"/>
    <w:basedOn w:val="1"/>
    <w:next w:val="7"/>
    <w:qFormat/>
    <w:locked/>
    <w:uiPriority w:val="0"/>
    <w:pPr>
      <w:ind w:firstLine="420"/>
    </w:pPr>
    <w:rPr>
      <w:rFonts w:eastAsia="宋体"/>
      <w:kern w:val="2"/>
      <w:sz w:val="21"/>
      <w:lang w:val="en-US" w:eastAsia="zh-CN" w:bidi="ar-SA"/>
    </w:rPr>
  </w:style>
  <w:style w:type="paragraph" w:styleId="7">
    <w:name w:val="Body Text First Indent 2"/>
    <w:basedOn w:val="8"/>
    <w:next w:val="1"/>
    <w:qFormat/>
    <w:locked/>
    <w:uiPriority w:val="0"/>
    <w:pPr>
      <w:tabs>
        <w:tab w:val="left" w:pos="0"/>
      </w:tabs>
      <w:adjustRightInd w:val="0"/>
      <w:snapToGrid w:val="0"/>
      <w:spacing w:line="360" w:lineRule="auto"/>
      <w:ind w:firstLine="420" w:firstLineChars="200"/>
    </w:pPr>
    <w:rPr>
      <w:rFonts w:ascii="宋体" w:hAnsi="宋体"/>
      <w:sz w:val="24"/>
      <w:szCs w:val="24"/>
    </w:rPr>
  </w:style>
  <w:style w:type="paragraph" w:styleId="8">
    <w:name w:val="Body Text Indent"/>
    <w:basedOn w:val="1"/>
    <w:next w:val="1"/>
    <w:link w:val="34"/>
    <w:uiPriority w:val="0"/>
    <w:pPr>
      <w:spacing w:after="120"/>
      <w:ind w:left="420" w:leftChars="200"/>
    </w:pPr>
    <w:rPr>
      <w:kern w:val="0"/>
      <w:sz w:val="24"/>
      <w:szCs w:val="20"/>
    </w:rPr>
  </w:style>
  <w:style w:type="paragraph" w:styleId="9">
    <w:name w:val="toa heading"/>
    <w:basedOn w:val="1"/>
    <w:next w:val="10"/>
    <w:qFormat/>
    <w:locked/>
    <w:uiPriority w:val="0"/>
    <w:pPr>
      <w:spacing w:before="120" w:beforeLines="0" w:beforeAutospacing="0"/>
    </w:pPr>
    <w:rPr>
      <w:rFonts w:ascii="Arial" w:hAnsi="Arial"/>
      <w:sz w:val="24"/>
    </w:rPr>
  </w:style>
  <w:style w:type="paragraph" w:styleId="10">
    <w:name w:val="Body Text First Indent"/>
    <w:basedOn w:val="11"/>
    <w:next w:val="1"/>
    <w:qFormat/>
    <w:locked/>
    <w:uiPriority w:val="0"/>
    <w:pPr>
      <w:ind w:firstLine="420" w:firstLineChars="100"/>
    </w:pPr>
    <w:rPr>
      <w:color w:val="0000FF"/>
      <w:spacing w:val="-6"/>
    </w:rPr>
  </w:style>
  <w:style w:type="paragraph" w:styleId="11">
    <w:name w:val="Body Text"/>
    <w:basedOn w:val="1"/>
    <w:next w:val="1"/>
    <w:link w:val="35"/>
    <w:uiPriority w:val="0"/>
    <w:pPr>
      <w:widowControl/>
      <w:snapToGrid w:val="0"/>
      <w:spacing w:before="60" w:after="160" w:line="259" w:lineRule="auto"/>
      <w:ind w:right="113"/>
    </w:pPr>
    <w:rPr>
      <w:kern w:val="0"/>
      <w:sz w:val="18"/>
      <w:szCs w:val="20"/>
    </w:rPr>
  </w:style>
  <w:style w:type="paragraph" w:styleId="12">
    <w:name w:val="annotation text"/>
    <w:basedOn w:val="1"/>
    <w:link w:val="36"/>
    <w:semiHidden/>
    <w:uiPriority w:val="0"/>
    <w:pPr>
      <w:jc w:val="left"/>
    </w:pPr>
    <w:rPr>
      <w:kern w:val="0"/>
      <w:sz w:val="24"/>
      <w:szCs w:val="20"/>
    </w:rPr>
  </w:style>
  <w:style w:type="paragraph" w:styleId="13">
    <w:name w:val="Block Text"/>
    <w:basedOn w:val="1"/>
    <w:qFormat/>
    <w:locked/>
    <w:uiPriority w:val="0"/>
    <w:pPr>
      <w:spacing w:before="100" w:line="360" w:lineRule="auto"/>
      <w:ind w:left="104" w:right="111" w:rightChars="53" w:firstLine="582" w:firstLineChars="208"/>
    </w:pPr>
    <w:rPr>
      <w:rFonts w:eastAsia="楷体_GB2312"/>
      <w:sz w:val="28"/>
      <w:szCs w:val="24"/>
    </w:rPr>
  </w:style>
  <w:style w:type="paragraph" w:styleId="14">
    <w:name w:val="Plain Text"/>
    <w:basedOn w:val="1"/>
    <w:qFormat/>
    <w:locked/>
    <w:uiPriority w:val="0"/>
    <w:rPr>
      <w:rFonts w:ascii="宋体" w:hAnsi="Courier New"/>
      <w:sz w:val="21"/>
      <w:szCs w:val="21"/>
    </w:rPr>
  </w:style>
  <w:style w:type="paragraph" w:styleId="15">
    <w:name w:val="Date"/>
    <w:basedOn w:val="1"/>
    <w:next w:val="1"/>
    <w:link w:val="37"/>
    <w:uiPriority w:val="0"/>
    <w:pPr>
      <w:ind w:left="100" w:leftChars="2500"/>
    </w:pPr>
    <w:rPr>
      <w:kern w:val="0"/>
      <w:sz w:val="24"/>
      <w:szCs w:val="20"/>
    </w:rPr>
  </w:style>
  <w:style w:type="paragraph" w:styleId="16">
    <w:name w:val="Body Text Indent 2"/>
    <w:basedOn w:val="1"/>
    <w:next w:val="1"/>
    <w:qFormat/>
    <w:locked/>
    <w:uiPriority w:val="0"/>
    <w:pPr>
      <w:spacing w:line="400" w:lineRule="exact"/>
      <w:ind w:firstLine="567"/>
    </w:pPr>
    <w:rPr>
      <w:sz w:val="28"/>
    </w:rPr>
  </w:style>
  <w:style w:type="paragraph" w:styleId="17">
    <w:name w:val="endnote text"/>
    <w:basedOn w:val="1"/>
    <w:qFormat/>
    <w:locked/>
    <w:uiPriority w:val="99"/>
    <w:pPr>
      <w:snapToGrid w:val="0"/>
      <w:jc w:val="left"/>
    </w:pPr>
  </w:style>
  <w:style w:type="paragraph" w:styleId="18">
    <w:name w:val="Balloon Text"/>
    <w:basedOn w:val="1"/>
    <w:link w:val="38"/>
    <w:semiHidden/>
    <w:uiPriority w:val="0"/>
    <w:rPr>
      <w:kern w:val="0"/>
      <w:sz w:val="18"/>
      <w:szCs w:val="20"/>
    </w:rPr>
  </w:style>
  <w:style w:type="paragraph" w:styleId="19">
    <w:name w:val="footer"/>
    <w:basedOn w:val="1"/>
    <w:link w:val="39"/>
    <w:uiPriority w:val="99"/>
    <w:pPr>
      <w:tabs>
        <w:tab w:val="center" w:pos="4153"/>
        <w:tab w:val="right" w:pos="8306"/>
      </w:tabs>
      <w:snapToGrid w:val="0"/>
      <w:jc w:val="left"/>
    </w:pPr>
    <w:rPr>
      <w:kern w:val="0"/>
      <w:sz w:val="18"/>
      <w:szCs w:val="20"/>
    </w:rPr>
  </w:style>
  <w:style w:type="paragraph" w:styleId="20">
    <w:name w:val="header"/>
    <w:basedOn w:val="1"/>
    <w:link w:val="40"/>
    <w:uiPriority w:val="0"/>
    <w:pPr>
      <w:pBdr>
        <w:bottom w:val="single" w:color="auto" w:sz="6" w:space="1"/>
      </w:pBdr>
      <w:tabs>
        <w:tab w:val="center" w:pos="4153"/>
        <w:tab w:val="right" w:pos="8306"/>
      </w:tabs>
      <w:snapToGrid w:val="0"/>
      <w:jc w:val="center"/>
    </w:pPr>
    <w:rPr>
      <w:kern w:val="0"/>
      <w:sz w:val="18"/>
      <w:szCs w:val="20"/>
    </w:rPr>
  </w:style>
  <w:style w:type="paragraph" w:styleId="21">
    <w:name w:val="toc 2"/>
    <w:basedOn w:val="1"/>
    <w:next w:val="1"/>
    <w:semiHidden/>
    <w:qFormat/>
    <w:locked/>
    <w:uiPriority w:val="0"/>
    <w:pPr>
      <w:ind w:left="420" w:leftChars="200"/>
    </w:pPr>
  </w:style>
  <w:style w:type="paragraph" w:styleId="22">
    <w:name w:val="Body Text 2"/>
    <w:basedOn w:val="1"/>
    <w:unhideWhenUsed/>
    <w:qFormat/>
    <w:locked/>
    <w:uiPriority w:val="99"/>
    <w:pPr>
      <w:spacing w:after="120" w:line="480" w:lineRule="auto"/>
    </w:pPr>
  </w:style>
  <w:style w:type="paragraph" w:styleId="23">
    <w:name w:val="Normal (Web)"/>
    <w:basedOn w:val="1"/>
    <w:link w:val="41"/>
    <w:uiPriority w:val="0"/>
    <w:pPr>
      <w:widowControl/>
      <w:spacing w:before="100" w:beforeAutospacing="1" w:after="100" w:afterAutospacing="1"/>
      <w:jc w:val="left"/>
    </w:pPr>
    <w:rPr>
      <w:rFonts w:ascii="宋体" w:hAnsi="宋体"/>
      <w:kern w:val="0"/>
      <w:sz w:val="24"/>
      <w:szCs w:val="20"/>
    </w:rPr>
  </w:style>
  <w:style w:type="paragraph" w:styleId="24">
    <w:name w:val="annotation subject"/>
    <w:basedOn w:val="12"/>
    <w:next w:val="12"/>
    <w:link w:val="42"/>
    <w:semiHidden/>
    <w:uiPriority w:val="0"/>
    <w:rPr>
      <w:b/>
      <w:sz w:val="24"/>
      <w:szCs w:val="20"/>
    </w:rPr>
  </w:style>
  <w:style w:type="table" w:styleId="26">
    <w:name w:val="Table Grid"/>
    <w:basedOn w:val="25"/>
    <w:uiPriority w:val="0"/>
    <w:rPr>
      <w:lang w:val="en-US" w:eastAsia="zh-CN" w:bidi="ar-SA"/>
    </w:rPr>
    <w:tblPr>
      <w:tblStyle w:val="25"/>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locked/>
    <w:uiPriority w:val="0"/>
    <w:rPr>
      <w:b/>
    </w:rPr>
  </w:style>
  <w:style w:type="character" w:styleId="29">
    <w:name w:val="page number"/>
    <w:basedOn w:val="27"/>
    <w:locked/>
    <w:uiPriority w:val="0"/>
  </w:style>
  <w:style w:type="character" w:styleId="30">
    <w:name w:val="Emphasis"/>
    <w:basedOn w:val="27"/>
    <w:qFormat/>
    <w:locked/>
    <w:uiPriority w:val="0"/>
    <w:rPr>
      <w:i/>
    </w:rPr>
  </w:style>
  <w:style w:type="character" w:styleId="31">
    <w:name w:val="Hyperlink"/>
    <w:basedOn w:val="27"/>
    <w:locked/>
    <w:uiPriority w:val="0"/>
    <w:rPr>
      <w:color w:val="595758"/>
      <w:u w:val="none"/>
    </w:rPr>
  </w:style>
  <w:style w:type="character" w:styleId="32">
    <w:name w:val="HTML Code"/>
    <w:basedOn w:val="27"/>
    <w:locked/>
    <w:uiPriority w:val="0"/>
    <w:rPr>
      <w:rFonts w:ascii="Courier New" w:hAnsi="Courier New"/>
      <w:sz w:val="20"/>
    </w:rPr>
  </w:style>
  <w:style w:type="character" w:styleId="33">
    <w:name w:val="annotation reference"/>
    <w:semiHidden/>
    <w:uiPriority w:val="0"/>
    <w:rPr>
      <w:sz w:val="21"/>
    </w:rPr>
  </w:style>
  <w:style w:type="character" w:customStyle="1" w:styleId="34">
    <w:name w:val="正文文本缩进 Char"/>
    <w:link w:val="8"/>
    <w:semiHidden/>
    <w:locked/>
    <w:uiPriority w:val="0"/>
    <w:rPr>
      <w:rFonts w:ascii="Times New Roman" w:hAnsi="Times New Roman" w:eastAsia="宋体"/>
      <w:sz w:val="24"/>
    </w:rPr>
  </w:style>
  <w:style w:type="character" w:customStyle="1" w:styleId="35">
    <w:name w:val="正文文本 Char"/>
    <w:link w:val="11"/>
    <w:locked/>
    <w:uiPriority w:val="0"/>
    <w:rPr>
      <w:sz w:val="18"/>
    </w:rPr>
  </w:style>
  <w:style w:type="character" w:customStyle="1" w:styleId="36">
    <w:name w:val="批注文字 Char"/>
    <w:link w:val="12"/>
    <w:locked/>
    <w:uiPriority w:val="0"/>
    <w:rPr>
      <w:rFonts w:ascii="Times New Roman" w:hAnsi="Times New Roman" w:eastAsia="宋体"/>
      <w:sz w:val="24"/>
    </w:rPr>
  </w:style>
  <w:style w:type="character" w:customStyle="1" w:styleId="37">
    <w:name w:val="日期 Char"/>
    <w:link w:val="15"/>
    <w:locked/>
    <w:uiPriority w:val="0"/>
    <w:rPr>
      <w:rFonts w:ascii="Times New Roman" w:hAnsi="Times New Roman" w:eastAsia="宋体"/>
      <w:sz w:val="24"/>
    </w:rPr>
  </w:style>
  <w:style w:type="character" w:customStyle="1" w:styleId="38">
    <w:name w:val="批注框文本 Char"/>
    <w:link w:val="18"/>
    <w:semiHidden/>
    <w:locked/>
    <w:uiPriority w:val="0"/>
    <w:rPr>
      <w:rFonts w:ascii="Times New Roman" w:hAnsi="Times New Roman" w:eastAsia="宋体"/>
      <w:sz w:val="18"/>
    </w:rPr>
  </w:style>
  <w:style w:type="character" w:customStyle="1" w:styleId="39">
    <w:name w:val="页脚 Char"/>
    <w:link w:val="19"/>
    <w:locked/>
    <w:uiPriority w:val="99"/>
    <w:rPr>
      <w:sz w:val="18"/>
    </w:rPr>
  </w:style>
  <w:style w:type="character" w:customStyle="1" w:styleId="40">
    <w:name w:val="页眉 Char"/>
    <w:link w:val="20"/>
    <w:locked/>
    <w:uiPriority w:val="0"/>
    <w:rPr>
      <w:sz w:val="18"/>
    </w:rPr>
  </w:style>
  <w:style w:type="character" w:customStyle="1" w:styleId="41">
    <w:name w:val="普通(网站) Char"/>
    <w:link w:val="23"/>
    <w:locked/>
    <w:uiPriority w:val="0"/>
    <w:rPr>
      <w:rFonts w:ascii="宋体" w:hAnsi="宋体" w:eastAsia="宋体"/>
      <w:sz w:val="24"/>
    </w:rPr>
  </w:style>
  <w:style w:type="character" w:customStyle="1" w:styleId="42">
    <w:name w:val="批注主题 Char"/>
    <w:link w:val="24"/>
    <w:semiHidden/>
    <w:locked/>
    <w:uiPriority w:val="0"/>
    <w:rPr>
      <w:rFonts w:ascii="Times New Roman" w:hAnsi="Times New Roman" w:eastAsia="宋体"/>
      <w:b/>
      <w:kern w:val="2"/>
      <w:sz w:val="24"/>
    </w:rPr>
  </w:style>
  <w:style w:type="paragraph" w:customStyle="1" w:styleId="43">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4">
    <w:name w:val="明显引用1"/>
    <w:next w:val="1"/>
    <w:qFormat/>
    <w:uiPriority w:val="0"/>
    <w:pPr>
      <w:wordWrap w:val="0"/>
      <w:spacing w:before="360" w:beforeLines="0" w:after="360" w:afterLines="0"/>
      <w:ind w:left="950" w:right="950"/>
      <w:jc w:val="center"/>
    </w:pPr>
    <w:rPr>
      <w:rFonts w:ascii="Times New Roman" w:hAnsi="Times New Roman" w:eastAsia="宋体" w:cs="Times New Roman"/>
      <w:i/>
      <w:sz w:val="21"/>
      <w:lang w:val="en-US" w:eastAsia="zh-CN" w:bidi="ar-SA"/>
    </w:rPr>
  </w:style>
  <w:style w:type="paragraph" w:customStyle="1" w:styleId="45">
    <w:name w:val="样式 正文缩进正文缩进2正文缩进 Char Char正文缩进 Char Char Char Char正文缩进 Char ..."/>
    <w:basedOn w:val="6"/>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46">
    <w:name w:val="表格文字"/>
    <w:basedOn w:val="11"/>
    <w:qFormat/>
    <w:uiPriority w:val="0"/>
    <w:pPr>
      <w:widowControl w:val="0"/>
      <w:adjustRightInd w:val="0"/>
      <w:spacing w:before="50" w:beforeLines="50" w:after="50" w:afterLines="50" w:line="420" w:lineRule="atLeast"/>
      <w:ind w:firstLine="640" w:firstLineChars="200"/>
      <w:textAlignment w:val="baseline"/>
    </w:pPr>
    <w:rPr>
      <w:rFonts w:ascii="宋体" w:hAnsi="Courier New" w:eastAsia="Calibri" w:cs="Times New Roman"/>
      <w:sz w:val="28"/>
      <w:lang w:val="en-US" w:eastAsia="zh-CN" w:bidi="ar-SA"/>
    </w:rPr>
  </w:style>
  <w:style w:type="character" w:customStyle="1" w:styleId="47">
    <w:name w:val="页脚 字符"/>
    <w:basedOn w:val="27"/>
    <w:uiPriority w:val="99"/>
  </w:style>
  <w:style w:type="character" w:customStyle="1" w:styleId="48">
    <w:name w:val="正文文本 字符1"/>
    <w:semiHidden/>
    <w:uiPriority w:val="0"/>
    <w:rPr>
      <w:rFonts w:ascii="Times New Roman" w:hAnsi="Times New Roman" w:eastAsia="宋体"/>
      <w:sz w:val="24"/>
    </w:rPr>
  </w:style>
  <w:style w:type="character" w:customStyle="1" w:styleId="49">
    <w:name w:val="表格 Char"/>
    <w:link w:val="50"/>
    <w:locked/>
    <w:uiPriority w:val="0"/>
    <w:rPr>
      <w:rFonts w:ascii="宋体"/>
      <w:sz w:val="21"/>
    </w:rPr>
  </w:style>
  <w:style w:type="paragraph" w:customStyle="1" w:styleId="50">
    <w:name w:val="表格"/>
    <w:basedOn w:val="1"/>
    <w:next w:val="1"/>
    <w:link w:val="49"/>
    <w:uiPriority w:val="0"/>
    <w:pPr>
      <w:adjustRightInd w:val="0"/>
      <w:snapToGrid w:val="0"/>
      <w:spacing w:beforeLines="10" w:afterLines="10" w:line="259" w:lineRule="auto"/>
      <w:jc w:val="center"/>
    </w:pPr>
    <w:rPr>
      <w:rFonts w:ascii="宋体"/>
      <w:kern w:val="0"/>
      <w:szCs w:val="20"/>
    </w:rPr>
  </w:style>
  <w:style w:type="character" w:customStyle="1" w:styleId="51">
    <w:name w:val="日期 字符"/>
    <w:semiHidden/>
    <w:uiPriority w:val="0"/>
    <w:rPr>
      <w:rFonts w:ascii="Times New Roman" w:hAnsi="Times New Roman" w:eastAsia="宋体"/>
      <w:sz w:val="24"/>
    </w:rPr>
  </w:style>
  <w:style w:type="character" w:customStyle="1" w:styleId="52">
    <w:name w:val="批注文字 字符1"/>
    <w:semiHidden/>
    <w:uiPriority w:val="0"/>
    <w:rPr>
      <w:rFonts w:ascii="Times New Roman" w:hAnsi="Times New Roman" w:eastAsia="宋体"/>
      <w:sz w:val="24"/>
    </w:rPr>
  </w:style>
  <w:style w:type="paragraph" w:customStyle="1" w:styleId="53">
    <w:name w:val="正文_10"/>
    <w:uiPriority w:val="0"/>
    <w:pPr>
      <w:widowControl w:val="0"/>
      <w:jc w:val="both"/>
    </w:pPr>
    <w:rPr>
      <w:kern w:val="2"/>
      <w:sz w:val="21"/>
      <w:szCs w:val="22"/>
      <w:lang w:val="en-US" w:eastAsia="zh-CN" w:bidi="ar-SA"/>
    </w:rPr>
  </w:style>
  <w:style w:type="paragraph" w:customStyle="1" w:styleId="54">
    <w:name w:val="普通(网站)2"/>
    <w:basedOn w:val="1"/>
    <w:uiPriority w:val="0"/>
    <w:pPr>
      <w:widowControl/>
      <w:spacing w:before="100" w:beforeAutospacing="1" w:after="100" w:afterAutospacing="1"/>
      <w:jc w:val="left"/>
    </w:pPr>
    <w:rPr>
      <w:rFonts w:ascii="宋体" w:hAnsi="宋体"/>
      <w:sz w:val="24"/>
      <w:szCs w:val="20"/>
    </w:rPr>
  </w:style>
  <w:style w:type="paragraph" w:customStyle="1" w:styleId="55">
    <w:name w:val="报告表样式"/>
    <w:basedOn w:val="1"/>
    <w:qFormat/>
    <w:uiPriority w:val="0"/>
    <w:pPr>
      <w:adjustRightInd w:val="0"/>
      <w:snapToGrid w:val="0"/>
      <w:spacing w:line="360" w:lineRule="auto"/>
      <w:ind w:firstLine="200" w:firstLineChars="200"/>
    </w:pPr>
    <w:rPr>
      <w:rFonts w:eastAsia="宋体"/>
      <w:sz w:val="28"/>
      <w:szCs w:val="28"/>
      <w:lang w:val="en-US" w:eastAsia="zh-CN" w:bidi="ar-SA"/>
    </w:rPr>
  </w:style>
  <w:style w:type="paragraph" w:customStyle="1" w:styleId="56">
    <w:name w:val="样式 首行缩进:  2 字符"/>
    <w:basedOn w:val="1"/>
    <w:qFormat/>
    <w:uiPriority w:val="0"/>
    <w:pPr>
      <w:spacing w:line="520" w:lineRule="exact"/>
      <w:ind w:firstLine="196" w:firstLineChars="196"/>
    </w:pPr>
    <w:rPr>
      <w:rFonts w:ascii="宋体"/>
      <w:kern w:val="0"/>
      <w:sz w:val="24"/>
    </w:rPr>
  </w:style>
  <w:style w:type="paragraph" w:customStyle="1" w:styleId="57">
    <w:name w:val="正文2"/>
    <w:uiPriority w:val="0"/>
    <w:pPr>
      <w:widowControl w:val="0"/>
      <w:suppressAutoHyphens/>
      <w:spacing w:line="520" w:lineRule="atLeast"/>
      <w:ind w:firstLine="680"/>
      <w:jc w:val="both"/>
    </w:pPr>
    <w:rPr>
      <w:rFonts w:ascii="Times New Roman" w:hAnsi="Times New Roman" w:eastAsia="宋体" w:cs="Times New Roman"/>
      <w:spacing w:val="18"/>
      <w:sz w:val="32"/>
      <w:lang w:val="en-US" w:eastAsia="zh-CN" w:bidi="ar-SA"/>
    </w:rPr>
  </w:style>
  <w:style w:type="paragraph" w:customStyle="1" w:styleId="58">
    <w:name w:val="HP 表格内容"/>
    <w:basedOn w:val="1"/>
    <w:uiPriority w:val="0"/>
    <w:pPr>
      <w:widowControl/>
      <w:spacing w:before="0" w:beforeAutospacing="0" w:after="0" w:afterAutospacing="0"/>
      <w:ind w:left="0" w:right="0"/>
      <w:jc w:val="center"/>
    </w:pPr>
    <w:rPr>
      <w:rFonts w:hint="default" w:ascii="Times New Roman" w:hAnsi="Times New Roman" w:cs="Times New Roman"/>
      <w:kern w:val="0"/>
      <w:sz w:val="21"/>
      <w:szCs w:val="21"/>
      <w:lang w:val="en-US" w:eastAsia="zh-CN" w:bidi="ar"/>
    </w:rPr>
  </w:style>
  <w:style w:type="paragraph" w:customStyle="1" w:styleId="59">
    <w:name w:val="[1]正文"/>
    <w:basedOn w:val="1"/>
    <w:uiPriority w:val="0"/>
    <w:pPr>
      <w:keepNext w:val="0"/>
      <w:keepLines w:val="0"/>
      <w:widowControl w:val="0"/>
      <w:suppressLineNumbers w:val="0"/>
      <w:autoSpaceDE w:val="0"/>
      <w:autoSpaceDN w:val="0"/>
      <w:spacing w:before="0" w:beforeAutospacing="0" w:after="0" w:afterAutospacing="0"/>
      <w:ind w:left="0" w:right="0" w:firstLine="200" w:firstLineChars="200"/>
      <w:jc w:val="both"/>
    </w:pPr>
    <w:rPr>
      <w:rFonts w:hint="default" w:ascii="Times New Roman" w:hAnsi="Times New Roman" w:cs="Times New Roman"/>
      <w:color w:val="000000"/>
      <w:kern w:val="0"/>
      <w:sz w:val="21"/>
      <w:szCs w:val="21"/>
      <w:lang w:val="en-US" w:eastAsia="zh-CN" w:bidi="ar"/>
    </w:rPr>
  </w:style>
  <w:style w:type="paragraph" w:customStyle="1" w:styleId="60">
    <w:name w:val="正文(首行缩进)"/>
    <w:basedOn w:val="1"/>
    <w:qFormat/>
    <w:uiPriority w:val="0"/>
    <w:pPr>
      <w:adjustRightInd w:val="0"/>
      <w:snapToGrid w:val="0"/>
      <w:spacing w:line="360" w:lineRule="auto"/>
      <w:ind w:firstLine="200" w:firstLineChars="200"/>
    </w:pPr>
    <w:rPr>
      <w:rFonts w:eastAsia="宋体"/>
      <w:snapToGrid w:val="0"/>
      <w:sz w:val="24"/>
      <w:szCs w:val="24"/>
      <w:lang w:val="en-US" w:eastAsia="zh-CN" w:bidi="ar-SA"/>
    </w:rPr>
  </w:style>
  <w:style w:type="paragraph" w:customStyle="1" w:styleId="61">
    <w:name w:val="啊啊"/>
    <w:basedOn w:val="1"/>
    <w:qFormat/>
    <w:uiPriority w:val="0"/>
    <w:pPr>
      <w:spacing w:line="360" w:lineRule="auto"/>
      <w:ind w:firstLine="200" w:firstLineChars="200"/>
    </w:pPr>
    <w:rPr>
      <w:rFonts w:eastAsia="宋体"/>
      <w:kern w:val="2"/>
      <w:sz w:val="28"/>
      <w:szCs w:val="28"/>
      <w:lang w:val="en-US" w:eastAsia="zh-CN" w:bidi="ar-SA"/>
    </w:rPr>
  </w:style>
  <w:style w:type="paragraph" w:customStyle="1" w:styleId="62">
    <w:name w:val="p0"/>
    <w:basedOn w:val="1"/>
    <w:uiPriority w:val="0"/>
    <w:pPr>
      <w:widowControl/>
      <w:jc w:val="left"/>
    </w:pPr>
    <w:rPr>
      <w:kern w:val="0"/>
      <w:szCs w:val="21"/>
    </w:rPr>
  </w:style>
  <w:style w:type="paragraph" w:customStyle="1" w:styleId="63">
    <w:name w:val="样式标题5"/>
    <w:basedOn w:val="1"/>
    <w:next w:val="64"/>
    <w:qFormat/>
    <w:uiPriority w:val="0"/>
    <w:pPr>
      <w:numPr>
        <w:ilvl w:val="6"/>
        <w:numId w:val="2"/>
      </w:numPr>
    </w:pPr>
    <w:rPr>
      <w:sz w:val="24"/>
    </w:rPr>
  </w:style>
  <w:style w:type="paragraph" w:customStyle="1" w:styleId="64">
    <w:name w:val="报告书正文"/>
    <w:basedOn w:val="1"/>
    <w:qFormat/>
    <w:uiPriority w:val="0"/>
    <w:pPr>
      <w:spacing w:line="300" w:lineRule="auto"/>
      <w:ind w:firstLine="480" w:firstLineChars="200"/>
    </w:pPr>
    <w:rPr>
      <w:color w:val="000000"/>
      <w:sz w:val="24"/>
      <w:szCs w:val="24"/>
    </w:rPr>
  </w:style>
  <w:style w:type="paragraph" w:customStyle="1" w:styleId="65">
    <w:name w:val="新正文"/>
    <w:basedOn w:val="1"/>
    <w:qFormat/>
    <w:uiPriority w:val="0"/>
    <w:pPr>
      <w:spacing w:line="360" w:lineRule="auto"/>
      <w:ind w:firstLine="480" w:firstLineChars="200"/>
      <w:jc w:val="center"/>
    </w:pPr>
    <w:rPr>
      <w:rFonts w:ascii="宋体" w:cs="宋体"/>
      <w:snapToGrid w:val="0"/>
      <w:kern w:val="0"/>
      <w:sz w:val="24"/>
      <w:szCs w:val="21"/>
    </w:rPr>
  </w:style>
  <w:style w:type="paragraph" w:customStyle="1" w:styleId="66">
    <w:name w:val="表中"/>
    <w:qFormat/>
    <w:uiPriority w:val="0"/>
    <w:pPr>
      <w:spacing w:line="280" w:lineRule="exact"/>
      <w:jc w:val="center"/>
    </w:pPr>
    <w:rPr>
      <w:rFonts w:ascii="Times New Roman" w:hAnsi="Times New Roman" w:eastAsia="宋体" w:cs="Times New Roman"/>
      <w:color w:val="000000"/>
      <w:kern w:val="44"/>
      <w:sz w:val="18"/>
      <w:lang w:val="en-US" w:eastAsia="zh-CN" w:bidi="ar-SA"/>
    </w:rPr>
  </w:style>
  <w:style w:type="paragraph" w:customStyle="1" w:styleId="67">
    <w:name w:val="表格竖"/>
    <w:basedOn w:val="1"/>
    <w:qFormat/>
    <w:uiPriority w:val="0"/>
    <w:pPr>
      <w:widowControl/>
      <w:spacing w:before="0" w:beforeAutospacing="0" w:after="0" w:afterAutospacing="0"/>
      <w:ind w:left="0" w:right="0"/>
      <w:jc w:val="center"/>
    </w:pPr>
    <w:rPr>
      <w:rFonts w:hint="default" w:ascii="Times New Roman" w:hAnsi="Times New Roman" w:eastAsia="宋体" w:cs="Times New Roman"/>
      <w:kern w:val="0"/>
      <w:sz w:val="21"/>
      <w:szCs w:val="21"/>
      <w:lang w:val="en-US" w:eastAsia="zh-CN" w:bidi="ar"/>
    </w:rPr>
  </w:style>
  <w:style w:type="paragraph" w:customStyle="1" w:styleId="68">
    <w:name w:val="【表头】"/>
    <w:basedOn w:val="1"/>
    <w:qFormat/>
    <w:uiPriority w:val="0"/>
    <w:pPr>
      <w:spacing w:line="460" w:lineRule="exact"/>
      <w:jc w:val="center"/>
    </w:pPr>
    <w:rPr>
      <w:rFonts w:eastAsia="黑体" w:cs="宋体"/>
      <w:kern w:val="0"/>
      <w:sz w:val="24"/>
    </w:rPr>
  </w:style>
  <w:style w:type="paragraph" w:customStyle="1" w:styleId="69">
    <w:name w:val="龙DS-正文"/>
    <w:basedOn w:val="1"/>
    <w:link w:val="70"/>
    <w:qFormat/>
    <w:uiPriority w:val="0"/>
    <w:pPr>
      <w:adjustRightInd w:val="0"/>
      <w:snapToGrid w:val="0"/>
      <w:spacing w:line="360" w:lineRule="auto"/>
      <w:ind w:firstLine="200" w:firstLineChars="200"/>
      <w:jc w:val="left"/>
    </w:pPr>
    <w:rPr>
      <w:rFonts w:ascii="Times New Roman" w:hAnsi="Times New Roman"/>
      <w:color w:val="000000"/>
      <w:kern w:val="0"/>
      <w:sz w:val="24"/>
      <w:szCs w:val="20"/>
    </w:rPr>
  </w:style>
  <w:style w:type="character" w:customStyle="1" w:styleId="70">
    <w:name w:val="高-正文 Char"/>
    <w:link w:val="69"/>
    <w:qFormat/>
    <w:uiPriority w:val="0"/>
    <w:rPr>
      <w:rFonts w:ascii="Times New Roman" w:hAnsi="Times New Roman"/>
      <w:color w:val="000000"/>
      <w:kern w:val="0"/>
      <w:sz w:val="24"/>
      <w:szCs w:val="20"/>
    </w:rPr>
  </w:style>
  <w:style w:type="paragraph" w:customStyle="1" w:styleId="71">
    <w:name w:val="小四 行距1.5倍"/>
    <w:basedOn w:val="1"/>
    <w:qFormat/>
    <w:uiPriority w:val="0"/>
    <w:pPr>
      <w:spacing w:line="360" w:lineRule="auto"/>
      <w:ind w:firstLine="200" w:firstLineChars="200"/>
      <w:jc w:val="left"/>
    </w:pPr>
    <w:rPr>
      <w:szCs w:val="24"/>
    </w:rPr>
  </w:style>
  <w:style w:type="paragraph" w:customStyle="1" w:styleId="72">
    <w:name w:val="文字"/>
    <w:qFormat/>
    <w:uiPriority w:val="0"/>
    <w:pPr>
      <w:widowControl w:val="0"/>
      <w:ind w:firstLine="200" w:firstLineChars="200"/>
      <w:jc w:val="both"/>
      <w:textAlignment w:val="baseline"/>
    </w:pPr>
    <w:rPr>
      <w:rFonts w:ascii="Times New Roman" w:hAnsi="Times New Roman" w:eastAsia="宋体" w:cs="Times New Roman"/>
      <w:kern w:val="2"/>
      <w:sz w:val="24"/>
      <w:szCs w:val="24"/>
      <w:lang w:val="en-US" w:eastAsia="zh-CN" w:bidi="ar-SA"/>
    </w:rPr>
  </w:style>
  <w:style w:type="paragraph" w:customStyle="1" w:styleId="73">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74">
    <w:name w:val="xl27"/>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left"/>
    </w:pPr>
    <w:rPr>
      <w:rFonts w:ascii="宋体" w:hAnsi="宋体"/>
      <w:kern w:val="0"/>
      <w:sz w:val="20"/>
      <w:szCs w:val="28"/>
    </w:rPr>
  </w:style>
  <w:style w:type="character" w:customStyle="1" w:styleId="75">
    <w:name w:val="font31"/>
    <w:basedOn w:val="27"/>
    <w:qFormat/>
    <w:uiPriority w:val="0"/>
    <w:rPr>
      <w:rFonts w:hint="eastAsia" w:ascii="宋体" w:hAnsi="宋体" w:eastAsia="宋体" w:cs="宋体"/>
      <w:color w:val="000000"/>
      <w:sz w:val="21"/>
      <w:szCs w:val="21"/>
      <w:u w:val="none"/>
    </w:rPr>
  </w:style>
  <w:style w:type="paragraph" w:customStyle="1" w:styleId="76">
    <w:name w:val="Table Text"/>
    <w:basedOn w:val="1"/>
    <w:semiHidden/>
    <w:qFormat/>
    <w:uiPriority w:val="0"/>
    <w:rPr>
      <w:rFonts w:ascii="宋体" w:hAnsi="宋体" w:eastAsia="宋体" w:cs="宋体"/>
      <w:sz w:val="24"/>
      <w:szCs w:val="24"/>
      <w:lang w:val="en-US" w:eastAsia="en-US" w:bidi="ar-SA"/>
    </w:rPr>
  </w:style>
  <w:style w:type="table" w:customStyle="1" w:styleId="77">
    <w:name w:val="Table Normal"/>
    <w:unhideWhenUsed/>
    <w:qFormat/>
    <w:uiPriority w:val="0"/>
    <w:tblPr>
      <w:tblStyle w:val="25"/>
      <w:tblCellMar>
        <w:top w:w="0" w:type="dxa"/>
        <w:left w:w="0" w:type="dxa"/>
        <w:bottom w:w="0" w:type="dxa"/>
        <w:right w:w="0" w:type="dxa"/>
      </w:tblCellMar>
    </w:tblPr>
  </w:style>
  <w:style w:type="character" w:customStyle="1" w:styleId="78">
    <w:name w:val="fontstyle01"/>
    <w:qFormat/>
    <w:uiPriority w:val="0"/>
    <w:rPr>
      <w:rFonts w:hint="eastAsia" w:ascii="宋体" w:hAnsi="宋体" w:eastAsia="宋体"/>
      <w:color w:val="000000"/>
      <w:kern w:val="2"/>
      <w:sz w:val="24"/>
      <w:szCs w:val="24"/>
      <w:lang w:val="en-US" w:eastAsia="zh-CN"/>
    </w:rPr>
  </w:style>
  <w:style w:type="paragraph" w:customStyle="1" w:styleId="79">
    <w:name w:val="Table Paragraph"/>
    <w:basedOn w:val="1"/>
    <w:qFormat/>
    <w:uiPriority w:val="1"/>
    <w:pPr>
      <w:spacing w:before="15" w:line="236" w:lineRule="exact"/>
      <w:ind w:left="326"/>
      <w:jc w:val="center"/>
    </w:pPr>
    <w:rPr>
      <w:rFonts w:ascii="Times New Roman" w:hAnsi="Times New Roman" w:eastAsia="Times New Roman" w:cs="Times New Roman"/>
      <w:lang w:val="zh-CN" w:eastAsia="zh-CN" w:bidi="zh-CN"/>
    </w:rPr>
  </w:style>
  <w:style w:type="paragraph" w:customStyle="1" w:styleId="80">
    <w:name w:val="1规划表标"/>
    <w:basedOn w:val="1"/>
    <w:next w:val="81"/>
    <w:qFormat/>
    <w:uiPriority w:val="0"/>
    <w:pPr>
      <w:adjustRightInd w:val="0"/>
      <w:snapToGrid w:val="0"/>
      <w:spacing w:before="50" w:beforeLines="50" w:line="240" w:lineRule="auto"/>
      <w:jc w:val="center"/>
    </w:pPr>
    <w:rPr>
      <w:rFonts w:ascii="Times New Roman" w:hAnsi="Times New Roman" w:eastAsia="宋体"/>
      <w:b/>
    </w:rPr>
  </w:style>
  <w:style w:type="paragraph" w:customStyle="1" w:styleId="81">
    <w:name w:val="1规划表文"/>
    <w:basedOn w:val="1"/>
    <w:qFormat/>
    <w:uiPriority w:val="0"/>
    <w:pPr>
      <w:adjustRightInd w:val="0"/>
      <w:snapToGrid w:val="0"/>
      <w:spacing w:line="240" w:lineRule="auto"/>
      <w:jc w:val="center"/>
    </w:pPr>
  </w:style>
  <w:style w:type="paragraph" w:customStyle="1" w:styleId="82">
    <w:name w:val="表格加粗"/>
    <w:basedOn w:val="83"/>
    <w:qFormat/>
    <w:uiPriority w:val="0"/>
    <w:rPr>
      <w:b/>
    </w:rPr>
  </w:style>
  <w:style w:type="paragraph" w:customStyle="1" w:styleId="83">
    <w:name w:val="表格内容"/>
    <w:basedOn w:val="1"/>
    <w:qFormat/>
    <w:uiPriority w:val="0"/>
    <w:pPr>
      <w:autoSpaceDE w:val="0"/>
      <w:autoSpaceDN w:val="0"/>
      <w:snapToGrid w:val="0"/>
      <w:jc w:val="center"/>
    </w:pPr>
    <w:rPr>
      <w:kern w:val="0"/>
      <w:szCs w:val="21"/>
    </w:rPr>
  </w:style>
  <w:style w:type="paragraph" w:customStyle="1" w:styleId="84">
    <w:name w:val="表格标题"/>
    <w:basedOn w:val="1"/>
    <w:qFormat/>
    <w:uiPriority w:val="0"/>
    <w:pPr>
      <w:spacing w:line="360" w:lineRule="auto"/>
      <w:jc w:val="center"/>
    </w:pPr>
    <w:rPr>
      <w:b/>
      <w:snapToGrid w:val="0"/>
      <w:szCs w:val="20"/>
    </w:rPr>
  </w:style>
  <w:style w:type="paragraph" w:customStyle="1" w:styleId="85">
    <w:name w:val="报告表表头"/>
    <w:basedOn w:val="1"/>
    <w:qFormat/>
    <w:uiPriority w:val="0"/>
    <w:pPr>
      <w:numPr>
        <w:ilvl w:val="0"/>
        <w:numId w:val="3"/>
      </w:numPr>
      <w:spacing w:line="440" w:lineRule="exact"/>
      <w:ind w:firstLine="0" w:firstLineChars="0"/>
      <w:jc w:val="center"/>
    </w:pPr>
    <w:rPr>
      <w:rFonts w:eastAsia="黑体"/>
      <w:b/>
      <w:sz w:val="21"/>
    </w:rPr>
  </w:style>
  <w:style w:type="paragraph" w:customStyle="1" w:styleId="86">
    <w:name w:val="表内容"/>
    <w:basedOn w:val="1"/>
    <w:next w:val="1"/>
    <w:qFormat/>
    <w:uiPriority w:val="0"/>
    <w:pPr>
      <w:spacing w:line="240" w:lineRule="auto"/>
      <w:ind w:firstLine="0" w:firstLineChars="0"/>
      <w:jc w:val="center"/>
    </w:pPr>
    <w:rPr>
      <w:rFonts w:eastAsia="Arial"/>
      <w:snapToGrid w:val="0"/>
      <w:sz w:val="21"/>
      <w:szCs w:val="21"/>
      <w:lang w:val="en-US" w:eastAsia="zh-CN" w:bidi="ar-SA"/>
    </w:rPr>
  </w:style>
  <w:style w:type="paragraph" w:customStyle="1" w:styleId="87">
    <w:name w:val="5号正文"/>
    <w:basedOn w:val="1"/>
    <w:qFormat/>
    <w:uiPriority w:val="0"/>
    <w:pPr>
      <w:spacing w:line="360" w:lineRule="auto"/>
      <w:ind w:firstLine="200" w:firstLineChars="200"/>
    </w:pPr>
    <w:rPr>
      <w:kern w:val="24"/>
      <w:szCs w:val="20"/>
    </w:rPr>
  </w:style>
  <w:style w:type="paragraph" w:customStyle="1" w:styleId="88">
    <w:name w:val="A样式 小四 行距: 1.5 倍行距 首行缩进:  2 字符"/>
    <w:basedOn w:val="1"/>
    <w:qFormat/>
    <w:uiPriority w:val="0"/>
    <w:pPr>
      <w:ind w:firstLine="480"/>
    </w:pPr>
    <w:rPr>
      <w:rFonts w:eastAsia="宋体" w:cs="宋体"/>
      <w:szCs w:val="22"/>
    </w:rPr>
  </w:style>
  <w:style w:type="paragraph" w:customStyle="1" w:styleId="89">
    <w:name w:val="样式 首行缩进"/>
    <w:basedOn w:val="1"/>
    <w:qFormat/>
    <w:uiPriority w:val="99"/>
    <w:pPr>
      <w:spacing w:before="60" w:after="60" w:line="360" w:lineRule="auto"/>
      <w:ind w:firstLine="480" w:firstLineChars="200"/>
    </w:pPr>
    <w:rPr>
      <w:rFonts w:cs="宋体"/>
      <w:sz w:val="24"/>
    </w:rPr>
  </w:style>
  <w:style w:type="paragraph" w:customStyle="1" w:styleId="90">
    <w:name w:val="ice表内"/>
    <w:basedOn w:val="1"/>
    <w:qFormat/>
    <w:uiPriority w:val="0"/>
    <w:pPr>
      <w:widowControl/>
      <w:jc w:val="center"/>
    </w:pPr>
    <w:rPr>
      <w:rFonts w:cs="宋体"/>
      <w:color w:val="000000"/>
      <w:kern w:val="0"/>
      <w:sz w:val="21"/>
    </w:rPr>
  </w:style>
  <w:style w:type="paragraph" w:customStyle="1" w:styleId="91">
    <w:name w:val="图"/>
    <w:basedOn w:val="6"/>
    <w:next w:val="1"/>
    <w:qFormat/>
    <w:uiPriority w:val="0"/>
    <w:pPr>
      <w:spacing w:line="236" w:lineRule="exact"/>
      <w:ind w:firstLine="0" w:firstLineChars="0"/>
    </w:pPr>
    <w:rPr>
      <w:rFonts w:ascii="宋体"/>
      <w:sz w:val="18"/>
      <w:szCs w:val="18"/>
    </w:rPr>
  </w:style>
  <w:style w:type="paragraph" w:styleId="92">
    <w:name w:val="List Paragraph"/>
    <w:basedOn w:val="1"/>
    <w:qFormat/>
    <w:uiPriority w:val="99"/>
    <w:pPr>
      <w:ind w:firstLine="420" w:firstLineChars="200"/>
    </w:pPr>
  </w:style>
  <w:style w:type="paragraph" w:customStyle="1" w:styleId="93">
    <w:name w:val="ice表头、图头"/>
    <w:next w:val="1"/>
    <w:qFormat/>
    <w:uiPriority w:val="0"/>
    <w:pPr>
      <w:spacing w:beforeLines="20" w:afterLines="15"/>
      <w:jc w:val="center"/>
      <w:outlineLvl w:val="5"/>
    </w:pPr>
    <w:rPr>
      <w:rFonts w:ascii="Times New Roman" w:hAnsi="Times New Roman" w:eastAsia="宋体" w:cs="Times New Roman"/>
      <w:b/>
      <w:kern w:val="2"/>
      <w:sz w:val="24"/>
      <w:szCs w:val="24"/>
      <w:lang w:val="en-US" w:eastAsia="zh-CN" w:bidi="ar-SA"/>
    </w:rPr>
  </w:style>
  <w:style w:type="paragraph" w:customStyle="1" w:styleId="94">
    <w:name w:val="List Paragraph1"/>
    <w:basedOn w:val="1"/>
    <w:qFormat/>
    <w:uiPriority w:val="34"/>
    <w:pPr>
      <w:ind w:firstLine="420" w:firstLineChars="200"/>
    </w:pPr>
  </w:style>
  <w:style w:type="paragraph" w:customStyle="1" w:styleId="95">
    <w:name w:val="小表格"/>
    <w:basedOn w:val="1"/>
    <w:qFormat/>
    <w:uiPriority w:val="0"/>
    <w:pPr>
      <w:adjustRightInd w:val="0"/>
      <w:snapToGrid w:val="0"/>
      <w:spacing w:line="240" w:lineRule="auto"/>
      <w:ind w:firstLine="0" w:firstLineChars="0"/>
      <w:jc w:val="center"/>
    </w:pPr>
    <w:rPr>
      <w:sz w:val="21"/>
      <w:szCs w:val="20"/>
    </w:rPr>
  </w:style>
  <w:style w:type="paragraph" w:customStyle="1" w:styleId="96">
    <w:name w:val="样式 正文11 + 首行缩进:  2 字符"/>
    <w:basedOn w:val="1"/>
    <w:qFormat/>
    <w:uiPriority w:val="0"/>
    <w:pPr>
      <w:spacing w:line="500" w:lineRule="exact"/>
      <w:ind w:firstLine="560" w:firstLineChars="200"/>
    </w:pPr>
    <w:rPr>
      <w:rFonts w:ascii="宋体" w:hAnsi="宋体" w:eastAsia="Times New Roman"/>
      <w:b/>
      <w:color w:val="FF0000"/>
      <w:sz w:val="28"/>
      <w:szCs w:val="20"/>
    </w:rPr>
  </w:style>
  <w:style w:type="character" w:customStyle="1" w:styleId="97">
    <w:name w:val="font61"/>
    <w:basedOn w:val="27"/>
    <w:uiPriority w:val="0"/>
    <w:rPr>
      <w:rFonts w:hint="default" w:ascii="Times New Roman" w:hAnsi="Times New Roman" w:cs="Times New Roman"/>
      <w:color w:val="000000"/>
      <w:sz w:val="21"/>
      <w:szCs w:val="21"/>
      <w:u w:val="none"/>
    </w:rPr>
  </w:style>
  <w:style w:type="paragraph" w:customStyle="1" w:styleId="98">
    <w:name w:val="p15"/>
    <w:basedOn w:val="1"/>
    <w:qFormat/>
    <w:uiPriority w:val="0"/>
    <w:pPr>
      <w:widowControl/>
      <w:spacing w:after="120"/>
      <w:ind w:left="420" w:firstLine="420"/>
    </w:pPr>
    <w:rPr>
      <w:kern w:val="0"/>
      <w:sz w:val="24"/>
    </w:rPr>
  </w:style>
  <w:style w:type="paragraph" w:customStyle="1" w:styleId="99">
    <w:name w:val="正文加粗"/>
    <w:basedOn w:val="100"/>
    <w:qFormat/>
    <w:uiPriority w:val="0"/>
    <w:rPr>
      <w:rFonts w:hAnsi="Times New Roman" w:cs="Times New Roman"/>
      <w:b/>
      <w:snapToGrid/>
      <w:color w:val="auto"/>
    </w:rPr>
  </w:style>
  <w:style w:type="paragraph" w:customStyle="1" w:styleId="100">
    <w:name w:val="小5正文"/>
    <w:basedOn w:val="57"/>
    <w:qFormat/>
    <w:uiPriority w:val="0"/>
    <w:pPr>
      <w:adjustRightInd/>
      <w:spacing w:line="360" w:lineRule="auto"/>
      <w:ind w:firstLine="420" w:firstLineChars="200"/>
    </w:pPr>
    <w:rPr>
      <w:rFonts w:hAnsi="宋体" w:cs="MS Mincho"/>
      <w:snapToGrid w:val="0"/>
      <w:color w:val="FF0000"/>
      <w:spacing w:val="0"/>
      <w:sz w:val="21"/>
      <w:szCs w:val="21"/>
    </w:rPr>
  </w:style>
  <w:style w:type="paragraph" w:customStyle="1" w:styleId="101">
    <w:name w:val="表头"/>
    <w:basedOn w:val="1"/>
    <w:next w:val="1"/>
    <w:qFormat/>
    <w:uiPriority w:val="0"/>
    <w:pPr>
      <w:spacing w:line="240" w:lineRule="auto"/>
      <w:ind w:firstLine="0" w:firstLineChars="0"/>
      <w:jc w:val="center"/>
    </w:pPr>
    <w:rPr>
      <w:b/>
      <w:bCs/>
    </w:rPr>
  </w:style>
  <w:style w:type="paragraph" w:customStyle="1" w:styleId="102">
    <w:name w:val="韩笑正文"/>
    <w:basedOn w:val="1"/>
    <w:qFormat/>
    <w:uiPriority w:val="0"/>
    <w:pPr>
      <w:spacing w:line="360" w:lineRule="auto"/>
      <w:ind w:firstLine="480" w:firstLineChars="200"/>
    </w:pPr>
    <w:rPr>
      <w:kern w:val="2"/>
      <w:sz w:val="24"/>
      <w:szCs w:val="24"/>
    </w:rPr>
  </w:style>
  <w:style w:type="paragraph" w:customStyle="1" w:styleId="103">
    <w:name w:val="表文字"/>
    <w:basedOn w:val="11"/>
    <w:next w:val="1"/>
    <w:qFormat/>
    <w:uiPriority w:val="0"/>
    <w:pPr>
      <w:spacing w:line="240" w:lineRule="auto"/>
      <w:jc w:val="center"/>
    </w:pPr>
    <w:rPr>
      <w:sz w:val="21"/>
      <w:szCs w:val="21"/>
    </w:rPr>
  </w:style>
  <w:style w:type="paragraph" w:customStyle="1" w:styleId="104">
    <w:name w:val="表内字"/>
    <w:basedOn w:val="1"/>
    <w:qFormat/>
    <w:uiPriority w:val="0"/>
    <w:pPr>
      <w:spacing w:line="240" w:lineRule="auto"/>
      <w:ind w:firstLine="0" w:firstLineChars="0"/>
      <w:jc w:val="center"/>
    </w:pPr>
    <w:rPr>
      <w:kern w:val="0"/>
      <w:sz w:val="21"/>
      <w:szCs w:val="24"/>
    </w:rPr>
  </w:style>
  <w:style w:type="paragraph" w:customStyle="1" w:styleId="105">
    <w:name w:val="Body Text First Indent 2"/>
    <w:basedOn w:val="106"/>
    <w:next w:val="1"/>
    <w:qFormat/>
    <w:uiPriority w:val="0"/>
    <w:pPr>
      <w:ind w:firstLine="420" w:firstLineChars="200"/>
    </w:pPr>
    <w:rPr>
      <w:rFonts w:hint="eastAsia"/>
    </w:rPr>
  </w:style>
  <w:style w:type="paragraph" w:customStyle="1" w:styleId="106">
    <w:name w:val="Body Text Indent"/>
    <w:basedOn w:val="1"/>
    <w:uiPriority w:val="0"/>
    <w:pPr>
      <w:widowControl w:val="0"/>
      <w:spacing w:after="120"/>
      <w:ind w:left="420"/>
      <w:jc w:val="both"/>
    </w:pPr>
    <w:rPr>
      <w:rFonts w:ascii="Times New Roman" w:hAnsi="Times New Roman" w:eastAsia="宋体"/>
      <w:kern w:val="2"/>
      <w:sz w:val="21"/>
      <w:szCs w:val="21"/>
      <w:lang w:eastAsia="zh-CN" w:bidi="ar-SA"/>
    </w:rPr>
  </w:style>
  <w:style w:type="paragraph" w:customStyle="1" w:styleId="107">
    <w:name w:val="SLL-正文"/>
    <w:basedOn w:val="1"/>
    <w:qFormat/>
    <w:uiPriority w:val="0"/>
    <w:rPr>
      <w:rFonts w:ascii="Times New Roman" w:hAnsi="Times New Roman" w:eastAsia="宋体"/>
    </w:rPr>
  </w:style>
</w:styles>
</file>

<file path=word/_rels/comments.xml.rels><?xml version="1.0" encoding="UTF-8" standalone="yes"?>
<Relationships xmlns="http://schemas.openxmlformats.org/package/2006/relationships"><Relationship Id="rId4" Type="http://schemas.openxmlformats.org/officeDocument/2006/relationships/image" Target="media/image4.png"/><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6" Type="http://schemas.microsoft.com/office/2011/relationships/people" Target="people.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6.jpeg"/><Relationship Id="rId51" Type="http://schemas.openxmlformats.org/officeDocument/2006/relationships/image" Target="media/image45.png"/><Relationship Id="rId50" Type="http://schemas.openxmlformats.org/officeDocument/2006/relationships/image" Target="media/image44.jpe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microsoft.com/office/2011/relationships/commentsExtended" Target="commentsExtended.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comments" Target="comment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83</Pages>
  <Words>364</Words>
  <Characters>397</Characters>
  <Lines>1</Lines>
  <Paragraphs>1</Paragraphs>
  <TotalTime>41</TotalTime>
  <ScaleCrop>false</ScaleCrop>
  <LinksUpToDate>false</LinksUpToDate>
  <CharactersWithSpaces>442</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2020-12-24T17:29:00Z</dcterms:created>
  <dc:creator>lhj</dc:creator>
  <cp:lastModifiedBy>乌拉特中旗大数据中心</cp:lastModifiedBy>
  <cp:lastPrinted>2025-12-08T19:50:55Z</cp:lastPrinted>
  <dcterms:modified xsi:type="dcterms:W3CDTF">2026-05-18T01:29:12Z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7091656267084DEF9BE437812F01519B_13</vt:lpwstr>
  </property>
  <property fmtid="{D5CDD505-2E9C-101B-9397-08002B2CF9AE}" pid="4" name="KSOTemplateDocerSaveRecord">
    <vt:lpwstr>eyJoZGlkIjoiMDRlYzc4YzNhMWEyM2U5YzJjZjA3ZDQ5YmFjNTcxOWMiLCJ1c2VySWQiOiI0ODgwODEzOTkifQ==</vt:lpwstr>
  </property>
</Properties>
</file>