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0F9F2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公文小标宋" w:cs="Times New Roman"/>
          <w:b w:val="0"/>
          <w:bCs w:val="0"/>
          <w:kern w:val="2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kern w:val="2"/>
          <w:sz w:val="44"/>
          <w:szCs w:val="44"/>
          <w:highlight w:val="none"/>
          <w:lang w:val="en-US" w:eastAsia="zh-CN" w:bidi="ar"/>
        </w:rPr>
        <w:t>乌拉特中旗持续优化营商环境全面提升</w:t>
      </w:r>
    </w:p>
    <w:p w14:paraId="15FD7C83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公文小标宋" w:cs="Times New Roman"/>
          <w:b w:val="0"/>
          <w:bCs w:val="0"/>
          <w:kern w:val="2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kern w:val="2"/>
          <w:sz w:val="44"/>
          <w:szCs w:val="44"/>
          <w:highlight w:val="none"/>
          <w:lang w:val="en-US" w:eastAsia="zh-CN" w:bidi="ar"/>
        </w:rPr>
        <w:t>政务服务效能实施方案解读</w:t>
      </w:r>
    </w:p>
    <w:p w14:paraId="1FEEAEBE">
      <w:pPr>
        <w:rPr>
          <w:rFonts w:hint="default" w:ascii="Times New Roman" w:hAnsi="Times New Roman" w:eastAsia="仿宋" w:cs="Times New Roman"/>
          <w:b w:val="0"/>
          <w:bCs/>
          <w:i w:val="0"/>
          <w:caps w:val="0"/>
          <w:color w:val="000000" w:themeColor="text1"/>
          <w:spacing w:val="0"/>
          <w:kern w:val="2"/>
          <w:sz w:val="30"/>
          <w:szCs w:val="30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3D8082E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b w:val="0"/>
          <w:bCs/>
          <w:i w:val="0"/>
          <w:caps w:val="0"/>
          <w:spacing w:val="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spacing w:val="0"/>
          <w:kern w:val="2"/>
          <w:sz w:val="32"/>
          <w:szCs w:val="32"/>
          <w:highlight w:val="none"/>
          <w:lang w:val="en-US" w:eastAsia="zh-CN" w:bidi="ar"/>
        </w:rPr>
        <w:t>一、总体目标</w:t>
      </w:r>
    </w:p>
    <w:p w14:paraId="60D98789">
      <w:pPr>
        <w:ind w:firstLine="640" w:firstLineChars="200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FF0000"/>
          <w:spacing w:val="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000000" w:themeColor="text1"/>
          <w:spacing w:val="0"/>
          <w:kern w:val="2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以习近平新时代中国特色社会主义思想为指导，加快转变政府职能、深化“放管服”改革，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强化施政为民理念，重塑政府审批管理流程，改进工作方法方式，创新政府服务，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000000" w:themeColor="text1"/>
          <w:spacing w:val="0"/>
          <w:kern w:val="2"/>
          <w:sz w:val="32"/>
          <w:szCs w:val="32"/>
          <w:highlight w:val="none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持续优化营商环境、提升服务效能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，加快经济发展，促进转型升级，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000000" w:themeColor="text1"/>
          <w:spacing w:val="0"/>
          <w:kern w:val="2"/>
          <w:sz w:val="32"/>
          <w:szCs w:val="32"/>
          <w:highlight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进一步整合资源、优化流程、强化协同、利企便民。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创新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受理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审批管理模式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推行集中授权模式，综合受理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集成服务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模式、审批承诺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容缺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模式、“一表制”综合模式、“绿色通道”模式、首席代表审签模式、并联审批模式等新型管理模式。整合企业服务队伍，打造一支全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联动的高水平、高效率的企业服务团队，建立一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受理、贴身服务、统一协调、联合审批、全流程监管的企业服务机制，提高企业筹建速度，做到项目早落地、早投产、早见效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。</w:t>
      </w:r>
    </w:p>
    <w:p w14:paraId="51788DF8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黑体" w:cs="Times New Roman"/>
          <w:b w:val="0"/>
          <w:bCs/>
          <w:i w:val="0"/>
          <w:caps w:val="0"/>
          <w:spacing w:val="0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spacing w:val="0"/>
          <w:kern w:val="2"/>
          <w:sz w:val="32"/>
          <w:szCs w:val="32"/>
          <w:highlight w:val="none"/>
          <w:lang w:val="en-US" w:eastAsia="zh-CN" w:bidi="ar"/>
        </w:rPr>
        <w:t>二、主要任务</w:t>
      </w:r>
    </w:p>
    <w:p w14:paraId="349935A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rPr>
          <w:rFonts w:hint="default" w:ascii="Times New Roman" w:hAnsi="Times New Roman" w:eastAsia="楷体" w:cs="Times New Roman"/>
          <w:b/>
          <w:bCs/>
          <w:color w:val="000000" w:themeColor="text1"/>
          <w:kern w:val="2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楷体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政务服务标准化规范化便利化</w:t>
      </w:r>
    </w:p>
    <w:p w14:paraId="61FCC981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atLeast"/>
        <w:ind w:right="0" w:firstLine="643" w:firstLineChars="200"/>
        <w:jc w:val="both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1.标准化方面</w:t>
      </w:r>
    </w:p>
    <w:p w14:paraId="4CD109F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atLeas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（1）统一事项实施标准。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 xml:space="preserve">按照自治区各相关部门、单位牵头制定的本行业、本系统政务服务事项统一实施标准。             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 xml:space="preserve">      </w:t>
      </w:r>
    </w:p>
    <w:p w14:paraId="2825F97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atLeas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（2）持续推进权责清单工作。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根据党中央、国务院、自治区、市级关于深化“放管服”改革、优化营商环境的决策部署，推进权责清单、行政许可事项清单动态调整和中介服务事项清单梳理公布工作。</w:t>
      </w:r>
    </w:p>
    <w:p w14:paraId="290F2C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2.规范化方面</w:t>
      </w:r>
    </w:p>
    <w:p w14:paraId="0C4A77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（1）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规范政务服务综合窗口设置。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分别设置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u w:val="none"/>
        </w:rPr>
        <w:t>综合咨询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u w:val="none"/>
          <w:lang w:eastAsia="zh-CN"/>
        </w:rPr>
        <w:t>“先导后办”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u w:val="none"/>
        </w:rPr>
        <w:t>窗口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“潮汐”窗口、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</w:rPr>
        <w:t>无差别受理“综合窗口”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</w:rPr>
        <w:t>分领域综合窗口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</w:rPr>
        <w:t>后台审批区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</w:rPr>
        <w:t>综合出证窗口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eastAsia="zh-CN"/>
        </w:rPr>
        <w:t>等。</w:t>
      </w:r>
    </w:p>
    <w:p w14:paraId="75E65477">
      <w:pPr>
        <w:ind w:firstLine="643" w:firstLineChars="200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（2）加强政务服务事项“应进必进”规范化管理。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 xml:space="preserve">各职能部门审批服务人员、事项入驻政务服务大厅，实现“应进必进”。除场地限制或涉及国家秘密等情形外，不得在政务服务综合窗口外办理，无特殊办理环节的事项实行政务服务大厅“一站式”审批，为推动更多事项全程自助办理实行24小时对外开放自助服务，群众可以在任意时间到24小时自助服务区通过自助服务设备进行办件申报、事项查询、自助缴费、证件打印等服务。  </w:t>
      </w:r>
    </w:p>
    <w:p w14:paraId="43BDC73E">
      <w:pPr>
        <w:ind w:firstLine="643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（3）规范网上中介超市。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按照“内蒙古自治区网上中介服务超市”建设要求，进一步推广应用“网上中介超市”平台功能。</w:t>
      </w:r>
    </w:p>
    <w:p w14:paraId="074EC285">
      <w:pPr>
        <w:ind w:firstLine="643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（4）完善政务服务监督机制。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采取政务服务监督员、群众代表、媒体联合监督模式，派驻专门力量进驻中心设置行政效能监督岗，并向全社会公开投诉电话，同时发挥好人大代表、政协委员和社会各界以及新闻媒体的监督作用，开展“领导干部走流程”体验活动，并在政务服务中心设立“诚信建设投诉窗口”与“12345热线线下窗口”，实行“专窗收、专人办、专门办”的投诉受理模式。</w:t>
      </w:r>
    </w:p>
    <w:p w14:paraId="3468F93B">
      <w:pPr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3.便利化方面</w:t>
      </w:r>
    </w:p>
    <w:p w14:paraId="15F64638">
      <w:pPr>
        <w:ind w:firstLine="643" w:firstLineChars="200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（1）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提升“一网通办”水平。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统筹实施全旗“互联网+政务服务”能力建设，提高“一网通办”水平。规范网上办事服务。全面推广使用一体化在线政务服务平台，各部门自建系统深入对接自治区统一身份认证体系，构建三级联通的网上政务服务体系。</w:t>
      </w:r>
    </w:p>
    <w:p w14:paraId="12527E90">
      <w:pPr>
        <w:ind w:firstLine="643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（2）提高电子证照便利化水平。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 xml:space="preserve">各发证部门应主动与上级主管部门沟通对接，完成证照标准底图认领并制发电子证照，对存量电子证照数据进行标准化整改，支撑证照电子化应用和全国互通互认，扩大电子证照“免证办”事项范围。  </w:t>
      </w:r>
    </w:p>
    <w:p w14:paraId="051E2951">
      <w:pPr>
        <w:ind w:firstLine="643" w:firstLineChars="200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（3）推动更多政务服务事项向基层延伸。一是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规范基层政务服务窗口运行，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按照“专人专岗”要求，每个中心至少配备2-4名工作人员，专门负责“一窗受理”业务；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建设园区政务服务标准化工作站，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按照“园区事园区办”目标要求，实行“园区综合受理、分转部门审批、快递服务送达”等服务，让企业办事不出园区；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“一件事一次办”向基层延伸，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梳理并公布基层便民服务“一件事一次办”清单，逐项编制服务指南，形成“事事有标准可依、人人按标准履职”的标准化工作机制；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四是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稳定帮办代办员队伍，持续强化业务培训指导，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主要采用“双向挂职”实践指导和定期集中培训两种方式，强化业务培训的实用性和操作性。</w:t>
      </w:r>
    </w:p>
    <w:p w14:paraId="2B4FBDBD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Times New Roman" w:hAnsi="Times New Roman" w:eastAsia="楷体" w:cs="Times New Roman"/>
          <w:b/>
          <w:bCs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（二）全面优化营商环境</w:t>
      </w:r>
    </w:p>
    <w:p w14:paraId="32A1D80E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highlight w:val="none"/>
          <w:lang w:val="en-US" w:eastAsia="zh-CN" w:bidi="ar"/>
        </w:rPr>
        <w:t>（1）提升行政效能，推动“高效办成一件事”。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"/>
        </w:rPr>
        <w:t>聚焦企业和个人全生命周期，持续扩大和细化“一件事一次办”事项受理服务，完善重点事项清单管理机制，持续提升企业群众办事服务便利度，全面推动13个国家重点“一件事一次办”政务服务事项在我旗落地。</w:t>
      </w:r>
    </w:p>
    <w:p w14:paraId="4A262910">
      <w:pPr>
        <w:ind w:firstLine="643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（2）深化工程建设项目审批改革。一是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建立健全会商联审机制，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建立以重点项目和重点企业为核心的全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u w:val="none"/>
          <w:lang w:val="en-US" w:eastAsia="zh-CN" w:bidi="ar"/>
        </w:rPr>
        <w:t>旗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信息数据库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3"/>
          <w:sz w:val="32"/>
          <w:szCs w:val="32"/>
          <w:highlight w:val="none"/>
          <w:u w:val="none"/>
          <w:shd w:val="clear" w:fill="FFFFFF"/>
        </w:rPr>
        <w:t>依托服务专班及代办服务体系，实施“圆桌”会议、代办服务、延时服务、上门服务等一揽子服务，提升工程项目审批质效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3"/>
          <w:sz w:val="32"/>
          <w:szCs w:val="32"/>
          <w:highlight w:val="none"/>
          <w:u w:val="none"/>
          <w:shd w:val="clear" w:fill="FFFFFF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3"/>
          <w:sz w:val="32"/>
          <w:szCs w:val="32"/>
          <w:highlight w:val="none"/>
          <w:u w:val="none"/>
          <w:shd w:val="clear" w:fill="FFFFFF"/>
          <w:lang w:eastAsia="zh-CN"/>
        </w:rPr>
        <w:t>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u w:val="none"/>
          <w:lang w:val="en-US" w:eastAsia="zh-CN" w:bidi="ar"/>
        </w:rPr>
        <w:t>依托全市工程建设项目审批管理系统，建设乌拉特中旗审批进度管理系统，实时监督管理审批进度，提升工改项目审批、事项审批的透明度、便捷性和效率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3"/>
          <w:sz w:val="32"/>
          <w:szCs w:val="32"/>
          <w:highlight w:val="none"/>
          <w:u w:val="none"/>
          <w:shd w:val="clear" w:fill="FFFFFF"/>
          <w:lang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spacing w:val="3"/>
          <w:sz w:val="32"/>
          <w:szCs w:val="32"/>
          <w:highlight w:val="none"/>
          <w:u w:val="none"/>
          <w:shd w:val="clear" w:fill="FFFFFF"/>
          <w:lang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提升帮办代办服务能力，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3"/>
          <w:sz w:val="32"/>
          <w:szCs w:val="32"/>
          <w:highlight w:val="none"/>
          <w:u w:val="none"/>
          <w:shd w:val="clear" w:fill="FFFFFF"/>
        </w:rPr>
        <w:t>在要素优服务上，按照“一项目一专班”的原则，组成专家服务团队，将项目服务向前延伸至前期策划生成，实施“一企一策”精准服务；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spacing w:val="3"/>
          <w:sz w:val="32"/>
          <w:szCs w:val="32"/>
          <w:highlight w:val="none"/>
          <w:u w:val="none"/>
          <w:shd w:val="clear" w:fill="FFFFFF"/>
          <w:lang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spacing w:val="3"/>
          <w:sz w:val="32"/>
          <w:szCs w:val="32"/>
          <w:highlight w:val="none"/>
          <w:u w:val="none"/>
          <w:shd w:val="clear" w:fill="FFFFFF"/>
          <w:lang w:eastAsia="zh-CN"/>
        </w:rPr>
        <w:t>是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启动运行企业服务专区，每季度召开政企“面对面”恳谈会，以政银合作、资源共享，助企惠企为出发点，多维度为企业提供政务办事、政策解读、金融搭接、资源数字化等一系列服务。</w:t>
      </w:r>
    </w:p>
    <w:p w14:paraId="6918EAD2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（3）统筹抓好全旗营商环境评估、组织、协调工作。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落实优化营商环境主管部门职责，健全和完善营商环境运行管理机制，按照自治区优化营商环境评估办法，制定我旗具体实施办法，实时监测全旗各部门指标运行情况，及时发现存在问题，加强优化营商环境整改提升工作调度，指导督办落实各类问题整改，推动我旗营商环境持续提升。</w:t>
      </w:r>
    </w:p>
    <w:p w14:paraId="16E9FC79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（三）强化数据管理应用</w:t>
      </w:r>
    </w:p>
    <w:p w14:paraId="0C4AE59E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（1）建立有获得感的旗级网上政务大厅。一是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制定数字平台建设技术标准。结合旗直部门网上办事系统应用实际，研究制定数字平台建设的总体技术方案和数据交换、信息资源共享、业务协同对接等技术标准，规范大厅与旗直部门和市级网上办事系统的互联与共享；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"/>
        </w:rPr>
        <w:t>整合线上线下办事系统。按照统一标准，对旗直各部门线下服务窗口和网上办事系统进行整合提升，规范线下服务窗口管理，建立旗级网上政务大厅部门分厅，集中承办本部门网上事项的受理、办理、咨询、投诉处理等工作。</w:t>
      </w:r>
    </w:p>
    <w:p w14:paraId="07F071BA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（2）打造全旗统一数据基础底座，高质量推动数据共享开放应用。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依托自治区一体化政务大数据平台和数据资源库建设为着力点，打造数据归集治理、共享开放、分析挖掘、开发利用等数据支撑能力和应用支撑能力，建设完善人口等基础、主题、专题数据资源库，形成统一支撑能力和统一数据资源体系。</w:t>
      </w:r>
    </w:p>
    <w:p w14:paraId="3F6C8DF7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（3）夯实政务数据基础底座，助力数字政府建设走深走实。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加快推进大数据能力平台建设，打牢“数字政府”建设基础，持续做好“三清单一目录”梳理工作，摸清政务数据家底和需求，明确数据提供部门责任。</w:t>
      </w:r>
    </w:p>
    <w:p w14:paraId="0BEDD004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（4）建设“智慧城市”，强化数据应用。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在夯实智慧城市一期建设的基础上，建立各地区、各部门单位政务数据资源长效共享机制，落实政务数据共享“三清单”制度，强化地区和部门数据共享责任，持续推进数据汇聚和数据回流。</w:t>
      </w:r>
    </w:p>
    <w:p w14:paraId="4C868CE2">
      <w:pPr>
        <w:keepNext w:val="0"/>
        <w:keepLines w:val="0"/>
        <w:pageBreakBefore w:val="0"/>
        <w:widowControl w:val="0"/>
        <w:suppressLineNumbers w:val="0"/>
        <w:wordWrap/>
        <w:overflowPunct/>
        <w:topLinePunct w:val="0"/>
        <w:autoSpaceDE w:val="0"/>
        <w:autoSpaceDN/>
        <w:bidi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lang w:val="en-US" w:eastAsia="zh-CN" w:bidi="ar"/>
        </w:rPr>
        <w:t>（5）开展基层“一表通”系统建设。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"/>
        </w:rPr>
        <w:t>按照“自治区统筹、盟市主责、旗县区抓落实”的原则，融合建设以基层“根数据库”为基础的旗级“一表通”系统，推动系统在基层地区应用推广，实现基层数据资源综合采集、一表通用、多方共享。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ZGRjZGIwODI1YTNmYmZlYjZkNjhkZmU2NDgxODMifQ=="/>
  </w:docVars>
  <w:rsids>
    <w:rsidRoot w:val="00000000"/>
    <w:rsid w:val="0ECD126E"/>
    <w:rsid w:val="1B7331AF"/>
    <w:rsid w:val="1E1E0DA5"/>
    <w:rsid w:val="25B90851"/>
    <w:rsid w:val="27475EF5"/>
    <w:rsid w:val="2C97446A"/>
    <w:rsid w:val="39761C86"/>
    <w:rsid w:val="3BD67DCE"/>
    <w:rsid w:val="44201152"/>
    <w:rsid w:val="445B0426"/>
    <w:rsid w:val="497157E8"/>
    <w:rsid w:val="59AB32D1"/>
    <w:rsid w:val="66100C18"/>
    <w:rsid w:val="6C825846"/>
    <w:rsid w:val="6DD525B6"/>
    <w:rsid w:val="71801737"/>
    <w:rsid w:val="79A9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2786</Words>
  <Characters>2799</Characters>
  <Lines>0</Lines>
  <Paragraphs>0</Paragraphs>
  <TotalTime>1043</TotalTime>
  <ScaleCrop>false</ScaleCrop>
  <LinksUpToDate>false</LinksUpToDate>
  <CharactersWithSpaces>2822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2024-07-01T08:34:00Z</dcterms:created>
  <dc:creator>Administrator</dc:creator>
  <cp:lastModifiedBy>乌拉特中旗大数据中心</cp:lastModifiedBy>
  <cp:lastPrinted>2024-08-02T04:03:00Z</cp:lastPrinted>
  <dcterms:modified xsi:type="dcterms:W3CDTF">2024-08-30T01:57:05Z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270CD8A1250549DA8CBF313C0C470EF6_13</vt:lpwstr>
  </property>
</Properties>
</file>